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招标需求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一、项目背景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招标人拥有</w:t>
      </w:r>
      <w:r>
        <w:rPr>
          <w:rFonts w:hint="eastAsia" w:ascii="仿宋_GB2312" w:hAnsi="仿宋_GB2312" w:eastAsia="仿宋_GB2312" w:cs="仿宋_GB2312"/>
          <w:sz w:val="32"/>
          <w:szCs w:val="32"/>
          <w:lang w:val="en-US" w:eastAsia="zh-CN"/>
        </w:rPr>
        <w:t xml:space="preserve"> 79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机动车</w:t>
      </w:r>
      <w:r>
        <w:rPr>
          <w:rFonts w:hint="eastAsia" w:ascii="仿宋_GB2312" w:hAnsi="仿宋_GB2312" w:eastAsia="仿宋_GB2312" w:cs="仿宋_GB2312"/>
          <w:sz w:val="32"/>
          <w:szCs w:val="32"/>
          <w:lang w:val="en-US" w:eastAsia="zh-CN"/>
        </w:rPr>
        <w:t xml:space="preserve"> 28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电瓶车</w:t>
      </w:r>
      <w:r>
        <w:rPr>
          <w:rFonts w:hint="eastAsia" w:ascii="仿宋_GB2312" w:hAnsi="仿宋_GB2312" w:eastAsia="仿宋_GB2312" w:cs="仿宋_GB2312"/>
          <w:sz w:val="32"/>
          <w:szCs w:val="32"/>
          <w:lang w:val="en-US" w:eastAsia="zh-CN"/>
        </w:rPr>
        <w:t xml:space="preserve"> 51 </w:t>
      </w:r>
      <w:r>
        <w:rPr>
          <w:rFonts w:hint="eastAsia" w:ascii="仿宋_GB2312" w:hAnsi="仿宋_GB2312" w:eastAsia="仿宋_GB2312" w:cs="仿宋_GB2312"/>
          <w:sz w:val="32"/>
          <w:szCs w:val="32"/>
        </w:rPr>
        <w:t xml:space="preserve"> 辆）车辆，按照招标的形式进行</w:t>
      </w:r>
      <w:r>
        <w:rPr>
          <w:rFonts w:hint="eastAsia" w:ascii="仿宋_GB2312" w:hAnsi="仿宋_GB2312" w:eastAsia="仿宋_GB2312" w:cs="仿宋_GB2312"/>
          <w:sz w:val="32"/>
          <w:szCs w:val="32"/>
          <w:lang w:val="en-US" w:eastAsia="zh-CN"/>
        </w:rPr>
        <w:t>续</w:t>
      </w:r>
      <w:r>
        <w:rPr>
          <w:rFonts w:hint="eastAsia" w:ascii="仿宋_GB2312" w:hAnsi="仿宋_GB2312" w:eastAsia="仿宋_GB2312" w:cs="仿宋_GB2312"/>
          <w:sz w:val="32"/>
          <w:szCs w:val="32"/>
        </w:rPr>
        <w:t>保服务招标，选择保险</w:t>
      </w:r>
      <w:r>
        <w:rPr>
          <w:rFonts w:hint="eastAsia" w:ascii="仿宋_GB2312" w:hAnsi="仿宋_GB2312" w:eastAsia="仿宋_GB2312" w:cs="仿宋_GB2312"/>
          <w:sz w:val="32"/>
          <w:szCs w:val="32"/>
          <w:lang w:val="en-US" w:eastAsia="zh-CN"/>
        </w:rPr>
        <w:t>费率低，服务态度好，信誉高，理赔快的保险</w:t>
      </w:r>
      <w:r>
        <w:rPr>
          <w:rFonts w:hint="eastAsia" w:ascii="仿宋_GB2312" w:hAnsi="仿宋_GB2312" w:eastAsia="仿宋_GB2312" w:cs="仿宋_GB2312"/>
          <w:sz w:val="32"/>
          <w:szCs w:val="32"/>
        </w:rPr>
        <w:t>公司。本项目服务期限为</w:t>
      </w:r>
      <w:r>
        <w:rPr>
          <w:rFonts w:hint="eastAsia" w:ascii="仿宋_GB2312" w:hAnsi="仿宋_GB2312" w:eastAsia="仿宋_GB2312" w:cs="仿宋_GB2312"/>
          <w:sz w:val="32"/>
          <w:szCs w:val="32"/>
          <w:lang w:val="en-US" w:eastAsia="zh-CN"/>
        </w:rPr>
        <w:t xml:space="preserve">  3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 年  月  日起至 2020 年  月  日止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二、项目内容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（一）投保险种和范围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1.机动车交通事故责任强制保险：根据国务院颁布的《机动车交通事故责任强制保险条例》规定，投保人投保时必须选择投保“机动车交通事故责任强制保险”。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2.机动车商业险险种：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（1）车辆损失险；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（2）第三者责任险；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（3）车上人员责任险；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（4）无法找到第三方；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（5）车船税；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（6）不计免赔险。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3.电瓶车商业险险种：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（1）第三者责任险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（2）车上人员责任险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楷体_GB2312" w:hAnsi="楷体_GB2312" w:eastAsia="楷体_GB2312" w:cs="楷体_GB2312"/>
          <w:sz w:val="32"/>
          <w:szCs w:val="32"/>
          <w:lang w:val="en-US" w:eastAsia="zh-CN"/>
        </w:rPr>
        <w:t>(二) 保险责任</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在保险期限内，中标供应商根据招标人选择投保的险种，按照中国保险监督管理委员会批复条款所载明的保险责任承担赔偿。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 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1.保证招标人获得优先服务的权利。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2.中标人应设有 24 小时全天报案服务电话，并派专人受理索赔报案。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3.中标人设立专门机构、专人负责(设联络员1名)办理定点保险业务，以便于业务的衔接、资金的结算和数据的统计等。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4.中标人应在广州市内配备相应的服务网点。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5.中标人应为本项目配备具有相关服务经验及资质的服务人员。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(四)保费缴付方式：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标人应根据招标人选择的险种，在确定投保需求后，中标人为招标人所指定车辆进行投保。在核对保单等资料无误后，招标人办理相应保费支付。在招标人办理支付手续前5个工作日，中标人须提供相应正式发票给招标人。</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 w:hAnsi="楷体" w:eastAsia="楷体" w:cs="楷体"/>
          <w:b/>
          <w:bCs/>
          <w:kern w:val="2"/>
          <w:sz w:val="32"/>
          <w:szCs w:val="32"/>
          <w:lang w:val="en-US" w:eastAsia="zh-CN" w:bidi="ar-SA"/>
        </w:rPr>
      </w:pPr>
      <w:bookmarkStart w:id="0" w:name="_Toc15387"/>
      <w:r>
        <w:rPr>
          <w:rFonts w:hint="eastAsia" w:ascii="楷体" w:hAnsi="楷体" w:eastAsia="楷体" w:cs="楷体"/>
          <w:b/>
          <w:bCs/>
          <w:kern w:val="2"/>
          <w:sz w:val="28"/>
          <w:szCs w:val="28"/>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评分体系与标准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both"/>
        <w:textAlignment w:val="auto"/>
        <w:rPr>
          <w:rFonts w:hint="eastAsia" w:ascii="楷体" w:hAnsi="楷体" w:eastAsia="楷体" w:cs="楷体"/>
          <w:b w:val="0"/>
          <w:bCs w:val="0"/>
          <w:sz w:val="26"/>
          <w:szCs w:val="26"/>
          <w:lang w:val="en-US" w:eastAsia="zh-CN"/>
        </w:rPr>
      </w:pPr>
      <w:r>
        <w:rPr>
          <w:rFonts w:hint="eastAsia" w:ascii="楷体" w:hAnsi="楷体" w:eastAsia="楷体" w:cs="楷体"/>
          <w:b w:val="0"/>
          <w:bCs w:val="0"/>
          <w:kern w:val="2"/>
          <w:sz w:val="26"/>
          <w:szCs w:val="26"/>
          <w:lang w:val="en-US" w:eastAsia="zh-CN" w:bidi="ar-SA"/>
        </w:rPr>
        <w:t>一、技术商务及价格分值分配</w:t>
      </w:r>
      <w:bookmarkEnd w:id="0"/>
    </w:p>
    <w:tbl>
      <w:tblPr>
        <w:tblStyle w:val="8"/>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452"/>
        <w:gridCol w:w="2295"/>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exact"/>
          <w:jc w:val="center"/>
        </w:trPr>
        <w:tc>
          <w:tcPr>
            <w:tcW w:w="1758"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b/>
                <w:bCs/>
                <w:color w:val="000000"/>
                <w:kern w:val="0"/>
                <w:sz w:val="26"/>
                <w:szCs w:val="26"/>
                <w:rtl w:val="0"/>
                <w:lang w:val="en-US" w:eastAsia="zh-CN" w:bidi="ar"/>
              </w:rPr>
            </w:pPr>
            <w:r>
              <w:rPr>
                <w:rFonts w:hint="eastAsia" w:ascii="楷体" w:hAnsi="楷体" w:eastAsia="楷体" w:cs="楷体"/>
                <w:b/>
                <w:bCs/>
                <w:color w:val="000000"/>
                <w:kern w:val="0"/>
                <w:sz w:val="26"/>
                <w:szCs w:val="26"/>
                <w:rtl w:val="0"/>
                <w:lang w:val="en-US" w:eastAsia="zh-CN" w:bidi="ar"/>
              </w:rPr>
              <w:t>评分项目</w:t>
            </w:r>
          </w:p>
        </w:tc>
        <w:tc>
          <w:tcPr>
            <w:tcW w:w="2452"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b/>
                <w:bCs/>
                <w:color w:val="000000"/>
                <w:kern w:val="0"/>
                <w:sz w:val="26"/>
                <w:szCs w:val="26"/>
                <w:rtl w:val="0"/>
                <w:lang w:val="en-US" w:eastAsia="zh-CN" w:bidi="ar"/>
              </w:rPr>
            </w:pPr>
            <w:r>
              <w:rPr>
                <w:rFonts w:hint="eastAsia" w:ascii="楷体" w:hAnsi="楷体" w:eastAsia="楷体" w:cs="楷体"/>
                <w:b/>
                <w:bCs/>
                <w:color w:val="000000"/>
                <w:kern w:val="0"/>
                <w:sz w:val="26"/>
                <w:szCs w:val="26"/>
                <w:rtl w:val="0"/>
                <w:lang w:val="en-US" w:eastAsia="zh-CN" w:bidi="ar"/>
              </w:rPr>
              <w:t>商务技术部分</w:t>
            </w:r>
          </w:p>
        </w:tc>
        <w:tc>
          <w:tcPr>
            <w:tcW w:w="2295"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b/>
                <w:bCs/>
                <w:color w:val="000000"/>
                <w:kern w:val="0"/>
                <w:sz w:val="26"/>
                <w:szCs w:val="26"/>
                <w:rtl w:val="0"/>
                <w:lang w:val="en-US" w:eastAsia="zh-CN" w:bidi="ar"/>
              </w:rPr>
            </w:pPr>
            <w:r>
              <w:rPr>
                <w:rFonts w:hint="eastAsia" w:ascii="楷体" w:hAnsi="楷体" w:eastAsia="楷体" w:cs="楷体"/>
                <w:b/>
                <w:bCs/>
                <w:color w:val="000000"/>
                <w:kern w:val="0"/>
                <w:sz w:val="26"/>
                <w:szCs w:val="26"/>
                <w:rtl w:val="0"/>
                <w:lang w:val="en-US" w:eastAsia="zh-CN" w:bidi="ar"/>
              </w:rPr>
              <w:t>价格部分</w:t>
            </w:r>
          </w:p>
        </w:tc>
        <w:tc>
          <w:tcPr>
            <w:tcW w:w="2016"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b/>
                <w:bCs/>
                <w:color w:val="000000"/>
                <w:kern w:val="0"/>
                <w:sz w:val="26"/>
                <w:szCs w:val="26"/>
                <w:rtl w:val="0"/>
                <w:lang w:val="en-US" w:eastAsia="zh-CN" w:bidi="ar"/>
              </w:rPr>
            </w:pPr>
            <w:r>
              <w:rPr>
                <w:rFonts w:hint="eastAsia" w:ascii="楷体" w:hAnsi="楷体" w:eastAsia="楷体" w:cs="楷体"/>
                <w:b/>
                <w:bCs/>
                <w:color w:val="000000"/>
                <w:kern w:val="0"/>
                <w:sz w:val="26"/>
                <w:szCs w:val="26"/>
                <w:rtl w:val="0"/>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1758" w:type="dxa"/>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分值</w:t>
            </w:r>
          </w:p>
        </w:tc>
        <w:tc>
          <w:tcPr>
            <w:tcW w:w="2452" w:type="dxa"/>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60分</w:t>
            </w:r>
          </w:p>
        </w:tc>
        <w:tc>
          <w:tcPr>
            <w:tcW w:w="2295" w:type="dxa"/>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40分</w:t>
            </w:r>
          </w:p>
        </w:tc>
        <w:tc>
          <w:tcPr>
            <w:tcW w:w="2016" w:type="dxa"/>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100分</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jc w:val="both"/>
        <w:textAlignment w:val="auto"/>
        <w:rPr>
          <w:rFonts w:hint="eastAsia" w:ascii="楷体" w:hAnsi="楷体" w:eastAsia="楷体" w:cs="楷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both"/>
        <w:textAlignment w:val="auto"/>
        <w:rPr>
          <w:rFonts w:hint="default" w:ascii="楷体" w:hAnsi="楷体" w:eastAsia="楷体" w:cs="楷体"/>
          <w:b/>
          <w:bCs/>
          <w:sz w:val="32"/>
          <w:szCs w:val="32"/>
          <w:lang w:val="en-US" w:eastAsia="zh-CN"/>
        </w:rPr>
      </w:pPr>
      <w:r>
        <w:rPr>
          <w:rFonts w:hint="eastAsia" w:ascii="楷体" w:hAnsi="楷体" w:eastAsia="楷体" w:cs="楷体"/>
          <w:b w:val="0"/>
          <w:bCs w:val="0"/>
          <w:sz w:val="26"/>
          <w:szCs w:val="26"/>
          <w:lang w:val="en-US" w:eastAsia="zh-CN"/>
        </w:rPr>
        <w:t>二、商务技术评审表</w:t>
      </w:r>
    </w:p>
    <w:tbl>
      <w:tblPr>
        <w:tblStyle w:val="8"/>
        <w:tblW w:w="8533" w:type="dxa"/>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7"/>
        <w:gridCol w:w="5373"/>
        <w:gridCol w:w="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blHeader/>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b/>
                <w:bCs/>
                <w:sz w:val="26"/>
                <w:szCs w:val="26"/>
              </w:rPr>
            </w:pPr>
            <w:r>
              <w:rPr>
                <w:rFonts w:hint="eastAsia" w:ascii="楷体" w:hAnsi="楷体" w:eastAsia="楷体" w:cs="楷体"/>
                <w:b/>
                <w:bCs/>
                <w:sz w:val="26"/>
                <w:szCs w:val="26"/>
              </w:rPr>
              <w:t>序号</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b/>
                <w:bCs/>
                <w:sz w:val="26"/>
                <w:szCs w:val="26"/>
                <w:lang w:eastAsia="zh-CN"/>
              </w:rPr>
            </w:pPr>
            <w:r>
              <w:rPr>
                <w:rFonts w:hint="eastAsia" w:ascii="楷体" w:hAnsi="楷体" w:eastAsia="楷体" w:cs="楷体"/>
                <w:b/>
                <w:bCs/>
                <w:sz w:val="26"/>
                <w:szCs w:val="26"/>
              </w:rPr>
              <w:t>评审</w:t>
            </w:r>
            <w:r>
              <w:rPr>
                <w:rFonts w:hint="eastAsia" w:ascii="楷体" w:hAnsi="楷体" w:eastAsia="楷体" w:cs="楷体"/>
                <w:b/>
                <w:bCs/>
                <w:sz w:val="26"/>
                <w:szCs w:val="26"/>
                <w:lang w:eastAsia="zh-CN"/>
              </w:rPr>
              <w:t>内容</w:t>
            </w:r>
          </w:p>
        </w:tc>
        <w:tc>
          <w:tcPr>
            <w:tcW w:w="5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b/>
                <w:bCs/>
                <w:sz w:val="26"/>
                <w:szCs w:val="26"/>
                <w:lang w:eastAsia="zh-CN"/>
              </w:rPr>
            </w:pPr>
            <w:r>
              <w:rPr>
                <w:rFonts w:hint="eastAsia" w:ascii="楷体" w:hAnsi="楷体" w:eastAsia="楷体" w:cs="楷体"/>
                <w:b/>
                <w:bCs/>
                <w:sz w:val="26"/>
                <w:szCs w:val="26"/>
              </w:rPr>
              <w:t>评</w:t>
            </w:r>
            <w:r>
              <w:rPr>
                <w:rFonts w:hint="eastAsia" w:ascii="楷体" w:hAnsi="楷体" w:eastAsia="楷体" w:cs="楷体"/>
                <w:b/>
                <w:bCs/>
                <w:sz w:val="26"/>
                <w:szCs w:val="26"/>
                <w:lang w:eastAsia="zh-CN"/>
              </w:rPr>
              <w:t>分细则</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b/>
                <w:bCs/>
                <w:sz w:val="26"/>
                <w:szCs w:val="26"/>
              </w:rPr>
            </w:pPr>
            <w:r>
              <w:rPr>
                <w:rFonts w:hint="eastAsia" w:ascii="楷体" w:hAnsi="楷体" w:eastAsia="楷体" w:cs="楷体"/>
                <w:b/>
                <w:bCs/>
                <w:sz w:val="26"/>
                <w:szCs w:val="26"/>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1</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同类项目业绩</w:t>
            </w:r>
          </w:p>
        </w:tc>
        <w:tc>
          <w:tcPr>
            <w:tcW w:w="5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依据2016年以来的车辆保险项目业绩情况进行评审：</w:t>
            </w:r>
          </w:p>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每提供一个业绩得2分，满分10分。（以合同签订时间为准；分公司或中心支公司的保险机构投标的，总公司业绩不纳入评审。请投标人严格按照要求提交相关证明材料，否则有可能影响评审结果）</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2</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服务评级</w:t>
            </w:r>
          </w:p>
        </w:tc>
        <w:tc>
          <w:tcPr>
            <w:tcW w:w="5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依据中国银保信公布的2019年保险公司服务评级：</w:t>
            </w:r>
          </w:p>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1、2019年被评定为AA级（含）及以上的，得8分；</w:t>
            </w:r>
          </w:p>
          <w:p>
            <w:pPr>
              <w:keepNext w:val="0"/>
              <w:keepLines w:val="0"/>
              <w:pageBreakBefore w:val="0"/>
              <w:widowControl w:val="0"/>
              <w:numPr>
                <w:ilvl w:val="0"/>
                <w:numId w:val="1"/>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BB级（含）-A级（含），得5分；</w:t>
            </w:r>
          </w:p>
          <w:p>
            <w:pPr>
              <w:keepNext w:val="0"/>
              <w:keepLines w:val="0"/>
              <w:pageBreakBefore w:val="0"/>
              <w:widowControl w:val="0"/>
              <w:numPr>
                <w:ilvl w:val="0"/>
                <w:numId w:val="1"/>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CC级（含）-B级（含），得3分；</w:t>
            </w:r>
          </w:p>
          <w:p>
            <w:pPr>
              <w:keepNext w:val="0"/>
              <w:keepLines w:val="0"/>
              <w:pageBreakBefore w:val="0"/>
              <w:widowControl w:val="0"/>
              <w:numPr>
                <w:ilvl w:val="0"/>
                <w:numId w:val="1"/>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C级或以下的，得1分。</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3</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本项目服务人员的配备</w:t>
            </w:r>
          </w:p>
        </w:tc>
        <w:tc>
          <w:tcPr>
            <w:tcW w:w="5373" w:type="dxa"/>
            <w:tcBorders>
              <w:tl2br w:val="nil"/>
              <w:tr2bl w:val="nil"/>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after="0" w:line="560" w:lineRule="exac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服务人员具备相关服务经验，得4分，其他或无响应，得0分；</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60" w:lineRule="exact"/>
              <w:ind w:left="0" w:leftChars="0" w:firstLine="0" w:firstLineChars="0"/>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服务人员具备相关资质的，得4分，其他或无响应，得0分。</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leftChars="0"/>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本项最高得8分。</w:t>
            </w:r>
          </w:p>
          <w:p>
            <w:pPr>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eastAsia"/>
                <w:sz w:val="26"/>
                <w:szCs w:val="26"/>
                <w:lang w:val="en-US" w:eastAsia="zh-CN"/>
              </w:rPr>
            </w:pPr>
            <w:r>
              <w:rPr>
                <w:rFonts w:hint="eastAsia" w:ascii="楷体" w:hAnsi="楷体" w:eastAsia="楷体" w:cs="楷体"/>
                <w:color w:val="000000"/>
                <w:kern w:val="0"/>
                <w:sz w:val="26"/>
                <w:szCs w:val="26"/>
                <w:rtl w:val="0"/>
                <w:lang w:val="en-US" w:eastAsia="zh-CN" w:bidi="ar"/>
              </w:rPr>
              <w:t>（提供工作经验及资质证明材料及上述人员在投标人服务的外部证明材料扫描件，如投标截止日之前六个月以内的代缴个税税单或参加社会保险的《投保单》或《社会保险参保人员证明》等）</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4</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保险方案响应情况</w:t>
            </w:r>
          </w:p>
        </w:tc>
        <w:tc>
          <w:tcPr>
            <w:tcW w:w="5373" w:type="dxa"/>
            <w:tcBorders>
              <w:tl2br w:val="nil"/>
              <w:tr2bl w:val="nil"/>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 xml:space="preserve">完全满足或优于采购需求，得10分； </w:t>
            </w:r>
          </w:p>
          <w:p>
            <w:pPr>
              <w:keepNext w:val="0"/>
              <w:keepLines w:val="0"/>
              <w:pageBreakBefore w:val="0"/>
              <w:widowControl w:val="0"/>
              <w:numPr>
                <w:ilvl w:val="0"/>
                <w:numId w:val="3"/>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 xml:space="preserve">比较满足采购需求，得6分； </w:t>
            </w:r>
          </w:p>
          <w:p>
            <w:pPr>
              <w:keepNext w:val="0"/>
              <w:keepLines w:val="0"/>
              <w:pageBreakBefore w:val="0"/>
              <w:widowControl w:val="0"/>
              <w:numPr>
                <w:ilvl w:val="0"/>
                <w:numId w:val="3"/>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 xml:space="preserve">基本满足采购需求，得2分； </w:t>
            </w:r>
          </w:p>
          <w:p>
            <w:pPr>
              <w:keepNext w:val="0"/>
              <w:keepLines w:val="0"/>
              <w:pageBreakBefore w:val="0"/>
              <w:widowControl w:val="0"/>
              <w:numPr>
                <w:ilvl w:val="0"/>
                <w:numId w:val="3"/>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其他或无响应，得0分。</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5</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理赔服务整体运作流程的可行性与保障性</w:t>
            </w:r>
          </w:p>
        </w:tc>
        <w:tc>
          <w:tcPr>
            <w:tcW w:w="5373" w:type="dxa"/>
            <w:tcBorders>
              <w:tl2br w:val="nil"/>
              <w:tr2bl w:val="nil"/>
            </w:tcBorders>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运作流程顺畅、保障措施科学合理、切实可行，得10分；</w:t>
            </w:r>
          </w:p>
          <w:p>
            <w:pPr>
              <w:keepNext w:val="0"/>
              <w:keepLines w:val="0"/>
              <w:pageBreakBefore w:val="0"/>
              <w:widowControl w:val="0"/>
              <w:numPr>
                <w:ilvl w:val="0"/>
                <w:numId w:val="4"/>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运作流程比较顺畅、保障措施比较科学合理、切实可行，得6分；</w:t>
            </w:r>
          </w:p>
          <w:p>
            <w:pPr>
              <w:keepNext w:val="0"/>
              <w:keepLines w:val="0"/>
              <w:pageBreakBefore w:val="0"/>
              <w:widowControl w:val="0"/>
              <w:numPr>
                <w:ilvl w:val="0"/>
                <w:numId w:val="4"/>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运作流程基本顺畅、保障措施基本科学合理、切实可行，得2分；</w:t>
            </w:r>
          </w:p>
          <w:p>
            <w:pPr>
              <w:keepNext w:val="0"/>
              <w:keepLines w:val="0"/>
              <w:pageBreakBefore w:val="0"/>
              <w:widowControl w:val="0"/>
              <w:numPr>
                <w:ilvl w:val="0"/>
                <w:numId w:val="4"/>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其他或无响应，得0分。</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6</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提供优于招标文件要求的服务及合理化建议</w:t>
            </w:r>
          </w:p>
        </w:tc>
        <w:tc>
          <w:tcPr>
            <w:tcW w:w="5373" w:type="dxa"/>
            <w:tcBorders>
              <w:tl2br w:val="nil"/>
              <w:tr2bl w:val="nil"/>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服务或建议合理、内容完整、详细、切实可行，得8分；</w:t>
            </w:r>
          </w:p>
          <w:p>
            <w:pPr>
              <w:keepNext w:val="0"/>
              <w:keepLines w:val="0"/>
              <w:pageBreakBefore w:val="0"/>
              <w:widowControl w:val="0"/>
              <w:numPr>
                <w:ilvl w:val="0"/>
                <w:numId w:val="5"/>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服务或建议比较合理、内容比较完整、详细、切实可行，得5分；</w:t>
            </w:r>
          </w:p>
          <w:p>
            <w:pPr>
              <w:keepNext w:val="0"/>
              <w:keepLines w:val="0"/>
              <w:pageBreakBefore w:val="0"/>
              <w:widowControl w:val="0"/>
              <w:numPr>
                <w:ilvl w:val="0"/>
                <w:numId w:val="5"/>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服务或建议基本合理、内容基本完整、详细、切实可行，得3分；</w:t>
            </w:r>
          </w:p>
          <w:p>
            <w:pPr>
              <w:keepNext w:val="0"/>
              <w:keepLines w:val="0"/>
              <w:pageBreakBefore w:val="0"/>
              <w:widowControl w:val="0"/>
              <w:numPr>
                <w:ilvl w:val="0"/>
                <w:numId w:val="5"/>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rtl w:val="0"/>
                <w:lang w:val="en-US" w:eastAsia="zh-CN" w:bidi="ar"/>
              </w:rPr>
              <w:t>对比差得1分,无响应，得0分。</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7</w:t>
            </w:r>
          </w:p>
        </w:tc>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在广州地区的服务网点分布情况</w:t>
            </w:r>
          </w:p>
        </w:tc>
        <w:tc>
          <w:tcPr>
            <w:tcW w:w="5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综合考虑网点数量和分布区域：</w:t>
            </w:r>
          </w:p>
          <w:p>
            <w:pPr>
              <w:keepNext w:val="0"/>
              <w:keepLines w:val="0"/>
              <w:pageBreakBefore w:val="0"/>
              <w:widowControl w:val="0"/>
              <w:numPr>
                <w:ilvl w:val="0"/>
                <w:numId w:val="6"/>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在广州地区的服务网点数量多，区域分布合理，得6分；</w:t>
            </w:r>
          </w:p>
          <w:p>
            <w:pPr>
              <w:keepNext w:val="0"/>
              <w:keepLines w:val="0"/>
              <w:pageBreakBefore w:val="0"/>
              <w:widowControl w:val="0"/>
              <w:numPr>
                <w:ilvl w:val="0"/>
                <w:numId w:val="6"/>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在广州地区的服务网点数量较多，区域分布较合理，得4分；</w:t>
            </w:r>
          </w:p>
          <w:p>
            <w:pPr>
              <w:keepNext w:val="0"/>
              <w:keepLines w:val="0"/>
              <w:pageBreakBefore w:val="0"/>
              <w:widowControl w:val="0"/>
              <w:numPr>
                <w:ilvl w:val="0"/>
                <w:numId w:val="6"/>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在广州地区的服务网点数量较少，区域分布基本合理得2分；</w:t>
            </w:r>
          </w:p>
          <w:p>
            <w:pPr>
              <w:keepNext w:val="0"/>
              <w:keepLines w:val="0"/>
              <w:pageBreakBefore w:val="0"/>
              <w:widowControl w:val="0"/>
              <w:numPr>
                <w:ilvl w:val="0"/>
                <w:numId w:val="6"/>
              </w:numPr>
              <w:kinsoku/>
              <w:wordWrap/>
              <w:overflowPunct/>
              <w:topLinePunct w:val="0"/>
              <w:autoSpaceDE/>
              <w:autoSpaceDN/>
              <w:bidi w:val="0"/>
              <w:adjustRightInd/>
              <w:snapToGrid w:val="0"/>
              <w:spacing w:after="0" w:afterAutospacing="0" w:line="560" w:lineRule="exact"/>
              <w:jc w:val="left"/>
              <w:textAlignment w:val="auto"/>
              <w:rPr>
                <w:rFonts w:hint="eastAsia" w:ascii="楷体" w:hAnsi="楷体" w:eastAsia="楷体" w:cs="楷体"/>
                <w:color w:val="000000"/>
                <w:kern w:val="0"/>
                <w:sz w:val="26"/>
                <w:szCs w:val="26"/>
                <w:rtl w:val="0"/>
                <w:lang w:val="en-US" w:eastAsia="zh-CN" w:bidi="ar"/>
              </w:rPr>
            </w:pPr>
            <w:r>
              <w:rPr>
                <w:rFonts w:hint="eastAsia" w:ascii="楷体" w:hAnsi="楷体" w:eastAsia="楷体" w:cs="楷体"/>
                <w:color w:val="000000"/>
                <w:kern w:val="0"/>
                <w:sz w:val="26"/>
                <w:szCs w:val="26"/>
                <w:rtl w:val="0"/>
                <w:lang w:val="en-US" w:eastAsia="zh-CN" w:bidi="ar"/>
              </w:rPr>
              <w:t>其他或无响应，得0分。</w:t>
            </w:r>
          </w:p>
        </w:tc>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000000"/>
                <w:kern w:val="0"/>
                <w:sz w:val="26"/>
                <w:szCs w:val="26"/>
                <w:lang w:val="en-US" w:eastAsia="zh-CN" w:bidi="ar"/>
              </w:rPr>
            </w:pPr>
            <w:r>
              <w:rPr>
                <w:rFonts w:hint="eastAsia" w:ascii="楷体" w:hAnsi="楷体" w:eastAsia="楷体" w:cs="楷体"/>
                <w:color w:val="000000"/>
                <w:kern w:val="0"/>
                <w:sz w:val="26"/>
                <w:szCs w:val="26"/>
                <w:lang w:val="en-US" w:eastAsia="zh-CN" w:bidi="ar"/>
              </w:rPr>
              <w:t>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26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bCs/>
                <w:sz w:val="26"/>
                <w:szCs w:val="26"/>
              </w:rPr>
            </w:pPr>
            <w:r>
              <w:rPr>
                <w:rFonts w:hint="eastAsia" w:ascii="楷体" w:hAnsi="楷体" w:eastAsia="楷体" w:cs="楷体"/>
                <w:bCs/>
                <w:sz w:val="26"/>
                <w:szCs w:val="26"/>
              </w:rPr>
              <w:t>合计</w:t>
            </w:r>
          </w:p>
        </w:tc>
        <w:tc>
          <w:tcPr>
            <w:tcW w:w="627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bCs/>
                <w:sz w:val="26"/>
                <w:szCs w:val="26"/>
                <w:lang w:val="en-US" w:eastAsia="zh-CN"/>
              </w:rPr>
            </w:pPr>
            <w:r>
              <w:rPr>
                <w:rFonts w:hint="eastAsia" w:ascii="楷体" w:hAnsi="楷体" w:eastAsia="楷体" w:cs="楷体"/>
                <w:bCs/>
                <w:sz w:val="26"/>
                <w:szCs w:val="26"/>
                <w:lang w:val="en-US" w:eastAsia="zh-CN"/>
              </w:rPr>
              <w:t>60分</w:t>
            </w:r>
          </w:p>
        </w:tc>
      </w:tr>
    </w:tbl>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both"/>
        <w:textAlignment w:val="auto"/>
        <w:rPr>
          <w:rFonts w:hint="eastAsia" w:ascii="楷体" w:hAnsi="楷体" w:eastAsia="楷体" w:cs="楷体"/>
          <w:b w:val="0"/>
          <w:bCs w:val="0"/>
          <w:sz w:val="26"/>
          <w:szCs w:val="26"/>
          <w:lang w:val="en-US" w:eastAsia="zh-CN"/>
        </w:rPr>
      </w:pPr>
      <w:r>
        <w:rPr>
          <w:rFonts w:hint="eastAsia" w:ascii="楷体" w:hAnsi="楷体" w:eastAsia="楷体" w:cs="楷体"/>
          <w:b w:val="0"/>
          <w:bCs w:val="0"/>
          <w:sz w:val="26"/>
          <w:szCs w:val="26"/>
          <w:lang w:val="en-US" w:eastAsia="zh-CN"/>
        </w:rPr>
        <w:t>三、价格评审表</w:t>
      </w:r>
    </w:p>
    <w:tbl>
      <w:tblPr>
        <w:tblStyle w:val="8"/>
        <w:tblW w:w="848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28"/>
        <w:gridCol w:w="59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tblHeader/>
          <w:jc w:val="center"/>
        </w:trPr>
        <w:tc>
          <w:tcPr>
            <w:tcW w:w="2528"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楷体" w:hAnsi="楷体" w:eastAsia="楷体" w:cs="楷体"/>
                <w:b/>
                <w:bCs/>
                <w:sz w:val="26"/>
                <w:szCs w:val="26"/>
              </w:rPr>
            </w:pPr>
            <w:r>
              <w:rPr>
                <w:rFonts w:hint="eastAsia" w:ascii="楷体" w:hAnsi="楷体" w:eastAsia="楷体" w:cs="楷体"/>
                <w:b/>
                <w:bCs/>
                <w:sz w:val="26"/>
                <w:szCs w:val="26"/>
              </w:rPr>
              <w:t>评分项目</w:t>
            </w:r>
          </w:p>
        </w:tc>
        <w:tc>
          <w:tcPr>
            <w:tcW w:w="5959"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楷体" w:hAnsi="楷体" w:eastAsia="楷体" w:cs="楷体"/>
                <w:b/>
                <w:bCs/>
                <w:sz w:val="26"/>
                <w:szCs w:val="26"/>
              </w:rPr>
            </w:pPr>
            <w:r>
              <w:rPr>
                <w:rFonts w:hint="eastAsia" w:ascii="楷体" w:hAnsi="楷体" w:eastAsia="楷体" w:cs="楷体"/>
                <w:b/>
                <w:bCs/>
                <w:sz w:val="26"/>
                <w:szCs w:val="26"/>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blHeader/>
          <w:jc w:val="center"/>
        </w:trPr>
        <w:tc>
          <w:tcPr>
            <w:tcW w:w="2528"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楷体" w:hAnsi="楷体" w:eastAsia="楷体" w:cs="楷体"/>
                <w:sz w:val="26"/>
                <w:szCs w:val="26"/>
              </w:rPr>
            </w:pPr>
            <w:r>
              <w:rPr>
                <w:rFonts w:hint="eastAsia" w:ascii="楷体" w:hAnsi="楷体" w:eastAsia="楷体" w:cs="楷体"/>
                <w:sz w:val="26"/>
                <w:szCs w:val="26"/>
              </w:rPr>
              <w:t>投标总价</w:t>
            </w:r>
          </w:p>
        </w:tc>
        <w:tc>
          <w:tcPr>
            <w:tcW w:w="5959"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楷体" w:hAnsi="楷体" w:eastAsia="楷体" w:cs="楷体"/>
                <w:sz w:val="26"/>
                <w:szCs w:val="26"/>
              </w:rPr>
            </w:pPr>
            <w:r>
              <w:rPr>
                <w:rFonts w:hint="eastAsia" w:ascii="楷体" w:hAnsi="楷体" w:eastAsia="楷体" w:cs="楷体"/>
                <w:sz w:val="26"/>
                <w:szCs w:val="26"/>
              </w:rPr>
              <w:t>投标报价得分=(评标基准价/投标报价) ×</w:t>
            </w:r>
            <w:r>
              <w:rPr>
                <w:rFonts w:hint="eastAsia" w:ascii="楷体" w:hAnsi="楷体" w:eastAsia="楷体" w:cs="楷体"/>
                <w:sz w:val="26"/>
                <w:szCs w:val="26"/>
                <w:lang w:val="en-US" w:eastAsia="zh-CN"/>
              </w:rPr>
              <w:t>4</w:t>
            </w:r>
            <w:r>
              <w:rPr>
                <w:rFonts w:hint="eastAsia" w:ascii="楷体" w:hAnsi="楷体" w:eastAsia="楷体" w:cs="楷体"/>
                <w:sz w:val="26"/>
                <w:szCs w:val="26"/>
              </w:rPr>
              <w:t>0</w:t>
            </w:r>
          </w:p>
        </w:tc>
      </w:tr>
    </w:tbl>
    <w:p>
      <w:pPr>
        <w:pStyle w:val="10"/>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before="120" w:beforeLines="50" w:line="560" w:lineRule="exact"/>
        <w:ind w:firstLine="480" w:firstLineChars="200"/>
        <w:textAlignment w:val="auto"/>
        <w:rPr>
          <w:rFonts w:hint="eastAsia" w:ascii="楷体" w:hAnsi="楷体" w:eastAsia="楷体" w:cs="楷体"/>
          <w:sz w:val="24"/>
        </w:rPr>
      </w:pPr>
      <w:r>
        <w:rPr>
          <w:rFonts w:hint="eastAsia" w:ascii="楷体" w:hAnsi="楷体" w:eastAsia="楷体" w:cs="楷体"/>
          <w:sz w:val="24"/>
          <w:lang w:eastAsia="zh-CN"/>
        </w:rPr>
        <w:t>价</w:t>
      </w:r>
      <w:r>
        <w:rPr>
          <w:rFonts w:hint="eastAsia" w:ascii="楷体" w:hAnsi="楷体" w:eastAsia="楷体" w:cs="楷体"/>
          <w:sz w:val="24"/>
        </w:rPr>
        <w:t>格分计算方法：投标</w:t>
      </w:r>
      <w:r>
        <w:rPr>
          <w:rFonts w:hint="eastAsia" w:ascii="楷体" w:hAnsi="楷体" w:eastAsia="楷体" w:cs="楷体"/>
          <w:sz w:val="24"/>
          <w:lang w:eastAsia="zh-CN"/>
        </w:rPr>
        <w:t>报价</w:t>
      </w:r>
      <w:r>
        <w:rPr>
          <w:rFonts w:hint="eastAsia" w:ascii="楷体" w:hAnsi="楷体" w:eastAsia="楷体" w:cs="楷体"/>
          <w:sz w:val="24"/>
        </w:rPr>
        <w:t>最低的投标</w:t>
      </w:r>
      <w:r>
        <w:rPr>
          <w:rFonts w:hint="eastAsia" w:ascii="楷体" w:hAnsi="楷体" w:eastAsia="楷体" w:cs="楷体"/>
          <w:sz w:val="24"/>
          <w:lang w:eastAsia="zh-CN"/>
        </w:rPr>
        <w:t>报价</w:t>
      </w:r>
      <w:r>
        <w:rPr>
          <w:rFonts w:hint="eastAsia" w:ascii="楷体" w:hAnsi="楷体" w:eastAsia="楷体" w:cs="楷体"/>
          <w:sz w:val="24"/>
        </w:rPr>
        <w:t>为评标基准价，其价格分为满分。其他投标人的价格分统一按照下列公式计算：投标报价得分=(评标基准价／投标报价)×</w:t>
      </w:r>
      <w:r>
        <w:rPr>
          <w:rFonts w:hint="eastAsia" w:ascii="楷体" w:hAnsi="楷体" w:eastAsia="楷体" w:cs="楷体"/>
          <w:sz w:val="24"/>
          <w:lang w:val="en-US" w:eastAsia="zh-CN"/>
        </w:rPr>
        <w:t>4</w:t>
      </w:r>
      <w:r>
        <w:rPr>
          <w:rFonts w:hint="eastAsia" w:ascii="楷体" w:hAnsi="楷体" w:eastAsia="楷体" w:cs="楷体"/>
          <w:sz w:val="24"/>
        </w:rPr>
        <w:t>0。</w:t>
      </w:r>
    </w:p>
    <w:p>
      <w:pPr>
        <w:pStyle w:val="6"/>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rtl w:val="0"/>
          <w:lang w:val="en-US" w:eastAsia="zh-CN"/>
        </w:rPr>
      </w:pPr>
      <w:bookmarkStart w:id="1" w:name="_GoBack"/>
      <w:bookmarkEnd w:id="1"/>
    </w:p>
    <w:sectPr>
      <w:footerReference r:id="rId3" w:type="default"/>
      <w:pgSz w:w="11906" w:h="16838"/>
      <w:pgMar w:top="2098" w:right="1587" w:bottom="1440"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-104775</wp:posOffset>
              </wp:positionV>
              <wp:extent cx="441960"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196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9.75pt;width:34.8pt;mso-position-horizontal:center;mso-position-horizontal-relative:margin;z-index:251658240;mso-width-relative:page;mso-height-relative:page;" filled="f" stroked="f" coordsize="21600,21600" o:gfxdata="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IurWtYAAAAGAQAA&#10;DwAAAAAAAAABACAAAAAiAAAAZHJzL2Rvd25yZXYueG1sUEsBAhQAFAAAAAgAh07iQGH9mysbAgAA&#10;EwQAAA4AAAAAAAAAAQAgAAAAJQEAAGRycy9lMm9Eb2MueG1sUEsFBgAAAAAGAAYAWQEAALIFAAAA&#10;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EFBE1"/>
    <w:multiLevelType w:val="singleLevel"/>
    <w:tmpl w:val="A7DEFBE1"/>
    <w:lvl w:ilvl="0" w:tentative="0">
      <w:start w:val="1"/>
      <w:numFmt w:val="decimal"/>
      <w:suff w:val="nothing"/>
      <w:lvlText w:val="%1、"/>
      <w:lvlJc w:val="left"/>
    </w:lvl>
  </w:abstractNum>
  <w:abstractNum w:abstractNumId="1">
    <w:nsid w:val="BD3009C3"/>
    <w:multiLevelType w:val="singleLevel"/>
    <w:tmpl w:val="BD3009C3"/>
    <w:lvl w:ilvl="0" w:tentative="0">
      <w:start w:val="2"/>
      <w:numFmt w:val="decimal"/>
      <w:suff w:val="nothing"/>
      <w:lvlText w:val="%1、"/>
      <w:lvlJc w:val="left"/>
    </w:lvl>
  </w:abstractNum>
  <w:abstractNum w:abstractNumId="2">
    <w:nsid w:val="17ED6D54"/>
    <w:multiLevelType w:val="singleLevel"/>
    <w:tmpl w:val="17ED6D54"/>
    <w:lvl w:ilvl="0" w:tentative="0">
      <w:start w:val="1"/>
      <w:numFmt w:val="decimal"/>
      <w:suff w:val="nothing"/>
      <w:lvlText w:val="%1、"/>
      <w:lvlJc w:val="left"/>
    </w:lvl>
  </w:abstractNum>
  <w:abstractNum w:abstractNumId="3">
    <w:nsid w:val="1EEB912A"/>
    <w:multiLevelType w:val="singleLevel"/>
    <w:tmpl w:val="1EEB912A"/>
    <w:lvl w:ilvl="0" w:tentative="0">
      <w:start w:val="1"/>
      <w:numFmt w:val="decimal"/>
      <w:suff w:val="nothing"/>
      <w:lvlText w:val="%1、"/>
      <w:lvlJc w:val="left"/>
    </w:lvl>
  </w:abstractNum>
  <w:abstractNum w:abstractNumId="4">
    <w:nsid w:val="35FE9B9A"/>
    <w:multiLevelType w:val="singleLevel"/>
    <w:tmpl w:val="35FE9B9A"/>
    <w:lvl w:ilvl="0" w:tentative="0">
      <w:start w:val="1"/>
      <w:numFmt w:val="decimal"/>
      <w:suff w:val="nothing"/>
      <w:lvlText w:val="%1、"/>
      <w:lvlJc w:val="left"/>
    </w:lvl>
  </w:abstractNum>
  <w:abstractNum w:abstractNumId="5">
    <w:nsid w:val="7CA05373"/>
    <w:multiLevelType w:val="singleLevel"/>
    <w:tmpl w:val="7CA05373"/>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965D1"/>
    <w:rsid w:val="02751117"/>
    <w:rsid w:val="028D4E36"/>
    <w:rsid w:val="043D1E1F"/>
    <w:rsid w:val="05A15CCA"/>
    <w:rsid w:val="06891E62"/>
    <w:rsid w:val="07E36CC1"/>
    <w:rsid w:val="08811033"/>
    <w:rsid w:val="08927174"/>
    <w:rsid w:val="0B3E1D85"/>
    <w:rsid w:val="0B530C70"/>
    <w:rsid w:val="0C0B4776"/>
    <w:rsid w:val="0E74457F"/>
    <w:rsid w:val="12573098"/>
    <w:rsid w:val="1341603D"/>
    <w:rsid w:val="13792B2D"/>
    <w:rsid w:val="14F50292"/>
    <w:rsid w:val="15307EEF"/>
    <w:rsid w:val="15772A64"/>
    <w:rsid w:val="16BF4907"/>
    <w:rsid w:val="194B0C28"/>
    <w:rsid w:val="1AA9579E"/>
    <w:rsid w:val="1ACE64E9"/>
    <w:rsid w:val="1B89115E"/>
    <w:rsid w:val="1CB14A72"/>
    <w:rsid w:val="1E2B18A2"/>
    <w:rsid w:val="1E8F1CBA"/>
    <w:rsid w:val="1F08477E"/>
    <w:rsid w:val="20A17E94"/>
    <w:rsid w:val="231F44B9"/>
    <w:rsid w:val="232A5700"/>
    <w:rsid w:val="25E44F78"/>
    <w:rsid w:val="25F12AA2"/>
    <w:rsid w:val="263C6473"/>
    <w:rsid w:val="27E67DA2"/>
    <w:rsid w:val="2950251B"/>
    <w:rsid w:val="299C014D"/>
    <w:rsid w:val="2B696FFC"/>
    <w:rsid w:val="2CC73687"/>
    <w:rsid w:val="2CCC12E4"/>
    <w:rsid w:val="2CFD1636"/>
    <w:rsid w:val="2D403BCC"/>
    <w:rsid w:val="3080483C"/>
    <w:rsid w:val="316E1362"/>
    <w:rsid w:val="31AA7751"/>
    <w:rsid w:val="327E14BA"/>
    <w:rsid w:val="35E805E2"/>
    <w:rsid w:val="37112521"/>
    <w:rsid w:val="391309B9"/>
    <w:rsid w:val="394D40E5"/>
    <w:rsid w:val="3A032FF6"/>
    <w:rsid w:val="3AB64D83"/>
    <w:rsid w:val="3B9D1147"/>
    <w:rsid w:val="3BA673E0"/>
    <w:rsid w:val="3C5C2722"/>
    <w:rsid w:val="3CE35608"/>
    <w:rsid w:val="3D6C3997"/>
    <w:rsid w:val="3D9E5EDE"/>
    <w:rsid w:val="3EF3606D"/>
    <w:rsid w:val="3F016DBC"/>
    <w:rsid w:val="3F0B0F55"/>
    <w:rsid w:val="3FDF0B8F"/>
    <w:rsid w:val="400229E3"/>
    <w:rsid w:val="40F83DF1"/>
    <w:rsid w:val="41CB348F"/>
    <w:rsid w:val="42142777"/>
    <w:rsid w:val="42851AE1"/>
    <w:rsid w:val="444403A3"/>
    <w:rsid w:val="44850CF8"/>
    <w:rsid w:val="44B93FB5"/>
    <w:rsid w:val="45D4526C"/>
    <w:rsid w:val="4691441F"/>
    <w:rsid w:val="469F6A74"/>
    <w:rsid w:val="48392060"/>
    <w:rsid w:val="49475845"/>
    <w:rsid w:val="497A36F7"/>
    <w:rsid w:val="4A0B3811"/>
    <w:rsid w:val="4B3B5FC0"/>
    <w:rsid w:val="4E9C1002"/>
    <w:rsid w:val="4FA266F8"/>
    <w:rsid w:val="4FEF108C"/>
    <w:rsid w:val="50B84E12"/>
    <w:rsid w:val="50DF4523"/>
    <w:rsid w:val="51B03A42"/>
    <w:rsid w:val="52801B52"/>
    <w:rsid w:val="540330F9"/>
    <w:rsid w:val="54BC68FB"/>
    <w:rsid w:val="56F631E4"/>
    <w:rsid w:val="586A0026"/>
    <w:rsid w:val="5AC65ED1"/>
    <w:rsid w:val="5B4668FA"/>
    <w:rsid w:val="5C0E52CB"/>
    <w:rsid w:val="5C216BFC"/>
    <w:rsid w:val="5D153066"/>
    <w:rsid w:val="5D473095"/>
    <w:rsid w:val="5DC3473D"/>
    <w:rsid w:val="5E6F2E52"/>
    <w:rsid w:val="605324B1"/>
    <w:rsid w:val="60E34676"/>
    <w:rsid w:val="613C6A0E"/>
    <w:rsid w:val="6192768D"/>
    <w:rsid w:val="61D17731"/>
    <w:rsid w:val="62A77F40"/>
    <w:rsid w:val="63524150"/>
    <w:rsid w:val="6371461B"/>
    <w:rsid w:val="64726BCD"/>
    <w:rsid w:val="64C067D5"/>
    <w:rsid w:val="657125F7"/>
    <w:rsid w:val="6637721A"/>
    <w:rsid w:val="66425F09"/>
    <w:rsid w:val="66655707"/>
    <w:rsid w:val="66CE5D5E"/>
    <w:rsid w:val="679B3F23"/>
    <w:rsid w:val="67C104D2"/>
    <w:rsid w:val="68B059BB"/>
    <w:rsid w:val="72DD24B3"/>
    <w:rsid w:val="73C766EE"/>
    <w:rsid w:val="75DF5A65"/>
    <w:rsid w:val="77213BA6"/>
    <w:rsid w:val="77F84872"/>
    <w:rsid w:val="7C9A2DA2"/>
    <w:rsid w:val="7D8F386B"/>
    <w:rsid w:val="7EA42B2A"/>
    <w:rsid w:val="7F1F4696"/>
    <w:rsid w:val="7F5A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18"/>
    <w:unhideWhenUsed/>
    <w:qFormat/>
    <w:uiPriority w:val="0"/>
    <w:pPr>
      <w:keepNext/>
      <w:keepLines/>
      <w:tabs>
        <w:tab w:val="left" w:pos="720"/>
      </w:tabs>
      <w:spacing w:before="260" w:after="260" w:line="413" w:lineRule="auto"/>
      <w:ind w:left="720" w:hanging="432"/>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eastAsia="仿宋_GB2312"/>
      <w:sz w:val="28"/>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line="360" w:lineRule="auto"/>
      <w:ind w:firstLine="200" w:firstLineChars="200"/>
    </w:pPr>
    <w:rPr>
      <w:rFonts w:ascii="Times New Roman" w:hAnsi="Times New Roman" w:cs="Times New Roman"/>
      <w:kern w:val="0"/>
      <w:sz w:val="20"/>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_Style 3"/>
    <w:next w:val="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正文缩进_0"/>
    <w:basedOn w:val="15"/>
    <w:qFormat/>
    <w:uiPriority w:val="0"/>
    <w:pPr>
      <w:ind w:firstLine="420"/>
    </w:pPr>
    <w:rPr>
      <w:rFonts w:ascii="Times New Roman" w:hAnsi="Times New Roman"/>
      <w:kern w:val="0"/>
      <w:szCs w:val="20"/>
    </w:rPr>
  </w:style>
  <w:style w:type="paragraph" w:customStyle="1" w:styleId="1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0_0"/>
    <w:qFormat/>
    <w:uiPriority w:val="0"/>
    <w:rPr>
      <w:rFonts w:ascii="Times New Roman" w:hAnsi="Times New Roman" w:eastAsia="宋体" w:cs="Times New Roman"/>
      <w:sz w:val="24"/>
      <w:szCs w:val="24"/>
      <w:lang w:val="en-US" w:eastAsia="zh-CN"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标题 3 Char"/>
    <w:link w:val="3"/>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2020-04-08T06:51:00Z</dcterms:created>
  <dc:creator>Administrator.USER-20190323SN</dc:creator>
  <cp:lastModifiedBy>Administrator</cp:lastModifiedBy>
  <dcterms:modified xsi:type="dcterms:W3CDTF">2020-05-08T06:00:45Z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