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2-15</w:t>
      </w:r>
    </w:p>
    <w:p>
      <w:pPr>
        <w:pStyle w:val="2"/>
        <w:keepNext/>
        <w:keepLines/>
        <w:pageBreakBefore w:val="0"/>
        <w:widowControl w:val="0"/>
        <w:kinsoku/>
        <w:wordWrap/>
        <w:overflowPunct/>
        <w:topLinePunct w:val="0"/>
        <w:autoSpaceDE/>
        <w:autoSpaceDN/>
        <w:bidi w:val="0"/>
        <w:adjustRightInd/>
        <w:snapToGrid/>
        <w:spacing w:before="340" w:after="330" w:line="5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bCs/>
          <w:sz w:val="44"/>
          <w:szCs w:val="44"/>
        </w:rPr>
        <w:t>广州市天河区国有土地上房屋征收与补偿领域政务公开事项标准目录</w:t>
      </w:r>
    </w:p>
    <w:bookmarkEnd w:id="0"/>
    <w:tbl>
      <w:tblPr>
        <w:tblStyle w:val="7"/>
        <w:tblW w:w="1425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656"/>
        <w:gridCol w:w="711"/>
        <w:gridCol w:w="676"/>
        <w:gridCol w:w="2218"/>
        <w:gridCol w:w="3476"/>
        <w:gridCol w:w="1114"/>
        <w:gridCol w:w="1039"/>
        <w:gridCol w:w="741"/>
        <w:gridCol w:w="375"/>
        <w:gridCol w:w="948"/>
        <w:gridCol w:w="520"/>
        <w:gridCol w:w="522"/>
        <w:gridCol w:w="520"/>
        <w:gridCol w:w="7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43" w:hRule="atLeast"/>
        </w:trPr>
        <w:tc>
          <w:tcPr>
            <w:tcW w:w="656" w:type="dxa"/>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序号</w:t>
            </w:r>
          </w:p>
        </w:tc>
        <w:tc>
          <w:tcPr>
            <w:tcW w:w="1387"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公开事项</w:t>
            </w:r>
          </w:p>
        </w:tc>
        <w:tc>
          <w:tcPr>
            <w:tcW w:w="2218"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公开内容（要素）</w:t>
            </w:r>
          </w:p>
        </w:tc>
        <w:tc>
          <w:tcPr>
            <w:tcW w:w="3476"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公开依据</w:t>
            </w:r>
          </w:p>
        </w:tc>
        <w:tc>
          <w:tcPr>
            <w:tcW w:w="1114"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公开时限</w:t>
            </w:r>
          </w:p>
        </w:tc>
        <w:tc>
          <w:tcPr>
            <w:tcW w:w="1039"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公开主体</w:t>
            </w:r>
          </w:p>
        </w:tc>
        <w:tc>
          <w:tcPr>
            <w:tcW w:w="74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公开渠道和载体</w:t>
            </w:r>
          </w:p>
        </w:tc>
        <w:tc>
          <w:tcPr>
            <w:tcW w:w="1323"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公开对象</w:t>
            </w:r>
          </w:p>
        </w:tc>
        <w:tc>
          <w:tcPr>
            <w:tcW w:w="104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公开方式</w:t>
            </w:r>
          </w:p>
        </w:tc>
        <w:tc>
          <w:tcPr>
            <w:tcW w:w="126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jc w:val="center"/>
              <w:rPr>
                <w:rFonts w:ascii="黑体" w:hAnsi="黑体" w:eastAsia="黑体" w:cs="Times New Roman"/>
                <w:color w:val="auto"/>
                <w:kern w:val="0"/>
                <w:sz w:val="22"/>
              </w:rPr>
            </w:pPr>
            <w:r>
              <w:rPr>
                <w:rFonts w:hint="eastAsia" w:ascii="黑体" w:hAnsi="黑体" w:eastAsia="黑体" w:cs="Times New Roman"/>
                <w:color w:val="auto"/>
                <w:kern w:val="0"/>
                <w:sz w:val="22"/>
              </w:rP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077" w:hRule="atLeast"/>
        </w:trPr>
        <w:tc>
          <w:tcPr>
            <w:tcW w:w="6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71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一级事项</w:t>
            </w:r>
          </w:p>
        </w:tc>
        <w:tc>
          <w:tcPr>
            <w:tcW w:w="67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二级事项</w:t>
            </w:r>
          </w:p>
        </w:tc>
        <w:tc>
          <w:tcPr>
            <w:tcW w:w="2218" w:type="dxa"/>
            <w:vMerge w:val="continue"/>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3476" w:type="dxa"/>
            <w:vMerge w:val="continue"/>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1114" w:type="dxa"/>
            <w:vMerge w:val="continue"/>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1039" w:type="dxa"/>
            <w:vMerge w:val="continue"/>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741" w:type="dxa"/>
            <w:vMerge w:val="continue"/>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color w:val="auto"/>
                <w:kern w:val="0"/>
                <w:sz w:val="22"/>
              </w:rPr>
            </w:pPr>
          </w:p>
        </w:tc>
        <w:tc>
          <w:tcPr>
            <w:tcW w:w="37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全社会</w:t>
            </w:r>
          </w:p>
        </w:tc>
        <w:tc>
          <w:tcPr>
            <w:tcW w:w="94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特定群众</w:t>
            </w:r>
          </w:p>
        </w:tc>
        <w:tc>
          <w:tcPr>
            <w:tcW w:w="52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主动</w:t>
            </w:r>
          </w:p>
        </w:tc>
        <w:tc>
          <w:tcPr>
            <w:tcW w:w="52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依申请</w:t>
            </w:r>
          </w:p>
        </w:tc>
        <w:tc>
          <w:tcPr>
            <w:tcW w:w="52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区</w:t>
            </w:r>
          </w:p>
        </w:tc>
        <w:tc>
          <w:tcPr>
            <w:tcW w:w="74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after="150" w:line="330" w:lineRule="atLeast"/>
              <w:jc w:val="center"/>
              <w:rPr>
                <w:rFonts w:ascii="黑体" w:hAnsi="黑体" w:eastAsia="黑体" w:cs="Times New Roman"/>
                <w:color w:val="auto"/>
                <w:kern w:val="0"/>
                <w:sz w:val="22"/>
              </w:rPr>
            </w:pPr>
            <w:r>
              <w:rPr>
                <w:rFonts w:hint="eastAsia" w:ascii="黑体" w:hAnsi="黑体" w:eastAsia="黑体" w:cs="Times New Roman"/>
                <w:color w:val="auto"/>
                <w:kern w:val="0"/>
                <w:sz w:val="22"/>
              </w:rPr>
              <w:t>街道、社区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6" w:type="dxa"/>
            <w:tcBorders>
              <w:top w:val="nil"/>
              <w:left w:val="single" w:color="000000" w:sz="8" w:space="0"/>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1</w:t>
            </w:r>
          </w:p>
        </w:tc>
        <w:tc>
          <w:tcPr>
            <w:tcW w:w="711" w:type="dxa"/>
            <w:tcBorders>
              <w:top w:val="single" w:color="000000" w:sz="8" w:space="0"/>
              <w:left w:val="nil"/>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征收</w:t>
            </w:r>
          </w:p>
        </w:tc>
        <w:tc>
          <w:tcPr>
            <w:tcW w:w="676"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启动要件</w:t>
            </w:r>
          </w:p>
        </w:tc>
        <w:tc>
          <w:tcPr>
            <w:tcW w:w="2218"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征收项目符合公共利益的相关材料。</w:t>
            </w:r>
          </w:p>
        </w:tc>
        <w:tc>
          <w:tcPr>
            <w:tcW w:w="3476"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《国有土地上房屋征收与补偿条例》</w:t>
            </w:r>
            <w:r>
              <w:rPr>
                <w:rFonts w:hint="default" w:ascii="仿宋_GB2312" w:hAnsi="宋体" w:eastAsia="仿宋_GB2312" w:cs="Times New Roman"/>
                <w:color w:val="auto"/>
                <w:sz w:val="18"/>
                <w:szCs w:val="18"/>
              </w:rPr>
              <w:t>（国务院令第590号）</w:t>
            </w:r>
          </w:p>
        </w:tc>
        <w:tc>
          <w:tcPr>
            <w:tcW w:w="1114"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自收到申请之日起20个工作日内公开</w:t>
            </w:r>
          </w:p>
        </w:tc>
        <w:tc>
          <w:tcPr>
            <w:tcW w:w="1039"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区人民政府及房屋征收部门</w:t>
            </w:r>
          </w:p>
        </w:tc>
        <w:tc>
          <w:tcPr>
            <w:tcW w:w="741"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■其他</w:t>
            </w:r>
          </w:p>
        </w:tc>
        <w:tc>
          <w:tcPr>
            <w:tcW w:w="375"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p>
        </w:tc>
        <w:tc>
          <w:tcPr>
            <w:tcW w:w="948"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申请人</w:t>
            </w:r>
          </w:p>
        </w:tc>
        <w:tc>
          <w:tcPr>
            <w:tcW w:w="520"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p>
        </w:tc>
        <w:tc>
          <w:tcPr>
            <w:tcW w:w="522"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w:t>
            </w:r>
          </w:p>
        </w:tc>
        <w:tc>
          <w:tcPr>
            <w:tcW w:w="520"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r>
              <w:rPr>
                <w:rFonts w:hint="eastAsia" w:ascii="仿宋_GB2312" w:hAnsi="宋体" w:eastAsia="仿宋_GB2312" w:cs="Times New Roman"/>
                <w:color w:val="auto"/>
                <w:sz w:val="18"/>
                <w:szCs w:val="18"/>
              </w:rPr>
              <w:t>√</w:t>
            </w:r>
          </w:p>
        </w:tc>
        <w:tc>
          <w:tcPr>
            <w:tcW w:w="742"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6" w:type="dxa"/>
            <w:tcBorders>
              <w:top w:val="nil"/>
              <w:left w:val="single" w:color="000000" w:sz="8" w:space="0"/>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2</w:t>
            </w:r>
          </w:p>
        </w:tc>
        <w:tc>
          <w:tcPr>
            <w:tcW w:w="711" w:type="dxa"/>
            <w:vMerge w:val="restart"/>
            <w:tcBorders>
              <w:top w:val="single" w:color="000000" w:sz="8" w:space="0"/>
              <w:left w:val="nil"/>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征收</w:t>
            </w:r>
          </w:p>
        </w:tc>
        <w:tc>
          <w:tcPr>
            <w:tcW w:w="676"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房屋调查登记</w:t>
            </w:r>
          </w:p>
        </w:tc>
        <w:tc>
          <w:tcPr>
            <w:tcW w:w="2218"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权属调查结果,包括：</w:t>
            </w:r>
          </w:p>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1.房屋的权属；</w:t>
            </w:r>
          </w:p>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2.区位；</w:t>
            </w:r>
          </w:p>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3.用途；</w:t>
            </w:r>
          </w:p>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4.建筑面积等。</w:t>
            </w:r>
          </w:p>
        </w:tc>
        <w:tc>
          <w:tcPr>
            <w:tcW w:w="3476"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left"/>
              <w:rPr>
                <w:rFonts w:ascii="仿宋_GB2312" w:hAnsi="宋体" w:eastAsia="仿宋_GB2312" w:cs="Times New Roman"/>
                <w:color w:val="auto"/>
                <w:sz w:val="18"/>
                <w:szCs w:val="18"/>
              </w:rPr>
            </w:pPr>
            <w:r>
              <w:rPr>
                <w:rFonts w:hint="eastAsia" w:ascii="仿宋_GB2312" w:hAnsi="宋体" w:eastAsia="仿宋_GB2312" w:cs="Times New Roman"/>
                <w:color w:val="auto"/>
                <w:sz w:val="15"/>
                <w:szCs w:val="15"/>
              </w:rPr>
              <w:t>1.《国有土地上房屋征收与补偿条例》（国务院令第590号）第十五条</w:t>
            </w:r>
            <w:r>
              <w:rPr>
                <w:rFonts w:hint="eastAsia" w:ascii="仿宋_GB2312" w:hAnsi="宋体" w:eastAsia="仿宋_GB2312" w:cs="Times New Roman"/>
                <w:color w:val="auto"/>
                <w:sz w:val="15"/>
                <w:szCs w:val="15"/>
                <w:lang w:eastAsia="zh-CN"/>
              </w:rPr>
              <w:t>；</w:t>
            </w:r>
            <w:r>
              <w:rPr>
                <w:rFonts w:hint="eastAsia" w:ascii="仿宋_GB2312" w:hAnsi="宋体" w:eastAsia="仿宋_GB2312" w:cs="Times New Roman"/>
                <w:color w:val="auto"/>
                <w:sz w:val="15"/>
                <w:szCs w:val="15"/>
                <w:lang w:val="en-US" w:eastAsia="zh-CN"/>
              </w:rPr>
              <w:t xml:space="preserve">  </w:t>
            </w:r>
            <w:r>
              <w:rPr>
                <w:rFonts w:hint="eastAsia" w:ascii="仿宋_GB2312" w:hAnsi="宋体" w:eastAsia="仿宋_GB2312" w:cs="Times New Roman"/>
                <w:color w:val="auto"/>
                <w:sz w:val="15"/>
                <w:szCs w:val="15"/>
              </w:rPr>
              <w:t>2.《国有土地上房屋征收评估办法》（建房〔2011〕77号）第九条</w:t>
            </w:r>
            <w:r>
              <w:rPr>
                <w:rFonts w:hint="eastAsia" w:ascii="仿宋_GB2312" w:hAnsi="宋体" w:eastAsia="仿宋_GB2312" w:cs="Times New Roman"/>
                <w:color w:val="auto"/>
                <w:sz w:val="15"/>
                <w:szCs w:val="15"/>
                <w:lang w:eastAsia="zh-CN"/>
              </w:rPr>
              <w:t>；</w:t>
            </w:r>
            <w:r>
              <w:rPr>
                <w:rFonts w:hint="eastAsia" w:ascii="仿宋_GB2312" w:hAnsi="宋体" w:eastAsia="仿宋_GB2312" w:cs="Times New Roman"/>
                <w:color w:val="auto"/>
                <w:sz w:val="15"/>
                <w:szCs w:val="15"/>
                <w:lang w:val="en-US" w:eastAsia="zh-CN"/>
              </w:rPr>
              <w:t xml:space="preserve">    </w:t>
            </w:r>
            <w:r>
              <w:rPr>
                <w:rFonts w:hint="eastAsia" w:ascii="仿宋_GB2312" w:hAnsi="宋体" w:eastAsia="仿宋_GB2312" w:cs="Times New Roman"/>
                <w:color w:val="auto"/>
                <w:sz w:val="15"/>
                <w:szCs w:val="15"/>
              </w:rPr>
              <w:t>3.《关于推进国有土地上房屋征收与补偿信息公开工作的实施意见》（建房〔2012〕84号）第三条第（五）项</w:t>
            </w:r>
            <w:r>
              <w:rPr>
                <w:rFonts w:hint="eastAsia" w:ascii="仿宋_GB2312" w:hAnsi="宋体" w:eastAsia="仿宋_GB2312" w:cs="Times New Roman"/>
                <w:color w:val="auto"/>
                <w:sz w:val="15"/>
                <w:szCs w:val="15"/>
                <w:lang w:eastAsia="zh-CN"/>
              </w:rPr>
              <w:t>；</w:t>
            </w:r>
            <w:r>
              <w:rPr>
                <w:rFonts w:hint="eastAsia" w:ascii="仿宋_GB2312" w:hAnsi="宋体" w:eastAsia="仿宋_GB2312" w:cs="Times New Roman"/>
                <w:color w:val="auto"/>
                <w:sz w:val="15"/>
                <w:szCs w:val="15"/>
                <w:lang w:val="en-US" w:eastAsia="zh-CN"/>
              </w:rPr>
              <w:t xml:space="preserve">  </w:t>
            </w:r>
            <w:r>
              <w:rPr>
                <w:rFonts w:hint="eastAsia" w:ascii="仿宋_GB2312" w:hAnsi="宋体" w:eastAsia="仿宋_GB2312" w:cs="Times New Roman"/>
                <w:color w:val="auto"/>
                <w:sz w:val="15"/>
                <w:szCs w:val="15"/>
              </w:rPr>
              <w:t>4.《关于进一步加强国有土地上房屋征收与补偿信息公开工作的通知》（建房〔2013〕133号）第一条</w:t>
            </w:r>
            <w:r>
              <w:rPr>
                <w:rFonts w:hint="eastAsia" w:ascii="仿宋_GB2312" w:hAnsi="宋体" w:eastAsia="仿宋_GB2312" w:cs="Times New Roman"/>
                <w:color w:val="auto"/>
                <w:sz w:val="15"/>
                <w:szCs w:val="15"/>
                <w:lang w:eastAsia="zh-CN"/>
              </w:rPr>
              <w:t>；</w:t>
            </w:r>
            <w:r>
              <w:rPr>
                <w:rFonts w:hint="eastAsia" w:ascii="仿宋_GB2312" w:hAnsi="宋体" w:eastAsia="仿宋_GB2312" w:cs="Times New Roman"/>
                <w:color w:val="auto"/>
                <w:sz w:val="15"/>
                <w:szCs w:val="15"/>
                <w:lang w:val="en-US" w:eastAsia="zh-CN"/>
              </w:rPr>
              <w:t xml:space="preserve"> </w:t>
            </w:r>
            <w:r>
              <w:rPr>
                <w:rFonts w:hint="eastAsia" w:ascii="仿宋_GB2312" w:hAnsi="宋体" w:eastAsia="仿宋_GB2312" w:cs="Times New Roman"/>
                <w:color w:val="auto"/>
                <w:sz w:val="15"/>
                <w:szCs w:val="15"/>
              </w:rPr>
              <w:t>5.《广州市人民政府关于印发广州市国有土地上房屋征收与补偿实施办法的通知》（穗府规〔2017〕18号）第十九条</w:t>
            </w:r>
          </w:p>
        </w:tc>
        <w:tc>
          <w:tcPr>
            <w:tcW w:w="1114"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信息形成或者变更之日起20个工作日内予以公开</w:t>
            </w:r>
          </w:p>
        </w:tc>
        <w:tc>
          <w:tcPr>
            <w:tcW w:w="1039"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房屋征收部门</w:t>
            </w:r>
          </w:p>
        </w:tc>
        <w:tc>
          <w:tcPr>
            <w:tcW w:w="741"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■现场</w:t>
            </w:r>
          </w:p>
        </w:tc>
        <w:tc>
          <w:tcPr>
            <w:tcW w:w="375"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p>
        </w:tc>
        <w:tc>
          <w:tcPr>
            <w:tcW w:w="948"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在征收范围内向被征收人</w:t>
            </w:r>
          </w:p>
        </w:tc>
        <w:tc>
          <w:tcPr>
            <w:tcW w:w="520"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w:t>
            </w:r>
          </w:p>
        </w:tc>
        <w:tc>
          <w:tcPr>
            <w:tcW w:w="522"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p>
        </w:tc>
        <w:tc>
          <w:tcPr>
            <w:tcW w:w="520"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w:t>
            </w:r>
          </w:p>
        </w:tc>
        <w:tc>
          <w:tcPr>
            <w:tcW w:w="742" w:type="dxa"/>
            <w:tcBorders>
              <w:top w:val="nil"/>
              <w:left w:val="nil"/>
              <w:bottom w:val="single" w:color="auto" w:sz="4"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10" w:hRule="atLeast"/>
        </w:trPr>
        <w:tc>
          <w:tcPr>
            <w:tcW w:w="656" w:type="dxa"/>
            <w:tcBorders>
              <w:top w:val="single" w:color="auto" w:sz="4" w:space="0"/>
              <w:left w:val="single" w:color="000000" w:sz="8" w:space="0"/>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3</w:t>
            </w:r>
          </w:p>
        </w:tc>
        <w:tc>
          <w:tcPr>
            <w:tcW w:w="711" w:type="dxa"/>
            <w:vMerge w:val="continue"/>
            <w:tcBorders>
              <w:left w:val="nil"/>
              <w:right w:val="single" w:color="000000" w:sz="8" w:space="0"/>
            </w:tcBorders>
            <w:vAlign w:val="center"/>
          </w:tcPr>
          <w:p>
            <w:pPr>
              <w:jc w:val="center"/>
              <w:rPr>
                <w:rFonts w:ascii="仿宋_GB2312" w:hAnsi="宋体" w:eastAsia="仿宋_GB2312" w:cs="Times New Roman"/>
                <w:color w:val="auto"/>
                <w:sz w:val="18"/>
                <w:szCs w:val="18"/>
              </w:rPr>
            </w:pPr>
          </w:p>
        </w:tc>
        <w:tc>
          <w:tcPr>
            <w:tcW w:w="6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房屋征收补偿方案</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拟定</w:t>
            </w:r>
          </w:p>
        </w:tc>
        <w:tc>
          <w:tcPr>
            <w:tcW w:w="221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房屋征收补偿方案</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（征求意见阶段）</w:t>
            </w:r>
          </w:p>
        </w:tc>
        <w:tc>
          <w:tcPr>
            <w:tcW w:w="34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1.《国有土地上房屋征收与补偿条例》（国务院令第590号）第十条、第十一条</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2.《关于推进国有土地上房屋征收与补偿信息公开工作的实施意见》（建房〔2012〕84号）第三条第（三）项</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3.《广州市人民政府关于印发广州市国有土地上房屋征收与补偿实施办法的通知》（穗府规〔2017〕18号）第十六条</w:t>
            </w:r>
          </w:p>
        </w:tc>
        <w:tc>
          <w:tcPr>
            <w:tcW w:w="1114"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征求意见期限不得少于30日；</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信息形成或者变更之日起20个工作日内予以公开。</w:t>
            </w:r>
          </w:p>
        </w:tc>
        <w:tc>
          <w:tcPr>
            <w:tcW w:w="1039"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房屋征收部门</w:t>
            </w:r>
          </w:p>
        </w:tc>
        <w:tc>
          <w:tcPr>
            <w:tcW w:w="741"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■广州市天河区人民政府网站</w:t>
            </w:r>
            <w:r>
              <w:rPr>
                <w:rFonts w:hint="eastAsia" w:ascii="仿宋_GB2312" w:hAnsi="宋体" w:eastAsia="仿宋_GB2312" w:cs="Times New Roman"/>
                <w:color w:val="auto"/>
                <w:sz w:val="18"/>
                <w:szCs w:val="18"/>
                <w:lang w:val="en-US" w:eastAsia="zh-CN"/>
              </w:rPr>
              <w:br w:type="textWrapping"/>
            </w:r>
            <w:r>
              <w:rPr>
                <w:rFonts w:hint="eastAsia" w:ascii="仿宋_GB2312" w:hAnsi="宋体" w:eastAsia="仿宋_GB2312" w:cs="Times New Roman"/>
                <w:color w:val="auto"/>
                <w:sz w:val="18"/>
                <w:szCs w:val="18"/>
                <w:lang w:val="en-US" w:eastAsia="zh-CN"/>
              </w:rPr>
              <w:t>■现场</w:t>
            </w:r>
          </w:p>
        </w:tc>
        <w:tc>
          <w:tcPr>
            <w:tcW w:w="375"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p>
        </w:tc>
        <w:tc>
          <w:tcPr>
            <w:tcW w:w="94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在征收范围内向被征收人</w:t>
            </w: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　</w:t>
            </w:r>
          </w:p>
        </w:tc>
        <w:tc>
          <w:tcPr>
            <w:tcW w:w="52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rPr>
            </w:pPr>
            <w:r>
              <w:rPr>
                <w:rFonts w:hint="eastAsia" w:ascii="仿宋_GB2312" w:hAnsi="宋体" w:eastAsia="仿宋_GB2312" w:cs="Times New Roman"/>
                <w:color w:val="auto"/>
                <w:sz w:val="18"/>
                <w:szCs w:val="18"/>
                <w:lang w:val="en-US" w:eastAsia="zh-CN"/>
              </w:rPr>
              <w:t>√</w:t>
            </w:r>
          </w:p>
        </w:tc>
        <w:tc>
          <w:tcPr>
            <w:tcW w:w="74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highlight w:val="yellow"/>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862" w:hRule="atLeast"/>
        </w:trPr>
        <w:tc>
          <w:tcPr>
            <w:tcW w:w="656" w:type="dxa"/>
            <w:tcBorders>
              <w:top w:val="single" w:color="auto" w:sz="4" w:space="0"/>
              <w:left w:val="single" w:color="000000" w:sz="8" w:space="0"/>
              <w:bottom w:val="single" w:color="auto" w:sz="4"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4</w:t>
            </w:r>
          </w:p>
        </w:tc>
        <w:tc>
          <w:tcPr>
            <w:tcW w:w="711" w:type="dxa"/>
            <w:vMerge w:val="continue"/>
            <w:tcBorders>
              <w:left w:val="nil"/>
              <w:right w:val="single" w:color="000000" w:sz="8" w:space="0"/>
            </w:tcBorders>
            <w:vAlign w:val="center"/>
          </w:tcPr>
          <w:p>
            <w:pPr>
              <w:jc w:val="center"/>
              <w:rPr>
                <w:rFonts w:ascii="仿宋_GB2312" w:hAnsi="宋体" w:eastAsia="仿宋_GB2312" w:cs="Times New Roman"/>
                <w:color w:val="auto"/>
                <w:sz w:val="18"/>
                <w:szCs w:val="18"/>
              </w:rPr>
            </w:pPr>
          </w:p>
        </w:tc>
        <w:tc>
          <w:tcPr>
            <w:tcW w:w="6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征收提示</w:t>
            </w:r>
          </w:p>
        </w:tc>
        <w:tc>
          <w:tcPr>
            <w:tcW w:w="221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暂停办理事项公告，包括：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1.暂停办理事项；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2.暂停期限；</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3.征收范围（附征收范围图）等。</w:t>
            </w:r>
          </w:p>
        </w:tc>
        <w:tc>
          <w:tcPr>
            <w:tcW w:w="34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《广州市人民政府关于印发广州市国有土地上房屋征收与补偿实施办法的通知》（穗府规〔2017〕18号）第二十一条</w:t>
            </w:r>
          </w:p>
        </w:tc>
        <w:tc>
          <w:tcPr>
            <w:tcW w:w="1114"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房屋征收部门</w:t>
            </w:r>
          </w:p>
        </w:tc>
        <w:tc>
          <w:tcPr>
            <w:tcW w:w="741"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■现场</w:t>
            </w:r>
          </w:p>
        </w:tc>
        <w:tc>
          <w:tcPr>
            <w:tcW w:w="375"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在征收范围内向被征收人</w:t>
            </w: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245" w:hRule="atLeast"/>
        </w:trPr>
        <w:tc>
          <w:tcPr>
            <w:tcW w:w="656" w:type="dxa"/>
            <w:tcBorders>
              <w:top w:val="single" w:color="auto" w:sz="4" w:space="0"/>
              <w:left w:val="single" w:color="000000" w:sz="8"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5</w:t>
            </w:r>
          </w:p>
        </w:tc>
        <w:tc>
          <w:tcPr>
            <w:tcW w:w="711" w:type="dxa"/>
            <w:vMerge w:val="continue"/>
            <w:tcBorders>
              <w:left w:val="nil"/>
              <w:bottom w:val="single" w:color="auto" w:sz="4" w:space="0"/>
              <w:right w:val="single" w:color="000000" w:sz="8" w:space="0"/>
            </w:tcBorders>
            <w:vAlign w:val="center"/>
          </w:tcPr>
          <w:p>
            <w:pPr>
              <w:jc w:val="center"/>
              <w:rPr>
                <w:rFonts w:ascii="仿宋_GB2312" w:hAnsi="宋体" w:eastAsia="仿宋_GB2312" w:cs="Times New Roman"/>
                <w:color w:val="auto"/>
                <w:sz w:val="18"/>
                <w:szCs w:val="18"/>
              </w:rPr>
            </w:pPr>
          </w:p>
        </w:tc>
        <w:tc>
          <w:tcPr>
            <w:tcW w:w="6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房屋征收决定</w:t>
            </w:r>
          </w:p>
        </w:tc>
        <w:tc>
          <w:tcPr>
            <w:tcW w:w="221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房屋征收决定公告,包括：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1.征收的目的和依据；</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2.征收的地点和范围；</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3.委托的房屋征收实施单位；</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4. 房屋征收补偿方案；</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5. 达不成协议或者被征收房屋所有权人不明确的处理办法；</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6. 行政复议、行政诉讼权利；</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7. 索取房屋征收相关资料以及咨询地点；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8. 其他应当公告的事项。</w:t>
            </w:r>
          </w:p>
        </w:tc>
        <w:tc>
          <w:tcPr>
            <w:tcW w:w="3476"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1.《国有土地上房屋征收与补偿条例》（国务院令第590号）第十三条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2.《关于推进国有土地上房屋征收与补偿信息公开工作的实施意见》（建房〔2012〕84号）第三条第（二）项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3.《关于进一步加强国有土地上房屋征收与补偿信息公开工作的通知》（建房〔2013〕133号）第一条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4.《广州市人民政府关于印发广州市国有土地上房屋征收与补偿实施办法的通知》（穗府规〔2017〕18号）第十八条</w:t>
            </w:r>
          </w:p>
        </w:tc>
        <w:tc>
          <w:tcPr>
            <w:tcW w:w="1114"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天河区人民政府</w:t>
            </w:r>
          </w:p>
        </w:tc>
        <w:tc>
          <w:tcPr>
            <w:tcW w:w="741"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■广州市天河区人民政府网站</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■现场</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■公开发行的报纸上</w:t>
            </w:r>
          </w:p>
        </w:tc>
        <w:tc>
          <w:tcPr>
            <w:tcW w:w="375"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在征收范围内向被征收人</w:t>
            </w: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597" w:hRule="atLeast"/>
        </w:trPr>
        <w:tc>
          <w:tcPr>
            <w:tcW w:w="656" w:type="dxa"/>
            <w:tcBorders>
              <w:top w:val="single" w:color="auto" w:sz="4"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6</w:t>
            </w:r>
          </w:p>
        </w:tc>
        <w:tc>
          <w:tcPr>
            <w:tcW w:w="711" w:type="dxa"/>
            <w:vMerge w:val="restart"/>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评估</w:t>
            </w:r>
          </w:p>
        </w:tc>
        <w:tc>
          <w:tcPr>
            <w:tcW w:w="676"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房地产估价机构确定</w:t>
            </w:r>
          </w:p>
        </w:tc>
        <w:tc>
          <w:tcPr>
            <w:tcW w:w="2218"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房地产估价机构选定或确定通知，包括：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1.评估机构名录;（市住建更新）；</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2.摇珠或抽签的时间和地点；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3.受委托的房地产价格评估机构资质证书、营业执照、注册房地产估价师本人签名的资格证书复印件。</w:t>
            </w:r>
          </w:p>
        </w:tc>
        <w:tc>
          <w:tcPr>
            <w:tcW w:w="3476"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《广州市人民政府关于印发广州市国有土地上房屋征收与补偿实施办法的通知》（穗府规〔2017〕18号）第二十五条</w:t>
            </w:r>
          </w:p>
        </w:tc>
        <w:tc>
          <w:tcPr>
            <w:tcW w:w="1114"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房屋征收部门</w:t>
            </w:r>
          </w:p>
        </w:tc>
        <w:tc>
          <w:tcPr>
            <w:tcW w:w="741"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■现场</w:t>
            </w:r>
          </w:p>
        </w:tc>
        <w:tc>
          <w:tcPr>
            <w:tcW w:w="375"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vMerge w:val="restart"/>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在征收范围内向被征收人</w:t>
            </w:r>
          </w:p>
        </w:tc>
        <w:tc>
          <w:tcPr>
            <w:tcW w:w="520"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802" w:hRule="atLeast"/>
        </w:trPr>
        <w:tc>
          <w:tcPr>
            <w:tcW w:w="65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7</w:t>
            </w:r>
          </w:p>
        </w:tc>
        <w:tc>
          <w:tcPr>
            <w:tcW w:w="71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Times New Roman"/>
                <w:color w:val="auto"/>
                <w:sz w:val="18"/>
                <w:szCs w:val="18"/>
              </w:rPr>
            </w:pPr>
          </w:p>
        </w:tc>
        <w:tc>
          <w:tcPr>
            <w:tcW w:w="6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被征收房屋评估</w:t>
            </w:r>
          </w:p>
        </w:tc>
        <w:tc>
          <w:tcPr>
            <w:tcW w:w="2218"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分户的初步评估结果，包括：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1.评估对象的构成及其基本情况；</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2.评估价值。</w:t>
            </w:r>
          </w:p>
        </w:tc>
        <w:tc>
          <w:tcPr>
            <w:tcW w:w="34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1.《国有土地上房屋征收评估办法》（建房〔2011〕77号）第十六条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2.《关于推进国有土地上房屋征收与补偿信息公开工作的实施意见》（建房〔2012〕84号）第三条第（六）项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3.《关于进一步加强国有土地上房屋征收与补偿信息公开工作的通知》（建房〔2013〕133号）第一条</w:t>
            </w:r>
          </w:p>
        </w:tc>
        <w:tc>
          <w:tcPr>
            <w:tcW w:w="1114"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房屋征收部门</w:t>
            </w:r>
          </w:p>
        </w:tc>
        <w:tc>
          <w:tcPr>
            <w:tcW w:w="741"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■现场</w:t>
            </w:r>
          </w:p>
        </w:tc>
        <w:tc>
          <w:tcPr>
            <w:tcW w:w="375"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_GB2312" w:hAnsi="宋体" w:eastAsia="仿宋_GB2312" w:cs="Times New Roman"/>
                <w:color w:val="auto"/>
                <w:sz w:val="18"/>
                <w:szCs w:val="18"/>
              </w:rPr>
            </w:pP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84" w:hRule="atLeast"/>
        </w:trPr>
        <w:tc>
          <w:tcPr>
            <w:tcW w:w="65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8</w:t>
            </w:r>
          </w:p>
        </w:tc>
        <w:tc>
          <w:tcPr>
            <w:tcW w:w="711"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jc w:val="center"/>
              <w:rPr>
                <w:rFonts w:ascii="仿宋_GB2312" w:hAnsi="宋体" w:eastAsia="仿宋_GB2312" w:cs="Times New Roman"/>
                <w:color w:val="auto"/>
                <w:sz w:val="18"/>
                <w:szCs w:val="18"/>
              </w:rPr>
            </w:pPr>
            <w:r>
              <w:rPr>
                <w:rFonts w:hint="eastAsia" w:ascii="仿宋_GB2312" w:hAnsi="宋体" w:eastAsia="仿宋_GB2312" w:cs="Times New Roman"/>
                <w:color w:val="auto"/>
                <w:sz w:val="18"/>
                <w:szCs w:val="18"/>
              </w:rPr>
              <w:t>补偿</w:t>
            </w:r>
          </w:p>
        </w:tc>
        <w:tc>
          <w:tcPr>
            <w:tcW w:w="6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分户补偿情况</w:t>
            </w:r>
          </w:p>
        </w:tc>
        <w:tc>
          <w:tcPr>
            <w:tcW w:w="2218"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分户补偿结果，包括：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1.分户签约情况；</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2.房屋补偿单价；</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3.补偿方案；</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4.奖励情况等。</w:t>
            </w:r>
          </w:p>
        </w:tc>
        <w:tc>
          <w:tcPr>
            <w:tcW w:w="34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1.《国有土地上房屋征收与补偿条例》（国务院令第590号）第二十九条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2.《关于推进国有土地上房屋征收与补偿信息公开工作的实施意见》（建房〔2012〕84号）第三条第（七）项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3.《关于进一步加强国有土地上房屋征收与补偿信息公开工作的通知》（建房〔2013〕133号）第一条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4. 《广州市人民政府关于印发广州市国有土地上房屋征收与补偿实施办法的通知》（穗府规〔2017〕18号）第二十三条</w:t>
            </w:r>
          </w:p>
        </w:tc>
        <w:tc>
          <w:tcPr>
            <w:tcW w:w="1114"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房屋征收部门</w:t>
            </w:r>
          </w:p>
        </w:tc>
        <w:tc>
          <w:tcPr>
            <w:tcW w:w="741"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■现场</w:t>
            </w:r>
          </w:p>
        </w:tc>
        <w:tc>
          <w:tcPr>
            <w:tcW w:w="375"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在征收范围内向被征收人</w:t>
            </w: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nil"/>
              <w:left w:val="nil"/>
              <w:bottom w:val="single" w:color="auto" w:sz="4"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65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val="en-US" w:eastAsia="zh-CN"/>
              </w:rPr>
              <w:t>9</w:t>
            </w:r>
          </w:p>
        </w:tc>
        <w:tc>
          <w:tcPr>
            <w:tcW w:w="711"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6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房屋征收补偿决定</w:t>
            </w:r>
          </w:p>
        </w:tc>
        <w:tc>
          <w:tcPr>
            <w:tcW w:w="2218"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房屋补偿决定公告,包括：</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1.补偿方式；</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2.被征收房屋补偿金额和支付期限；</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3.用于产权调换房屋的地点、面积；</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4.房地产评估价格；</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5.搬迁费；</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6.临时安置费或周转用房；</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7. 停产停业损失；</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8. 搬迁期限；</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9. 过渡方式；</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10. 过渡期限；</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11. 补偿费用支付期限；</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12. 行政复议、行政诉讼权利等。</w:t>
            </w:r>
          </w:p>
        </w:tc>
        <w:tc>
          <w:tcPr>
            <w:tcW w:w="3476"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 xml:space="preserve">1.《国有土地上房屋征收与补偿条例》（国务院令第590号）第二十六条 </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2. 《广州市人民政府关于印发广州市国有土地上房屋征收与补偿实施办法的通知》（穗府规〔2017〕18号）第四十条</w:t>
            </w:r>
          </w:p>
        </w:tc>
        <w:tc>
          <w:tcPr>
            <w:tcW w:w="1114"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信息形成或者变更之日起20个工作日内予以公开</w:t>
            </w:r>
          </w:p>
        </w:tc>
        <w:tc>
          <w:tcPr>
            <w:tcW w:w="1039"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天河区人民政府</w:t>
            </w:r>
          </w:p>
        </w:tc>
        <w:tc>
          <w:tcPr>
            <w:tcW w:w="741"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■现场</w:t>
            </w:r>
          </w:p>
        </w:tc>
        <w:tc>
          <w:tcPr>
            <w:tcW w:w="375"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948"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在征收范围内向被征收人</w:t>
            </w: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5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c>
          <w:tcPr>
            <w:tcW w:w="520"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keepNext w:val="0"/>
              <w:keepLines w:val="0"/>
              <w:widowControl/>
              <w:suppressLineNumbers w:val="0"/>
              <w:jc w:val="center"/>
              <w:textAlignment w:val="center"/>
              <w:rPr>
                <w:rFonts w:ascii="仿宋_GB2312" w:hAnsi="宋体" w:eastAsia="仿宋_GB2312" w:cs="Times New Roman"/>
                <w:color w:val="auto"/>
                <w:sz w:val="18"/>
                <w:szCs w:val="18"/>
              </w:rPr>
            </w:pPr>
            <w:r>
              <w:rPr>
                <w:rFonts w:hint="eastAsia" w:ascii="仿宋_GB2312" w:hAnsi="宋体" w:eastAsia="仿宋_GB2312" w:cs="仿宋_GB2312"/>
                <w:i w:val="0"/>
                <w:color w:val="auto"/>
                <w:kern w:val="0"/>
                <w:sz w:val="18"/>
                <w:szCs w:val="18"/>
                <w:u w:val="none"/>
                <w:lang w:val="en-US" w:eastAsia="zh-CN" w:bidi="ar"/>
              </w:rPr>
              <w:t>√</w:t>
            </w:r>
          </w:p>
        </w:tc>
        <w:tc>
          <w:tcPr>
            <w:tcW w:w="742"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rPr>
                <w:rFonts w:ascii="仿宋_GB2312" w:hAnsi="宋体" w:eastAsia="仿宋_GB2312" w:cs="Times New Roman"/>
                <w:color w:val="auto"/>
                <w:sz w:val="18"/>
                <w:szCs w:val="18"/>
              </w:rPr>
            </w:pPr>
          </w:p>
        </w:tc>
      </w:tr>
    </w:tbl>
    <w:p/>
    <w:sectPr>
      <w:headerReference r:id="rId3" w:type="default"/>
      <w:footerReference r:id="rId4" w:type="default"/>
      <w:pgSz w:w="16838" w:h="11906" w:orient="landscape"/>
      <w:pgMar w:top="1417" w:right="1440" w:bottom="1134" w:left="1440" w:header="851" w:footer="992" w:gutter="0"/>
      <w:paperSrc/>
      <w:pgBorders>
        <w:top w:val="none" w:color="auto" w:sz="0" w:space="0"/>
        <w:left w:val="none" w:color="auto" w:sz="0" w:space="0"/>
        <w:bottom w:val="none" w:color="auto" w:sz="0" w:space="0"/>
        <w:right w:val="none" w:color="auto" w:sz="0" w:space="0"/>
      </w:pgBorders>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HorizontalSpacing w:val="105"/>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C5"/>
    <w:rsid w:val="002E2E59"/>
    <w:rsid w:val="003B1AF0"/>
    <w:rsid w:val="003C6CD7"/>
    <w:rsid w:val="0040320E"/>
    <w:rsid w:val="004715FF"/>
    <w:rsid w:val="004A4313"/>
    <w:rsid w:val="005A5803"/>
    <w:rsid w:val="006A1484"/>
    <w:rsid w:val="00790138"/>
    <w:rsid w:val="00815CB1"/>
    <w:rsid w:val="009107FA"/>
    <w:rsid w:val="009504EC"/>
    <w:rsid w:val="00AD0409"/>
    <w:rsid w:val="00BF6CD5"/>
    <w:rsid w:val="00D759C5"/>
    <w:rsid w:val="00E86A6C"/>
    <w:rsid w:val="00EB18E0"/>
    <w:rsid w:val="00EE0637"/>
    <w:rsid w:val="00F744D3"/>
    <w:rsid w:val="04830258"/>
    <w:rsid w:val="09EB0E46"/>
    <w:rsid w:val="10F449FA"/>
    <w:rsid w:val="28AC1934"/>
    <w:rsid w:val="4CD20C9C"/>
    <w:rsid w:val="540C3291"/>
    <w:rsid w:val="58962F69"/>
    <w:rsid w:val="718471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标题 1 Char"/>
    <w:basedOn w:val="5"/>
    <w:link w:val="2"/>
    <w:qFormat/>
    <w:uiPriority w:val="0"/>
    <w:rPr>
      <w:rFonts w:ascii="Calibri" w:hAnsi="Calibri" w:eastAsia="宋体" w:cs="Times New Roman"/>
      <w:b/>
      <w:bCs/>
      <w:kern w:val="44"/>
      <w:sz w:val="44"/>
      <w:szCs w:val="44"/>
    </w:rPr>
  </w:style>
  <w:style w:type="character" w:customStyle="1" w:styleId="9">
    <w:name w:val="页眉 Char"/>
    <w:basedOn w:val="5"/>
    <w:link w:val="4"/>
    <w:qFormat/>
    <w:uiPriority w:val="99"/>
    <w:rPr>
      <w:rFonts w:ascii="Calibri" w:hAnsi="Calibri" w:eastAsia="宋体" w:cs="Times New Roman"/>
      <w:sz w:val="18"/>
      <w:szCs w:val="18"/>
    </w:rPr>
  </w:style>
  <w:style w:type="character" w:customStyle="1" w:styleId="10">
    <w:name w:val="页脚 Char"/>
    <w:basedOn w:val="5"/>
    <w:link w:val="3"/>
    <w:qFormat/>
    <w:uiPriority w:val="99"/>
    <w:rPr>
      <w:rFonts w:ascii="Calibri" w:hAnsi="Calibri" w:eastAsia="宋体" w:cs="Times New Roman"/>
      <w:sz w:val="18"/>
      <w:szCs w:val="18"/>
    </w:rPr>
  </w:style>
  <w:style w:type="character" w:customStyle="1" w:styleId="11">
    <w:name w:val="font21"/>
    <w:basedOn w:val="5"/>
    <w:qFormat/>
    <w:uiPriority w:val="0"/>
    <w:rPr>
      <w:rFonts w:hint="eastAsia" w:ascii="仿宋_GB2312" w:eastAsia="仿宋_GB2312" w:cs="仿宋_GB2312"/>
      <w:color w:val="000000"/>
      <w:sz w:val="18"/>
      <w:szCs w:val="18"/>
      <w:u w:val="none"/>
    </w:rPr>
  </w:style>
  <w:style w:type="character" w:customStyle="1" w:styleId="12">
    <w:name w:val="font11"/>
    <w:basedOn w:val="5"/>
    <w:uiPriority w:val="0"/>
    <w:rPr>
      <w:rFonts w:hint="eastAsia" w:ascii="仿宋_GB2312" w:eastAsia="仿宋_GB2312" w:cs="仿宋_GB2312"/>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435</Words>
  <Characters>2482</Characters>
  <Lines>20</Lines>
  <Paragraphs>5</Paragraphs>
  <ScaleCrop>false</ScaleCrop>
  <LinksUpToDate>false</LinksUpToDate>
  <CharactersWithSpaces>2912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2020-10-09T02:39:00Z</dcterms:created>
  <dc:creator>余业林</dc:creator>
  <cp:lastModifiedBy>区政务服务数据管理局</cp:lastModifiedBy>
  <dcterms:modified xsi:type="dcterms:W3CDTF">2020-11-03T07:03:50Z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