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广州市生态环境局天河分局2021年天河区</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土壤污染状况调查报告技术评估服务</w:t>
      </w:r>
    </w:p>
    <w:p>
      <w:pPr>
        <w:spacing w:line="560" w:lineRule="exact"/>
        <w:jc w:val="center"/>
        <w:rPr>
          <w:rFonts w:ascii="方正小标宋简体" w:eastAsia="方正小标宋简体"/>
          <w:sz w:val="44"/>
          <w:szCs w:val="44"/>
        </w:rPr>
      </w:pPr>
      <w:r>
        <w:rPr>
          <w:rFonts w:ascii="方正小标宋简体" w:eastAsia="方正小标宋简体"/>
          <w:sz w:val="44"/>
          <w:szCs w:val="44"/>
        </w:rPr>
        <w:t>报价一览表</w:t>
      </w:r>
    </w:p>
    <w:bookmarkEnd w:id="0"/>
    <w:p>
      <w:pPr>
        <w:spacing w:line="560" w:lineRule="exact"/>
        <w:jc w:val="center"/>
        <w:rPr>
          <w:rFonts w:ascii="方正小标宋简体" w:eastAsia="方正小标宋简体"/>
          <w:sz w:val="44"/>
          <w:szCs w:val="44"/>
        </w:rPr>
      </w:pPr>
    </w:p>
    <w:tbl>
      <w:tblPr>
        <w:tblStyle w:val="4"/>
        <w:tblW w:w="5372" w:type="pct"/>
        <w:jc w:val="center"/>
        <w:tblLayout w:type="fixed"/>
        <w:tblCellMar>
          <w:top w:w="0" w:type="dxa"/>
          <w:left w:w="0" w:type="dxa"/>
          <w:bottom w:w="0" w:type="dxa"/>
          <w:right w:w="0" w:type="dxa"/>
        </w:tblCellMar>
      </w:tblPr>
      <w:tblGrid>
        <w:gridCol w:w="802"/>
        <w:gridCol w:w="4565"/>
        <w:gridCol w:w="1200"/>
        <w:gridCol w:w="1400"/>
        <w:gridCol w:w="1628"/>
        <w:gridCol w:w="48"/>
      </w:tblGrid>
      <w:tr>
        <w:tblPrEx>
          <w:tblCellMar>
            <w:top w:w="0" w:type="dxa"/>
            <w:left w:w="0" w:type="dxa"/>
            <w:bottom w:w="0" w:type="dxa"/>
            <w:right w:w="0" w:type="dxa"/>
          </w:tblCellMar>
        </w:tblPrEx>
        <w:trPr>
          <w:trHeight w:val="639" w:hRule="atLeast"/>
          <w:jc w:val="center"/>
        </w:trPr>
        <w:tc>
          <w:tcPr>
            <w:tcW w:w="416" w:type="pct"/>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spacing w:line="560" w:lineRule="exact"/>
              <w:jc w:val="center"/>
              <w:rPr>
                <w:rFonts w:eastAsia="黑体"/>
                <w:color w:val="333333"/>
                <w:kern w:val="0"/>
                <w:sz w:val="32"/>
                <w:szCs w:val="32"/>
              </w:rPr>
            </w:pPr>
            <w:r>
              <w:rPr>
                <w:rFonts w:hint="eastAsia" w:eastAsia="黑体"/>
                <w:color w:val="333333"/>
                <w:kern w:val="0"/>
                <w:sz w:val="32"/>
                <w:szCs w:val="32"/>
              </w:rPr>
              <w:t>项目</w:t>
            </w:r>
          </w:p>
        </w:tc>
        <w:tc>
          <w:tcPr>
            <w:tcW w:w="2367" w:type="pct"/>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spacing w:line="560" w:lineRule="exact"/>
              <w:jc w:val="center"/>
              <w:rPr>
                <w:rFonts w:eastAsia="黑体"/>
                <w:color w:val="333333"/>
                <w:kern w:val="0"/>
                <w:sz w:val="32"/>
                <w:szCs w:val="32"/>
              </w:rPr>
            </w:pPr>
            <w:r>
              <w:rPr>
                <w:rFonts w:hint="eastAsia" w:eastAsia="黑体"/>
                <w:color w:val="333333"/>
                <w:kern w:val="0"/>
                <w:sz w:val="32"/>
                <w:szCs w:val="32"/>
              </w:rPr>
              <w:t>产品服务描述</w:t>
            </w:r>
          </w:p>
        </w:tc>
        <w:tc>
          <w:tcPr>
            <w:tcW w:w="622" w:type="pct"/>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spacing w:line="560" w:lineRule="exact"/>
              <w:jc w:val="center"/>
              <w:rPr>
                <w:rFonts w:eastAsia="黑体"/>
                <w:color w:val="333333"/>
                <w:kern w:val="0"/>
                <w:sz w:val="32"/>
                <w:szCs w:val="32"/>
              </w:rPr>
            </w:pPr>
            <w:r>
              <w:rPr>
                <w:rFonts w:hint="eastAsia" w:eastAsia="黑体"/>
                <w:color w:val="333333"/>
                <w:kern w:val="0"/>
                <w:sz w:val="32"/>
                <w:szCs w:val="32"/>
              </w:rPr>
              <w:t>预计</w:t>
            </w:r>
          </w:p>
          <w:p>
            <w:pPr>
              <w:widowControl/>
              <w:spacing w:line="560" w:lineRule="exact"/>
              <w:jc w:val="center"/>
              <w:rPr>
                <w:rFonts w:eastAsia="黑体"/>
                <w:color w:val="333333"/>
                <w:kern w:val="0"/>
                <w:sz w:val="32"/>
                <w:szCs w:val="32"/>
              </w:rPr>
            </w:pPr>
            <w:r>
              <w:rPr>
                <w:rFonts w:hint="eastAsia" w:eastAsia="黑体"/>
                <w:color w:val="333333"/>
                <w:kern w:val="0"/>
                <w:sz w:val="32"/>
                <w:szCs w:val="32"/>
              </w:rPr>
              <w:t>数量</w:t>
            </w:r>
          </w:p>
          <w:p>
            <w:pPr>
              <w:widowControl/>
              <w:spacing w:line="560" w:lineRule="exact"/>
              <w:jc w:val="center"/>
              <w:rPr>
                <w:rFonts w:eastAsia="黑体"/>
                <w:color w:val="333333"/>
                <w:kern w:val="0"/>
                <w:sz w:val="32"/>
                <w:szCs w:val="32"/>
              </w:rPr>
            </w:pPr>
            <w:r>
              <w:rPr>
                <w:rFonts w:hint="eastAsia" w:eastAsia="黑体"/>
                <w:color w:val="333333"/>
                <w:kern w:val="0"/>
                <w:sz w:val="32"/>
                <w:szCs w:val="32"/>
              </w:rPr>
              <w:t>（个）</w:t>
            </w:r>
          </w:p>
        </w:tc>
        <w:tc>
          <w:tcPr>
            <w:tcW w:w="726" w:type="pct"/>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spacing w:line="560" w:lineRule="exact"/>
              <w:jc w:val="center"/>
              <w:rPr>
                <w:rFonts w:eastAsia="黑体"/>
                <w:color w:val="333333"/>
                <w:kern w:val="0"/>
                <w:sz w:val="32"/>
                <w:szCs w:val="32"/>
              </w:rPr>
            </w:pPr>
            <w:r>
              <w:rPr>
                <w:rFonts w:hint="eastAsia" w:eastAsia="黑体"/>
                <w:color w:val="333333"/>
                <w:kern w:val="0"/>
                <w:sz w:val="32"/>
                <w:szCs w:val="32"/>
              </w:rPr>
              <w:t>单价</w:t>
            </w:r>
          </w:p>
          <w:p>
            <w:pPr>
              <w:widowControl/>
              <w:spacing w:line="560" w:lineRule="exact"/>
              <w:jc w:val="center"/>
              <w:rPr>
                <w:rFonts w:eastAsia="黑体"/>
                <w:color w:val="333333"/>
                <w:kern w:val="0"/>
                <w:sz w:val="32"/>
                <w:szCs w:val="32"/>
              </w:rPr>
            </w:pPr>
            <w:r>
              <w:rPr>
                <w:rFonts w:hint="eastAsia" w:eastAsia="黑体"/>
                <w:color w:val="333333"/>
                <w:kern w:val="0"/>
                <w:sz w:val="32"/>
                <w:szCs w:val="32"/>
              </w:rPr>
              <w:t>（万元）</w:t>
            </w:r>
          </w:p>
        </w:tc>
        <w:tc>
          <w:tcPr>
            <w:tcW w:w="869" w:type="pct"/>
            <w:gridSpan w:val="2"/>
            <w:tcBorders>
              <w:top w:val="single" w:color="000000" w:sz="4" w:space="0"/>
              <w:left w:val="single" w:color="000000" w:sz="4" w:space="0"/>
              <w:bottom w:val="single" w:color="auto" w:sz="4" w:space="0"/>
              <w:right w:val="single" w:color="000000" w:sz="4" w:space="0"/>
            </w:tcBorders>
          </w:tcPr>
          <w:p>
            <w:pPr>
              <w:widowControl/>
              <w:spacing w:line="560" w:lineRule="exact"/>
              <w:jc w:val="center"/>
              <w:rPr>
                <w:rFonts w:eastAsia="黑体"/>
                <w:color w:val="333333"/>
                <w:kern w:val="0"/>
                <w:sz w:val="32"/>
                <w:szCs w:val="32"/>
              </w:rPr>
            </w:pPr>
            <w:r>
              <w:rPr>
                <w:rFonts w:hint="eastAsia" w:eastAsia="黑体"/>
                <w:color w:val="333333"/>
                <w:kern w:val="0"/>
                <w:sz w:val="32"/>
                <w:szCs w:val="32"/>
              </w:rPr>
              <w:t>合计</w:t>
            </w:r>
          </w:p>
          <w:p>
            <w:pPr>
              <w:widowControl/>
              <w:spacing w:line="560" w:lineRule="exact"/>
              <w:jc w:val="center"/>
              <w:rPr>
                <w:rFonts w:eastAsia="黑体"/>
                <w:color w:val="333333"/>
                <w:kern w:val="0"/>
                <w:sz w:val="32"/>
                <w:szCs w:val="32"/>
              </w:rPr>
            </w:pPr>
            <w:r>
              <w:rPr>
                <w:rFonts w:hint="eastAsia" w:eastAsia="黑体"/>
                <w:color w:val="333333"/>
                <w:kern w:val="0"/>
                <w:sz w:val="32"/>
                <w:szCs w:val="32"/>
              </w:rPr>
              <w:t>（万元）</w:t>
            </w:r>
          </w:p>
        </w:tc>
      </w:tr>
      <w:tr>
        <w:tblPrEx>
          <w:tblCellMar>
            <w:top w:w="0" w:type="dxa"/>
            <w:left w:w="0" w:type="dxa"/>
            <w:bottom w:w="0" w:type="dxa"/>
            <w:right w:w="0" w:type="dxa"/>
          </w:tblCellMar>
        </w:tblPrEx>
        <w:trPr>
          <w:gridAfter w:val="1"/>
          <w:wAfter w:w="25" w:type="pct"/>
          <w:trHeight w:val="1010" w:hRule="atLeast"/>
          <w:jc w:val="center"/>
        </w:trPr>
        <w:tc>
          <w:tcPr>
            <w:tcW w:w="416"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560" w:lineRule="exact"/>
              <w:jc w:val="center"/>
              <w:textAlignment w:val="center"/>
              <w:rPr>
                <w:rFonts w:ascii="宋体" w:hAnsi="宋体" w:cs="宋体"/>
                <w:color w:val="000000"/>
                <w:kern w:val="0"/>
                <w:sz w:val="22"/>
              </w:rPr>
            </w:pPr>
            <w:r>
              <w:rPr>
                <w:rFonts w:hint="eastAsia" w:ascii="宋体" w:hAnsi="宋体" w:cs="宋体"/>
                <w:color w:val="000000"/>
                <w:kern w:val="0"/>
                <w:sz w:val="22"/>
              </w:rPr>
              <w:t>1</w:t>
            </w:r>
          </w:p>
        </w:tc>
        <w:tc>
          <w:tcPr>
            <w:tcW w:w="2367"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560" w:lineRule="exact"/>
              <w:jc w:val="center"/>
              <w:textAlignment w:val="center"/>
              <w:rPr>
                <w:rFonts w:hAnsi="宋体" w:eastAsia="仿宋_GB2312"/>
                <w:color w:val="333333"/>
                <w:kern w:val="0"/>
                <w:sz w:val="32"/>
                <w:szCs w:val="32"/>
              </w:rPr>
            </w:pPr>
            <w:r>
              <w:rPr>
                <w:rFonts w:hint="eastAsia" w:hAnsi="宋体" w:eastAsia="仿宋_GB2312"/>
                <w:color w:val="333333"/>
                <w:kern w:val="0"/>
                <w:sz w:val="32"/>
                <w:szCs w:val="32"/>
              </w:rPr>
              <w:t>需要组织专家评审的土壤污染状况初步调查报告技术评估</w:t>
            </w:r>
          </w:p>
        </w:tc>
        <w:tc>
          <w:tcPr>
            <w:tcW w:w="62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560" w:lineRule="exact"/>
              <w:jc w:val="center"/>
              <w:textAlignment w:val="center"/>
              <w:rPr>
                <w:rFonts w:ascii="宋体" w:hAnsi="宋体" w:cs="宋体"/>
                <w:color w:val="000000"/>
                <w:kern w:val="0"/>
                <w:sz w:val="22"/>
              </w:rPr>
            </w:pPr>
            <w:r>
              <w:rPr>
                <w:rFonts w:hint="eastAsia" w:ascii="宋体" w:hAnsi="宋体" w:cs="宋体"/>
                <w:color w:val="000000"/>
                <w:kern w:val="0"/>
                <w:sz w:val="22"/>
              </w:rPr>
              <w:t>20</w:t>
            </w:r>
          </w:p>
        </w:tc>
        <w:tc>
          <w:tcPr>
            <w:tcW w:w="726"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560" w:lineRule="exact"/>
              <w:jc w:val="center"/>
              <w:textAlignment w:val="center"/>
              <w:rPr>
                <w:rFonts w:ascii="宋体" w:hAnsi="宋体" w:cs="宋体"/>
                <w:color w:val="000000"/>
                <w:kern w:val="0"/>
                <w:sz w:val="22"/>
              </w:rPr>
            </w:pPr>
          </w:p>
        </w:tc>
        <w:tc>
          <w:tcPr>
            <w:tcW w:w="844" w:type="pct"/>
            <w:tcBorders>
              <w:top w:val="single" w:color="auto" w:sz="4" w:space="0"/>
              <w:left w:val="single" w:color="auto" w:sz="4" w:space="0"/>
              <w:bottom w:val="single" w:color="auto" w:sz="4" w:space="0"/>
              <w:right w:val="single" w:color="auto" w:sz="4" w:space="0"/>
            </w:tcBorders>
          </w:tcPr>
          <w:p>
            <w:pPr>
              <w:widowControl/>
              <w:spacing w:line="560" w:lineRule="exact"/>
              <w:jc w:val="center"/>
              <w:textAlignment w:val="center"/>
              <w:rPr>
                <w:rFonts w:ascii="宋体" w:hAnsi="宋体" w:cs="宋体"/>
                <w:color w:val="000000"/>
                <w:kern w:val="0"/>
                <w:sz w:val="22"/>
              </w:rPr>
            </w:pPr>
          </w:p>
        </w:tc>
      </w:tr>
      <w:tr>
        <w:tblPrEx>
          <w:tblCellMar>
            <w:top w:w="0" w:type="dxa"/>
            <w:left w:w="0" w:type="dxa"/>
            <w:bottom w:w="0" w:type="dxa"/>
            <w:right w:w="0" w:type="dxa"/>
          </w:tblCellMar>
        </w:tblPrEx>
        <w:trPr>
          <w:gridAfter w:val="1"/>
          <w:wAfter w:w="25" w:type="pct"/>
          <w:trHeight w:val="827" w:hRule="atLeast"/>
          <w:jc w:val="center"/>
        </w:trPr>
        <w:tc>
          <w:tcPr>
            <w:tcW w:w="416" w:type="pct"/>
            <w:tcBorders>
              <w:top w:val="single" w:color="auto" w:sz="4" w:space="0"/>
              <w:left w:val="single" w:color="000000" w:sz="4" w:space="0"/>
              <w:bottom w:val="single" w:color="auto" w:sz="4" w:space="0"/>
              <w:right w:val="single" w:color="auto" w:sz="4" w:space="0"/>
            </w:tcBorders>
            <w:shd w:val="clear" w:color="auto" w:fill="auto"/>
            <w:noWrap/>
            <w:tcMar>
              <w:top w:w="12" w:type="dxa"/>
              <w:left w:w="12" w:type="dxa"/>
              <w:right w:w="12" w:type="dxa"/>
            </w:tcMar>
            <w:vAlign w:val="center"/>
          </w:tcPr>
          <w:p>
            <w:pPr>
              <w:spacing w:line="560" w:lineRule="exact"/>
              <w:jc w:val="center"/>
              <w:textAlignment w:val="center"/>
              <w:rPr>
                <w:rFonts w:ascii="宋体" w:hAnsi="宋体" w:cs="宋体"/>
                <w:color w:val="000000"/>
                <w:kern w:val="0"/>
                <w:sz w:val="22"/>
              </w:rPr>
            </w:pPr>
            <w:r>
              <w:rPr>
                <w:rFonts w:hint="eastAsia" w:ascii="宋体" w:hAnsi="宋体" w:cs="宋体"/>
                <w:color w:val="000000"/>
                <w:kern w:val="0"/>
                <w:sz w:val="22"/>
              </w:rPr>
              <w:t>2</w:t>
            </w:r>
          </w:p>
        </w:tc>
        <w:tc>
          <w:tcPr>
            <w:tcW w:w="2367"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spacing w:line="560" w:lineRule="exact"/>
              <w:textAlignment w:val="center"/>
              <w:rPr>
                <w:rFonts w:ascii="宋体" w:hAnsi="宋体" w:cs="宋体"/>
                <w:color w:val="000000"/>
                <w:kern w:val="0"/>
                <w:sz w:val="22"/>
              </w:rPr>
            </w:pPr>
            <w:r>
              <w:rPr>
                <w:rFonts w:hint="eastAsia" w:hAnsi="宋体" w:eastAsia="仿宋_GB2312"/>
                <w:color w:val="333333"/>
                <w:kern w:val="0"/>
                <w:sz w:val="32"/>
                <w:szCs w:val="32"/>
              </w:rPr>
              <w:t>不组织专家评审的，评估机构出具土壤污染状况初步调查报告技术评估意见</w:t>
            </w:r>
          </w:p>
        </w:tc>
        <w:tc>
          <w:tcPr>
            <w:tcW w:w="62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spacing w:line="560" w:lineRule="exact"/>
              <w:jc w:val="center"/>
              <w:textAlignment w:val="center"/>
              <w:rPr>
                <w:rFonts w:ascii="宋体" w:hAnsi="宋体" w:cs="宋体"/>
                <w:color w:val="000000"/>
                <w:kern w:val="0"/>
                <w:sz w:val="22"/>
              </w:rPr>
            </w:pPr>
            <w:r>
              <w:rPr>
                <w:rFonts w:hint="eastAsia" w:ascii="宋体" w:hAnsi="宋体" w:cs="宋体"/>
                <w:color w:val="000000"/>
                <w:kern w:val="0"/>
                <w:sz w:val="22"/>
              </w:rPr>
              <w:t>4</w:t>
            </w:r>
          </w:p>
        </w:tc>
        <w:tc>
          <w:tcPr>
            <w:tcW w:w="726"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spacing w:line="560" w:lineRule="exact"/>
              <w:jc w:val="center"/>
              <w:textAlignment w:val="center"/>
              <w:rPr>
                <w:rFonts w:ascii="宋体" w:hAnsi="宋体" w:cs="宋体"/>
                <w:color w:val="000000"/>
                <w:kern w:val="0"/>
                <w:sz w:val="22"/>
              </w:rPr>
            </w:pPr>
          </w:p>
        </w:tc>
        <w:tc>
          <w:tcPr>
            <w:tcW w:w="844" w:type="pct"/>
            <w:tcBorders>
              <w:top w:val="single" w:color="auto" w:sz="4" w:space="0"/>
              <w:left w:val="single" w:color="auto" w:sz="4" w:space="0"/>
              <w:bottom w:val="single" w:color="auto" w:sz="4" w:space="0"/>
              <w:right w:val="single" w:color="auto" w:sz="4" w:space="0"/>
            </w:tcBorders>
          </w:tcPr>
          <w:p>
            <w:pPr>
              <w:spacing w:line="560" w:lineRule="exact"/>
              <w:jc w:val="center"/>
              <w:textAlignment w:val="center"/>
              <w:rPr>
                <w:rFonts w:ascii="宋体" w:hAnsi="宋体" w:cs="宋体"/>
                <w:color w:val="000000"/>
                <w:kern w:val="0"/>
                <w:sz w:val="22"/>
              </w:rPr>
            </w:pPr>
          </w:p>
        </w:tc>
      </w:tr>
      <w:tr>
        <w:tblPrEx>
          <w:tblCellMar>
            <w:top w:w="0" w:type="dxa"/>
            <w:left w:w="0" w:type="dxa"/>
            <w:bottom w:w="0" w:type="dxa"/>
            <w:right w:w="0" w:type="dxa"/>
          </w:tblCellMar>
        </w:tblPrEx>
        <w:trPr>
          <w:gridAfter w:val="1"/>
          <w:wAfter w:w="25" w:type="pct"/>
          <w:trHeight w:val="803" w:hRule="atLeast"/>
          <w:jc w:val="center"/>
        </w:trPr>
        <w:tc>
          <w:tcPr>
            <w:tcW w:w="4131" w:type="pct"/>
            <w:gridSpan w:val="4"/>
            <w:tcBorders>
              <w:top w:val="single" w:color="auto" w:sz="4" w:space="0"/>
              <w:left w:val="single" w:color="000000" w:sz="4" w:space="0"/>
              <w:bottom w:val="single" w:color="auto" w:sz="4" w:space="0"/>
              <w:right w:val="single" w:color="auto" w:sz="4" w:space="0"/>
            </w:tcBorders>
            <w:shd w:val="clear" w:color="auto" w:fill="auto"/>
            <w:noWrap/>
            <w:tcMar>
              <w:top w:w="12" w:type="dxa"/>
              <w:left w:w="12" w:type="dxa"/>
              <w:right w:w="12" w:type="dxa"/>
            </w:tcMar>
            <w:vAlign w:val="center"/>
          </w:tcPr>
          <w:p>
            <w:pPr>
              <w:spacing w:line="560" w:lineRule="exact"/>
              <w:jc w:val="center"/>
              <w:textAlignment w:val="center"/>
              <w:rPr>
                <w:rFonts w:ascii="宋体" w:hAnsi="宋体" w:cs="宋体"/>
                <w:color w:val="000000"/>
                <w:kern w:val="0"/>
                <w:sz w:val="22"/>
              </w:rPr>
            </w:pPr>
            <w:r>
              <w:rPr>
                <w:rFonts w:hint="eastAsia" w:eastAsia="黑体"/>
                <w:color w:val="333333"/>
                <w:kern w:val="0"/>
                <w:sz w:val="32"/>
                <w:szCs w:val="32"/>
              </w:rPr>
              <w:t>总   计</w:t>
            </w:r>
          </w:p>
        </w:tc>
        <w:tc>
          <w:tcPr>
            <w:tcW w:w="844" w:type="pct"/>
            <w:tcBorders>
              <w:top w:val="single" w:color="auto" w:sz="4" w:space="0"/>
              <w:left w:val="single" w:color="auto" w:sz="4" w:space="0"/>
              <w:bottom w:val="single" w:color="auto" w:sz="4" w:space="0"/>
              <w:right w:val="single" w:color="auto" w:sz="4" w:space="0"/>
            </w:tcBorders>
          </w:tcPr>
          <w:p>
            <w:pPr>
              <w:spacing w:line="560" w:lineRule="exact"/>
              <w:jc w:val="center"/>
              <w:textAlignment w:val="center"/>
              <w:rPr>
                <w:rFonts w:ascii="宋体" w:hAnsi="宋体" w:cs="宋体"/>
                <w:color w:val="000000"/>
                <w:kern w:val="0"/>
                <w:sz w:val="22"/>
              </w:rPr>
            </w:pPr>
          </w:p>
        </w:tc>
      </w:tr>
    </w:tbl>
    <w:p>
      <w:pPr>
        <w:widowControl/>
        <w:spacing w:line="560" w:lineRule="exact"/>
        <w:jc w:val="left"/>
        <w:rPr>
          <w:rFonts w:eastAsia="仿宋_GB2312"/>
          <w:color w:val="333333"/>
          <w:kern w:val="0"/>
          <w:sz w:val="32"/>
          <w:szCs w:val="32"/>
        </w:rPr>
      </w:pPr>
      <w:r>
        <w:rPr>
          <w:rFonts w:eastAsia="仿宋_GB2312"/>
          <w:color w:val="333333"/>
          <w:kern w:val="0"/>
          <w:sz w:val="32"/>
          <w:szCs w:val="32"/>
        </w:rPr>
        <w:t>  </w:t>
      </w:r>
      <w:r>
        <w:rPr>
          <w:rFonts w:hAnsi="宋体" w:eastAsia="仿宋_GB2312"/>
          <w:color w:val="333333"/>
          <w:kern w:val="0"/>
          <w:sz w:val="32"/>
          <w:szCs w:val="32"/>
        </w:rPr>
        <w:t>注：</w:t>
      </w:r>
      <w:r>
        <w:rPr>
          <w:rFonts w:eastAsia="仿宋_GB2312"/>
          <w:color w:val="333333"/>
          <w:kern w:val="0"/>
          <w:sz w:val="32"/>
          <w:szCs w:val="32"/>
        </w:rPr>
        <w:t xml:space="preserve">a) </w:t>
      </w:r>
      <w:r>
        <w:rPr>
          <w:rFonts w:hAnsi="宋体" w:eastAsia="仿宋_GB2312"/>
          <w:color w:val="333333"/>
          <w:kern w:val="0"/>
          <w:sz w:val="32"/>
          <w:szCs w:val="32"/>
        </w:rPr>
        <w:t>此表的内容根据询价文件要求包含所有需甲方支付给乙方的费用及利润。</w:t>
      </w:r>
    </w:p>
    <w:p>
      <w:pPr>
        <w:widowControl/>
        <w:spacing w:line="560" w:lineRule="exact"/>
        <w:ind w:firstLine="787" w:firstLineChars="246"/>
        <w:jc w:val="left"/>
        <w:rPr>
          <w:rFonts w:eastAsia="仿宋_GB2312"/>
          <w:color w:val="333333"/>
          <w:kern w:val="0"/>
          <w:sz w:val="32"/>
          <w:szCs w:val="32"/>
        </w:rPr>
      </w:pPr>
      <w:r>
        <w:rPr>
          <w:rFonts w:eastAsia="仿宋_GB2312"/>
          <w:color w:val="333333"/>
          <w:kern w:val="0"/>
          <w:sz w:val="32"/>
          <w:szCs w:val="32"/>
        </w:rPr>
        <w:t>b</w:t>
      </w:r>
      <w:r>
        <w:rPr>
          <w:rFonts w:hAnsi="宋体" w:eastAsia="仿宋_GB2312"/>
          <w:color w:val="333333"/>
          <w:kern w:val="0"/>
          <w:sz w:val="32"/>
          <w:szCs w:val="32"/>
        </w:rPr>
        <w:t>）报价表述限于选用中文大写或阿拉伯数字小写，均已核定准确无误。</w:t>
      </w:r>
      <w:r>
        <w:rPr>
          <w:rFonts w:eastAsia="仿宋_GB2312"/>
          <w:color w:val="333333"/>
          <w:kern w:val="0"/>
          <w:sz w:val="32"/>
          <w:szCs w:val="32"/>
        </w:rPr>
        <w:t>          </w:t>
      </w:r>
    </w:p>
    <w:p>
      <w:pPr>
        <w:widowControl/>
        <w:spacing w:line="560" w:lineRule="exact"/>
        <w:ind w:firstLine="630"/>
        <w:jc w:val="left"/>
        <w:rPr>
          <w:rFonts w:eastAsia="仿宋_GB2312"/>
          <w:color w:val="333333"/>
          <w:kern w:val="0"/>
          <w:sz w:val="32"/>
          <w:szCs w:val="32"/>
        </w:rPr>
      </w:pPr>
    </w:p>
    <w:p>
      <w:pPr>
        <w:widowControl/>
        <w:spacing w:line="560" w:lineRule="exact"/>
        <w:jc w:val="center"/>
        <w:rPr>
          <w:rFonts w:eastAsia="仿宋_GB2312"/>
          <w:color w:val="333333"/>
          <w:kern w:val="0"/>
          <w:sz w:val="32"/>
          <w:szCs w:val="32"/>
        </w:rPr>
      </w:pPr>
      <w:r>
        <w:rPr>
          <w:rFonts w:eastAsia="仿宋_GB2312"/>
          <w:color w:val="333333"/>
          <w:kern w:val="0"/>
          <w:sz w:val="32"/>
          <w:szCs w:val="32"/>
        </w:rPr>
        <w:t xml:space="preserve">                </w:t>
      </w:r>
      <w:r>
        <w:rPr>
          <w:rFonts w:hAnsi="宋体" w:eastAsia="仿宋_GB2312"/>
          <w:color w:val="333333"/>
          <w:kern w:val="0"/>
          <w:sz w:val="32"/>
          <w:szCs w:val="32"/>
        </w:rPr>
        <w:t>报价人名称（加盖公章）：</w:t>
      </w:r>
    </w:p>
    <w:p>
      <w:pPr>
        <w:widowControl/>
        <w:spacing w:line="560" w:lineRule="exact"/>
        <w:jc w:val="center"/>
        <w:rPr>
          <w:rFonts w:ascii="仿宋_GB2312" w:hAnsi="仿宋_GB2312" w:eastAsia="仿宋_GB2312" w:cs="仿宋_GB2312"/>
          <w:sz w:val="32"/>
          <w:szCs w:val="32"/>
        </w:rPr>
      </w:pPr>
      <w:r>
        <w:rPr>
          <w:rFonts w:hint="eastAsia" w:eastAsia="仿宋_GB2312"/>
          <w:color w:val="333333"/>
          <w:kern w:val="0"/>
          <w:sz w:val="32"/>
          <w:szCs w:val="32"/>
        </w:rPr>
        <w:t xml:space="preserve">               </w:t>
      </w:r>
      <w:r>
        <w:rPr>
          <w:rFonts w:hAnsi="宋体" w:eastAsia="仿宋_GB2312"/>
          <w:color w:val="333333"/>
          <w:kern w:val="0"/>
          <w:sz w:val="32"/>
          <w:szCs w:val="32"/>
        </w:rPr>
        <w:t>日</w:t>
      </w:r>
      <w:r>
        <w:rPr>
          <w:rFonts w:eastAsia="仿宋_GB2312"/>
          <w:color w:val="333333"/>
          <w:kern w:val="0"/>
          <w:sz w:val="32"/>
          <w:szCs w:val="32"/>
        </w:rPr>
        <w:t xml:space="preserve">  </w:t>
      </w:r>
      <w:r>
        <w:rPr>
          <w:rFonts w:hAnsi="宋体" w:eastAsia="仿宋_GB2312"/>
          <w:color w:val="333333"/>
          <w:kern w:val="0"/>
          <w:sz w:val="32"/>
          <w:szCs w:val="32"/>
        </w:rPr>
        <w:t>期：</w:t>
      </w:r>
      <w:r>
        <w:rPr>
          <w:rFonts w:hint="eastAsia" w:hAnsi="宋体" w:eastAsia="仿宋_GB2312"/>
          <w:color w:val="333333"/>
          <w:kern w:val="0"/>
          <w:sz w:val="32"/>
          <w:szCs w:val="32"/>
        </w:rPr>
        <w:t xml:space="preserve">   </w:t>
      </w:r>
      <w:r>
        <w:rPr>
          <w:rFonts w:hAnsi="宋体" w:eastAsia="仿宋_GB2312"/>
          <w:color w:val="333333"/>
          <w:kern w:val="0"/>
          <w:sz w:val="32"/>
          <w:szCs w:val="32"/>
        </w:rPr>
        <w:t>年</w:t>
      </w:r>
      <w:r>
        <w:rPr>
          <w:rFonts w:eastAsia="仿宋_GB2312"/>
          <w:color w:val="333333"/>
          <w:kern w:val="0"/>
          <w:sz w:val="32"/>
          <w:szCs w:val="32"/>
        </w:rPr>
        <w:t> </w:t>
      </w:r>
      <w:r>
        <w:rPr>
          <w:rFonts w:hint="eastAsia" w:eastAsia="仿宋_GB2312"/>
          <w:color w:val="333333"/>
          <w:kern w:val="0"/>
          <w:sz w:val="32"/>
          <w:szCs w:val="32"/>
        </w:rPr>
        <w:t xml:space="preserve">   </w:t>
      </w:r>
      <w:r>
        <w:rPr>
          <w:rFonts w:hAnsi="宋体" w:eastAsia="仿宋_GB2312"/>
          <w:color w:val="333333"/>
          <w:kern w:val="0"/>
          <w:sz w:val="32"/>
          <w:szCs w:val="32"/>
        </w:rPr>
        <w:t>月</w:t>
      </w:r>
      <w:r>
        <w:rPr>
          <w:rFonts w:hint="eastAsia" w:hAnsi="宋体" w:eastAsia="仿宋_GB2312"/>
          <w:color w:val="333333"/>
          <w:kern w:val="0"/>
          <w:sz w:val="32"/>
          <w:szCs w:val="32"/>
        </w:rPr>
        <w:t xml:space="preserve">   </w:t>
      </w:r>
      <w:r>
        <w:rPr>
          <w:rFonts w:hAnsi="宋体" w:eastAsia="仿宋_GB2312"/>
          <w:color w:val="333333"/>
          <w:kern w:val="0"/>
          <w:sz w:val="32"/>
          <w:szCs w:val="32"/>
        </w:rPr>
        <w:t>日</w:t>
      </w:r>
    </w:p>
    <w:sectPr>
      <w:pgSz w:w="11906" w:h="16838"/>
      <w:pgMar w:top="209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6363678"/>
    <w:rsid w:val="000A68E0"/>
    <w:rsid w:val="001C01F0"/>
    <w:rsid w:val="007A2BDA"/>
    <w:rsid w:val="007F7CFA"/>
    <w:rsid w:val="009B05E6"/>
    <w:rsid w:val="009C5546"/>
    <w:rsid w:val="00B23359"/>
    <w:rsid w:val="00C03DCA"/>
    <w:rsid w:val="00CA0F25"/>
    <w:rsid w:val="00DD451F"/>
    <w:rsid w:val="16363678"/>
    <w:rsid w:val="75285E13"/>
    <w:rsid w:val="7F0000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rPr>
  </w:style>
  <w:style w:type="character" w:customStyle="1" w:styleId="7">
    <w:name w:val="页眉 Char"/>
    <w:basedOn w:val="5"/>
    <w:link w:val="3"/>
    <w:uiPriority w:val="0"/>
    <w:rPr>
      <w:kern w:val="2"/>
      <w:sz w:val="18"/>
      <w:szCs w:val="18"/>
    </w:rPr>
  </w:style>
  <w:style w:type="character" w:customStyle="1" w:styleId="8">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258</Words>
  <Characters>1477</Characters>
  <Lines>12</Lines>
  <Paragraphs>3</Paragraphs>
  <TotalTime>13</TotalTime>
  <ScaleCrop>false</ScaleCrop>
  <LinksUpToDate>false</LinksUpToDate>
  <CharactersWithSpaces>1732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2021-02-02T08:10:00Z</dcterms:created>
  <dc:creator>紆玓</dc:creator>
  <cp:lastModifiedBy>空海</cp:lastModifiedBy>
  <cp:lastPrinted>2021-02-02T08:34:00Z</cp:lastPrinted>
  <dcterms:modified xsi:type="dcterms:W3CDTF">2021-02-05T09:29:40Z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