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宋体" w:hAnsi="宋体"/>
          <w:b/>
          <w:color w:val="auto"/>
          <w:kern w:val="0"/>
          <w:sz w:val="32"/>
          <w:szCs w:val="32"/>
        </w:rPr>
      </w:pPr>
      <w:r>
        <w:rPr>
          <w:rFonts w:hint="eastAsia" w:ascii="宋体" w:hAnsi="宋体"/>
          <w:b/>
          <w:color w:val="auto"/>
          <w:kern w:val="0"/>
          <w:sz w:val="32"/>
          <w:szCs w:val="32"/>
        </w:rPr>
        <w:t>择   优  项  目  表</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ascii="宋体" w:hAnsi="宋体" w:cs="宋体"/>
          <w:bCs/>
          <w:color w:val="auto"/>
          <w:kern w:val="0"/>
          <w:szCs w:val="21"/>
        </w:rPr>
      </w:pPr>
      <w:r>
        <w:rPr>
          <w:rFonts w:hint="eastAsia" w:cs="宋体"/>
          <w:color w:val="auto"/>
          <w:kern w:val="0"/>
          <w:szCs w:val="21"/>
        </w:rPr>
        <w:t>项目名称：</w:t>
      </w:r>
      <w:r>
        <w:rPr>
          <w:rFonts w:hint="eastAsia" w:cs="宋体"/>
          <w:color w:val="auto"/>
          <w:kern w:val="0"/>
          <w:szCs w:val="21"/>
          <w:lang w:eastAsia="zh-CN"/>
        </w:rPr>
        <w:t>广州天河智慧城核心区——软件园高唐新建区软件产业集中孵化中心（三期）外围道路（天政街和天蕴路）设施完善工程施工单位比较考察</w:t>
      </w:r>
      <w:r>
        <w:rPr>
          <w:rFonts w:hint="eastAsia" w:cs="宋体"/>
          <w:color w:val="auto"/>
          <w:kern w:val="0"/>
          <w:szCs w:val="21"/>
          <w:lang w:val="en-US" w:eastAsia="zh-CN"/>
        </w:rPr>
        <w:t xml:space="preserve">                                                                                                            </w:t>
      </w:r>
      <w:r>
        <w:rPr>
          <w:rFonts w:hint="eastAsia" w:cs="宋体"/>
          <w:color w:val="auto"/>
          <w:kern w:val="0"/>
          <w:szCs w:val="21"/>
        </w:rPr>
        <w:t>日期：</w:t>
      </w:r>
      <w:r>
        <w:rPr>
          <w:rFonts w:hint="eastAsia" w:ascii="宋体" w:hAnsi="宋体" w:cs="宋体"/>
          <w:color w:val="auto"/>
          <w:kern w:val="0"/>
          <w:szCs w:val="21"/>
          <w:lang w:val="en-US" w:eastAsia="zh-CN"/>
        </w:rPr>
        <w:t xml:space="preserve">  </w:t>
      </w:r>
      <w:r>
        <w:rPr>
          <w:rFonts w:hint="eastAsia" w:cs="宋体"/>
          <w:color w:val="auto"/>
          <w:kern w:val="0"/>
          <w:szCs w:val="21"/>
        </w:rPr>
        <w:t>年</w:t>
      </w:r>
      <w:r>
        <w:rPr>
          <w:rFonts w:ascii="宋体" w:hAnsi="宋体" w:cs="宋体"/>
          <w:color w:val="auto"/>
          <w:kern w:val="0"/>
          <w:szCs w:val="21"/>
        </w:rPr>
        <w:t xml:space="preserve">  </w:t>
      </w:r>
      <w:r>
        <w:rPr>
          <w:rFonts w:hint="eastAsia" w:cs="宋体"/>
          <w:color w:val="auto"/>
          <w:kern w:val="0"/>
          <w:szCs w:val="21"/>
        </w:rPr>
        <w:t>月</w:t>
      </w:r>
      <w:r>
        <w:rPr>
          <w:rFonts w:ascii="宋体" w:hAnsi="宋体" w:cs="宋体"/>
          <w:color w:val="auto"/>
          <w:kern w:val="0"/>
          <w:szCs w:val="21"/>
        </w:rPr>
        <w:t xml:space="preserve">   </w:t>
      </w:r>
      <w:r>
        <w:rPr>
          <w:rFonts w:hint="eastAsia" w:cs="宋体"/>
          <w:color w:val="auto"/>
          <w:kern w:val="0"/>
          <w:szCs w:val="21"/>
        </w:rPr>
        <w:t xml:space="preserve">日     </w:t>
      </w:r>
      <w:r>
        <w:rPr>
          <w:rFonts w:hint="eastAsia" w:ascii="宋体" w:hAnsi="宋体" w:cs="宋体"/>
          <w:color w:val="auto"/>
          <w:kern w:val="0"/>
          <w:szCs w:val="21"/>
        </w:rPr>
        <w:t xml:space="preserve"> </w:t>
      </w:r>
      <w:r>
        <w:rPr>
          <w:rFonts w:ascii="宋体" w:hAnsi="宋体" w:cs="宋体"/>
          <w:color w:val="auto"/>
          <w:kern w:val="0"/>
          <w:szCs w:val="21"/>
        </w:rPr>
        <w:t xml:space="preserve">   </w:t>
      </w:r>
    </w:p>
    <w:tbl>
      <w:tblPr>
        <w:tblStyle w:val="3"/>
        <w:tblW w:w="15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2097"/>
        <w:gridCol w:w="2279"/>
        <w:gridCol w:w="1704"/>
        <w:gridCol w:w="1555"/>
        <w:gridCol w:w="1480"/>
        <w:gridCol w:w="1489"/>
        <w:gridCol w:w="1521"/>
        <w:gridCol w:w="1470"/>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spacing w:val="-10"/>
                <w:kern w:val="0"/>
                <w:sz w:val="18"/>
                <w:szCs w:val="18"/>
              </w:rPr>
            </w:pPr>
            <w:r>
              <w:rPr>
                <w:rFonts w:hint="eastAsia" w:ascii="宋体" w:hAnsi="宋体" w:cs="宋体"/>
                <w:color w:val="auto"/>
                <w:spacing w:val="-10"/>
                <w:kern w:val="0"/>
                <w:sz w:val="18"/>
                <w:szCs w:val="18"/>
              </w:rPr>
              <w:t>序</w:t>
            </w:r>
          </w:p>
          <w:p>
            <w:pPr>
              <w:widowControl/>
              <w:jc w:val="center"/>
              <w:rPr>
                <w:rFonts w:hint="eastAsia" w:ascii="宋体" w:hAnsi="宋体" w:cs="宋体"/>
                <w:color w:val="auto"/>
                <w:spacing w:val="-10"/>
                <w:kern w:val="0"/>
                <w:sz w:val="18"/>
                <w:szCs w:val="18"/>
              </w:rPr>
            </w:pPr>
          </w:p>
          <w:p>
            <w:pPr>
              <w:widowControl/>
              <w:jc w:val="center"/>
              <w:rPr>
                <w:rFonts w:hint="eastAsia" w:ascii="宋体" w:hAnsi="宋体" w:cs="宋体"/>
                <w:color w:val="auto"/>
                <w:spacing w:val="-10"/>
                <w:kern w:val="0"/>
                <w:sz w:val="18"/>
                <w:szCs w:val="18"/>
              </w:rPr>
            </w:pPr>
          </w:p>
          <w:p>
            <w:pPr>
              <w:widowControl/>
              <w:jc w:val="center"/>
              <w:rPr>
                <w:rFonts w:ascii="宋体" w:hAnsi="宋体" w:cs="宋体"/>
                <w:color w:val="auto"/>
                <w:spacing w:val="-10"/>
                <w:kern w:val="0"/>
                <w:sz w:val="18"/>
                <w:szCs w:val="18"/>
              </w:rPr>
            </w:pPr>
            <w:r>
              <w:rPr>
                <w:rFonts w:hint="eastAsia" w:ascii="宋体" w:hAnsi="宋体" w:cs="宋体"/>
                <w:color w:val="auto"/>
                <w:spacing w:val="-10"/>
                <w:kern w:val="0"/>
                <w:sz w:val="18"/>
                <w:szCs w:val="18"/>
              </w:rPr>
              <w:t>号</w:t>
            </w:r>
          </w:p>
        </w:tc>
        <w:tc>
          <w:tcPr>
            <w:tcW w:w="2097" w:type="dxa"/>
            <w:vMerge w:val="restart"/>
            <w:tcBorders>
              <w:top w:val="single" w:color="auto" w:sz="4" w:space="0"/>
              <w:left w:val="single" w:color="auto" w:sz="4" w:space="0"/>
              <w:bottom w:val="single" w:color="auto" w:sz="4" w:space="0"/>
              <w:right w:val="single" w:color="auto" w:sz="4" w:space="0"/>
            </w:tcBorders>
            <w:noWrap w:val="0"/>
            <w:vAlign w:val="top"/>
          </w:tcPr>
          <w:p>
            <w:pPr>
              <w:widowControl/>
              <w:ind w:firstLine="180" w:firstLineChars="100"/>
              <w:jc w:val="left"/>
              <w:rPr>
                <w:rFonts w:hint="eastAsia" w:ascii="宋体" w:hAnsi="宋体" w:cs="宋体"/>
                <w:color w:val="auto"/>
                <w:kern w:val="0"/>
                <w:sz w:val="18"/>
                <w:szCs w:val="18"/>
              </w:rPr>
            </w:pPr>
            <w:r>
              <w:rPr>
                <w:rFonts w:hint="eastAsia" w:ascii="宋体" w:hAnsi="宋体" w:cs="宋体"/>
                <w:color w:val="auto"/>
                <w:kern w:val="0"/>
                <w:sz w:val="18"/>
                <w:szCs w:val="18"/>
              </w:rPr>
              <mc:AlternateContent>
                <mc:Choice Requires="wps">
                  <w:drawing>
                    <wp:anchor distT="0" distB="0" distL="114300" distR="114300" simplePos="0" relativeHeight="251660288" behindDoc="1" locked="0" layoutInCell="1" allowOverlap="1">
                      <wp:simplePos x="0" y="0"/>
                      <wp:positionH relativeFrom="column">
                        <wp:posOffset>-65405</wp:posOffset>
                      </wp:positionH>
                      <wp:positionV relativeFrom="paragraph">
                        <wp:posOffset>-2540</wp:posOffset>
                      </wp:positionV>
                      <wp:extent cx="1322705" cy="2727325"/>
                      <wp:effectExtent l="4445" t="1905" r="6350" b="13970"/>
                      <wp:wrapNone/>
                      <wp:docPr id="3" name="直接连接符 3"/>
                      <wp:cNvGraphicFramePr/>
                      <a:graphic xmlns:a="http://schemas.openxmlformats.org/drawingml/2006/main">
                        <a:graphicData uri="http://schemas.microsoft.com/office/word/2010/wordprocessingShape">
                          <wps:wsp>
                            <wps:cNvCnPr/>
                            <wps:spPr>
                              <a:xfrm>
                                <a:off x="0" y="0"/>
                                <a:ext cx="1322705" cy="2727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5pt;margin-top:-0.2pt;height:214.75pt;width:104.15pt;z-index:-251656192;mso-width-relative:page;mso-height-relative:page;" filled="f" stroked="t" coordsize="21600,21600" o:gfxdata="UEsDBAoAAAAAAIdO4kAAAAAAAAAAAAAAAAAEAAAAZHJzL1BLAwQUAAAACACHTuJAIoyg2NgAAAAJ&#10;AQAADwAAAGRycy9kb3ducmV2LnhtbE2PvU7DQBCEeyTe4bRINFFyZydCieNzCsAdDQFEu7EX24pv&#10;z/FdfuDp2VTQ7WhGs9/km4vr1YnG0Hm2kMwMKOLK1x03Ft7fyukSVIjINfaeycI3BdgUtzc5ZrU/&#10;8yudtrFRUsIhQwttjEOmdahachhmfiAW78uPDqPIsdH1iGcpd71OjXnQDjuWDy0O9NhStd8enYVQ&#10;ftCh/JlUE/M5bzylh6eXZ7T2/i4xa1CRLvEvDFd8QYdCmHb+yHVQvYVpYuYSlWMB6uqvlrJtZ2GR&#10;rhLQRa7/Lyh+AVBLAwQUAAAACACHTuJApaCvlt8BAACcAwAADgAAAGRycy9lMm9Eb2MueG1srVNL&#10;jhMxEN0jcQfLe9KdjkKYVjqzmDBsEEQCDlDxp9uSf7I96eQSXACJHaxYsuc2MxyDspPJ8NkgRC+q&#10;y67n53qvq5eXe6PJToSonO3odFJTIixzXNm+o+/eXj95RklMYDloZ0VHDyLSy9XjR8vRt6Jxg9Nc&#10;BIIkNraj7+iQkm+rKrJBGIgT54XFonTBQMJl6CseYER2o6umrp9WowvcB8dEjLi7PhbpqvBLKVh6&#10;LWUUieiOYm+pxFDiNsdqtYS2D+AHxU5twD90YUBZvPRMtYYE5CaoP6iMYsFFJ9OEOVM5KRUTRQOq&#10;mda/qXkzgBdFC5oT/dmm+P9o2avdJhDFOzqjxILBT3T34evt+0/fv33EePflM5llk0YfW8Re2U04&#10;raLfhKx4L4PJb9RC9sXYw9lYsU+E4eZ01jSLek4Jw1qzaBazZp5Zq4fjPsT0QjhDctJRrWxWDi3s&#10;XsZ0hN5D8ra2ZOzoxRx5CAMcHKkhYWo8Som2L2ej04pfK63ziRj67ZUOZAd5FMpzauEXWL5kDXE4&#10;4kopw6AdBPDnlpN08GiSxWmmuQUjOCVa4PDnrCATKP03SFSvLZqQvT26mbOt4wf8JDc+qH5AJ6al&#10;y1zBESiWncY1z9jP68L08FO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ijKDY2AAAAAkBAAAP&#10;AAAAAAAAAAEAIAAAACIAAABkcnMvZG93bnJldi54bWxQSwECFAAUAAAACACHTuJApaCvlt8BAACc&#10;AwAADgAAAAAAAAABACAAAAAnAQAAZHJzL2Uyb0RvYy54bWxQSwUGAAAAAAYABgBZAQAAeAUAAAAA&#10;">
                      <v:fill on="f" focussize="0,0"/>
                      <v:stroke color="#000000" joinstyle="round"/>
                      <v:imagedata o:title=""/>
                      <o:lock v:ext="edit" aspectratio="f"/>
                    </v:line>
                  </w:pict>
                </mc:Fallback>
              </mc:AlternateContent>
            </w:r>
            <w:r>
              <w:rPr>
                <w:rFonts w:hint="eastAsia" w:ascii="宋体" w:hAnsi="宋体" w:cs="宋体"/>
                <w:color w:val="auto"/>
                <w:kern w:val="0"/>
                <w:sz w:val="18"/>
                <w:szCs w:val="18"/>
              </w:rPr>
              <mc:AlternateContent>
                <mc:Choice Requires="wps">
                  <w:drawing>
                    <wp:anchor distT="0" distB="0" distL="114300" distR="114300" simplePos="0" relativeHeight="251659264" behindDoc="1" locked="0" layoutInCell="1" allowOverlap="1">
                      <wp:simplePos x="0" y="0"/>
                      <wp:positionH relativeFrom="column">
                        <wp:posOffset>-61595</wp:posOffset>
                      </wp:positionH>
                      <wp:positionV relativeFrom="paragraph">
                        <wp:posOffset>8890</wp:posOffset>
                      </wp:positionV>
                      <wp:extent cx="1324610" cy="1353820"/>
                      <wp:effectExtent l="3175" t="3175" r="5715" b="14605"/>
                      <wp:wrapNone/>
                      <wp:docPr id="1" name="直接连接符 1"/>
                      <wp:cNvGraphicFramePr/>
                      <a:graphic xmlns:a="http://schemas.openxmlformats.org/drawingml/2006/main">
                        <a:graphicData uri="http://schemas.microsoft.com/office/word/2010/wordprocessingShape">
                          <wps:wsp>
                            <wps:cNvCnPr/>
                            <wps:spPr>
                              <a:xfrm>
                                <a:off x="0" y="0"/>
                                <a:ext cx="1324610" cy="13538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5pt;margin-top:0.7pt;height:106.6pt;width:104.3pt;z-index:-251657216;mso-width-relative:page;mso-height-relative:page;" filled="f" stroked="t" coordsize="21600,21600" o:gfxdata="UEsDBAoAAAAAAIdO4kAAAAAAAAAAAAAAAAAEAAAAZHJzL1BLAwQUAAAACACHTuJAAjGbX9cAAAAI&#10;AQAADwAAAGRycy9kb3ducmV2LnhtbE2PzU7DMBCE70i8g7VIXKrWTqjaJsTpAciNCwXU6zZekoh4&#10;ncbuDzw97qkcZ2c0822xPtteHGn0nWMNyUyBIK6d6bjR8PFeTVcgfEA22DsmDT/kYV3e3hSYG3fi&#10;NzpuQiNiCfscNbQhDLmUvm7Jop+5gTh6X260GKIcG2lGPMVy28tUqYW02HFcaHGgp5bq783BavDV&#10;J+2r30k9UduHxlG6f359Qa3v7xL1CCLQOVzDcMGP6FBGpp07sPGi1zDNljEZ73MQFztbZSB2GtJk&#10;vgBZFvL/A+UfUEsDBBQAAAAIAIdO4kD228WM4AEAAJwDAAAOAAAAZHJzL2Uyb0RvYy54bWytU0uO&#10;EzEQ3SNxB8t70umEjIZWOrOYMGwQRAIOULHd3Zb8k8uTTi7BBZDYwYole27DcAzKTsjw2SBEFpWy&#10;XX5V7/n18mpvDdupiNq7lteTKWfKCS+161v+5vXNo0vOMIGTYLxTLT8o5Ferhw+WY2jUzA/eSBUZ&#10;gThsxtDyIaXQVBWKQVnAiQ/K0WHno4VEy9hXMsJI6NZUs+n0ohp9lCF6oRBpd3085KuC33VKpJdd&#10;hyox03KaLZUYS9zmWK2W0PQRwqDFaQz4hyksaEdNz1BrSMBuo/4DymoRPfouTYS3le86LVThQGzq&#10;6W9sXg0QVOFC4mA4y4T/D1a82G0i05LejjMHlp7o7t3nr28/fPvynuLdp4+sziKNARuqvXabeFph&#10;2MTMeN9Fm/+JC9sXYQ9nYdU+MUGb9Xz2+KIm/QWd1fPF/HJWpK/ur4eI6ZnyluWk5Ua7zBwa2D3H&#10;RC2p9EdJ3jaOjS1/spgtCBTIOJ2BRKkNRAVdX+6iN1reaGPyDYz99tpEtoNshfLLxAj3l7LcZA04&#10;HOvK0dEkgwL51EmWDoFEcuRmnkewSnJmFJk/ZwQITQJt/qaSWhtHE2Rtj2rmbOvlgZ7kNkTdD6RE&#10;kb/UkAXKvCe7Zo/9vC5I9x/V6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CMZtf1wAAAAgBAAAP&#10;AAAAAAAAAAEAIAAAACIAAABkcnMvZG93bnJldi54bWxQSwECFAAUAAAACACHTuJA9tvFjOABAACc&#10;AwAADgAAAAAAAAABACAAAAAmAQAAZHJzL2Uyb0RvYy54bWxQSwUGAAAAAAYABgBZAQAAeAUAAAAA&#10;">
                      <v:fill on="f" focussize="0,0"/>
                      <v:stroke color="#000000" joinstyle="round"/>
                      <v:imagedata o:title=""/>
                      <o:lock v:ext="edit" aspectratio="f"/>
                    </v:line>
                  </w:pict>
                </mc:Fallback>
              </mc:AlternateContent>
            </w:r>
            <w:r>
              <w:rPr>
                <w:rFonts w:hint="eastAsia" w:ascii="宋体" w:hAnsi="宋体" w:cs="宋体"/>
                <w:color w:val="auto"/>
                <w:kern w:val="0"/>
                <w:sz w:val="18"/>
                <w:szCs w:val="18"/>
              </w:rPr>
              <mc:AlternateContent>
                <mc:Choice Requires="wps">
                  <w:drawing>
                    <wp:anchor distT="0" distB="0" distL="114300" distR="114300" simplePos="0" relativeHeight="251658240" behindDoc="1" locked="0" layoutInCell="1" allowOverlap="1">
                      <wp:simplePos x="0" y="0"/>
                      <wp:positionH relativeFrom="column">
                        <wp:posOffset>-67945</wp:posOffset>
                      </wp:positionH>
                      <wp:positionV relativeFrom="paragraph">
                        <wp:posOffset>1905</wp:posOffset>
                      </wp:positionV>
                      <wp:extent cx="1332230" cy="717550"/>
                      <wp:effectExtent l="2540" t="4445" r="17780" b="20955"/>
                      <wp:wrapNone/>
                      <wp:docPr id="2" name="直接连接符 2"/>
                      <wp:cNvGraphicFramePr/>
                      <a:graphic xmlns:a="http://schemas.openxmlformats.org/drawingml/2006/main">
                        <a:graphicData uri="http://schemas.microsoft.com/office/word/2010/wordprocessingShape">
                          <wps:wsp>
                            <wps:cNvCnPr/>
                            <wps:spPr>
                              <a:xfrm>
                                <a:off x="0" y="0"/>
                                <a:ext cx="1332230" cy="7175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0.15pt;height:56.5pt;width:104.9pt;z-index:-251658240;mso-width-relative:page;mso-height-relative:page;" filled="f" stroked="t" coordsize="21600,21600" o:gfxdata="UEsDBAoAAAAAAIdO4kAAAAAAAAAAAAAAAAAEAAAAZHJzL1BLAwQUAAAACACHTuJAePb3NtcAAAAI&#10;AQAADwAAAGRycy9kb3ducmV2LnhtbE2PzU7DMBCE70i8g7WVuFSt7UYqNMTpAciNCwXEdRsvSdR4&#10;ncbuDzw97qncZjWjmW+L9dn14khj6Dwb0HMFgrj2tuPGwMd7NXsAESKyxd4zGfihAOvy9qbA3PoT&#10;v9FxExuRSjjkaKCNccilDHVLDsPcD8TJ+/ajw5jOsZF2xFMqd71cKLWUDjtOCy0O9NRSvdscnIFQ&#10;fdK++p3WU/WVNZ4W++fXFzTmbqLVI4hI53gNwwU/oUOZmLb+wDaI3sBMq/sUNZCBuNirlQaxTUJn&#10;GciykP8fKP8AUEsDBBQAAAAIAIdO4kAOtc//4AEAAJsDAAAOAAAAZHJzL2Uyb0RvYy54bWytU0uO&#10;EzEQ3SNxB8t70klHYaCVziwmDBsEkYADVGx3tyX/5PKkk0twASR2sGLJntvMcAzKTsjw2SBEL6rL&#10;rvJzvdevl5d7a9hORdTetXw2mXKmnPBSu77lb99cP3rCGSZwEox3quUHhfxy9fDBcgyNqv3gjVSR&#10;EYjDZgwtH1IKTVWhGJQFnPigHBU7Hy0kWsa+khFGQremqqfTx9XoowzRC4VIu+tjka8KftcpkV51&#10;HarETMtptlRiLHGbY7VaQtNHCIMWpzHgH6awoB1deoZaQwJ2E/UfUFaL6NF3aSK8rXzXaaEKB2Iz&#10;m/7G5vUAQRUuJA6Gs0z4/2DFy90mMi1bXnPmwNInunv/5fbdx29fP1C8+/yJ1VmkMWBDvVduE08r&#10;DJuYGe+7aPObuLB9EfZwFlbtExO0OZvP63pO+guqXcwuFouifHV/OkRMz5W3LCctN9pl4tDA7gUm&#10;upFaf7TkbePY2PKni3pBmEC+6QwkSm0gJuj6cha90fJaG5NPYOy3VyayHWQnlCfzItxf2vIla8Dh&#10;2FdKR48MCuQzJ1k6BNLIkZl5HsEqyZlR5P2cESA0CbT5m0662jiaIEt7FDNnWy8P9EVuQtT9QErM&#10;ypS5Qg4o857cmi3287og3f9T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49vc21wAAAAgBAAAP&#10;AAAAAAAAAAEAIAAAACIAAABkcnMvZG93bnJldi54bWxQSwECFAAUAAAACACHTuJADrXP/+ABAACb&#10;AwAADgAAAAAAAAABACAAAAAmAQAAZHJzL2Uyb0RvYy54bWxQSwUGAAAAAAYABgBZAQAAeAUAAAAA&#10;">
                      <v:fill on="f" focussize="0,0"/>
                      <v:stroke color="#000000" joinstyle="round"/>
                      <v:imagedata o:title=""/>
                      <o:lock v:ext="edit" aspectratio="f"/>
                    </v:line>
                  </w:pict>
                </mc:Fallback>
              </mc:AlternateContent>
            </w:r>
            <w:r>
              <w:rPr>
                <w:rFonts w:hint="eastAsia" w:cs="宋体"/>
                <w:color w:val="auto"/>
                <w:kern w:val="0"/>
                <w:sz w:val="18"/>
                <w:szCs w:val="18"/>
                <w:lang w:val="en-US" w:eastAsia="zh-CN"/>
              </w:rPr>
              <w:t xml:space="preserve">     </w:t>
            </w:r>
            <w:r>
              <w:rPr>
                <w:rFonts w:hint="eastAsia" w:cs="宋体"/>
                <w:color w:val="auto"/>
                <w:kern w:val="0"/>
                <w:sz w:val="18"/>
                <w:szCs w:val="18"/>
              </w:rPr>
              <w:t>项目及权重</w:t>
            </w:r>
          </w:p>
          <w:p>
            <w:pPr>
              <w:widowControl/>
              <w:jc w:val="left"/>
              <w:rPr>
                <w:rFonts w:hint="eastAsia" w:ascii="宋体" w:hAnsi="宋体" w:cs="宋体"/>
                <w:color w:val="auto"/>
                <w:kern w:val="0"/>
                <w:sz w:val="18"/>
                <w:szCs w:val="18"/>
              </w:rPr>
            </w:pPr>
            <w:r>
              <w:rPr>
                <w:rFonts w:ascii="宋体" w:hAnsi="宋体" w:cs="宋体"/>
                <w:color w:val="auto"/>
                <w:kern w:val="0"/>
                <w:sz w:val="18"/>
                <w:szCs w:val="18"/>
              </w:rPr>
              <w:t xml:space="preserve">  </w:t>
            </w:r>
          </w:p>
          <w:p>
            <w:pPr>
              <w:widowControl/>
              <w:jc w:val="left"/>
              <w:rPr>
                <w:rFonts w:hint="eastAsia" w:ascii="宋体" w:hAnsi="宋体" w:cs="宋体"/>
                <w:color w:val="auto"/>
                <w:kern w:val="0"/>
                <w:sz w:val="18"/>
                <w:szCs w:val="18"/>
              </w:rPr>
            </w:pPr>
          </w:p>
          <w:p>
            <w:pPr>
              <w:widowControl/>
              <w:ind w:left="1530" w:hanging="1530" w:hangingChars="850"/>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ascii="宋体" w:hAnsi="宋体" w:cs="宋体"/>
                <w:color w:val="auto"/>
                <w:kern w:val="0"/>
                <w:sz w:val="18"/>
                <w:szCs w:val="18"/>
              </w:rPr>
              <w:t xml:space="preserve">  </w:t>
            </w:r>
            <w:r>
              <w:rPr>
                <w:rFonts w:hint="eastAsia" w:cs="宋体"/>
                <w:color w:val="auto"/>
                <w:kern w:val="0"/>
                <w:sz w:val="18"/>
                <w:szCs w:val="18"/>
              </w:rPr>
              <w:t>子项</w:t>
            </w:r>
            <w:r>
              <w:rPr>
                <w:rFonts w:ascii="宋体" w:hAnsi="宋体" w:cs="宋体"/>
                <w:color w:val="auto"/>
                <w:kern w:val="0"/>
                <w:sz w:val="18"/>
                <w:szCs w:val="18"/>
              </w:rPr>
              <w:t xml:space="preserve"> </w:t>
            </w:r>
          </w:p>
          <w:p>
            <w:pPr>
              <w:widowControl/>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cs="宋体"/>
                <w:color w:val="auto"/>
                <w:kern w:val="0"/>
                <w:sz w:val="18"/>
                <w:szCs w:val="18"/>
              </w:rPr>
              <w:t>分</w:t>
            </w:r>
          </w:p>
          <w:p>
            <w:pPr>
              <w:widowControl/>
              <w:ind w:firstLine="360"/>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cs="宋体"/>
                <w:color w:val="auto"/>
                <w:kern w:val="0"/>
                <w:sz w:val="18"/>
                <w:szCs w:val="18"/>
              </w:rPr>
              <w:t>数</w:t>
            </w:r>
          </w:p>
          <w:p>
            <w:pPr>
              <w:widowControl/>
              <w:jc w:val="left"/>
              <w:rPr>
                <w:rFonts w:ascii="宋体" w:hAnsi="宋体" w:cs="宋体"/>
                <w:color w:val="auto"/>
                <w:kern w:val="0"/>
                <w:sz w:val="18"/>
                <w:szCs w:val="18"/>
              </w:rPr>
            </w:pPr>
            <w:r>
              <w:rPr>
                <w:rFonts w:hint="eastAsia" w:cs="宋体"/>
                <w:color w:val="auto"/>
                <w:kern w:val="0"/>
                <w:sz w:val="18"/>
                <w:szCs w:val="18"/>
              </w:rPr>
              <w:t>单</w:t>
            </w:r>
            <w:r>
              <w:rPr>
                <w:rFonts w:ascii="宋体" w:hAnsi="宋体" w:cs="宋体"/>
                <w:color w:val="auto"/>
                <w:kern w:val="0"/>
                <w:sz w:val="18"/>
                <w:szCs w:val="18"/>
              </w:rPr>
              <w:t xml:space="preserve"> </w:t>
            </w:r>
          </w:p>
          <w:p>
            <w:pPr>
              <w:widowControl/>
              <w:jc w:val="left"/>
              <w:rPr>
                <w:rFonts w:ascii="宋体" w:hAnsi="宋体" w:cs="宋体"/>
                <w:color w:val="auto"/>
                <w:kern w:val="0"/>
                <w:sz w:val="18"/>
                <w:szCs w:val="18"/>
              </w:rPr>
            </w:pPr>
          </w:p>
          <w:p>
            <w:pPr>
              <w:widowControl/>
              <w:jc w:val="left"/>
              <w:rPr>
                <w:rFonts w:ascii="宋体" w:hAnsi="宋体" w:cs="宋体"/>
                <w:color w:val="auto"/>
                <w:kern w:val="0"/>
                <w:sz w:val="18"/>
                <w:szCs w:val="18"/>
              </w:rPr>
            </w:pPr>
            <w:r>
              <w:rPr>
                <w:rFonts w:hint="eastAsia" w:cs="宋体"/>
                <w:color w:val="auto"/>
                <w:kern w:val="0"/>
                <w:sz w:val="18"/>
                <w:szCs w:val="18"/>
                <w:lang w:val="en-US" w:eastAsia="zh-CN"/>
              </w:rPr>
              <w:t xml:space="preserve">  </w:t>
            </w:r>
            <w:r>
              <w:rPr>
                <w:rFonts w:hint="eastAsia" w:cs="宋体"/>
                <w:color w:val="auto"/>
                <w:kern w:val="0"/>
                <w:sz w:val="18"/>
                <w:szCs w:val="18"/>
              </w:rPr>
              <w:t>位</w:t>
            </w:r>
          </w:p>
          <w:p>
            <w:pPr>
              <w:widowControl/>
              <w:jc w:val="left"/>
              <w:rPr>
                <w:rFonts w:ascii="宋体" w:hAnsi="宋体" w:cs="宋体"/>
                <w:color w:val="auto"/>
                <w:kern w:val="0"/>
                <w:sz w:val="18"/>
                <w:szCs w:val="18"/>
              </w:rPr>
            </w:pPr>
          </w:p>
          <w:p>
            <w:pPr>
              <w:widowControl/>
              <w:jc w:val="left"/>
              <w:rPr>
                <w:rFonts w:ascii="宋体" w:hAnsi="宋体" w:cs="宋体"/>
                <w:color w:val="auto"/>
                <w:kern w:val="0"/>
                <w:sz w:val="18"/>
                <w:szCs w:val="18"/>
              </w:rPr>
            </w:pPr>
            <w:r>
              <w:rPr>
                <w:rFonts w:hint="eastAsia" w:cs="宋体"/>
                <w:color w:val="auto"/>
                <w:kern w:val="0"/>
                <w:sz w:val="18"/>
                <w:szCs w:val="18"/>
                <w:lang w:val="en-US" w:eastAsia="zh-CN"/>
              </w:rPr>
              <w:t xml:space="preserve">     </w:t>
            </w:r>
            <w:r>
              <w:rPr>
                <w:rFonts w:hint="eastAsia" w:cs="宋体"/>
                <w:color w:val="auto"/>
                <w:kern w:val="0"/>
                <w:sz w:val="18"/>
                <w:szCs w:val="18"/>
              </w:rPr>
              <w:t>名</w:t>
            </w:r>
          </w:p>
          <w:p>
            <w:pPr>
              <w:widowControl/>
              <w:jc w:val="left"/>
              <w:rPr>
                <w:rFonts w:ascii="宋体" w:hAnsi="宋体" w:cs="宋体"/>
                <w:color w:val="auto"/>
                <w:kern w:val="0"/>
                <w:sz w:val="18"/>
                <w:szCs w:val="18"/>
              </w:rPr>
            </w:pPr>
          </w:p>
          <w:p>
            <w:pPr>
              <w:widowControl/>
              <w:jc w:val="left"/>
              <w:rPr>
                <w:rFonts w:ascii="宋体" w:hAnsi="宋体" w:cs="宋体"/>
                <w:color w:val="auto"/>
                <w:kern w:val="0"/>
                <w:sz w:val="18"/>
                <w:szCs w:val="18"/>
              </w:rPr>
            </w:pPr>
            <w:r>
              <w:rPr>
                <w:rFonts w:hint="eastAsia" w:cs="宋体"/>
                <w:color w:val="auto"/>
                <w:kern w:val="0"/>
                <w:sz w:val="18"/>
                <w:szCs w:val="18"/>
                <w:lang w:val="en-US" w:eastAsia="zh-CN"/>
              </w:rPr>
              <w:t xml:space="preserve">         </w:t>
            </w:r>
            <w:r>
              <w:rPr>
                <w:rFonts w:hint="eastAsia" w:cs="宋体"/>
                <w:color w:val="auto"/>
                <w:kern w:val="0"/>
                <w:sz w:val="18"/>
                <w:szCs w:val="18"/>
              </w:rPr>
              <w:t>称</w:t>
            </w:r>
          </w:p>
        </w:tc>
        <w:tc>
          <w:tcPr>
            <w:tcW w:w="22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一</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二</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三</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color w:val="auto"/>
                <w:sz w:val="18"/>
                <w:szCs w:val="18"/>
                <w:lang w:eastAsia="zh-CN"/>
              </w:rPr>
            </w:pPr>
            <w:r>
              <w:rPr>
                <w:rFonts w:hint="eastAsia" w:ascii="宋体" w:hAnsi="宋体" w:cs="宋体"/>
                <w:color w:val="auto"/>
                <w:kern w:val="0"/>
                <w:sz w:val="18"/>
                <w:szCs w:val="18"/>
                <w:lang w:eastAsia="zh-CN"/>
              </w:rPr>
              <w:t>四</w:t>
            </w:r>
          </w:p>
        </w:tc>
        <w:tc>
          <w:tcPr>
            <w:tcW w:w="448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lang w:eastAsia="zh-CN"/>
              </w:rPr>
              <w:t>五</w:t>
            </w:r>
          </w:p>
        </w:tc>
        <w:tc>
          <w:tcPr>
            <w:tcW w:w="917" w:type="dxa"/>
            <w:vMerge w:val="restart"/>
            <w:tcBorders>
              <w:top w:val="single" w:color="auto" w:sz="4" w:space="0"/>
              <w:left w:val="single" w:color="auto" w:sz="4" w:space="0"/>
              <w:right w:val="single" w:color="auto" w:sz="4" w:space="0"/>
            </w:tcBorders>
            <w:noWrap w:val="0"/>
            <w:vAlign w:val="center"/>
          </w:tcPr>
          <w:p>
            <w:pPr>
              <w:widowControl/>
              <w:jc w:val="center"/>
              <w:rPr>
                <w:rFonts w:hint="eastAsia" w:cs="宋体"/>
                <w:color w:val="auto"/>
                <w:kern w:val="0"/>
                <w:sz w:val="18"/>
                <w:szCs w:val="18"/>
              </w:rPr>
            </w:pPr>
            <w:r>
              <w:rPr>
                <w:rFonts w:hint="eastAsia" w:cs="宋体"/>
                <w:color w:val="auto"/>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pacing w:val="-10"/>
                <w:kern w:val="0"/>
                <w:sz w:val="18"/>
                <w:szCs w:val="18"/>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79"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公司业绩</w:t>
            </w:r>
          </w:p>
          <w:p>
            <w:pPr>
              <w:widowControl/>
              <w:spacing w:line="20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15</w:t>
            </w:r>
            <w:r>
              <w:rPr>
                <w:rFonts w:hint="eastAsia" w:ascii="宋体" w:hAnsi="宋体" w:cs="宋体"/>
                <w:color w:val="auto"/>
                <w:kern w:val="0"/>
                <w:sz w:val="18"/>
                <w:szCs w:val="18"/>
              </w:rPr>
              <w:t>分）</w:t>
            </w:r>
          </w:p>
        </w:tc>
        <w:tc>
          <w:tcPr>
            <w:tcW w:w="1704" w:type="dxa"/>
            <w:vMerge w:val="restart"/>
            <w:tcBorders>
              <w:top w:val="single" w:color="auto" w:sz="4" w:space="0"/>
              <w:left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项目预算</w:t>
            </w:r>
          </w:p>
          <w:p>
            <w:pPr>
              <w:widowControl/>
              <w:spacing w:line="20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20分）</w:t>
            </w:r>
          </w:p>
        </w:tc>
        <w:tc>
          <w:tcPr>
            <w:tcW w:w="1555" w:type="dxa"/>
            <w:vMerge w:val="restart"/>
            <w:tcBorders>
              <w:top w:val="single" w:color="auto" w:sz="4" w:space="0"/>
              <w:left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施工方案合理性</w:t>
            </w:r>
          </w:p>
          <w:p>
            <w:pPr>
              <w:widowControl/>
              <w:spacing w:line="200" w:lineRule="exact"/>
              <w:jc w:val="center"/>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30分）</w:t>
            </w:r>
          </w:p>
        </w:tc>
        <w:tc>
          <w:tcPr>
            <w:tcW w:w="1480" w:type="dxa"/>
            <w:vMerge w:val="restart"/>
            <w:tcBorders>
              <w:top w:val="single" w:color="auto" w:sz="4" w:space="0"/>
              <w:left w:val="single" w:color="auto" w:sz="4" w:space="0"/>
              <w:right w:val="single" w:color="auto" w:sz="4" w:space="0"/>
            </w:tcBorders>
            <w:noWrap w:val="0"/>
            <w:vAlign w:val="center"/>
          </w:tcPr>
          <w:p>
            <w:pPr>
              <w:widowControl/>
              <w:spacing w:line="200" w:lineRule="exact"/>
              <w:jc w:val="center"/>
              <w:rPr>
                <w:color w:val="auto"/>
                <w:sz w:val="18"/>
                <w:szCs w:val="18"/>
              </w:rPr>
            </w:pPr>
            <w:r>
              <w:rPr>
                <w:rFonts w:hint="eastAsia" w:ascii="宋体" w:hAnsi="宋体" w:cs="宋体"/>
                <w:color w:val="auto"/>
                <w:kern w:val="0"/>
                <w:sz w:val="18"/>
                <w:szCs w:val="18"/>
              </w:rPr>
              <w:t>项目负责人</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0</w:t>
            </w:r>
            <w:r>
              <w:rPr>
                <w:rFonts w:hint="eastAsia" w:ascii="宋体" w:hAnsi="宋体" w:cs="宋体"/>
                <w:color w:val="auto"/>
                <w:kern w:val="0"/>
                <w:sz w:val="18"/>
                <w:szCs w:val="18"/>
              </w:rPr>
              <w:t>分）</w:t>
            </w:r>
          </w:p>
        </w:tc>
        <w:tc>
          <w:tcPr>
            <w:tcW w:w="44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企业资信证明</w:t>
            </w:r>
          </w:p>
          <w:p>
            <w:pPr>
              <w:widowControl/>
              <w:ind w:firstLine="1980" w:firstLineChars="1100"/>
              <w:jc w:val="left"/>
              <w:rPr>
                <w:rFonts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25</w:t>
            </w:r>
            <w:r>
              <w:rPr>
                <w:rFonts w:hint="eastAsia" w:ascii="宋体" w:hAnsi="宋体" w:cs="宋体"/>
                <w:color w:val="auto"/>
                <w:kern w:val="0"/>
                <w:sz w:val="18"/>
                <w:szCs w:val="18"/>
              </w:rPr>
              <w:t>分)</w:t>
            </w:r>
          </w:p>
        </w:tc>
        <w:tc>
          <w:tcPr>
            <w:tcW w:w="917"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pacing w:val="-10"/>
                <w:kern w:val="0"/>
                <w:sz w:val="18"/>
                <w:szCs w:val="18"/>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79"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类似工程业绩</w:t>
            </w:r>
          </w:p>
          <w:p>
            <w:pPr>
              <w:widowControl/>
              <w:spacing w:line="20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15分</w:t>
            </w:r>
            <w:r>
              <w:rPr>
                <w:rFonts w:hint="eastAsia" w:ascii="宋体" w:hAnsi="宋体" w:cs="宋体"/>
                <w:color w:val="auto"/>
                <w:kern w:val="0"/>
                <w:sz w:val="18"/>
                <w:szCs w:val="18"/>
              </w:rPr>
              <w:t>）</w:t>
            </w:r>
          </w:p>
        </w:tc>
        <w:tc>
          <w:tcPr>
            <w:tcW w:w="1704" w:type="dxa"/>
            <w:vMerge w:val="continue"/>
            <w:tcBorders>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rPr>
            </w:pPr>
          </w:p>
        </w:tc>
        <w:tc>
          <w:tcPr>
            <w:tcW w:w="155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color w:val="auto"/>
                <w:sz w:val="18"/>
                <w:szCs w:val="18"/>
              </w:rPr>
            </w:pPr>
          </w:p>
        </w:tc>
        <w:tc>
          <w:tcPr>
            <w:tcW w:w="14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color w:val="auto"/>
                <w:sz w:val="18"/>
                <w:szCs w:val="18"/>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ISO认证</w:t>
            </w:r>
          </w:p>
          <w:p>
            <w:pPr>
              <w:widowControl/>
              <w:spacing w:line="20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10分</w:t>
            </w:r>
            <w:r>
              <w:rPr>
                <w:rFonts w:hint="eastAsia" w:ascii="宋体" w:hAnsi="宋体" w:cs="宋体"/>
                <w:color w:val="auto"/>
                <w:kern w:val="0"/>
                <w:sz w:val="18"/>
                <w:szCs w:val="18"/>
              </w:rPr>
              <w:t>）</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财务状况</w:t>
            </w:r>
            <w:r>
              <w:rPr>
                <w:rFonts w:hint="eastAsia" w:ascii="宋体" w:hAnsi="宋体" w:cs="宋体"/>
                <w:color w:val="auto"/>
                <w:kern w:val="0"/>
                <w:sz w:val="18"/>
                <w:szCs w:val="18"/>
                <w:lang w:val="en-US" w:eastAsia="zh-CN"/>
              </w:rPr>
              <w:t xml:space="preserve">  </w:t>
            </w:r>
          </w:p>
          <w:p>
            <w:pPr>
              <w:widowControl/>
              <w:spacing w:line="20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5分</w:t>
            </w:r>
            <w:r>
              <w:rPr>
                <w:rFonts w:hint="eastAsia" w:ascii="宋体" w:hAnsi="宋体" w:cs="宋体"/>
                <w:color w:val="auto"/>
                <w:kern w:val="0"/>
                <w:sz w:val="18"/>
                <w:szCs w:val="18"/>
                <w:lang w:eastAsia="zh-CN"/>
              </w:rPr>
              <w:t>）</w:t>
            </w:r>
          </w:p>
        </w:tc>
        <w:tc>
          <w:tcPr>
            <w:tcW w:w="1470" w:type="dxa"/>
            <w:tcBorders>
              <w:left w:val="single" w:color="auto" w:sz="4" w:space="0"/>
              <w:bottom w:val="single" w:color="auto" w:sz="4" w:space="0"/>
              <w:right w:val="single" w:color="auto" w:sz="4" w:space="0"/>
            </w:tcBorders>
            <w:noWrap w:val="0"/>
            <w:vAlign w:val="center"/>
          </w:tcPr>
          <w:p>
            <w:pPr>
              <w:widowControl/>
              <w:ind w:left="180" w:hanging="180" w:hangingChars="10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纳税信用等级</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10分</w:t>
            </w:r>
            <w:r>
              <w:rPr>
                <w:rFonts w:hint="eastAsia" w:ascii="宋体" w:hAnsi="宋体" w:cs="宋体"/>
                <w:color w:val="auto"/>
                <w:kern w:val="0"/>
                <w:sz w:val="18"/>
                <w:szCs w:val="18"/>
                <w:lang w:eastAsia="zh-CN"/>
              </w:rPr>
              <w:t>）</w:t>
            </w:r>
          </w:p>
        </w:tc>
        <w:tc>
          <w:tcPr>
            <w:tcW w:w="917" w:type="dxa"/>
            <w:vMerge w:val="continue"/>
            <w:tcBorders>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pacing w:val="-10"/>
                <w:kern w:val="0"/>
                <w:sz w:val="18"/>
                <w:szCs w:val="18"/>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7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default" w:ascii="宋体" w:hAnsi="宋体" w:eastAsia="宋体" w:cs="宋体"/>
                <w:color w:val="auto"/>
                <w:kern w:val="0"/>
                <w:sz w:val="18"/>
                <w:szCs w:val="18"/>
                <w:highlight w:val="none"/>
                <w:lang w:val="en-US" w:eastAsia="zh-CN"/>
              </w:rPr>
            </w:pPr>
            <w:r>
              <w:rPr>
                <w:rFonts w:hint="eastAsia" w:ascii="宋体" w:hAnsi="宋体"/>
                <w:color w:val="auto"/>
                <w:sz w:val="18"/>
                <w:szCs w:val="18"/>
              </w:rPr>
              <w:t>企业</w:t>
            </w:r>
            <w:r>
              <w:rPr>
                <w:rFonts w:hint="eastAsia" w:ascii="宋体" w:hAnsi="宋体"/>
                <w:color w:val="auto"/>
                <w:sz w:val="18"/>
                <w:szCs w:val="18"/>
                <w:lang w:eastAsia="zh-CN"/>
              </w:rPr>
              <w:t>近三年至</w:t>
            </w:r>
            <w:r>
              <w:rPr>
                <w:rFonts w:hint="eastAsia" w:ascii="宋体" w:hAnsi="宋体"/>
                <w:color w:val="auto"/>
                <w:sz w:val="18"/>
                <w:szCs w:val="18"/>
              </w:rPr>
              <w:t>今完成过质量合格的</w:t>
            </w:r>
            <w:r>
              <w:rPr>
                <w:rFonts w:hint="eastAsia" w:ascii="宋体" w:hAnsi="宋体"/>
                <w:color w:val="auto"/>
                <w:sz w:val="18"/>
                <w:szCs w:val="18"/>
                <w:lang w:eastAsia="zh-CN"/>
              </w:rPr>
              <w:t>市政</w:t>
            </w:r>
            <w:r>
              <w:rPr>
                <w:rFonts w:hint="eastAsia" w:ascii="宋体" w:hAnsi="宋体"/>
                <w:color w:val="auto"/>
                <w:sz w:val="18"/>
                <w:szCs w:val="18"/>
              </w:rPr>
              <w:t>工程业绩</w:t>
            </w:r>
            <w:r>
              <w:rPr>
                <w:rFonts w:hint="eastAsia" w:ascii="宋体" w:hAnsi="宋体" w:eastAsia="宋体" w:cs="宋体"/>
                <w:color w:val="auto"/>
                <w:kern w:val="0"/>
                <w:sz w:val="18"/>
                <w:szCs w:val="18"/>
                <w:highlight w:val="none"/>
                <w:lang w:eastAsia="zh-CN"/>
              </w:rPr>
              <w:t>，每项得</w:t>
            </w:r>
            <w:r>
              <w:rPr>
                <w:rFonts w:hint="eastAsia" w:ascii="宋体" w:hAnsi="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lang w:eastAsia="zh-CN"/>
              </w:rPr>
              <w:t>分，最高得</w:t>
            </w:r>
            <w:r>
              <w:rPr>
                <w:rFonts w:hint="eastAsia" w:ascii="宋体" w:hAnsi="宋体" w:eastAsia="宋体" w:cs="宋体"/>
                <w:color w:val="auto"/>
                <w:kern w:val="0"/>
                <w:sz w:val="18"/>
                <w:szCs w:val="18"/>
                <w:highlight w:val="none"/>
                <w:lang w:val="en-US" w:eastAsia="zh-CN"/>
              </w:rPr>
              <w:t>15分。</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满足要求且价格最低的评标价为评标基准价，价格得分为</w:t>
            </w:r>
            <w:r>
              <w:rPr>
                <w:rFonts w:hint="eastAsia" w:ascii="宋体" w:hAnsi="宋体" w:eastAsia="宋体" w:cs="宋体"/>
                <w:color w:val="auto"/>
                <w:kern w:val="0"/>
                <w:sz w:val="18"/>
                <w:szCs w:val="18"/>
                <w:highlight w:val="none"/>
                <w:lang w:val="en-US" w:eastAsia="zh-CN"/>
              </w:rPr>
              <w:t>20</w:t>
            </w:r>
            <w:r>
              <w:rPr>
                <w:rFonts w:hint="eastAsia" w:ascii="宋体" w:hAnsi="宋体" w:eastAsia="宋体" w:cs="宋体"/>
                <w:color w:val="auto"/>
                <w:kern w:val="0"/>
                <w:sz w:val="18"/>
                <w:szCs w:val="18"/>
                <w:highlight w:val="none"/>
                <w:lang w:eastAsia="zh-CN"/>
              </w:rPr>
              <w:t>分，其他投标人的价格得分按如下公式计算：</w:t>
            </w:r>
          </w:p>
          <w:p>
            <w:pPr>
              <w:widowControl/>
              <w:snapToGrid w:val="0"/>
              <w:spacing w:line="20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价格得分=（评标基准价÷评标价）×</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lang w:eastAsia="zh-CN"/>
              </w:rPr>
              <w:t>0。</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对施工方案、设备人员投入等情况进行打分（</w:t>
            </w:r>
            <w:r>
              <w:rPr>
                <w:rFonts w:hint="eastAsia" w:ascii="宋体" w:hAnsi="宋体" w:eastAsia="宋体" w:cs="宋体"/>
                <w:color w:val="auto"/>
                <w:kern w:val="0"/>
                <w:sz w:val="18"/>
                <w:szCs w:val="18"/>
                <w:highlight w:val="none"/>
                <w:lang w:val="en-US" w:eastAsia="zh-CN"/>
              </w:rPr>
              <w:t>0-30分，最高为30分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both"/>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近三年</w:t>
            </w:r>
            <w:r>
              <w:rPr>
                <w:rFonts w:hint="eastAsia" w:ascii="宋体" w:hAnsi="宋体" w:cs="宋体"/>
                <w:color w:val="auto"/>
                <w:kern w:val="0"/>
                <w:sz w:val="18"/>
                <w:szCs w:val="18"/>
                <w:highlight w:val="none"/>
                <w:lang w:val="en-US" w:eastAsia="zh-CN"/>
              </w:rPr>
              <w:t>参与的市政项目</w:t>
            </w:r>
            <w:r>
              <w:rPr>
                <w:rFonts w:hint="eastAsia" w:ascii="宋体" w:hAnsi="宋体" w:eastAsia="宋体" w:cs="宋体"/>
                <w:color w:val="auto"/>
                <w:kern w:val="0"/>
                <w:sz w:val="18"/>
                <w:szCs w:val="18"/>
                <w:highlight w:val="none"/>
                <w:lang w:val="en-US" w:eastAsia="zh-CN"/>
              </w:rPr>
              <w:t>荣获过</w:t>
            </w:r>
            <w:r>
              <w:rPr>
                <w:rFonts w:hint="eastAsia" w:ascii="宋体" w:hAnsi="宋体" w:cs="宋体"/>
                <w:color w:val="auto"/>
                <w:kern w:val="0"/>
                <w:sz w:val="18"/>
                <w:szCs w:val="18"/>
                <w:highlight w:val="none"/>
                <w:lang w:val="en-US" w:eastAsia="zh-CN"/>
              </w:rPr>
              <w:t>省</w:t>
            </w:r>
            <w:r>
              <w:rPr>
                <w:rFonts w:hint="eastAsia" w:ascii="宋体" w:hAnsi="宋体" w:eastAsia="宋体" w:cs="宋体"/>
                <w:color w:val="auto"/>
                <w:kern w:val="0"/>
                <w:sz w:val="18"/>
                <w:szCs w:val="18"/>
                <w:highlight w:val="none"/>
                <w:lang w:val="en-US" w:eastAsia="zh-CN"/>
              </w:rPr>
              <w:t>级及以上建筑业协会</w:t>
            </w:r>
            <w:r>
              <w:rPr>
                <w:rFonts w:hint="eastAsia" w:ascii="宋体" w:hAnsi="宋体" w:cs="宋体"/>
                <w:color w:val="auto"/>
                <w:kern w:val="0"/>
                <w:sz w:val="18"/>
                <w:szCs w:val="18"/>
                <w:highlight w:val="none"/>
                <w:lang w:val="en-US" w:eastAsia="zh-CN"/>
              </w:rPr>
              <w:t>奖项的</w:t>
            </w:r>
            <w:r>
              <w:rPr>
                <w:rFonts w:hint="eastAsia" w:ascii="宋体" w:hAnsi="宋体" w:eastAsia="宋体" w:cs="宋体"/>
                <w:color w:val="auto"/>
                <w:kern w:val="0"/>
                <w:sz w:val="18"/>
                <w:szCs w:val="18"/>
                <w:highlight w:val="none"/>
                <w:lang w:val="en-US" w:eastAsia="zh-CN"/>
              </w:rPr>
              <w:t>，</w:t>
            </w:r>
            <w:r>
              <w:rPr>
                <w:rFonts w:hint="eastAsia" w:ascii="宋体" w:hAnsi="宋体" w:cs="宋体"/>
                <w:color w:val="auto"/>
                <w:kern w:val="0"/>
                <w:sz w:val="18"/>
                <w:szCs w:val="18"/>
                <w:highlight w:val="none"/>
                <w:lang w:val="en-US" w:eastAsia="zh-CN"/>
              </w:rPr>
              <w:t>每项得5分，最高</w:t>
            </w:r>
            <w:r>
              <w:rPr>
                <w:rFonts w:hint="eastAsia" w:ascii="宋体" w:hAnsi="宋体" w:eastAsia="宋体" w:cs="宋体"/>
                <w:color w:val="auto"/>
                <w:kern w:val="0"/>
                <w:sz w:val="18"/>
                <w:szCs w:val="18"/>
                <w:highlight w:val="none"/>
                <w:lang w:val="en-US" w:eastAsia="zh-CN"/>
              </w:rPr>
              <w:t>得10分。</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同时通过质量、环境、职业健康管理体系认证</w:t>
            </w:r>
            <w:r>
              <w:rPr>
                <w:rFonts w:hint="eastAsia" w:ascii="宋体" w:hAnsi="宋体" w:cs="宋体"/>
                <w:color w:val="auto"/>
                <w:kern w:val="0"/>
                <w:sz w:val="18"/>
                <w:szCs w:val="18"/>
                <w:highlight w:val="none"/>
                <w:lang w:eastAsia="zh-CN"/>
              </w:rPr>
              <w:t>、</w:t>
            </w:r>
            <w:r>
              <w:rPr>
                <w:spacing w:val="-3"/>
                <w:sz w:val="21"/>
              </w:rPr>
              <w:t>诚信管理体系认证</w:t>
            </w:r>
            <w:r>
              <w:rPr>
                <w:rFonts w:hint="eastAsia"/>
                <w:spacing w:val="-3"/>
                <w:sz w:val="21"/>
                <w:lang w:eastAsia="zh-CN"/>
              </w:rPr>
              <w:t>、</w:t>
            </w:r>
            <w:r>
              <w:rPr>
                <w:rFonts w:hint="eastAsia" w:ascii="宋体" w:hAnsi="宋体" w:eastAsia="宋体" w:cs="宋体"/>
                <w:bCs/>
                <w:color w:val="000000"/>
                <w:szCs w:val="21"/>
              </w:rPr>
              <w:t>知识产权管理体系认证</w:t>
            </w:r>
            <w:r>
              <w:rPr>
                <w:rFonts w:hint="eastAsia" w:ascii="宋体" w:hAnsi="宋体" w:eastAsia="宋体" w:cs="宋体"/>
                <w:color w:val="auto"/>
                <w:kern w:val="0"/>
                <w:sz w:val="18"/>
                <w:szCs w:val="18"/>
                <w:highlight w:val="none"/>
                <w:lang w:eastAsia="zh-CN"/>
              </w:rPr>
              <w:t>且在有效期内，得</w:t>
            </w:r>
            <w:r>
              <w:rPr>
                <w:rFonts w:hint="eastAsia" w:ascii="宋体" w:hAnsi="宋体" w:cs="宋体"/>
                <w:color w:val="auto"/>
                <w:kern w:val="0"/>
                <w:sz w:val="18"/>
                <w:szCs w:val="18"/>
                <w:highlight w:val="none"/>
                <w:lang w:val="en-US" w:eastAsia="zh-CN"/>
              </w:rPr>
              <w:t>10</w:t>
            </w:r>
            <w:r>
              <w:rPr>
                <w:rFonts w:hint="eastAsia" w:ascii="宋体" w:hAnsi="宋体" w:eastAsia="宋体" w:cs="宋体"/>
                <w:color w:val="auto"/>
                <w:kern w:val="0"/>
                <w:sz w:val="18"/>
                <w:szCs w:val="18"/>
                <w:highlight w:val="none"/>
                <w:lang w:val="en-US" w:eastAsia="zh-CN"/>
              </w:rPr>
              <w:t>分</w:t>
            </w:r>
            <w:r>
              <w:rPr>
                <w:rFonts w:hint="eastAsia" w:ascii="宋体" w:hAnsi="宋体" w:eastAsia="宋体" w:cs="宋体"/>
                <w:color w:val="auto"/>
                <w:kern w:val="0"/>
                <w:sz w:val="18"/>
                <w:szCs w:val="18"/>
                <w:highlight w:val="none"/>
                <w:lang w:eastAsia="zh-CN"/>
              </w:rPr>
              <w:t>。</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default" w:ascii="宋体" w:hAnsi="宋体" w:eastAsia="宋体" w:cs="宋体"/>
                <w:color w:val="auto"/>
                <w:kern w:val="0"/>
                <w:sz w:val="18"/>
                <w:szCs w:val="18"/>
                <w:highlight w:val="none"/>
                <w:lang w:val="en-US" w:eastAsia="zh-CN"/>
              </w:rPr>
            </w:pPr>
            <w:r>
              <w:rPr>
                <w:rFonts w:hint="eastAsia" w:ascii="宋体" w:hAnsi="宋体"/>
                <w:color w:val="auto"/>
                <w:sz w:val="18"/>
                <w:szCs w:val="18"/>
              </w:rPr>
              <w:t>企业</w:t>
            </w:r>
            <w:r>
              <w:rPr>
                <w:rFonts w:hint="eastAsia" w:ascii="宋体" w:hAnsi="宋体"/>
                <w:color w:val="auto"/>
                <w:sz w:val="18"/>
                <w:szCs w:val="18"/>
                <w:lang w:val="en-US" w:eastAsia="zh-CN"/>
              </w:rPr>
              <w:t>2017、2018、</w:t>
            </w:r>
            <w:r>
              <w:rPr>
                <w:rFonts w:hint="eastAsia" w:ascii="宋体" w:hAnsi="宋体" w:eastAsia="宋体" w:cs="宋体"/>
                <w:color w:val="auto"/>
                <w:kern w:val="0"/>
                <w:sz w:val="18"/>
                <w:szCs w:val="18"/>
                <w:highlight w:val="none"/>
                <w:lang w:val="en-US" w:eastAsia="zh-CN"/>
              </w:rPr>
              <w:t>2019年</w:t>
            </w:r>
            <w:r>
              <w:rPr>
                <w:rFonts w:hint="eastAsia" w:ascii="宋体" w:hAnsi="宋体" w:eastAsia="宋体" w:cs="宋体"/>
                <w:color w:val="auto"/>
                <w:kern w:val="0"/>
                <w:sz w:val="18"/>
                <w:szCs w:val="18"/>
                <w:highlight w:val="none"/>
                <w:lang w:eastAsia="zh-CN"/>
              </w:rPr>
              <w:t>的资产负债率都在</w:t>
            </w:r>
            <w:r>
              <w:rPr>
                <w:rFonts w:hint="eastAsia" w:ascii="宋体" w:hAnsi="宋体" w:cs="宋体"/>
                <w:color w:val="auto"/>
                <w:kern w:val="0"/>
                <w:sz w:val="18"/>
                <w:szCs w:val="18"/>
                <w:highlight w:val="none"/>
                <w:lang w:val="en-US" w:eastAsia="zh-CN"/>
              </w:rPr>
              <w:t>/25</w:t>
            </w:r>
            <w:r>
              <w:rPr>
                <w:rFonts w:hint="eastAsia" w:ascii="宋体" w:hAnsi="宋体" w:eastAsia="宋体" w:cs="宋体"/>
                <w:color w:val="auto"/>
                <w:kern w:val="0"/>
                <w:sz w:val="18"/>
                <w:szCs w:val="18"/>
                <w:highlight w:val="none"/>
                <w:lang w:val="en-US" w:eastAsia="zh-CN"/>
              </w:rPr>
              <w:t>%以内，得</w:t>
            </w:r>
            <w:r>
              <w:rPr>
                <w:rFonts w:hint="eastAsia" w:ascii="宋体" w:hAnsi="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lang w:val="en-US" w:eastAsia="zh-CN"/>
              </w:rPr>
              <w:t>分。（</w:t>
            </w:r>
            <w:r>
              <w:rPr>
                <w:rFonts w:hint="eastAsia" w:ascii="宋体" w:hAnsi="宋体" w:cs="宋体"/>
                <w:sz w:val="18"/>
                <w:szCs w:val="18"/>
              </w:rPr>
              <w:t>资产负债率=</w:t>
            </w:r>
            <w:r>
              <w:rPr>
                <w:rFonts w:hint="eastAsia" w:ascii="宋体" w:hAnsi="宋体" w:cs="宋体"/>
                <w:sz w:val="18"/>
                <w:szCs w:val="18"/>
                <w:lang w:eastAsia="zh-CN"/>
              </w:rPr>
              <w:t>当年</w:t>
            </w:r>
            <w:r>
              <w:rPr>
                <w:rFonts w:hint="eastAsia" w:ascii="宋体" w:hAnsi="宋体" w:cs="宋体"/>
                <w:sz w:val="18"/>
                <w:szCs w:val="18"/>
              </w:rPr>
              <w:t>期</w:t>
            </w:r>
            <w:bookmarkStart w:id="0" w:name="_GoBack"/>
            <w:bookmarkEnd w:id="0"/>
            <w:r>
              <w:rPr>
                <w:rFonts w:hint="eastAsia" w:ascii="宋体" w:hAnsi="宋体" w:cs="宋体"/>
                <w:sz w:val="18"/>
                <w:szCs w:val="18"/>
              </w:rPr>
              <w:t>末负债总额/</w:t>
            </w:r>
            <w:r>
              <w:rPr>
                <w:rFonts w:hint="eastAsia" w:ascii="宋体" w:hAnsi="宋体" w:cs="宋体"/>
                <w:sz w:val="18"/>
                <w:szCs w:val="18"/>
                <w:lang w:eastAsia="zh-CN"/>
              </w:rPr>
              <w:t>当年</w:t>
            </w:r>
            <w:r>
              <w:rPr>
                <w:rFonts w:hint="eastAsia" w:ascii="宋体" w:hAnsi="宋体" w:cs="宋体"/>
                <w:sz w:val="18"/>
                <w:szCs w:val="18"/>
              </w:rPr>
              <w:t>期末资产总额×100%</w:t>
            </w:r>
            <w:r>
              <w:rPr>
                <w:rFonts w:hint="eastAsia" w:ascii="宋体" w:hAnsi="宋体" w:eastAsia="宋体" w:cs="宋体"/>
                <w:color w:val="auto"/>
                <w:kern w:val="0"/>
                <w:sz w:val="18"/>
                <w:szCs w:val="18"/>
                <w:highlight w:val="none"/>
                <w:lang w:val="en-US" w:eastAsia="zh-CN"/>
              </w:rPr>
              <w:t>）</w:t>
            </w:r>
          </w:p>
        </w:tc>
        <w:tc>
          <w:tcPr>
            <w:tcW w:w="147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200" w:lineRule="exact"/>
              <w:jc w:val="center"/>
              <w:rPr>
                <w:rFonts w:hint="eastAsia" w:ascii="宋体" w:hAnsi="宋体" w:eastAsia="宋体" w:cs="宋体"/>
                <w:color w:val="auto"/>
                <w:kern w:val="0"/>
                <w:sz w:val="18"/>
                <w:szCs w:val="18"/>
                <w:highlight w:val="none"/>
                <w:lang w:val="en-US" w:eastAsia="zh-CN"/>
              </w:rPr>
            </w:pPr>
          </w:p>
          <w:p>
            <w:pPr>
              <w:widowControl/>
              <w:snapToGrid w:val="0"/>
              <w:spacing w:line="200" w:lineRule="exact"/>
              <w:jc w:val="center"/>
              <w:rPr>
                <w:rFonts w:hint="eastAsia" w:ascii="宋体" w:hAnsi="宋体" w:eastAsia="宋体" w:cs="宋体"/>
                <w:color w:val="auto"/>
                <w:kern w:val="0"/>
                <w:sz w:val="18"/>
                <w:szCs w:val="18"/>
                <w:highlight w:val="none"/>
                <w:lang w:val="en-US" w:eastAsia="zh-CN"/>
              </w:rPr>
            </w:pPr>
          </w:p>
          <w:p>
            <w:pPr>
              <w:widowControl/>
              <w:snapToGrid w:val="0"/>
              <w:spacing w:line="200" w:lineRule="exact"/>
              <w:jc w:val="center"/>
              <w:rPr>
                <w:rFonts w:hint="eastAsia" w:ascii="宋体" w:hAnsi="宋体" w:eastAsia="宋体" w:cs="宋体"/>
                <w:color w:val="auto"/>
                <w:kern w:val="0"/>
                <w:sz w:val="18"/>
                <w:szCs w:val="18"/>
                <w:highlight w:val="none"/>
                <w:lang w:val="en-US" w:eastAsia="zh-CN"/>
              </w:rPr>
            </w:pPr>
          </w:p>
          <w:p>
            <w:pPr>
              <w:widowControl/>
              <w:snapToGrid w:val="0"/>
              <w:spacing w:line="200" w:lineRule="exact"/>
              <w:jc w:val="center"/>
              <w:rPr>
                <w:rFonts w:hint="default" w:ascii="宋体" w:hAnsi="宋体" w:eastAsia="宋体" w:cs="宋体"/>
                <w:color w:val="auto"/>
                <w:kern w:val="0"/>
                <w:sz w:val="18"/>
                <w:szCs w:val="18"/>
                <w:highlight w:val="none"/>
                <w:lang w:val="en-US" w:eastAsia="zh-CN"/>
              </w:rPr>
            </w:pPr>
            <w:r>
              <w:rPr>
                <w:rFonts w:hint="eastAsia" w:ascii="宋体" w:hAnsi="宋体"/>
                <w:color w:val="auto"/>
                <w:sz w:val="18"/>
                <w:szCs w:val="18"/>
              </w:rPr>
              <w:t>企业</w:t>
            </w:r>
            <w:r>
              <w:rPr>
                <w:rFonts w:hint="eastAsia" w:ascii="宋体" w:hAnsi="宋体" w:eastAsia="宋体" w:cs="宋体"/>
                <w:color w:val="auto"/>
                <w:kern w:val="0"/>
                <w:sz w:val="18"/>
                <w:szCs w:val="18"/>
                <w:highlight w:val="none"/>
                <w:lang w:val="en-US" w:eastAsia="zh-CN"/>
              </w:rPr>
              <w:t>近五年连续被评为纳税A级累计次数达</w:t>
            </w:r>
            <w:r>
              <w:rPr>
                <w:rFonts w:hint="eastAsia" w:ascii="宋体" w:hAnsi="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lang w:val="en-US" w:eastAsia="zh-CN"/>
              </w:rPr>
              <w:t>次的，得10分。</w:t>
            </w:r>
          </w:p>
        </w:tc>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4"/>
                <w:kern w:val="0"/>
                <w:sz w:val="18"/>
                <w:szCs w:val="18"/>
              </w:rPr>
            </w:pPr>
            <w:r>
              <w:rPr>
                <w:rFonts w:hint="eastAsia" w:ascii="宋体" w:hAnsi="宋体" w:cs="宋体"/>
                <w:color w:val="auto"/>
                <w:spacing w:val="-14"/>
                <w:kern w:val="0"/>
                <w:sz w:val="18"/>
                <w:szCs w:val="18"/>
              </w:rPr>
              <w:t>1</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22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8"/>
                <w:kern w:val="0"/>
                <w:sz w:val="18"/>
                <w:szCs w:val="18"/>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2"/>
                <w:kern w:val="0"/>
                <w:sz w:val="18"/>
                <w:szCs w:val="18"/>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eastAsia="宋体"/>
                <w:color w:val="auto"/>
                <w:lang w:eastAsia="zh-CN"/>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lang w:val="en-US" w:eastAsia="zh-CN" w:bidi="ar-SA"/>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auto"/>
                <w:kern w:val="0"/>
                <w:sz w:val="18"/>
                <w:szCs w:val="18"/>
                <w:lang w:val="en-US" w:eastAsia="zh-CN" w:bidi="ar-SA"/>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91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4"/>
                <w:kern w:val="0"/>
                <w:sz w:val="18"/>
                <w:szCs w:val="18"/>
              </w:rPr>
            </w:pPr>
            <w:r>
              <w:rPr>
                <w:rFonts w:hint="eastAsia" w:ascii="宋体" w:hAnsi="宋体" w:cs="宋体"/>
                <w:color w:val="auto"/>
                <w:spacing w:val="-14"/>
                <w:kern w:val="0"/>
                <w:sz w:val="18"/>
                <w:szCs w:val="18"/>
              </w:rPr>
              <w:t>2</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22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8"/>
                <w:kern w:val="0"/>
                <w:sz w:val="18"/>
                <w:szCs w:val="18"/>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2"/>
                <w:kern w:val="0"/>
                <w:sz w:val="18"/>
                <w:szCs w:val="18"/>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2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ascii="宋体" w:hAnsi="宋体" w:cs="宋体"/>
                <w:color w:val="auto"/>
                <w:kern w:val="0"/>
                <w:sz w:val="18"/>
                <w:szCs w:val="18"/>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91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14"/>
                <w:kern w:val="0"/>
                <w:sz w:val="18"/>
                <w:szCs w:val="18"/>
                <w:lang w:val="en-US" w:eastAsia="zh-CN"/>
              </w:rPr>
            </w:pPr>
            <w:r>
              <w:rPr>
                <w:rFonts w:hint="eastAsia" w:ascii="宋体" w:hAnsi="宋体" w:cs="宋体"/>
                <w:color w:val="auto"/>
                <w:spacing w:val="-14"/>
                <w:kern w:val="0"/>
                <w:sz w:val="18"/>
                <w:szCs w:val="18"/>
                <w:lang w:val="en-US" w:eastAsia="zh-CN"/>
              </w:rPr>
              <w:t>3</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22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8"/>
                <w:kern w:val="0"/>
                <w:sz w:val="18"/>
                <w:szCs w:val="18"/>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2"/>
                <w:kern w:val="0"/>
                <w:sz w:val="18"/>
                <w:szCs w:val="18"/>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2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ascii="宋体" w:hAnsi="宋体" w:cs="宋体"/>
                <w:color w:val="auto"/>
                <w:kern w:val="0"/>
                <w:sz w:val="18"/>
                <w:szCs w:val="18"/>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91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r>
    </w:tbl>
    <w:p>
      <w:pPr>
        <w:widowControl/>
        <w:ind w:left="810" w:hanging="810" w:hangingChars="450"/>
        <w:jc w:val="left"/>
        <w:rPr>
          <w:rFonts w:hint="eastAsia" w:cs="宋体"/>
          <w:color w:val="auto"/>
          <w:kern w:val="0"/>
          <w:sz w:val="18"/>
          <w:szCs w:val="18"/>
        </w:rPr>
      </w:pPr>
    </w:p>
    <w:p>
      <w:pPr>
        <w:widowControl/>
        <w:ind w:left="808" w:leftChars="85" w:hanging="630" w:hangingChars="350"/>
        <w:jc w:val="left"/>
        <w:rPr>
          <w:rFonts w:hint="eastAsia" w:ascii="宋体" w:hAnsi="宋体" w:cs="宋体"/>
          <w:color w:val="auto"/>
          <w:kern w:val="0"/>
          <w:sz w:val="18"/>
          <w:szCs w:val="18"/>
          <w:lang w:eastAsia="zh-CN"/>
        </w:rPr>
      </w:pPr>
      <w:r>
        <w:rPr>
          <w:rFonts w:hint="eastAsia" w:cs="宋体"/>
          <w:color w:val="auto"/>
          <w:kern w:val="0"/>
          <w:sz w:val="18"/>
          <w:szCs w:val="18"/>
          <w:lang w:eastAsia="zh-CN"/>
        </w:rPr>
        <w:t>注</w:t>
      </w:r>
      <w:r>
        <w:rPr>
          <w:rFonts w:hint="eastAsia" w:cs="宋体"/>
          <w:color w:val="auto"/>
          <w:kern w:val="0"/>
          <w:sz w:val="18"/>
          <w:szCs w:val="18"/>
        </w:rPr>
        <w:t>：</w:t>
      </w: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1、</w:t>
      </w:r>
      <w:r>
        <w:rPr>
          <w:rFonts w:hint="eastAsia" w:ascii="宋体" w:hAnsi="宋体" w:cs="宋体"/>
          <w:color w:val="auto"/>
          <w:kern w:val="0"/>
          <w:sz w:val="18"/>
          <w:szCs w:val="18"/>
          <w:lang w:eastAsia="zh-CN"/>
        </w:rPr>
        <w:t>本表所述近三年指</w:t>
      </w:r>
      <w:r>
        <w:rPr>
          <w:rFonts w:hint="eastAsia" w:ascii="宋体" w:hAnsi="宋体" w:cs="宋体"/>
          <w:color w:val="auto"/>
          <w:kern w:val="0"/>
          <w:sz w:val="18"/>
          <w:szCs w:val="18"/>
          <w:lang w:val="en-US" w:eastAsia="zh-CN"/>
        </w:rPr>
        <w:t>2017年1月1日至投标截止日期止；</w:t>
      </w:r>
      <w:r>
        <w:rPr>
          <w:rFonts w:hint="eastAsia" w:ascii="宋体" w:hAnsi="宋体" w:cs="宋体"/>
          <w:color w:val="auto"/>
          <w:kern w:val="0"/>
          <w:sz w:val="18"/>
          <w:szCs w:val="18"/>
          <w:lang w:eastAsia="zh-CN"/>
        </w:rPr>
        <w:t>近五年指</w:t>
      </w:r>
      <w:r>
        <w:rPr>
          <w:rFonts w:hint="eastAsia" w:ascii="宋体" w:hAnsi="宋体" w:cs="宋体"/>
          <w:color w:val="auto"/>
          <w:kern w:val="0"/>
          <w:sz w:val="18"/>
          <w:szCs w:val="18"/>
          <w:lang w:val="en-US" w:eastAsia="zh-CN"/>
        </w:rPr>
        <w:t>2015年1月1日至投标截止日期止</w:t>
      </w:r>
      <w:r>
        <w:rPr>
          <w:rFonts w:hint="eastAsia" w:ascii="宋体" w:hAnsi="宋体" w:cs="宋体"/>
          <w:color w:val="auto"/>
          <w:kern w:val="0"/>
          <w:sz w:val="18"/>
          <w:szCs w:val="18"/>
          <w:lang w:eastAsia="zh-CN"/>
        </w:rPr>
        <w:t>。</w:t>
      </w:r>
    </w:p>
    <w:p>
      <w:pPr>
        <w:widowControl/>
        <w:ind w:firstLine="720" w:firstLineChars="400"/>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val="en-US" w:eastAsia="zh-CN"/>
        </w:rPr>
        <w:t>2、</w:t>
      </w:r>
      <w:r>
        <w:rPr>
          <w:rFonts w:hint="eastAsia" w:ascii="宋体" w:hAnsi="宋体"/>
          <w:color w:val="auto"/>
          <w:sz w:val="18"/>
          <w:szCs w:val="18"/>
        </w:rPr>
        <w:t>企业201</w:t>
      </w:r>
      <w:r>
        <w:rPr>
          <w:rFonts w:hint="eastAsia" w:ascii="宋体" w:hAnsi="宋体"/>
          <w:color w:val="auto"/>
          <w:sz w:val="18"/>
          <w:szCs w:val="18"/>
          <w:lang w:val="en-US" w:eastAsia="zh-CN"/>
        </w:rPr>
        <w:t>7</w:t>
      </w:r>
      <w:r>
        <w:rPr>
          <w:rFonts w:hint="eastAsia" w:ascii="宋体" w:hAnsi="宋体"/>
          <w:color w:val="auto"/>
          <w:sz w:val="18"/>
          <w:szCs w:val="18"/>
        </w:rPr>
        <w:t>年</w:t>
      </w:r>
      <w:r>
        <w:rPr>
          <w:rFonts w:hint="eastAsia" w:ascii="宋体" w:hAnsi="宋体"/>
          <w:color w:val="auto"/>
          <w:sz w:val="18"/>
          <w:szCs w:val="18"/>
          <w:lang w:val="en-US" w:eastAsia="zh-CN"/>
        </w:rPr>
        <w:t>1</w:t>
      </w:r>
      <w:r>
        <w:rPr>
          <w:rFonts w:hint="eastAsia" w:ascii="宋体" w:hAnsi="宋体"/>
          <w:color w:val="auto"/>
          <w:sz w:val="18"/>
          <w:szCs w:val="18"/>
        </w:rPr>
        <w:t>月至今完成过质量合格的</w:t>
      </w:r>
      <w:r>
        <w:rPr>
          <w:rFonts w:hint="eastAsia" w:ascii="宋体" w:hAnsi="宋体"/>
          <w:color w:val="auto"/>
          <w:sz w:val="18"/>
          <w:szCs w:val="18"/>
          <w:lang w:eastAsia="zh-CN"/>
        </w:rPr>
        <w:t>市政</w:t>
      </w:r>
      <w:r>
        <w:rPr>
          <w:rFonts w:hint="eastAsia" w:ascii="宋体" w:hAnsi="宋体"/>
          <w:color w:val="auto"/>
          <w:sz w:val="18"/>
          <w:szCs w:val="18"/>
        </w:rPr>
        <w:t>工程业绩</w:t>
      </w:r>
      <w:r>
        <w:rPr>
          <w:rFonts w:hint="eastAsia" w:ascii="宋体" w:hAnsi="宋体"/>
          <w:color w:val="auto"/>
          <w:sz w:val="18"/>
          <w:szCs w:val="18"/>
          <w:lang w:eastAsia="zh-CN"/>
        </w:rPr>
        <w:t>，</w:t>
      </w:r>
      <w:r>
        <w:rPr>
          <w:rFonts w:hint="eastAsia" w:ascii="宋体" w:hAnsi="宋体"/>
          <w:color w:val="auto"/>
          <w:sz w:val="18"/>
          <w:szCs w:val="18"/>
        </w:rPr>
        <w:t>提供项目合同或中标通知书</w:t>
      </w:r>
      <w:r>
        <w:rPr>
          <w:rFonts w:hint="eastAsia" w:ascii="宋体" w:hAnsi="宋体"/>
          <w:color w:val="auto"/>
          <w:sz w:val="18"/>
          <w:szCs w:val="18"/>
          <w:lang w:eastAsia="zh-CN"/>
        </w:rPr>
        <w:t>。</w:t>
      </w:r>
    </w:p>
    <w:p>
      <w:pPr>
        <w:widowControl/>
        <w:ind w:left="804" w:leftChars="340" w:hanging="90" w:hangingChars="50"/>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val="en-US" w:eastAsia="zh-CN"/>
        </w:rPr>
        <w:t>3、拟投入本项目人员需提供相关证书</w:t>
      </w:r>
      <w:r>
        <w:rPr>
          <w:rFonts w:hint="eastAsia" w:ascii="宋体" w:hAnsi="宋体" w:cs="宋体"/>
          <w:color w:val="auto"/>
          <w:kern w:val="0"/>
          <w:sz w:val="18"/>
          <w:szCs w:val="18"/>
          <w:lang w:eastAsia="zh-CN"/>
        </w:rPr>
        <w:t>复印</w:t>
      </w:r>
      <w:r>
        <w:rPr>
          <w:rFonts w:hint="eastAsia" w:ascii="宋体" w:hAnsi="宋体" w:cs="宋体"/>
          <w:color w:val="auto"/>
          <w:kern w:val="0"/>
          <w:sz w:val="18"/>
          <w:szCs w:val="18"/>
        </w:rPr>
        <w:t>件</w:t>
      </w:r>
      <w:r>
        <w:rPr>
          <w:rFonts w:hint="eastAsia" w:ascii="宋体" w:hAnsi="宋体" w:cs="宋体"/>
          <w:color w:val="auto"/>
          <w:kern w:val="0"/>
          <w:sz w:val="18"/>
          <w:szCs w:val="18"/>
          <w:lang w:eastAsia="zh-CN"/>
        </w:rPr>
        <w:t>及</w:t>
      </w:r>
      <w:r>
        <w:rPr>
          <w:rFonts w:hint="eastAsia" w:ascii="宋体" w:hAnsi="宋体" w:cs="宋体"/>
          <w:color w:val="auto"/>
          <w:kern w:val="0"/>
          <w:sz w:val="18"/>
          <w:szCs w:val="18"/>
          <w:lang w:val="en-US" w:eastAsia="zh-CN"/>
        </w:rPr>
        <w:t>投标截止日期前3个月的</w:t>
      </w:r>
      <w:r>
        <w:rPr>
          <w:rFonts w:hint="eastAsia" w:ascii="宋体" w:hAnsi="宋体" w:cs="宋体"/>
          <w:color w:val="auto"/>
          <w:kern w:val="0"/>
          <w:sz w:val="18"/>
          <w:szCs w:val="18"/>
          <w:lang w:eastAsia="zh-CN"/>
        </w:rPr>
        <w:t>社保证明。</w:t>
      </w:r>
    </w:p>
    <w:p>
      <w:pPr>
        <w:widowControl/>
        <w:ind w:left="804" w:leftChars="340" w:hanging="90" w:hangingChars="50"/>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val="en-US" w:eastAsia="zh-CN"/>
        </w:rPr>
        <w:t>4、企业纳税信用等级需提供相关证书</w:t>
      </w:r>
      <w:r>
        <w:rPr>
          <w:rFonts w:hint="eastAsia" w:ascii="宋体" w:hAnsi="宋体" w:cs="宋体"/>
          <w:color w:val="auto"/>
          <w:kern w:val="0"/>
          <w:sz w:val="18"/>
          <w:szCs w:val="18"/>
          <w:lang w:eastAsia="zh-CN"/>
        </w:rPr>
        <w:t>复印</w:t>
      </w:r>
      <w:r>
        <w:rPr>
          <w:rFonts w:hint="eastAsia" w:ascii="宋体" w:hAnsi="宋体" w:cs="宋体"/>
          <w:color w:val="auto"/>
          <w:kern w:val="0"/>
          <w:sz w:val="18"/>
          <w:szCs w:val="18"/>
        </w:rPr>
        <w:t>件</w:t>
      </w:r>
      <w:r>
        <w:rPr>
          <w:rFonts w:hint="eastAsia" w:ascii="宋体" w:hAnsi="宋体" w:cs="宋体"/>
          <w:color w:val="auto"/>
          <w:kern w:val="0"/>
          <w:sz w:val="18"/>
          <w:szCs w:val="18"/>
          <w:lang w:eastAsia="zh-CN"/>
        </w:rPr>
        <w:t>及国家税务总局（http://hd.chinatax.gov.cn/fagui/action/InitCredit.do）查询结果。</w:t>
      </w:r>
    </w:p>
    <w:p>
      <w:pPr>
        <w:widowControl/>
        <w:ind w:left="804" w:leftChars="340" w:hanging="90" w:hangingChars="50"/>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本工程成本警戒价按最高投标限价的80%设置，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F038C"/>
    <w:rsid w:val="3E83553D"/>
    <w:rsid w:val="58FF038C"/>
    <w:rsid w:val="72AB2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2020-10-16T10:43:00Z</dcterms:created>
  <dc:creator>M</dc:creator>
  <cp:lastModifiedBy>M</cp:lastModifiedBy>
  <dcterms:modified xsi:type="dcterms:W3CDTF">2021-03-03T01:54:46Z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