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0"/>
        <w:ind w:left="0" w:right="0" w:firstLine="0"/>
        <w:jc w:val="left"/>
        <w:rPr>
          <w:rFonts w:hint="default" w:ascii="仿宋_GB2312" w:hAnsi="仿宋_GB2312" w:eastAsia="仿宋_GB2312" w:cs="仿宋_GB2312"/>
          <w:color w:val="auto"/>
          <w:spacing w:val="0"/>
          <w:w w:val="100"/>
          <w:position w:val="0"/>
          <w:sz w:val="32"/>
          <w:szCs w:val="32"/>
          <w:highlight w:val="none"/>
          <w:lang w:val="en-US" w:eastAsia="zh-CN"/>
        </w:rPr>
      </w:pPr>
      <w:r>
        <w:rPr>
          <w:rFonts w:hint="eastAsia" w:ascii="仿宋_GB2312" w:hAnsi="仿宋_GB2312" w:eastAsia="仿宋_GB2312" w:cs="仿宋_GB2312"/>
          <w:color w:val="auto"/>
          <w:spacing w:val="0"/>
          <w:w w:val="100"/>
          <w:position w:val="0"/>
          <w:sz w:val="32"/>
          <w:szCs w:val="32"/>
          <w:highlight w:val="none"/>
          <w:lang w:val="en-US" w:eastAsia="zh-CN"/>
        </w:rPr>
        <w:t>附件4</w:t>
      </w: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p>
    <w:p>
      <w:pPr>
        <w:pStyle w:val="4"/>
        <w:keepNext w:val="0"/>
        <w:keepLines w:val="0"/>
        <w:widowControl w:val="0"/>
        <w:shd w:val="clear" w:color="auto" w:fill="auto"/>
        <w:bidi w:val="0"/>
        <w:spacing w:before="0" w:after="0"/>
        <w:ind w:left="0" w:right="0" w:firstLine="0"/>
        <w:jc w:val="center"/>
        <w:rPr>
          <w:color w:val="auto"/>
          <w:spacing w:val="0"/>
          <w:w w:val="100"/>
          <w:position w:val="0"/>
          <w:highlight w:val="none"/>
        </w:rPr>
      </w:pPr>
      <w:r>
        <w:rPr>
          <w:color w:val="auto"/>
          <w:spacing w:val="0"/>
          <w:w w:val="100"/>
          <w:position w:val="0"/>
          <w:highlight w:val="none"/>
        </w:rPr>
        <w:t>广州市老年人照顾需求评估项目</w:t>
      </w:r>
      <w:r>
        <w:rPr>
          <w:color w:val="auto"/>
          <w:spacing w:val="0"/>
          <w:w w:val="100"/>
          <w:position w:val="0"/>
          <w:highlight w:val="none"/>
        </w:rPr>
        <w:br w:type="textWrapping"/>
      </w:r>
      <w:r>
        <w:rPr>
          <w:color w:val="auto"/>
          <w:spacing w:val="0"/>
          <w:w w:val="100"/>
          <w:position w:val="0"/>
          <w:highlight w:val="none"/>
        </w:rPr>
        <w:t>委托合同</w:t>
      </w:r>
    </w:p>
    <w:p>
      <w:pPr>
        <w:pStyle w:val="4"/>
        <w:keepNext w:val="0"/>
        <w:keepLines w:val="0"/>
        <w:widowControl w:val="0"/>
        <w:shd w:val="clear" w:color="auto" w:fill="auto"/>
        <w:bidi w:val="0"/>
        <w:spacing w:before="0" w:after="0"/>
        <w:ind w:left="0" w:right="0" w:firstLine="0"/>
        <w:jc w:val="center"/>
        <w:rPr>
          <w:rFonts w:hint="default" w:eastAsia="宋体"/>
          <w:color w:val="auto"/>
          <w:spacing w:val="0"/>
          <w:w w:val="100"/>
          <w:position w:val="0"/>
          <w:sz w:val="24"/>
          <w:szCs w:val="24"/>
          <w:highlight w:val="none"/>
          <w:lang w:val="en-US" w:eastAsia="zh-CN"/>
        </w:rPr>
      </w:pPr>
      <w:r>
        <w:rPr>
          <w:rFonts w:hint="eastAsia"/>
          <w:color w:val="auto"/>
          <w:spacing w:val="0"/>
          <w:w w:val="100"/>
          <w:position w:val="0"/>
          <w:sz w:val="24"/>
          <w:szCs w:val="24"/>
          <w:highlight w:val="none"/>
          <w:lang w:eastAsia="zh-CN"/>
        </w:rPr>
        <w:t>（</w:t>
      </w:r>
      <w:r>
        <w:rPr>
          <w:rFonts w:hint="eastAsia"/>
          <w:color w:val="auto"/>
          <w:spacing w:val="0"/>
          <w:w w:val="100"/>
          <w:position w:val="0"/>
          <w:sz w:val="24"/>
          <w:szCs w:val="24"/>
          <w:highlight w:val="none"/>
          <w:lang w:val="en-US" w:eastAsia="zh-CN"/>
        </w:rPr>
        <w:t>此件为参考模板，待选定评估机构之后合约双方再协商确定具体内容）</w:t>
      </w:r>
    </w:p>
    <w:p>
      <w:pPr>
        <w:rPr>
          <w:color w:val="auto"/>
          <w:highlight w:val="none"/>
        </w:rPr>
      </w:pPr>
      <w:r>
        <w:rPr>
          <w:color w:val="auto"/>
          <w:highlight w:val="none"/>
        </w:rPr>
        <w:br w:type="page"/>
      </w:r>
    </w:p>
    <w:p>
      <w:pPr>
        <w:pStyle w:val="10"/>
        <w:spacing w:line="360" w:lineRule="auto"/>
        <w:ind w:firstLine="0"/>
        <w:rPr>
          <w:rFonts w:ascii="Times New Roman" w:hAnsi="Times New Roman" w:eastAsia="仿宋_GB2312"/>
          <w:b/>
          <w:color w:val="auto"/>
          <w:szCs w:val="32"/>
          <w:highlight w:val="none"/>
        </w:rPr>
      </w:pPr>
      <w:r>
        <w:rPr>
          <w:rFonts w:ascii="Times New Roman" w:hAnsi="Times New Roman" w:eastAsia="仿宋_GB2312"/>
          <w:b/>
          <w:color w:val="auto"/>
          <w:szCs w:val="32"/>
          <w:highlight w:val="none"/>
        </w:rPr>
        <w:t>甲方（区民政局）</w:t>
      </w:r>
    </w:p>
    <w:p>
      <w:pPr>
        <w:spacing w:line="360" w:lineRule="auto"/>
        <w:rPr>
          <w:rFonts w:hint="eastAsia" w:eastAsia="仿宋_GB2312"/>
          <w:color w:val="auto"/>
          <w:sz w:val="32"/>
          <w:szCs w:val="32"/>
          <w:highlight w:val="none"/>
          <w:u w:val="single"/>
          <w:lang w:eastAsia="zh-CN"/>
        </w:rPr>
      </w:pPr>
      <w:r>
        <w:rPr>
          <w:rFonts w:eastAsia="仿宋_GB2312"/>
          <w:color w:val="auto"/>
          <w:sz w:val="32"/>
          <w:szCs w:val="32"/>
          <w:highlight w:val="none"/>
        </w:rPr>
        <w:t>单位名称：</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spacing w:line="360" w:lineRule="auto"/>
        <w:rPr>
          <w:rFonts w:eastAsia="仿宋_GB2312"/>
          <w:color w:val="auto"/>
          <w:sz w:val="32"/>
          <w:szCs w:val="32"/>
          <w:highlight w:val="none"/>
        </w:rPr>
      </w:pPr>
      <w:r>
        <w:rPr>
          <w:rFonts w:eastAsia="仿宋_GB2312"/>
          <w:color w:val="auto"/>
          <w:sz w:val="32"/>
          <w:szCs w:val="32"/>
          <w:highlight w:val="none"/>
        </w:rPr>
        <w:t>法定代表人：</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eastAsia="仿宋_GB2312"/>
          <w:color w:val="auto"/>
          <w:sz w:val="32"/>
          <w:szCs w:val="32"/>
          <w:highlight w:val="none"/>
        </w:rPr>
        <w:t xml:space="preserve">   联系电话：</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spacing w:line="360" w:lineRule="auto"/>
        <w:rPr>
          <w:rFonts w:hint="eastAsia" w:eastAsia="仿宋_GB2312"/>
          <w:color w:val="auto"/>
          <w:sz w:val="32"/>
          <w:szCs w:val="32"/>
          <w:highlight w:val="none"/>
          <w:lang w:eastAsia="zh-CN"/>
        </w:rPr>
      </w:pPr>
      <w:r>
        <w:rPr>
          <w:rFonts w:eastAsia="仿宋_GB2312"/>
          <w:color w:val="auto"/>
          <w:sz w:val="32"/>
          <w:szCs w:val="32"/>
          <w:highlight w:val="none"/>
        </w:rPr>
        <w:t>单位地址：</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pStyle w:val="10"/>
        <w:spacing w:line="360" w:lineRule="auto"/>
        <w:ind w:firstLine="0"/>
        <w:jc w:val="center"/>
        <w:rPr>
          <w:rFonts w:ascii="Times New Roman" w:hAnsi="Times New Roman" w:eastAsia="仿宋_GB2312"/>
          <w:b/>
          <w:color w:val="auto"/>
          <w:szCs w:val="32"/>
          <w:highlight w:val="none"/>
        </w:rPr>
      </w:pPr>
    </w:p>
    <w:p>
      <w:pPr>
        <w:pStyle w:val="10"/>
        <w:spacing w:line="360" w:lineRule="auto"/>
        <w:ind w:firstLine="0"/>
        <w:rPr>
          <w:rFonts w:ascii="Times New Roman" w:hAnsi="Times New Roman" w:eastAsia="仿宋_GB2312"/>
          <w:b/>
          <w:color w:val="auto"/>
          <w:szCs w:val="32"/>
          <w:highlight w:val="none"/>
        </w:rPr>
      </w:pPr>
      <w:r>
        <w:rPr>
          <w:rFonts w:ascii="Times New Roman" w:hAnsi="Times New Roman" w:eastAsia="仿宋_GB2312"/>
          <w:b/>
          <w:color w:val="auto"/>
          <w:szCs w:val="32"/>
          <w:highlight w:val="none"/>
        </w:rPr>
        <w:t>乙方（第三方评估机构）</w:t>
      </w:r>
    </w:p>
    <w:p>
      <w:pPr>
        <w:spacing w:line="360" w:lineRule="auto"/>
        <w:rPr>
          <w:rFonts w:eastAsia="仿宋_GB2312"/>
          <w:color w:val="auto"/>
          <w:sz w:val="32"/>
          <w:szCs w:val="32"/>
          <w:highlight w:val="none"/>
        </w:rPr>
      </w:pPr>
      <w:r>
        <w:rPr>
          <w:rFonts w:eastAsia="仿宋_GB2312"/>
          <w:color w:val="auto"/>
          <w:sz w:val="32"/>
          <w:szCs w:val="32"/>
          <w:highlight w:val="none"/>
        </w:rPr>
        <w:t>机构名称：</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spacing w:line="360" w:lineRule="auto"/>
        <w:rPr>
          <w:rFonts w:eastAsia="仿宋_GB2312"/>
          <w:color w:val="auto"/>
          <w:sz w:val="32"/>
          <w:szCs w:val="32"/>
          <w:highlight w:val="none"/>
          <w:u w:val="single"/>
        </w:rPr>
      </w:pPr>
      <w:r>
        <w:rPr>
          <w:rFonts w:eastAsia="仿宋_GB2312"/>
          <w:color w:val="auto"/>
          <w:sz w:val="32"/>
          <w:szCs w:val="32"/>
          <w:highlight w:val="none"/>
        </w:rPr>
        <w:t>法定代表人：</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eastAsia="仿宋_GB2312"/>
          <w:color w:val="auto"/>
          <w:sz w:val="32"/>
          <w:szCs w:val="32"/>
          <w:highlight w:val="none"/>
        </w:rPr>
        <w:t xml:space="preserve">   机构电话：</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spacing w:line="360" w:lineRule="auto"/>
        <w:rPr>
          <w:rFonts w:eastAsia="仿宋_GB2312"/>
          <w:color w:val="auto"/>
          <w:sz w:val="32"/>
          <w:szCs w:val="32"/>
          <w:highlight w:val="none"/>
        </w:rPr>
      </w:pPr>
      <w:r>
        <w:rPr>
          <w:rFonts w:eastAsia="仿宋_GB2312"/>
          <w:color w:val="auto"/>
          <w:sz w:val="32"/>
          <w:szCs w:val="32"/>
          <w:highlight w:val="none"/>
        </w:rPr>
        <w:t xml:space="preserve">联系人：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eastAsia="仿宋_GB2312"/>
          <w:color w:val="auto"/>
          <w:sz w:val="32"/>
          <w:szCs w:val="32"/>
          <w:highlight w:val="none"/>
        </w:rPr>
        <w:t xml:space="preserve">   </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联系电话：</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p>
    <w:p>
      <w:pPr>
        <w:spacing w:line="400" w:lineRule="exact"/>
        <w:rPr>
          <w:rFonts w:eastAsia="仿宋_GB2312"/>
          <w:color w:val="auto"/>
          <w:sz w:val="32"/>
          <w:szCs w:val="32"/>
          <w:highlight w:val="none"/>
          <w:u w:val="single"/>
        </w:rPr>
      </w:pPr>
      <w:r>
        <w:rPr>
          <w:rFonts w:eastAsia="仿宋_GB2312"/>
          <w:color w:val="auto"/>
          <w:sz w:val="32"/>
          <w:szCs w:val="32"/>
          <w:highlight w:val="none"/>
        </w:rPr>
        <w:t>机构地址：</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hint="eastAsia" w:eastAsia="仿宋_GB2312"/>
          <w:color w:val="auto"/>
          <w:sz w:val="32"/>
          <w:szCs w:val="32"/>
          <w:highlight w:val="none"/>
          <w:u w:val="single"/>
          <w:lang w:val="en-US" w:eastAsia="zh-CN"/>
        </w:rPr>
        <w:t xml:space="preserve">         </w:t>
      </w:r>
      <w:r>
        <w:rPr>
          <w:rFonts w:eastAsia="仿宋_GB2312"/>
          <w:color w:val="auto"/>
          <w:sz w:val="32"/>
          <w:szCs w:val="32"/>
          <w:highlight w:val="none"/>
          <w:u w:val="single"/>
        </w:rPr>
        <w:t xml:space="preserve">  </w:t>
      </w:r>
      <w:r>
        <w:rPr>
          <w:rFonts w:eastAsia="仿宋_GB2312"/>
          <w:color w:val="auto"/>
          <w:sz w:val="32"/>
          <w:szCs w:val="32"/>
          <w:highlight w:val="none"/>
        </w:rPr>
        <w:t xml:space="preserve">                                                     </w:t>
      </w:r>
    </w:p>
    <w:p>
      <w:pPr>
        <w:rPr>
          <w:color w:val="auto"/>
          <w:spacing w:val="0"/>
          <w:w w:val="100"/>
          <w:position w:val="0"/>
          <w:highlight w:val="none"/>
        </w:rPr>
      </w:pPr>
      <w:r>
        <w:rPr>
          <w:color w:val="auto"/>
          <w:spacing w:val="0"/>
          <w:w w:val="100"/>
          <w:position w:val="0"/>
          <w:highlight w:val="none"/>
        </w:rPr>
        <w:br w:type="page"/>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根据《中华人民共和国政府采购法》《中华人民共和国合同法》《政府向社会组织购买服务暂行办法》《广州市社区居家养老服务管理办法》</w:t>
      </w:r>
      <w:r>
        <w:rPr>
          <w:rFonts w:hint="eastAsia" w:ascii="宋体" w:hAnsi="宋体" w:eastAsia="宋体" w:cs="宋体"/>
          <w:color w:val="auto"/>
          <w:spacing w:val="0"/>
          <w:w w:val="100"/>
          <w:position w:val="0"/>
          <w:sz w:val="24"/>
          <w:szCs w:val="24"/>
          <w:highlight w:val="none"/>
        </w:rPr>
        <w:t>《广州市老年人照顾需求评估管理办法（试行）》（以下简称《评估办法》）等有关规定，甲、乙双方在平等、自愿、协商一致的基础上，就甲方向乙方购买的老年人照顾需求评估服务签订本合同如下：</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bookmarkStart w:id="0" w:name="bookmark62"/>
      <w:r>
        <w:rPr>
          <w:rFonts w:hint="eastAsia" w:ascii="黑体" w:hAnsi="黑体" w:eastAsia="黑体" w:cs="黑体"/>
          <w:color w:val="auto"/>
          <w:spacing w:val="0"/>
          <w:w w:val="100"/>
          <w:position w:val="0"/>
          <w:sz w:val="32"/>
          <w:szCs w:val="32"/>
          <w:highlight w:val="none"/>
        </w:rPr>
        <w:t>一</w:t>
      </w:r>
      <w:bookmarkEnd w:id="0"/>
      <w:r>
        <w:rPr>
          <w:rFonts w:hint="eastAsia" w:ascii="黑体" w:hAnsi="黑体" w:eastAsia="黑体" w:cs="黑体"/>
          <w:color w:val="auto"/>
          <w:spacing w:val="0"/>
          <w:w w:val="100"/>
          <w:position w:val="0"/>
          <w:sz w:val="32"/>
          <w:szCs w:val="32"/>
          <w:highlight w:val="none"/>
        </w:rPr>
        <w:t>、项目内容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1.1</w:t>
      </w:r>
      <w:r>
        <w:rPr>
          <w:rFonts w:hint="eastAsia" w:ascii="宋体" w:hAnsi="宋体" w:eastAsia="宋体" w:cs="宋体"/>
          <w:b/>
          <w:bCs/>
          <w:color w:val="auto"/>
          <w:spacing w:val="0"/>
          <w:w w:val="100"/>
          <w:position w:val="0"/>
          <w:sz w:val="24"/>
          <w:szCs w:val="24"/>
          <w:highlight w:val="none"/>
        </w:rPr>
        <w:t>评估内容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按照《评估办法》和广州市《老年人照顾需求等级评定规范》规定,</w:t>
      </w:r>
      <w:r>
        <w:rPr>
          <w:rFonts w:hint="eastAsia" w:ascii="宋体" w:hAnsi="宋体" w:eastAsia="宋体" w:cs="宋体"/>
          <w:color w:val="auto"/>
          <w:spacing w:val="0"/>
          <w:w w:val="100"/>
          <w:position w:val="0"/>
          <w:sz w:val="24"/>
          <w:szCs w:val="24"/>
          <w:highlight w:val="none"/>
          <w:lang w:val="en-US" w:eastAsia="zh-CN"/>
        </w:rPr>
        <w:t>采</w:t>
      </w:r>
      <w:r>
        <w:rPr>
          <w:rFonts w:hint="eastAsia" w:ascii="宋体" w:hAnsi="宋体" w:eastAsia="宋体" w:cs="宋体"/>
          <w:color w:val="auto"/>
          <w:spacing w:val="0"/>
          <w:w w:val="100"/>
          <w:position w:val="0"/>
          <w:sz w:val="24"/>
          <w:szCs w:val="24"/>
          <w:highlight w:val="none"/>
        </w:rPr>
        <w:t>用定点评估和入户评估两种方式，依托市为老服务综合信息管理平台为服务对象进行老年人照顾需求评估，根据评估结果给出服务建议并形成《老年人照顾需求等级评定报告》，评估结果作为老年人申请养老服务资助和其他养老服务的依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1.2</w:t>
      </w:r>
      <w:r>
        <w:rPr>
          <w:rFonts w:hint="eastAsia" w:ascii="宋体" w:hAnsi="宋体" w:eastAsia="宋体" w:cs="宋体"/>
          <w:b/>
          <w:bCs/>
          <w:color w:val="auto"/>
          <w:spacing w:val="0"/>
          <w:w w:val="100"/>
          <w:position w:val="0"/>
          <w:sz w:val="24"/>
          <w:szCs w:val="24"/>
          <w:highlight w:val="none"/>
        </w:rPr>
        <w:t>评估范围</w:t>
      </w:r>
    </w:p>
    <w:p>
      <w:pPr>
        <w:pStyle w:val="6"/>
        <w:keepNext w:val="0"/>
        <w:keepLines w:val="0"/>
        <w:pageBreakBefore w:val="0"/>
        <w:widowControl w:val="0"/>
        <w:shd w:val="clear" w:color="auto" w:fill="auto"/>
        <w:tabs>
          <w:tab w:val="left" w:pos="7203"/>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0"/>
          <w:w w:val="100"/>
          <w:position w:val="0"/>
          <w:sz w:val="24"/>
          <w:szCs w:val="24"/>
          <w:highlight w:val="none"/>
          <w:lang w:val="en-US" w:eastAsia="en-US" w:bidi="en-US"/>
        </w:rPr>
        <w:t>1.2.1</w:t>
      </w:r>
      <w:r>
        <w:rPr>
          <w:rFonts w:hint="eastAsia" w:ascii="宋体" w:hAnsi="宋体" w:eastAsia="宋体" w:cs="宋体"/>
          <w:color w:val="auto"/>
          <w:spacing w:val="0"/>
          <w:w w:val="100"/>
          <w:position w:val="0"/>
          <w:sz w:val="24"/>
          <w:szCs w:val="24"/>
          <w:highlight w:val="none"/>
        </w:rPr>
        <w:t>服务范围：</w:t>
      </w:r>
      <w:r>
        <w:rPr>
          <w:rFonts w:hint="eastAsia" w:cs="宋体"/>
          <w:color w:val="auto"/>
          <w:sz w:val="24"/>
          <w:szCs w:val="24"/>
          <w:highlight w:val="none"/>
          <w:u w:val="single"/>
          <w:lang w:val="en-US" w:eastAsia="zh-CN"/>
        </w:rPr>
        <w:t>广州市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2服务对象（类型、数量等）：</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因申请本市养老服务或政府补贴需要开展老年人照顾需求评估的老年人，包括但不限于：</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1</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天河区户籍60周岁以上申请社区居家养老服务资助（含“平安通”资助、助餐配餐送餐服务、家庭养老床位护理补贴等）的老年人；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2</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天河区户籍60周岁以上申请高龄老年人照护商业保险待遇的老年人；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3</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天河区户籍申请特困供养人员护理补贴的老年人；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4</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天河区户籍60周岁以上申请轮候入住公办养老机构的老年人；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5</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天河区辖区内养老机构申请民办养老机构护理补贴的老年人；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w:t>
      </w:r>
      <w:r>
        <w:rPr>
          <w:rFonts w:hint="eastAsia" w:cs="宋体"/>
          <w:color w:val="auto"/>
          <w:sz w:val="24"/>
          <w:szCs w:val="24"/>
          <w:highlight w:val="none"/>
          <w:lang w:val="en-US" w:eastAsia="zh-CN"/>
        </w:rPr>
        <w:t>6</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其他申请老年人照顾需求等级评估的天河区户籍60周岁以上老年人。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1.3</w:t>
      </w:r>
      <w:r>
        <w:rPr>
          <w:rFonts w:hint="eastAsia" w:ascii="宋体" w:hAnsi="宋体" w:eastAsia="宋体" w:cs="宋体"/>
          <w:b/>
          <w:bCs/>
          <w:color w:val="auto"/>
          <w:spacing w:val="0"/>
          <w:w w:val="100"/>
          <w:position w:val="0"/>
          <w:sz w:val="24"/>
          <w:szCs w:val="24"/>
          <w:highlight w:val="none"/>
        </w:rPr>
        <w:t>评估成果</w:t>
      </w:r>
    </w:p>
    <w:p>
      <w:pPr>
        <w:pStyle w:val="6"/>
        <w:keepNext w:val="0"/>
        <w:keepLines w:val="0"/>
        <w:pageBreakBefore w:val="0"/>
        <w:widowControl w:val="0"/>
        <w:numPr>
          <w:ilvl w:val="0"/>
          <w:numId w:val="0"/>
        </w:numPr>
        <w:shd w:val="clear" w:color="auto" w:fill="auto"/>
        <w:tabs>
          <w:tab w:val="left" w:pos="4242"/>
        </w:tabs>
        <w:kinsoku/>
        <w:wordWrap/>
        <w:overflowPunct/>
        <w:topLinePunct w:val="0"/>
        <w:autoSpaceDE/>
        <w:autoSpaceDN/>
        <w:bidi w:val="0"/>
        <w:adjustRightInd/>
        <w:snapToGrid/>
        <w:spacing w:before="0" w:after="0" w:line="480" w:lineRule="auto"/>
        <w:ind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sym w:font="Wingdings 2" w:char="0052"/>
      </w:r>
      <w:r>
        <w:rPr>
          <w:rFonts w:hint="eastAsia" w:ascii="宋体" w:hAnsi="宋体" w:eastAsia="宋体" w:cs="宋体"/>
          <w:color w:val="auto"/>
          <w:spacing w:val="0"/>
          <w:w w:val="100"/>
          <w:position w:val="0"/>
          <w:sz w:val="24"/>
          <w:szCs w:val="24"/>
          <w:highlight w:val="none"/>
        </w:rPr>
        <w:t>评估工作总体情况报告</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0"/>
          <w:w w:val="100"/>
          <w:position w:val="0"/>
          <w:sz w:val="24"/>
          <w:szCs w:val="24"/>
          <w:highlight w:val="none"/>
        </w:rPr>
        <w:t>份</w:t>
      </w:r>
    </w:p>
    <w:p>
      <w:pPr>
        <w:pStyle w:val="6"/>
        <w:keepNext w:val="0"/>
        <w:keepLines w:val="0"/>
        <w:pageBreakBefore w:val="0"/>
        <w:widowControl w:val="0"/>
        <w:numPr>
          <w:ilvl w:val="0"/>
          <w:numId w:val="0"/>
        </w:numPr>
        <w:shd w:val="clear" w:color="auto" w:fill="auto"/>
        <w:tabs>
          <w:tab w:val="left" w:pos="4487"/>
        </w:tabs>
        <w:kinsoku/>
        <w:wordWrap/>
        <w:overflowPunct/>
        <w:topLinePunct w:val="0"/>
        <w:autoSpaceDE/>
        <w:autoSpaceDN/>
        <w:bidi w:val="0"/>
        <w:adjustRightInd/>
        <w:snapToGrid/>
        <w:spacing w:before="0" w:after="0" w:line="480" w:lineRule="auto"/>
        <w:ind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sym w:font="Wingdings 2" w:char="0052"/>
      </w:r>
      <w:r>
        <w:rPr>
          <w:rFonts w:hint="eastAsia" w:ascii="宋体" w:hAnsi="宋体" w:eastAsia="宋体" w:cs="宋体"/>
          <w:color w:val="auto"/>
          <w:spacing w:val="0"/>
          <w:w w:val="100"/>
          <w:position w:val="0"/>
          <w:sz w:val="24"/>
          <w:szCs w:val="24"/>
          <w:highlight w:val="none"/>
        </w:rPr>
        <w:t>评估工作阶段性情况报告</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0"/>
          <w:w w:val="100"/>
          <w:position w:val="0"/>
          <w:sz w:val="24"/>
          <w:szCs w:val="24"/>
          <w:highlight w:val="none"/>
        </w:rPr>
        <w:t>份</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80" w:lineRule="auto"/>
        <w:ind w:leftChars="0" w:right="0" w:righ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sym w:font="Wingdings 2" w:char="0052"/>
      </w:r>
      <w:r>
        <w:rPr>
          <w:rFonts w:hint="eastAsia" w:ascii="宋体" w:hAnsi="宋体" w:eastAsia="宋体" w:cs="宋体"/>
          <w:color w:val="auto"/>
          <w:spacing w:val="0"/>
          <w:w w:val="100"/>
          <w:position w:val="0"/>
          <w:sz w:val="24"/>
          <w:szCs w:val="24"/>
          <w:highlight w:val="none"/>
        </w:rPr>
        <w:t>老年人照顾需求评估报告</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份</w:t>
      </w:r>
    </w:p>
    <w:p>
      <w:pPr>
        <w:pStyle w:val="6"/>
        <w:keepNext w:val="0"/>
        <w:keepLines w:val="0"/>
        <w:pageBreakBefore w:val="0"/>
        <w:widowControl w:val="0"/>
        <w:shd w:val="clear" w:color="auto" w:fill="auto"/>
        <w:tabs>
          <w:tab w:val="left" w:pos="8814"/>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其他形式的成果</w:t>
      </w:r>
      <w:r>
        <w:rPr>
          <w:rFonts w:hint="eastAsia" w:ascii="宋体" w:hAnsi="宋体" w:eastAsia="宋体" w:cs="宋体"/>
          <w:color w:val="auto"/>
          <w:sz w:val="24"/>
          <w:szCs w:val="24"/>
          <w:highlight w:val="none"/>
          <w:u w:val="single"/>
        </w:rPr>
        <w:tab/>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（备注:本合同项目下全部成果的所有权归甲方所有,未经甲方书面同意,乙方不得擅自使用或许可他人使用，亦不得向第三方披露。）</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left"/>
        <w:textAlignment w:val="auto"/>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rPr>
        <w:t>1.4评估工作计划和时间安排</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b w:val="0"/>
          <w:bCs w:val="0"/>
          <w:color w:val="auto"/>
          <w:spacing w:val="0"/>
          <w:w w:val="100"/>
          <w:position w:val="0"/>
          <w:sz w:val="24"/>
          <w:szCs w:val="24"/>
          <w:highlight w:val="none"/>
          <w:u w:val="none"/>
          <w:lang w:val="en-US" w:eastAsia="en-US" w:bidi="en-US"/>
        </w:rPr>
      </w:pPr>
      <w:r>
        <w:rPr>
          <w:rFonts w:hint="eastAsia" w:ascii="宋体" w:hAnsi="宋体" w:eastAsia="宋体" w:cs="宋体"/>
          <w:b w:val="0"/>
          <w:bCs w:val="0"/>
          <w:color w:val="auto"/>
          <w:spacing w:val="0"/>
          <w:w w:val="100"/>
          <w:position w:val="0"/>
          <w:sz w:val="24"/>
          <w:szCs w:val="24"/>
          <w:highlight w:val="none"/>
          <w:u w:val="none"/>
          <w:lang w:val="en-US" w:eastAsia="zh-CN" w:bidi="en-US"/>
        </w:rPr>
        <w:t>①</w:t>
      </w:r>
      <w:r>
        <w:rPr>
          <w:rFonts w:hint="eastAsia" w:ascii="宋体" w:hAnsi="宋体" w:eastAsia="宋体" w:cs="宋体"/>
          <w:b w:val="0"/>
          <w:bCs w:val="0"/>
          <w:color w:val="auto"/>
          <w:spacing w:val="0"/>
          <w:w w:val="100"/>
          <w:position w:val="0"/>
          <w:sz w:val="24"/>
          <w:szCs w:val="24"/>
          <w:highlight w:val="none"/>
          <w:u w:val="none"/>
          <w:lang w:val="en-US" w:eastAsia="en-US" w:bidi="en-US"/>
        </w:rPr>
        <w:t>受理。评估机构接受委托后，在7个工作日内受理并完成对服务对象的评估。</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b w:val="0"/>
          <w:bCs w:val="0"/>
          <w:color w:val="auto"/>
          <w:spacing w:val="0"/>
          <w:w w:val="100"/>
          <w:position w:val="0"/>
          <w:sz w:val="24"/>
          <w:szCs w:val="24"/>
          <w:highlight w:val="none"/>
          <w:u w:val="none"/>
          <w:lang w:val="en-US" w:eastAsia="en-US" w:bidi="en-US"/>
        </w:rPr>
      </w:pPr>
      <w:r>
        <w:rPr>
          <w:rFonts w:hint="eastAsia" w:ascii="宋体" w:hAnsi="宋体" w:eastAsia="宋体" w:cs="宋体"/>
          <w:b w:val="0"/>
          <w:bCs w:val="0"/>
          <w:color w:val="auto"/>
          <w:spacing w:val="0"/>
          <w:w w:val="100"/>
          <w:position w:val="0"/>
          <w:sz w:val="24"/>
          <w:szCs w:val="24"/>
          <w:highlight w:val="none"/>
          <w:u w:val="none"/>
          <w:lang w:val="en-US" w:eastAsia="zh-CN" w:bidi="en-US"/>
        </w:rPr>
        <w:t>②</w:t>
      </w:r>
      <w:r>
        <w:rPr>
          <w:rFonts w:hint="eastAsia" w:ascii="宋体" w:hAnsi="宋体" w:eastAsia="宋体" w:cs="宋体"/>
          <w:b w:val="0"/>
          <w:bCs w:val="0"/>
          <w:color w:val="auto"/>
          <w:spacing w:val="0"/>
          <w:w w:val="100"/>
          <w:position w:val="0"/>
          <w:sz w:val="24"/>
          <w:szCs w:val="24"/>
          <w:highlight w:val="none"/>
          <w:u w:val="none"/>
          <w:lang w:val="en-US" w:eastAsia="en-US" w:bidi="en-US"/>
        </w:rPr>
        <w:t>预约。评估机构根据评估对象实际情况预约上门评估或到评估点评估。</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b w:val="0"/>
          <w:bCs w:val="0"/>
          <w:color w:val="auto"/>
          <w:spacing w:val="0"/>
          <w:w w:val="100"/>
          <w:position w:val="0"/>
          <w:sz w:val="24"/>
          <w:szCs w:val="24"/>
          <w:highlight w:val="none"/>
          <w:u w:val="none"/>
          <w:lang w:val="en-US" w:eastAsia="en-US" w:bidi="en-US"/>
        </w:rPr>
      </w:pPr>
      <w:r>
        <w:rPr>
          <w:rFonts w:hint="eastAsia" w:ascii="宋体" w:hAnsi="宋体" w:eastAsia="宋体" w:cs="宋体"/>
          <w:b w:val="0"/>
          <w:bCs w:val="0"/>
          <w:color w:val="auto"/>
          <w:spacing w:val="0"/>
          <w:w w:val="100"/>
          <w:position w:val="0"/>
          <w:sz w:val="24"/>
          <w:szCs w:val="24"/>
          <w:highlight w:val="none"/>
          <w:u w:val="none"/>
          <w:lang w:val="en-US" w:eastAsia="zh-CN" w:bidi="en-US"/>
        </w:rPr>
        <w:t>③</w:t>
      </w:r>
      <w:r>
        <w:rPr>
          <w:rFonts w:hint="eastAsia" w:ascii="宋体" w:hAnsi="宋体" w:eastAsia="宋体" w:cs="宋体"/>
          <w:b w:val="0"/>
          <w:bCs w:val="0"/>
          <w:color w:val="auto"/>
          <w:spacing w:val="0"/>
          <w:w w:val="100"/>
          <w:position w:val="0"/>
          <w:sz w:val="24"/>
          <w:szCs w:val="24"/>
          <w:highlight w:val="none"/>
          <w:u w:val="none"/>
          <w:lang w:val="en-US" w:eastAsia="en-US" w:bidi="en-US"/>
        </w:rPr>
        <w:t>实施。评估员按照广州市地方标准《老年人照顾需求等级评定规范》的评定表逐项进行评估，评估材料须填写准确、完整。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b w:val="0"/>
          <w:bCs w:val="0"/>
          <w:color w:val="auto"/>
          <w:spacing w:val="0"/>
          <w:w w:val="100"/>
          <w:position w:val="0"/>
          <w:sz w:val="24"/>
          <w:szCs w:val="24"/>
          <w:highlight w:val="none"/>
          <w:u w:val="none"/>
          <w:lang w:val="en-US" w:eastAsia="en-US" w:bidi="en-US"/>
        </w:rPr>
      </w:pPr>
      <w:r>
        <w:rPr>
          <w:rFonts w:hint="eastAsia" w:ascii="宋体" w:hAnsi="宋体" w:eastAsia="宋体" w:cs="宋体"/>
          <w:b w:val="0"/>
          <w:bCs w:val="0"/>
          <w:color w:val="auto"/>
          <w:spacing w:val="0"/>
          <w:w w:val="100"/>
          <w:position w:val="0"/>
          <w:sz w:val="24"/>
          <w:szCs w:val="24"/>
          <w:highlight w:val="none"/>
          <w:u w:val="none"/>
          <w:lang w:val="en-US" w:eastAsia="zh-CN" w:bidi="en-US"/>
        </w:rPr>
        <w:t>④</w:t>
      </w:r>
      <w:r>
        <w:rPr>
          <w:rFonts w:hint="eastAsia" w:ascii="宋体" w:hAnsi="宋体" w:eastAsia="宋体" w:cs="宋体"/>
          <w:b w:val="0"/>
          <w:bCs w:val="0"/>
          <w:color w:val="auto"/>
          <w:spacing w:val="0"/>
          <w:w w:val="100"/>
          <w:position w:val="0"/>
          <w:sz w:val="24"/>
          <w:szCs w:val="24"/>
          <w:highlight w:val="none"/>
          <w:u w:val="none"/>
          <w:lang w:val="en-US" w:eastAsia="en-US" w:bidi="en-US"/>
        </w:rPr>
        <w:t>评估报告及建议。评估员依据评估结果给出服务建议并填写《老年人照顾需求等级评定报告》，由评估质控员对评估内容及评估结果进行确认，确认通过的，评估机构在评估报告上加盖公章，通过市为老服务综合信息管理平台将电子版评估报告反馈给申请人，同时抄送市、区民政部门及镇人民政府（街道办事处）。评估报告原件（纸质件）于5个工作日内送达申请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b/>
          <w:bCs/>
          <w:color w:val="auto"/>
          <w:spacing w:val="0"/>
          <w:w w:val="100"/>
          <w:position w:val="0"/>
          <w:sz w:val="24"/>
          <w:szCs w:val="24"/>
          <w:highlight w:val="none"/>
          <w:u w:val="none"/>
          <w:lang w:val="en-US" w:eastAsia="en-US" w:bidi="en-US"/>
        </w:rPr>
      </w:pPr>
      <w:r>
        <w:rPr>
          <w:rFonts w:hint="eastAsia" w:ascii="宋体" w:hAnsi="宋体" w:eastAsia="宋体" w:cs="宋体"/>
          <w:b w:val="0"/>
          <w:bCs w:val="0"/>
          <w:color w:val="auto"/>
          <w:spacing w:val="0"/>
          <w:w w:val="100"/>
          <w:position w:val="0"/>
          <w:sz w:val="24"/>
          <w:szCs w:val="24"/>
          <w:highlight w:val="none"/>
          <w:u w:val="none"/>
          <w:lang w:val="en-US" w:eastAsia="zh-CN" w:bidi="en-US"/>
        </w:rPr>
        <w:t>⑤</w:t>
      </w:r>
      <w:r>
        <w:rPr>
          <w:rFonts w:hint="eastAsia" w:ascii="宋体" w:hAnsi="宋体" w:eastAsia="宋体" w:cs="宋体"/>
          <w:b w:val="0"/>
          <w:bCs w:val="0"/>
          <w:color w:val="auto"/>
          <w:spacing w:val="0"/>
          <w:w w:val="100"/>
          <w:position w:val="0"/>
          <w:sz w:val="24"/>
          <w:szCs w:val="24"/>
          <w:highlight w:val="none"/>
          <w:u w:val="none"/>
          <w:lang w:val="en-US" w:eastAsia="en-US" w:bidi="en-US"/>
        </w:rPr>
        <w:t>复评。申请人对评估结论有异议的，应当自收到评估报告之日起10个工作日内向区民政部门申请复评。区民政部门受理复评的，应当在7个工作日内在市评估专家库中抽取2名评估员（其中1名应为执业医师、助理医师或中级职称以上护士。首次评估机构的评估人员应当回避）进行复评，出具复评报告，并由区民政部门盖章确认后3个工作日内告知申请人。复评结论为本次评估的最终结论。</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1.5</w:t>
      </w:r>
      <w:r>
        <w:rPr>
          <w:rFonts w:hint="eastAsia" w:ascii="宋体" w:hAnsi="宋体" w:eastAsia="宋体" w:cs="宋体"/>
          <w:b/>
          <w:bCs/>
          <w:color w:val="auto"/>
          <w:spacing w:val="0"/>
          <w:w w:val="100"/>
          <w:position w:val="0"/>
          <w:sz w:val="24"/>
          <w:szCs w:val="24"/>
          <w:highlight w:val="none"/>
        </w:rPr>
        <w:t>人员要求</w:t>
      </w:r>
    </w:p>
    <w:p>
      <w:pPr>
        <w:pStyle w:val="6"/>
        <w:keepNext w:val="0"/>
        <w:keepLines w:val="0"/>
        <w:pageBreakBefore w:val="0"/>
        <w:widowControl w:val="0"/>
        <w:shd w:val="clear" w:color="auto" w:fill="auto"/>
        <w:tabs>
          <w:tab w:val="left" w:pos="2506"/>
          <w:tab w:val="left" w:pos="5321"/>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1.5.1</w:t>
      </w:r>
      <w:r>
        <w:rPr>
          <w:rFonts w:hint="eastAsia" w:ascii="宋体" w:hAnsi="宋体" w:eastAsia="宋体" w:cs="宋体"/>
          <w:color w:val="auto"/>
          <w:spacing w:val="0"/>
          <w:w w:val="100"/>
          <w:position w:val="0"/>
          <w:sz w:val="24"/>
          <w:szCs w:val="24"/>
          <w:highlight w:val="none"/>
        </w:rPr>
        <w:t>乙方应按照《评估办法》、地方标准《老年人照顾需求等级评定规范》（以下简称《评定规范》）和与甲方约定的要求，提供不少于</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名专职评估人员、</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名兼职评估人员</w:t>
      </w:r>
      <w:r>
        <w:rPr>
          <w:rFonts w:hint="eastAsia" w:ascii="宋体" w:hAnsi="宋体" w:eastAsia="宋体"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名评估质控员开展评估工作,具体名单（可另附页）如下：</w:t>
      </w:r>
    </w:p>
    <w:p>
      <w:pPr>
        <w:pStyle w:val="6"/>
        <w:keepNext w:val="0"/>
        <w:keepLines w:val="0"/>
        <w:pageBreakBefore w:val="0"/>
        <w:widowControl w:val="0"/>
        <w:shd w:val="clear" w:color="auto" w:fill="auto"/>
        <w:tabs>
          <w:tab w:val="left" w:pos="2506"/>
          <w:tab w:val="left" w:pos="5321"/>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u w:val="single"/>
          <w:lang w:val="en-US" w:eastAsia="zh-CN" w:bidi="en-US"/>
        </w:rPr>
      </w:pPr>
      <w:r>
        <w:rPr>
          <w:rFonts w:hint="eastAsia" w:ascii="宋体" w:hAnsi="宋体" w:eastAsia="宋体" w:cs="宋体"/>
          <w:color w:val="auto"/>
          <w:spacing w:val="0"/>
          <w:w w:val="100"/>
          <w:position w:val="0"/>
          <w:sz w:val="24"/>
          <w:szCs w:val="24"/>
          <w:highlight w:val="none"/>
          <w:u w:val="single"/>
          <w:lang w:val="en-US" w:eastAsia="en-US" w:bidi="en-US"/>
        </w:rPr>
        <w:t>专职评估员中，医师背景（）人、护士背景（）人、社工师背景（）人、康复师背景（）人、养老护理员背景（）人</w:t>
      </w:r>
      <w:r>
        <w:rPr>
          <w:rFonts w:hint="eastAsia" w:ascii="宋体" w:hAnsi="宋体" w:eastAsia="宋体" w:cs="宋体"/>
          <w:color w:val="auto"/>
          <w:spacing w:val="0"/>
          <w:w w:val="100"/>
          <w:position w:val="0"/>
          <w:sz w:val="24"/>
          <w:szCs w:val="24"/>
          <w:highlight w:val="none"/>
          <w:u w:val="single"/>
          <w:lang w:val="en-US" w:eastAsia="zh-CN" w:bidi="en-US"/>
        </w:rPr>
        <w:t>；</w:t>
      </w:r>
    </w:p>
    <w:p>
      <w:pPr>
        <w:pStyle w:val="6"/>
        <w:keepNext w:val="0"/>
        <w:keepLines w:val="0"/>
        <w:pageBreakBefore w:val="0"/>
        <w:widowControl w:val="0"/>
        <w:shd w:val="clear" w:color="auto" w:fill="auto"/>
        <w:tabs>
          <w:tab w:val="left" w:pos="2506"/>
          <w:tab w:val="left" w:pos="5321"/>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u w:val="single"/>
          <w:lang w:val="en-US" w:eastAsia="en-US" w:bidi="en-US"/>
        </w:rPr>
      </w:pPr>
      <w:r>
        <w:rPr>
          <w:rFonts w:hint="eastAsia" w:ascii="宋体" w:hAnsi="宋体" w:eastAsia="宋体" w:cs="宋体"/>
          <w:color w:val="auto"/>
          <w:spacing w:val="0"/>
          <w:w w:val="100"/>
          <w:position w:val="0"/>
          <w:sz w:val="24"/>
          <w:szCs w:val="24"/>
          <w:highlight w:val="none"/>
          <w:u w:val="single"/>
          <w:lang w:val="en-US" w:eastAsia="en-US" w:bidi="en-US"/>
        </w:rPr>
        <w:t>兼职评估员中，医师背景（）人、护士背景（）人、社工师背景（）人、康复师背景（）人、养</w:t>
      </w:r>
      <w:r>
        <w:rPr>
          <w:rFonts w:hint="eastAsia" w:ascii="宋体" w:hAnsi="宋体" w:eastAsia="宋体" w:cs="宋体"/>
          <w:color w:val="auto"/>
          <w:spacing w:val="0"/>
          <w:w w:val="100"/>
          <w:position w:val="0"/>
          <w:sz w:val="24"/>
          <w:szCs w:val="24"/>
          <w:highlight w:val="none"/>
          <w:u w:val="single"/>
          <w:lang w:val="en-US" w:eastAsia="zh-CN" w:bidi="en-US"/>
        </w:rPr>
        <w:t>老</w:t>
      </w:r>
      <w:r>
        <w:rPr>
          <w:rFonts w:hint="eastAsia" w:ascii="宋体" w:hAnsi="宋体" w:eastAsia="宋体" w:cs="宋体"/>
          <w:color w:val="auto"/>
          <w:spacing w:val="0"/>
          <w:w w:val="100"/>
          <w:position w:val="0"/>
          <w:sz w:val="24"/>
          <w:szCs w:val="24"/>
          <w:highlight w:val="none"/>
          <w:u w:val="single"/>
          <w:lang w:val="en-US" w:eastAsia="en-US" w:bidi="en-US"/>
        </w:rPr>
        <w:t>护理员背景（）人。</w:t>
      </w:r>
    </w:p>
    <w:p>
      <w:pPr>
        <w:pStyle w:val="6"/>
        <w:keepNext w:val="0"/>
        <w:keepLines w:val="0"/>
        <w:pageBreakBefore w:val="0"/>
        <w:widowControl w:val="0"/>
        <w:shd w:val="clear" w:color="auto" w:fill="auto"/>
        <w:tabs>
          <w:tab w:val="left" w:pos="2506"/>
          <w:tab w:val="left" w:pos="5321"/>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bidi="en-US"/>
        </w:rPr>
      </w:pPr>
      <w:r>
        <w:rPr>
          <w:rFonts w:hint="eastAsia" w:ascii="宋体" w:hAnsi="宋体" w:eastAsia="宋体" w:cs="宋体"/>
          <w:color w:val="auto"/>
          <w:spacing w:val="0"/>
          <w:w w:val="100"/>
          <w:position w:val="0"/>
          <w:sz w:val="24"/>
          <w:szCs w:val="24"/>
          <w:highlight w:val="none"/>
          <w:lang w:val="en-US" w:eastAsia="en-US" w:bidi="en-US"/>
        </w:rPr>
        <w:t>上述评估人员的资格证书、从业资质等材料可作为本合同附件。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1.5.2</w:t>
      </w:r>
      <w:r>
        <w:rPr>
          <w:rFonts w:hint="eastAsia" w:ascii="宋体" w:hAnsi="宋体" w:eastAsia="宋体" w:cs="宋体"/>
          <w:color w:val="auto"/>
          <w:spacing w:val="0"/>
          <w:w w:val="100"/>
          <w:position w:val="0"/>
          <w:sz w:val="24"/>
          <w:szCs w:val="24"/>
          <w:highlight w:val="none"/>
        </w:rPr>
        <w:t>乙方需配备具有财会专业教育背景或持有财会职业资格证书的人员管理财务。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1.5.3</w:t>
      </w:r>
      <w:r>
        <w:rPr>
          <w:rFonts w:hint="eastAsia" w:ascii="宋体" w:hAnsi="宋体" w:eastAsia="宋体" w:cs="宋体"/>
          <w:color w:val="auto"/>
          <w:spacing w:val="0"/>
          <w:w w:val="100"/>
          <w:position w:val="0"/>
          <w:sz w:val="24"/>
          <w:szCs w:val="24"/>
          <w:highlight w:val="none"/>
        </w:rPr>
        <w:t>乙方每次评估应由2名评估员同时进行，其中至少有1名执业医师、助理医师或中级职称以上护士。</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rPr>
        <w:t>1.6评估要求</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1.6.1</w:t>
      </w:r>
      <w:r>
        <w:rPr>
          <w:rFonts w:hint="eastAsia" w:ascii="宋体" w:hAnsi="宋体" w:eastAsia="宋体" w:cs="宋体"/>
          <w:color w:val="auto"/>
          <w:spacing w:val="0"/>
          <w:w w:val="100"/>
          <w:position w:val="0"/>
          <w:sz w:val="24"/>
          <w:szCs w:val="24"/>
          <w:highlight w:val="none"/>
        </w:rPr>
        <w:t>乙方应自觉接受民政部门的管理和指导。</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1.6.2</w:t>
      </w:r>
      <w:r>
        <w:rPr>
          <w:rFonts w:hint="eastAsia" w:ascii="宋体" w:hAnsi="宋体" w:eastAsia="宋体" w:cs="宋体"/>
          <w:color w:val="auto"/>
          <w:spacing w:val="0"/>
          <w:w w:val="100"/>
          <w:position w:val="0"/>
          <w:sz w:val="24"/>
          <w:szCs w:val="24"/>
          <w:highlight w:val="none"/>
        </w:rPr>
        <w:t>乙方应做好内部监督工作，保证评估结果客观公正，严禁出现捏造数据、弄虚作假、徇私舞弊的行为。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1.6.3</w:t>
      </w:r>
      <w:r>
        <w:rPr>
          <w:rFonts w:hint="eastAsia" w:ascii="宋体" w:hAnsi="宋体" w:eastAsia="宋体" w:cs="宋体"/>
          <w:color w:val="auto"/>
          <w:spacing w:val="0"/>
          <w:w w:val="100"/>
          <w:position w:val="0"/>
          <w:sz w:val="24"/>
          <w:szCs w:val="24"/>
          <w:highlight w:val="none"/>
        </w:rPr>
        <w:t>乙方能有效管理评估项目的相关文件和档案，真实完整记录并及时更新文档信息，保护信息安全。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1.6.4</w:t>
      </w:r>
      <w:r>
        <w:rPr>
          <w:rFonts w:hint="eastAsia" w:ascii="宋体" w:hAnsi="宋体" w:eastAsia="宋体" w:cs="宋体"/>
          <w:color w:val="auto"/>
          <w:spacing w:val="0"/>
          <w:w w:val="100"/>
          <w:position w:val="0"/>
          <w:sz w:val="24"/>
          <w:szCs w:val="24"/>
          <w:highlight w:val="none"/>
        </w:rPr>
        <w:t>乙方应不断健全规章制度，完善组织架构，组建专业的服务团队，保证评估人员具备开展评估项目的专业或从业资质。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黑体" w:hAnsi="黑体" w:eastAsia="黑体" w:cs="黑体"/>
          <w:color w:val="auto"/>
          <w:spacing w:val="0"/>
          <w:w w:val="100"/>
          <w:position w:val="0"/>
          <w:sz w:val="32"/>
          <w:szCs w:val="32"/>
          <w:highlight w:val="none"/>
        </w:rPr>
      </w:pPr>
      <w:bookmarkStart w:id="1" w:name="bookmark67"/>
      <w:r>
        <w:rPr>
          <w:rFonts w:hint="eastAsia" w:ascii="黑体" w:hAnsi="黑体" w:eastAsia="黑体" w:cs="黑体"/>
          <w:color w:val="auto"/>
          <w:spacing w:val="0"/>
          <w:w w:val="100"/>
          <w:position w:val="0"/>
          <w:sz w:val="32"/>
          <w:szCs w:val="32"/>
          <w:highlight w:val="none"/>
        </w:rPr>
        <w:t>二</w:t>
      </w:r>
      <w:bookmarkEnd w:id="1"/>
      <w:r>
        <w:rPr>
          <w:rFonts w:hint="eastAsia" w:ascii="黑体" w:hAnsi="黑体" w:eastAsia="黑体" w:cs="黑体"/>
          <w:color w:val="auto"/>
          <w:spacing w:val="0"/>
          <w:w w:val="100"/>
          <w:position w:val="0"/>
          <w:sz w:val="32"/>
          <w:szCs w:val="32"/>
          <w:highlight w:val="none"/>
        </w:rPr>
        <w:t>、合同期限</w:t>
      </w:r>
    </w:p>
    <w:p>
      <w:pPr>
        <w:pStyle w:val="6"/>
        <w:keepNext w:val="0"/>
        <w:keepLines w:val="0"/>
        <w:pageBreakBefore w:val="0"/>
        <w:widowControl w:val="0"/>
        <w:shd w:val="clear" w:color="auto" w:fill="auto"/>
        <w:tabs>
          <w:tab w:val="left" w:pos="2765"/>
          <w:tab w:val="left" w:pos="5868"/>
          <w:tab w:val="left" w:pos="7697"/>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本合同期限为</w:t>
      </w:r>
      <w:r>
        <w:rPr>
          <w:rFonts w:hint="eastAsia" w:cs="宋体"/>
          <w:color w:val="auto"/>
          <w:sz w:val="24"/>
          <w:szCs w:val="24"/>
          <w:highlight w:val="none"/>
          <w:u w:val="single"/>
          <w:lang w:val="en-US" w:eastAsia="zh-CN"/>
        </w:rPr>
        <w:t xml:space="preserve"> </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年</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月</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日起至</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年</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月</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日止。服务合同一年一签,经区民政局年度评估为不合格且整改后仍不合格的不予续签。</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center"/>
        <w:textAlignment w:val="auto"/>
        <w:rPr>
          <w:rFonts w:hint="eastAsia" w:ascii="宋体" w:hAnsi="宋体" w:eastAsia="宋体" w:cs="宋体"/>
          <w:color w:val="auto"/>
          <w:spacing w:val="0"/>
          <w:w w:val="100"/>
          <w:position w:val="0"/>
          <w:sz w:val="24"/>
          <w:szCs w:val="24"/>
          <w:highlight w:val="none"/>
        </w:rPr>
      </w:pPr>
      <w:bookmarkStart w:id="2" w:name="bookmark68"/>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黑体" w:hAnsi="黑体" w:eastAsia="黑体" w:cs="黑体"/>
          <w:color w:val="auto"/>
          <w:spacing w:val="0"/>
          <w:w w:val="100"/>
          <w:position w:val="0"/>
          <w:sz w:val="32"/>
          <w:szCs w:val="32"/>
          <w:highlight w:val="none"/>
        </w:rPr>
      </w:pPr>
      <w:r>
        <w:rPr>
          <w:rFonts w:hint="eastAsia" w:ascii="黑体" w:hAnsi="黑体" w:eastAsia="黑体" w:cs="黑体"/>
          <w:color w:val="auto"/>
          <w:spacing w:val="0"/>
          <w:w w:val="100"/>
          <w:position w:val="0"/>
          <w:sz w:val="32"/>
          <w:szCs w:val="32"/>
          <w:highlight w:val="none"/>
        </w:rPr>
        <w:t>三</w:t>
      </w:r>
      <w:bookmarkEnd w:id="2"/>
      <w:r>
        <w:rPr>
          <w:rFonts w:hint="eastAsia" w:ascii="黑体" w:hAnsi="黑体" w:eastAsia="黑体" w:cs="黑体"/>
          <w:color w:val="auto"/>
          <w:spacing w:val="0"/>
          <w:w w:val="100"/>
          <w:position w:val="0"/>
          <w:sz w:val="32"/>
          <w:szCs w:val="32"/>
          <w:highlight w:val="none"/>
        </w:rPr>
        <w:t>、合同金额及支付方式</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zh-CN" w:eastAsia="zh-CN" w:bidi="zh-CN"/>
        </w:rPr>
        <w:t>3.1</w:t>
      </w:r>
      <w:r>
        <w:rPr>
          <w:rFonts w:hint="eastAsia" w:ascii="宋体" w:hAnsi="宋体" w:eastAsia="宋体" w:cs="宋体"/>
          <w:b/>
          <w:bCs/>
          <w:color w:val="auto"/>
          <w:spacing w:val="0"/>
          <w:w w:val="100"/>
          <w:position w:val="0"/>
          <w:sz w:val="24"/>
          <w:szCs w:val="24"/>
          <w:highlight w:val="none"/>
        </w:rPr>
        <w:t>评估费用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pacing w:val="0"/>
          <w:w w:val="100"/>
          <w:position w:val="0"/>
          <w:sz w:val="24"/>
          <w:szCs w:val="24"/>
          <w:highlight w:val="none"/>
        </w:rPr>
        <w:t>全额资助评估对象的入户评估费用和定点评估费用由甲方全部承担。半额资助评估对象的上门评估</w:t>
      </w:r>
      <w:r>
        <w:rPr>
          <w:rFonts w:hint="eastAsia" w:ascii="宋体" w:hAnsi="宋体" w:eastAsia="宋体" w:cs="宋体"/>
          <w:color w:val="auto"/>
          <w:spacing w:val="0"/>
          <w:w w:val="100"/>
          <w:position w:val="0"/>
          <w:sz w:val="24"/>
          <w:szCs w:val="24"/>
          <w:highlight w:val="none"/>
          <w:lang w:eastAsia="zh-CN"/>
        </w:rPr>
        <w:t>费</w:t>
      </w:r>
      <w:r>
        <w:rPr>
          <w:rFonts w:hint="eastAsia" w:ascii="宋体" w:hAnsi="宋体" w:eastAsia="宋体" w:cs="宋体"/>
          <w:color w:val="auto"/>
          <w:spacing w:val="0"/>
          <w:w w:val="100"/>
          <w:position w:val="0"/>
          <w:sz w:val="24"/>
          <w:szCs w:val="24"/>
          <w:highlight w:val="none"/>
        </w:rPr>
        <w:t>用和定点评估费用由甲方承担一半，另一半费用由乙方向评估对象或其监护人收取。</w:t>
      </w:r>
      <w:r>
        <w:rPr>
          <w:rFonts w:hint="eastAsia" w:ascii="宋体" w:hAnsi="宋体" w:eastAsia="宋体" w:cs="宋体"/>
          <w:color w:val="auto"/>
          <w:spacing w:val="0"/>
          <w:w w:val="100"/>
          <w:position w:val="0"/>
          <w:sz w:val="24"/>
          <w:szCs w:val="24"/>
          <w:highlight w:val="none"/>
        </w:rPr>
        <w:t>评估资助费用以评估机构使用市为老服务综合信息管理平台和市老年人照顾需求评估</w:t>
      </w:r>
      <w:r>
        <w:rPr>
          <w:rFonts w:hint="eastAsia" w:ascii="宋体" w:hAnsi="宋体" w:eastAsia="宋体" w:cs="宋体"/>
          <w:color w:val="auto"/>
          <w:spacing w:val="0"/>
          <w:w w:val="100"/>
          <w:position w:val="0"/>
          <w:sz w:val="24"/>
          <w:szCs w:val="24"/>
          <w:highlight w:val="none"/>
          <w:lang w:val="en-US" w:eastAsia="en-US" w:bidi="en-US"/>
        </w:rPr>
        <w:t>APP</w:t>
      </w:r>
      <w:r>
        <w:rPr>
          <w:rFonts w:hint="eastAsia" w:ascii="宋体" w:hAnsi="宋体" w:eastAsia="宋体" w:cs="宋体"/>
          <w:color w:val="auto"/>
          <w:spacing w:val="0"/>
          <w:w w:val="100"/>
          <w:position w:val="0"/>
          <w:sz w:val="24"/>
          <w:szCs w:val="24"/>
          <w:highlight w:val="none"/>
        </w:rPr>
        <w:t>产生的服务数据作为结算依据。</w:t>
      </w:r>
      <w:r>
        <w:rPr>
          <w:rFonts w:hint="eastAsia" w:cs="宋体"/>
          <w:color w:val="auto"/>
          <w:spacing w:val="0"/>
          <w:w w:val="100"/>
          <w:position w:val="0"/>
          <w:sz w:val="24"/>
          <w:szCs w:val="24"/>
          <w:highlight w:val="none"/>
          <w:lang w:val="en-US" w:eastAsia="zh-CN"/>
        </w:rPr>
        <w:t>自本合同签订后法规及政策另有规定的，从其规定。</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zh-CN"/>
        </w:rPr>
        <w:t>3</w:t>
      </w:r>
      <w:r>
        <w:rPr>
          <w:rFonts w:hint="eastAsia" w:ascii="宋体" w:hAnsi="宋体" w:eastAsia="宋体" w:cs="宋体"/>
          <w:color w:val="auto"/>
          <w:spacing w:val="0"/>
          <w:w w:val="100"/>
          <w:position w:val="0"/>
          <w:sz w:val="24"/>
          <w:szCs w:val="24"/>
          <w:highlight w:val="none"/>
          <w:lang w:val="en-US" w:eastAsia="en-US"/>
        </w:rPr>
        <w:t>.1.1</w:t>
      </w:r>
      <w:r>
        <w:rPr>
          <w:rFonts w:hint="eastAsia" w:ascii="宋体" w:hAnsi="宋体" w:eastAsia="宋体" w:cs="宋体"/>
          <w:color w:val="auto"/>
          <w:spacing w:val="0"/>
          <w:w w:val="100"/>
          <w:position w:val="0"/>
          <w:sz w:val="24"/>
          <w:szCs w:val="24"/>
          <w:highlight w:val="none"/>
        </w:rPr>
        <w:t>入户</w:t>
      </w:r>
      <w:r>
        <w:rPr>
          <w:rFonts w:hint="eastAsia" w:ascii="宋体" w:hAnsi="宋体" w:eastAsia="宋体" w:cs="宋体"/>
          <w:color w:val="auto"/>
          <w:spacing w:val="0"/>
          <w:w w:val="100"/>
          <w:position w:val="0"/>
          <w:sz w:val="24"/>
          <w:szCs w:val="24"/>
          <w:highlight w:val="none"/>
          <w:lang w:val="en-US" w:eastAsia="en-US"/>
        </w:rPr>
        <w:t>评估费用</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lang w:val="en-US" w:eastAsia="en-US"/>
        </w:rPr>
        <w:t>元/人/次，</w:t>
      </w:r>
      <w:r>
        <w:rPr>
          <w:rFonts w:hint="eastAsia" w:ascii="宋体" w:hAnsi="宋体" w:eastAsia="宋体" w:cs="宋体"/>
          <w:color w:val="auto"/>
          <w:spacing w:val="0"/>
          <w:w w:val="100"/>
          <w:position w:val="0"/>
          <w:sz w:val="24"/>
          <w:szCs w:val="24"/>
          <w:highlight w:val="none"/>
        </w:rPr>
        <w:t>定点</w:t>
      </w:r>
      <w:r>
        <w:rPr>
          <w:rFonts w:hint="eastAsia" w:ascii="宋体" w:hAnsi="宋体" w:eastAsia="宋体" w:cs="宋体"/>
          <w:color w:val="auto"/>
          <w:spacing w:val="0"/>
          <w:w w:val="100"/>
          <w:position w:val="0"/>
          <w:sz w:val="24"/>
          <w:szCs w:val="24"/>
          <w:highlight w:val="none"/>
          <w:lang w:val="en-US" w:eastAsia="en-US"/>
        </w:rPr>
        <w:t>评估费用</w:t>
      </w:r>
      <w:r>
        <w:rPr>
          <w:rFonts w:hint="eastAsia" w:cs="宋体"/>
          <w:color w:val="auto"/>
          <w:spacing w:val="0"/>
          <w:w w:val="100"/>
          <w:position w:val="0"/>
          <w:sz w:val="24"/>
          <w:szCs w:val="24"/>
          <w:highlight w:val="none"/>
          <w:u w:val="single"/>
          <w:lang w:val="en-US" w:eastAsia="zh-CN"/>
        </w:rPr>
        <w:t xml:space="preserve">    </w:t>
      </w:r>
      <w:bookmarkStart w:id="23" w:name="_GoBack"/>
      <w:bookmarkEnd w:id="23"/>
      <w:r>
        <w:rPr>
          <w:rFonts w:hint="eastAsia" w:ascii="宋体" w:hAnsi="宋体" w:eastAsia="宋体" w:cs="宋体"/>
          <w:color w:val="auto"/>
          <w:spacing w:val="0"/>
          <w:w w:val="100"/>
          <w:position w:val="0"/>
          <w:sz w:val="24"/>
          <w:szCs w:val="24"/>
          <w:highlight w:val="none"/>
          <w:lang w:val="en-US" w:eastAsia="en-US"/>
        </w:rPr>
        <w:t>元/人/次。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zh-CN"/>
        </w:rPr>
        <w:t>3</w:t>
      </w:r>
      <w:r>
        <w:rPr>
          <w:rFonts w:hint="eastAsia" w:ascii="宋体" w:hAnsi="宋体" w:eastAsia="宋体" w:cs="宋体"/>
          <w:color w:val="auto"/>
          <w:spacing w:val="0"/>
          <w:w w:val="100"/>
          <w:position w:val="0"/>
          <w:sz w:val="24"/>
          <w:szCs w:val="24"/>
          <w:highlight w:val="none"/>
          <w:lang w:val="en-US" w:eastAsia="en-US"/>
        </w:rPr>
        <w:t>.1.2全额资助评估对象：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en-US"/>
        </w:rPr>
        <w:t>符合《广州市社区居家养老服务管理办法》第二十六条的资助对象首次评估和动态评估；特困供养人员生活自理能力评估。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zh-CN"/>
        </w:rPr>
        <w:t>3</w:t>
      </w:r>
      <w:r>
        <w:rPr>
          <w:rFonts w:hint="eastAsia" w:ascii="宋体" w:hAnsi="宋体" w:eastAsia="宋体" w:cs="宋体"/>
          <w:color w:val="auto"/>
          <w:spacing w:val="0"/>
          <w:w w:val="100"/>
          <w:position w:val="0"/>
          <w:sz w:val="24"/>
          <w:szCs w:val="24"/>
          <w:highlight w:val="none"/>
          <w:lang w:val="en-US" w:eastAsia="en-US"/>
        </w:rPr>
        <w:t>.1.3半资助评估对象：</w:t>
      </w:r>
      <w:r>
        <w:rPr>
          <w:rFonts w:hint="eastAsia" w:ascii="宋体" w:hAnsi="宋体" w:eastAsia="宋体" w:cs="宋体"/>
          <w:color w:val="auto"/>
          <w:spacing w:val="0"/>
          <w:w w:val="100"/>
          <w:position w:val="0"/>
          <w:sz w:val="24"/>
          <w:szCs w:val="24"/>
          <w:highlight w:val="none"/>
          <w:lang w:val="en-US" w:eastAsia="en-US"/>
        </w:rPr>
        <w:tab/>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en-US"/>
        </w:rPr>
        <w:t>本区户籍其他自愿申请照顾需求等级评估的老年人。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zh-CN"/>
        </w:rPr>
        <w:t>3</w:t>
      </w:r>
      <w:r>
        <w:rPr>
          <w:rFonts w:hint="eastAsia" w:ascii="宋体" w:hAnsi="宋体" w:eastAsia="宋体" w:cs="宋体"/>
          <w:color w:val="auto"/>
          <w:spacing w:val="0"/>
          <w:w w:val="100"/>
          <w:position w:val="0"/>
          <w:sz w:val="24"/>
          <w:szCs w:val="24"/>
          <w:highlight w:val="none"/>
          <w:lang w:val="en-US" w:eastAsia="en-US"/>
        </w:rPr>
        <w:t>.1.4民办养老机构申请护理补贴的老人照顾需求等级评估所产生的费用由申请资助的养老机构全额支付，市福利彩票公益金按照50%的比例予以资助。</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pacing w:val="0"/>
          <w:w w:val="100"/>
          <w:position w:val="0"/>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3.2</w:t>
      </w:r>
      <w:r>
        <w:rPr>
          <w:rFonts w:hint="eastAsia" w:ascii="宋体" w:hAnsi="宋体" w:eastAsia="宋体" w:cs="宋体"/>
          <w:b/>
          <w:bCs/>
          <w:color w:val="auto"/>
          <w:spacing w:val="0"/>
          <w:w w:val="100"/>
          <w:position w:val="0"/>
          <w:sz w:val="24"/>
          <w:szCs w:val="24"/>
          <w:highlight w:val="none"/>
        </w:rPr>
        <w:t>合同金额</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lang w:val="en-US" w:eastAsia="en-US"/>
        </w:rPr>
      </w:pPr>
      <w:r>
        <w:rPr>
          <w:rFonts w:hint="eastAsia" w:ascii="宋体" w:hAnsi="宋体" w:eastAsia="宋体" w:cs="宋体"/>
          <w:color w:val="auto"/>
          <w:spacing w:val="0"/>
          <w:w w:val="100"/>
          <w:position w:val="0"/>
          <w:sz w:val="24"/>
          <w:szCs w:val="24"/>
          <w:highlight w:val="none"/>
          <w:lang w:val="en-US" w:eastAsia="en-US"/>
        </w:rPr>
        <w:t>本合同以实际发生的评估费用进行结算，不约定合同金额。</w:t>
      </w:r>
    </w:p>
    <w:p>
      <w:pPr>
        <w:pStyle w:val="6"/>
        <w:keepNext w:val="0"/>
        <w:keepLines w:val="0"/>
        <w:pageBreakBefore w:val="0"/>
        <w:widowControl w:val="0"/>
        <w:shd w:val="clear" w:color="auto" w:fill="auto"/>
        <w:tabs>
          <w:tab w:val="left" w:pos="5789"/>
          <w:tab w:val="left" w:pos="7106"/>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本合同费用包括评估服务费、人工费、管理费、技术支持费、办公经费、税费等一切与本项目相关的费用。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3.3</w:t>
      </w:r>
      <w:r>
        <w:rPr>
          <w:rFonts w:hint="eastAsia" w:ascii="宋体" w:hAnsi="宋体" w:eastAsia="宋体" w:cs="宋体"/>
          <w:b/>
          <w:bCs/>
          <w:color w:val="auto"/>
          <w:spacing w:val="0"/>
          <w:w w:val="100"/>
          <w:position w:val="0"/>
          <w:sz w:val="24"/>
          <w:szCs w:val="24"/>
          <w:highlight w:val="none"/>
        </w:rPr>
        <w:t>支付方式（支付方式仅供建议，具体以双方协商为准。）</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3.3.1</w:t>
      </w:r>
      <w:r>
        <w:rPr>
          <w:rFonts w:hint="eastAsia" w:ascii="宋体" w:hAnsi="宋体" w:eastAsia="宋体" w:cs="宋体"/>
          <w:color w:val="auto"/>
          <w:spacing w:val="0"/>
          <w:w w:val="100"/>
          <w:position w:val="0"/>
          <w:sz w:val="24"/>
          <w:szCs w:val="24"/>
          <w:highlight w:val="none"/>
        </w:rPr>
        <w:t>合同签订后按</w:t>
      </w:r>
      <w:r>
        <w:rPr>
          <w:rFonts w:hint="eastAsia" w:ascii="宋体" w:hAnsi="宋体" w:eastAsia="宋体" w:cs="宋体"/>
          <w:b/>
          <w:bCs/>
          <w:color w:val="auto"/>
          <w:spacing w:val="0"/>
          <w:w w:val="100"/>
          <w:position w:val="0"/>
          <w:sz w:val="24"/>
          <w:szCs w:val="24"/>
          <w:highlight w:val="none"/>
        </w:rPr>
        <w:t>季度</w:t>
      </w:r>
      <w:r>
        <w:rPr>
          <w:rFonts w:hint="eastAsia" w:ascii="宋体" w:hAnsi="宋体" w:eastAsia="宋体" w:cs="宋体"/>
          <w:color w:val="auto"/>
          <w:spacing w:val="0"/>
          <w:w w:val="100"/>
          <w:position w:val="0"/>
          <w:sz w:val="24"/>
          <w:szCs w:val="24"/>
          <w:highlight w:val="none"/>
        </w:rPr>
        <w:t>结算。乙方提供本阶段评估名册表及等量评估报告（纸质版或电子版均可），名册表须经乙方盖章。甲方验收合格后，根据实际评估完成人数支付款项；</w:t>
      </w:r>
      <w:r>
        <w:rPr>
          <w:rFonts w:hint="eastAsia" w:ascii="宋体" w:hAnsi="宋体" w:eastAsia="宋体" w:cs="宋体"/>
          <w:color w:val="auto"/>
          <w:spacing w:val="0"/>
          <w:w w:val="100"/>
          <w:position w:val="0"/>
          <w:sz w:val="24"/>
          <w:szCs w:val="24"/>
          <w:highlight w:val="none"/>
        </w:rPr>
        <w:t>甲方验收不合格的，直接在当期应付费用中扣取</w:t>
      </w:r>
      <w:r>
        <w:rPr>
          <w:rFonts w:hint="eastAsia" w:ascii="宋体" w:hAnsi="宋体" w:eastAsia="宋体" w:cs="宋体"/>
          <w:color w:val="auto"/>
          <w:spacing w:val="0"/>
          <w:w w:val="100"/>
          <w:position w:val="0"/>
          <w:sz w:val="24"/>
          <w:szCs w:val="24"/>
          <w:highlight w:val="none"/>
          <w:u w:val="single"/>
        </w:rPr>
        <w:t>1%的</w:t>
      </w:r>
      <w:r>
        <w:rPr>
          <w:rFonts w:hint="eastAsia" w:ascii="宋体" w:hAnsi="宋体" w:eastAsia="宋体" w:cs="宋体"/>
          <w:color w:val="auto"/>
          <w:spacing w:val="0"/>
          <w:w w:val="100"/>
          <w:position w:val="0"/>
          <w:sz w:val="24"/>
          <w:szCs w:val="24"/>
          <w:highlight w:val="none"/>
        </w:rPr>
        <w:t>违</w:t>
      </w:r>
      <w:r>
        <w:rPr>
          <w:rFonts w:hint="eastAsia" w:ascii="宋体" w:hAnsi="宋体" w:eastAsia="宋体" w:cs="宋体"/>
          <w:color w:val="auto"/>
          <w:spacing w:val="0"/>
          <w:w w:val="100"/>
          <w:position w:val="0"/>
          <w:sz w:val="24"/>
          <w:szCs w:val="24"/>
          <w:highlight w:val="none"/>
          <w:lang w:val="zh-CN" w:eastAsia="zh-CN" w:bidi="zh-CN"/>
        </w:rPr>
        <w:t>约金。</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乙方账户信息：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户名：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开户行：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账户号码：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乙方应严格按照《广州市人民政府办公厅关于印发广州市社区居家养老服务管理办法的通知》（穗府办规〔2020〕24号）、《评估办法》及财政规定使用项目经费，甲方或其他有关主管部门有权委托第三方对乙方使用经费情况进行财务审计、财务评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3.3.2</w:t>
      </w:r>
      <w:r>
        <w:rPr>
          <w:rFonts w:hint="eastAsia" w:ascii="宋体" w:hAnsi="宋体" w:eastAsia="宋体" w:cs="宋体"/>
          <w:color w:val="auto"/>
          <w:spacing w:val="0"/>
          <w:w w:val="100"/>
          <w:position w:val="0"/>
          <w:sz w:val="24"/>
          <w:szCs w:val="24"/>
          <w:highlight w:val="none"/>
        </w:rPr>
        <w:t>评估机构凭本项目合同与开具的正式发票与甲方进行结算。收款方、出具发票方、合同乙方均必须与中标人名称一致。乙方账户发生变更的，应当向甲方出具书面说明。</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3.3.3</w:t>
      </w:r>
      <w:r>
        <w:rPr>
          <w:rFonts w:hint="eastAsia" w:cs="宋体"/>
          <w:color w:val="auto"/>
          <w:spacing w:val="0"/>
          <w:w w:val="100"/>
          <w:position w:val="0"/>
          <w:sz w:val="24"/>
          <w:szCs w:val="24"/>
          <w:highlight w:val="none"/>
          <w:lang w:val="en-US" w:eastAsia="zh-CN" w:bidi="en-US"/>
        </w:rPr>
        <w:t>甲</w:t>
      </w:r>
      <w:r>
        <w:rPr>
          <w:rFonts w:hint="eastAsia" w:cs="宋体"/>
          <w:color w:val="auto"/>
          <w:spacing w:val="0"/>
          <w:w w:val="100"/>
          <w:position w:val="0"/>
          <w:sz w:val="24"/>
          <w:szCs w:val="24"/>
          <w:highlight w:val="none"/>
          <w:lang w:val="en-US" w:eastAsia="zh-CN"/>
        </w:rPr>
        <w:t>方</w:t>
      </w:r>
      <w:r>
        <w:rPr>
          <w:rFonts w:hint="eastAsia" w:ascii="宋体" w:hAnsi="宋体" w:eastAsia="宋体" w:cs="宋体"/>
          <w:color w:val="auto"/>
          <w:spacing w:val="0"/>
          <w:w w:val="100"/>
          <w:position w:val="0"/>
          <w:sz w:val="24"/>
          <w:szCs w:val="24"/>
          <w:highlight w:val="none"/>
        </w:rPr>
        <w:t>在前款规定的付款时间为向向政府采购支付部门提出办理财政支付申请手续的时间（不含政府财政支付部门审核的时间），在规定时间内提出支付申请手续后即视为甲方已经按期支付，乙方不得以任何理由要求甲方直接支付相关款项，或者以款项未到账主张甲方逾期支付责任或拒绝提供服务。因乙方未能按照合同约定提供发票的，甲方可顺延支付评估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bookmarkStart w:id="3" w:name="bookmark73"/>
      <w:r>
        <w:rPr>
          <w:rFonts w:hint="eastAsia" w:ascii="黑体" w:hAnsi="黑体" w:eastAsia="黑体" w:cs="黑体"/>
          <w:color w:val="auto"/>
          <w:spacing w:val="0"/>
          <w:w w:val="100"/>
          <w:position w:val="0"/>
          <w:sz w:val="32"/>
          <w:szCs w:val="32"/>
          <w:highlight w:val="none"/>
        </w:rPr>
        <w:t>四</w:t>
      </w:r>
      <w:bookmarkEnd w:id="3"/>
      <w:r>
        <w:rPr>
          <w:rFonts w:hint="eastAsia" w:ascii="黑体" w:hAnsi="黑体" w:eastAsia="黑体" w:cs="黑体"/>
          <w:color w:val="auto"/>
          <w:spacing w:val="0"/>
          <w:w w:val="100"/>
          <w:position w:val="0"/>
          <w:sz w:val="32"/>
          <w:szCs w:val="32"/>
          <w:highlight w:val="none"/>
        </w:rPr>
        <w:t>、双方权利与义务</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4.1</w:t>
      </w:r>
      <w:r>
        <w:rPr>
          <w:rFonts w:hint="eastAsia" w:ascii="宋体" w:hAnsi="宋体" w:eastAsia="宋体" w:cs="宋体"/>
          <w:b/>
          <w:bCs/>
          <w:color w:val="auto"/>
          <w:spacing w:val="0"/>
          <w:w w:val="100"/>
          <w:position w:val="0"/>
          <w:sz w:val="24"/>
          <w:szCs w:val="24"/>
          <w:highlight w:val="none"/>
        </w:rPr>
        <w:t>甲方权利与义务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4.1.1</w:t>
      </w:r>
      <w:r>
        <w:rPr>
          <w:rFonts w:hint="eastAsia" w:ascii="宋体" w:hAnsi="宋体" w:eastAsia="宋体" w:cs="宋体"/>
          <w:color w:val="auto"/>
          <w:spacing w:val="0"/>
          <w:w w:val="100"/>
          <w:position w:val="0"/>
          <w:sz w:val="24"/>
          <w:szCs w:val="24"/>
          <w:highlight w:val="none"/>
        </w:rPr>
        <w:t>甲方有权按照本合同及相关附件的约定，对项目的工作时间、过程、完成情况进行监督检查，并审核评估报告的完成质量。</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4.1.2</w:t>
      </w:r>
      <w:r>
        <w:rPr>
          <w:rFonts w:hint="eastAsia" w:ascii="宋体" w:hAnsi="宋体" w:eastAsia="宋体" w:cs="宋体"/>
          <w:color w:val="auto"/>
          <w:spacing w:val="0"/>
          <w:w w:val="100"/>
          <w:position w:val="0"/>
          <w:sz w:val="24"/>
          <w:szCs w:val="24"/>
          <w:highlight w:val="none"/>
        </w:rPr>
        <w:t>甲方有权按照本合同及相关附件的约定，要求乙方提供与该项目相关的资料。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4.1.3</w:t>
      </w:r>
      <w:r>
        <w:rPr>
          <w:rFonts w:hint="eastAsia" w:ascii="宋体" w:hAnsi="宋体" w:eastAsia="宋体" w:cs="宋体"/>
          <w:color w:val="auto"/>
          <w:spacing w:val="0"/>
          <w:w w:val="100"/>
          <w:position w:val="0"/>
          <w:sz w:val="24"/>
          <w:szCs w:val="24"/>
          <w:highlight w:val="none"/>
        </w:rPr>
        <w:t>甲方应对乙方的工作开展予以充分支持，配合乙方收集项目开展所需资料。</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4.1.4</w:t>
      </w:r>
      <w:r>
        <w:rPr>
          <w:rFonts w:hint="eastAsia" w:ascii="宋体" w:hAnsi="宋体" w:eastAsia="宋体" w:cs="宋体"/>
          <w:color w:val="auto"/>
          <w:spacing w:val="0"/>
          <w:w w:val="100"/>
          <w:position w:val="0"/>
          <w:sz w:val="24"/>
          <w:szCs w:val="24"/>
          <w:highlight w:val="none"/>
        </w:rPr>
        <w:t>甲方应提供符合标准的评估室作为乙方进行定点评估的场所。</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4.1.5</w:t>
      </w:r>
      <w:r>
        <w:rPr>
          <w:rFonts w:hint="eastAsia" w:ascii="宋体" w:hAnsi="宋体" w:eastAsia="宋体" w:cs="宋体"/>
          <w:color w:val="auto"/>
          <w:spacing w:val="0"/>
          <w:w w:val="100"/>
          <w:position w:val="0"/>
          <w:sz w:val="24"/>
          <w:szCs w:val="24"/>
          <w:highlight w:val="none"/>
        </w:rPr>
        <w:t>根据合同约定及时、足额向乙方支付费用。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4.2</w:t>
      </w:r>
      <w:r>
        <w:rPr>
          <w:rFonts w:hint="eastAsia" w:ascii="宋体" w:hAnsi="宋体" w:eastAsia="宋体" w:cs="宋体"/>
          <w:b/>
          <w:bCs/>
          <w:color w:val="auto"/>
          <w:spacing w:val="0"/>
          <w:w w:val="100"/>
          <w:position w:val="0"/>
          <w:sz w:val="24"/>
          <w:szCs w:val="24"/>
          <w:highlight w:val="none"/>
        </w:rPr>
        <w:t>乙方权利与义务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w:t>
      </w:r>
      <w:r>
        <w:rPr>
          <w:rFonts w:hint="eastAsia" w:ascii="宋体" w:hAnsi="宋体" w:eastAsia="宋体" w:cs="宋体"/>
          <w:color w:val="auto"/>
          <w:spacing w:val="0"/>
          <w:w w:val="100"/>
          <w:position w:val="0"/>
          <w:sz w:val="24"/>
          <w:szCs w:val="24"/>
          <w:highlight w:val="none"/>
        </w:rPr>
        <w:t>可要求甲方按本合同约定支付费用。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4.2.2</w:t>
      </w:r>
      <w:r>
        <w:rPr>
          <w:rFonts w:hint="eastAsia" w:ascii="宋体" w:hAnsi="宋体" w:eastAsia="宋体" w:cs="宋体"/>
          <w:color w:val="auto"/>
          <w:spacing w:val="0"/>
          <w:w w:val="100"/>
          <w:position w:val="0"/>
          <w:sz w:val="24"/>
          <w:szCs w:val="24"/>
          <w:highlight w:val="none"/>
        </w:rPr>
        <w:t>可从甲方处获得必要的工作支持。</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4</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3须配备足够的、具有专业资质的工作人员开展工作。乙方的工作人员应严格遵守评估工作纪律和程序，保证评估结果真实有效。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4.2.4</w:t>
      </w:r>
      <w:r>
        <w:rPr>
          <w:rFonts w:hint="eastAsia" w:ascii="宋体" w:hAnsi="宋体" w:eastAsia="宋体" w:cs="宋体"/>
          <w:color w:val="auto"/>
          <w:spacing w:val="0"/>
          <w:w w:val="100"/>
          <w:position w:val="0"/>
          <w:sz w:val="24"/>
          <w:szCs w:val="24"/>
          <w:highlight w:val="none"/>
        </w:rPr>
        <w:t>项目开展过程中，乙方应积极与甲方沟通联络，向甲方反映工作成效，配合甲方的监督检查。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4.2.5</w:t>
      </w:r>
      <w:r>
        <w:rPr>
          <w:rFonts w:hint="eastAsia" w:ascii="宋体" w:hAnsi="宋体" w:eastAsia="宋体" w:cs="宋体"/>
          <w:color w:val="auto"/>
          <w:spacing w:val="0"/>
          <w:w w:val="100"/>
          <w:position w:val="0"/>
          <w:sz w:val="24"/>
          <w:szCs w:val="24"/>
          <w:highlight w:val="none"/>
        </w:rPr>
        <w:t>乙方统一纳入广州市为老服务综合信息管理平台管理，使用广州市老年人照顾需求评估系统和全市统一的评定规范进行评估。评估工作一律依托评估系统，严禁私自使用纸质评估量表、后续上传等行为。</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4.2.6</w:t>
      </w:r>
      <w:r>
        <w:rPr>
          <w:rFonts w:hint="eastAsia" w:ascii="宋体" w:hAnsi="宋体" w:eastAsia="宋体" w:cs="宋体"/>
          <w:color w:val="auto"/>
          <w:spacing w:val="0"/>
          <w:w w:val="100"/>
          <w:position w:val="0"/>
          <w:sz w:val="24"/>
          <w:szCs w:val="24"/>
          <w:highlight w:val="none"/>
        </w:rPr>
        <w:t>乙方按照合同等约定使用评估设施设备，严禁擅自改变服务设施设备功能和用途，主动接受甲方的管理和指导。配有开展评估工作所需的工具，能在全市范围提供入户评估服务。</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4.2.7</w:t>
      </w:r>
      <w:r>
        <w:rPr>
          <w:rFonts w:hint="eastAsia" w:ascii="宋体" w:hAnsi="宋体" w:eastAsia="宋体" w:cs="宋体"/>
          <w:color w:val="auto"/>
          <w:spacing w:val="0"/>
          <w:w w:val="100"/>
          <w:position w:val="0"/>
          <w:sz w:val="24"/>
          <w:szCs w:val="24"/>
          <w:highlight w:val="none"/>
        </w:rPr>
        <w:t>户籍地评估机构开展跨区评估存在困难而委托评估对象居住地评估机构开展评估的，双方须签订服务协议并通过所在区民政局同意后方可开展。</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4.2.8</w:t>
      </w:r>
      <w:r>
        <w:rPr>
          <w:rFonts w:hint="eastAsia" w:ascii="宋体" w:hAnsi="宋体" w:eastAsia="宋体" w:cs="宋体"/>
          <w:color w:val="auto"/>
          <w:spacing w:val="0"/>
          <w:w w:val="100"/>
          <w:position w:val="0"/>
          <w:sz w:val="24"/>
          <w:szCs w:val="24"/>
          <w:highlight w:val="none"/>
        </w:rPr>
        <w:t>每次评估工单完成时，评估机构应对公民个人收费、对养老服务机构收费、对申请的政府评估补贴出具发票或等额标准票据，票据上加盖单位财务专用章。</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4.2.9</w:t>
      </w:r>
      <w:r>
        <w:rPr>
          <w:rFonts w:hint="eastAsia" w:ascii="宋体" w:hAnsi="宋体" w:eastAsia="宋体" w:cs="宋体"/>
          <w:color w:val="auto"/>
          <w:spacing w:val="0"/>
          <w:w w:val="100"/>
          <w:position w:val="0"/>
          <w:sz w:val="24"/>
          <w:szCs w:val="24"/>
          <w:highlight w:val="none"/>
        </w:rPr>
        <w:t>乙方须严格按照相关财务管理规定使用项目资金，专款专用，并接受甲方的监管。如乙方未能在合同期内完成全部项目内容，合同结束后，应将相应款项返还甲方。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4.2.10</w:t>
      </w:r>
      <w:r>
        <w:rPr>
          <w:rFonts w:hint="eastAsia" w:ascii="宋体" w:hAnsi="宋体" w:eastAsia="宋体" w:cs="宋体"/>
          <w:color w:val="auto"/>
          <w:spacing w:val="0"/>
          <w:w w:val="100"/>
          <w:position w:val="0"/>
          <w:sz w:val="24"/>
          <w:szCs w:val="24"/>
          <w:highlight w:val="none"/>
        </w:rPr>
        <w:t>乙方在评估过程中发现评估对象存在欺瞒、作假行为的，应当及时向甲方反映情况。</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4.2.11</w:t>
      </w:r>
      <w:r>
        <w:rPr>
          <w:rFonts w:hint="eastAsia" w:ascii="宋体" w:hAnsi="宋体" w:eastAsia="宋体" w:cs="宋体"/>
          <w:color w:val="auto"/>
          <w:spacing w:val="0"/>
          <w:w w:val="100"/>
          <w:position w:val="0"/>
          <w:sz w:val="24"/>
          <w:szCs w:val="24"/>
          <w:highlight w:val="none"/>
        </w:rPr>
        <w:t>本合同期内或本合同结束，乙方暂停或终止服务的，应当配合甲方进行服务交接工作，将与项目有关的资料（纸质版、电子版）按照档案管理的要求进行规范整理后，全部移交甲方。</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4.2.12</w:t>
      </w:r>
      <w:r>
        <w:rPr>
          <w:rFonts w:hint="eastAsia" w:ascii="宋体" w:hAnsi="宋体" w:eastAsia="宋体" w:cs="宋体"/>
          <w:color w:val="auto"/>
          <w:spacing w:val="0"/>
          <w:w w:val="100"/>
          <w:position w:val="0"/>
          <w:sz w:val="24"/>
          <w:szCs w:val="24"/>
          <w:highlight w:val="none"/>
        </w:rPr>
        <w:t>乙方应建立完善的规章制度和工作流程，包括财务、人事、运营、公共安全、卫生、资产、服务等方面的管理制度和应急措施。</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4.2.13</w:t>
      </w:r>
      <w:r>
        <w:rPr>
          <w:rFonts w:hint="eastAsia" w:ascii="宋体" w:hAnsi="宋体" w:eastAsia="宋体" w:cs="宋体"/>
          <w:color w:val="auto"/>
          <w:spacing w:val="0"/>
          <w:w w:val="100"/>
          <w:position w:val="0"/>
          <w:sz w:val="24"/>
          <w:szCs w:val="24"/>
          <w:highlight w:val="none"/>
        </w:rPr>
        <w:t>评估机构须对本项目涉及评估对象的个人及评估相关信息进行保密，未经评估对象或其法定监护人书面许可，不得对外披露，不得以任何形式提供给第三方（包括自办单位），不得在参与本项目工作之外使用保密信息。</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4.2.14</w:t>
      </w:r>
      <w:r>
        <w:rPr>
          <w:rFonts w:hint="eastAsia" w:ascii="宋体" w:hAnsi="宋体" w:eastAsia="宋体" w:cs="宋体"/>
          <w:color w:val="auto"/>
          <w:spacing w:val="0"/>
          <w:w w:val="100"/>
          <w:position w:val="0"/>
          <w:sz w:val="24"/>
          <w:szCs w:val="24"/>
          <w:highlight w:val="none"/>
        </w:rPr>
        <w:t>评估机构在合同期限内不得同时承接同一区域内的政府购买居家养老服务项目或老年人照顾需求评估第三方质量评价项目。民办养老机构被选定为评估机构的，不得同时享受本市民办养老机构护理补贴。</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center"/>
        <w:textAlignment w:val="auto"/>
        <w:rPr>
          <w:rFonts w:hint="eastAsia" w:ascii="宋体" w:hAnsi="宋体" w:eastAsia="宋体" w:cs="宋体"/>
          <w:color w:val="auto"/>
          <w:spacing w:val="0"/>
          <w:w w:val="100"/>
          <w:position w:val="0"/>
          <w:sz w:val="24"/>
          <w:szCs w:val="24"/>
          <w:highlight w:val="none"/>
        </w:rPr>
      </w:pPr>
      <w:bookmarkStart w:id="4" w:name="bookmark74"/>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r>
        <w:rPr>
          <w:rFonts w:hint="eastAsia" w:ascii="黑体" w:hAnsi="黑体" w:eastAsia="黑体" w:cs="黑体"/>
          <w:color w:val="auto"/>
          <w:spacing w:val="0"/>
          <w:w w:val="100"/>
          <w:position w:val="0"/>
          <w:sz w:val="32"/>
          <w:szCs w:val="32"/>
          <w:highlight w:val="none"/>
        </w:rPr>
        <w:t>五</w:t>
      </w:r>
      <w:bookmarkEnd w:id="4"/>
      <w:r>
        <w:rPr>
          <w:rFonts w:hint="eastAsia" w:ascii="黑体" w:hAnsi="黑体" w:eastAsia="黑体" w:cs="黑体"/>
          <w:color w:val="auto"/>
          <w:spacing w:val="0"/>
          <w:w w:val="100"/>
          <w:position w:val="0"/>
          <w:sz w:val="32"/>
          <w:szCs w:val="32"/>
          <w:highlight w:val="none"/>
        </w:rPr>
        <w:t>、年度评估</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甲方严格按照《评估办法》和《老年人照顾需求评估机构质量评价指引》要求，每年2月前完成对评估机构的年度评估工作，并将评估结论作为是否续约和选定新评估机构的重要依据。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center"/>
        <w:textAlignment w:val="auto"/>
        <w:rPr>
          <w:rFonts w:hint="eastAsia" w:ascii="宋体" w:hAnsi="宋体" w:eastAsia="宋体" w:cs="宋体"/>
          <w:color w:val="auto"/>
          <w:spacing w:val="0"/>
          <w:w w:val="100"/>
          <w:position w:val="0"/>
          <w:sz w:val="24"/>
          <w:szCs w:val="24"/>
          <w:highlight w:val="none"/>
        </w:rPr>
      </w:pPr>
      <w:bookmarkStart w:id="5" w:name="bookmark75"/>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r>
        <w:rPr>
          <w:rFonts w:hint="eastAsia" w:ascii="黑体" w:hAnsi="黑体" w:eastAsia="黑体" w:cs="黑体"/>
          <w:color w:val="auto"/>
          <w:spacing w:val="0"/>
          <w:w w:val="100"/>
          <w:position w:val="0"/>
          <w:sz w:val="32"/>
          <w:szCs w:val="32"/>
          <w:highlight w:val="none"/>
        </w:rPr>
        <w:t>六</w:t>
      </w:r>
      <w:bookmarkEnd w:id="5"/>
      <w:r>
        <w:rPr>
          <w:rFonts w:hint="eastAsia" w:ascii="黑体" w:hAnsi="黑体" w:eastAsia="黑体" w:cs="黑体"/>
          <w:color w:val="auto"/>
          <w:spacing w:val="0"/>
          <w:w w:val="100"/>
          <w:position w:val="0"/>
          <w:sz w:val="32"/>
          <w:szCs w:val="32"/>
          <w:highlight w:val="none"/>
        </w:rPr>
        <w:t>、合同变更与解除</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6.1</w:t>
      </w:r>
      <w:r>
        <w:rPr>
          <w:rFonts w:hint="eastAsia" w:ascii="宋体" w:hAnsi="宋体" w:eastAsia="宋体" w:cs="宋体"/>
          <w:b/>
          <w:bCs/>
          <w:color w:val="auto"/>
          <w:spacing w:val="0"/>
          <w:w w:val="100"/>
          <w:position w:val="0"/>
          <w:sz w:val="24"/>
          <w:szCs w:val="24"/>
          <w:highlight w:val="none"/>
        </w:rPr>
        <w:t>合同的变更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因本合同所涉及的政策调整或评估项目需求发生变化的，甲方可以提出合同的变更，并以书面形式通知乙方，经甲、乙双方协商一致，签署补充协议。</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2" w:firstLineChars="200"/>
        <w:jc w:val="both"/>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pacing w:val="0"/>
          <w:w w:val="100"/>
          <w:position w:val="0"/>
          <w:sz w:val="24"/>
          <w:szCs w:val="24"/>
          <w:highlight w:val="none"/>
          <w:lang w:val="en-US" w:eastAsia="en-US" w:bidi="en-US"/>
        </w:rPr>
        <w:t>6.2</w:t>
      </w:r>
      <w:r>
        <w:rPr>
          <w:rFonts w:hint="eastAsia" w:ascii="宋体" w:hAnsi="宋体" w:eastAsia="宋体" w:cs="宋体"/>
          <w:b/>
          <w:bCs/>
          <w:color w:val="auto"/>
          <w:spacing w:val="0"/>
          <w:w w:val="100"/>
          <w:position w:val="0"/>
          <w:sz w:val="24"/>
          <w:szCs w:val="24"/>
          <w:highlight w:val="none"/>
        </w:rPr>
        <w:t>合同的解除</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6.2.1</w:t>
      </w:r>
      <w:r>
        <w:rPr>
          <w:rFonts w:hint="eastAsia" w:ascii="宋体" w:hAnsi="宋体" w:eastAsia="宋体" w:cs="宋体"/>
          <w:color w:val="auto"/>
          <w:spacing w:val="0"/>
          <w:w w:val="100"/>
          <w:position w:val="0"/>
          <w:sz w:val="24"/>
          <w:szCs w:val="24"/>
          <w:highlight w:val="none"/>
        </w:rPr>
        <w:t>在合同履行过程中，具有以下情形的，甲方有权单方面解除合同，并无需承担违约责任：</w:t>
      </w:r>
    </w:p>
    <w:p>
      <w:pPr>
        <w:pStyle w:val="6"/>
        <w:keepNext w:val="0"/>
        <w:keepLines w:val="0"/>
        <w:pageBreakBefore w:val="0"/>
        <w:widowControl w:val="0"/>
        <w:numPr>
          <w:ilvl w:val="0"/>
          <w:numId w:val="0"/>
        </w:numPr>
        <w:shd w:val="clear" w:color="auto" w:fill="auto"/>
        <w:tabs>
          <w:tab w:val="left" w:pos="1298"/>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6" w:name="bookmark76"/>
      <w:bookmarkEnd w:id="6"/>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1</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因本合同所涉及的政策调整引起的合同内容变化；</w:t>
      </w:r>
    </w:p>
    <w:p>
      <w:pPr>
        <w:pStyle w:val="6"/>
        <w:keepNext w:val="0"/>
        <w:keepLines w:val="0"/>
        <w:pageBreakBefore w:val="0"/>
        <w:widowControl w:val="0"/>
        <w:numPr>
          <w:ilvl w:val="0"/>
          <w:numId w:val="0"/>
        </w:numPr>
        <w:shd w:val="clear" w:color="auto" w:fill="auto"/>
        <w:tabs>
          <w:tab w:val="left" w:pos="1298"/>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7" w:name="bookmark77"/>
      <w:bookmarkEnd w:id="7"/>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2</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甲方能提供有效证据证明乙方有违法违约行为的；</w:t>
      </w:r>
    </w:p>
    <w:p>
      <w:pPr>
        <w:pStyle w:val="6"/>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8" w:name="bookmark78"/>
      <w:bookmarkEnd w:id="8"/>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3</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经甲方考核评估，乙方未按合同要求完成评估项目，甲方督促整改后仍不采取积极措施改进的；</w:t>
      </w:r>
    </w:p>
    <w:p>
      <w:pPr>
        <w:pStyle w:val="6"/>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9" w:name="bookmark79"/>
      <w:bookmarkEnd w:id="9"/>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4</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经甲方查证，乙方有伪造评估数据或挤占、挪用、滥用该合同款项行为的。</w:t>
      </w:r>
    </w:p>
    <w:p>
      <w:pPr>
        <w:pStyle w:val="6"/>
        <w:keepNext w:val="0"/>
        <w:keepLines w:val="0"/>
        <w:pageBreakBefore w:val="0"/>
        <w:widowControl w:val="0"/>
        <w:numPr>
          <w:ilvl w:val="0"/>
          <w:numId w:val="0"/>
        </w:numPr>
        <w:shd w:val="clear" w:color="auto" w:fill="auto"/>
        <w:tabs>
          <w:tab w:val="left" w:pos="1298"/>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10" w:name="bookmark80"/>
      <w:bookmarkEnd w:id="10"/>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5</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乙方有严重侵害评估对象合法权益行为的。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6</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2在合同履行过程中，具有以下情形的，乙方有权单方面解除合同，并无需承担违约责任：</w:t>
      </w:r>
    </w:p>
    <w:p>
      <w:pPr>
        <w:pStyle w:val="6"/>
        <w:keepNext w:val="0"/>
        <w:keepLines w:val="0"/>
        <w:pageBreakBefore w:val="0"/>
        <w:widowControl w:val="0"/>
        <w:numPr>
          <w:ilvl w:val="0"/>
          <w:numId w:val="0"/>
        </w:numPr>
        <w:shd w:val="clear" w:color="auto" w:fill="auto"/>
        <w:tabs>
          <w:tab w:val="left" w:pos="1305"/>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11" w:name="bookmark81"/>
      <w:bookmarkEnd w:id="11"/>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1</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因甲方自身原因造成项目工作无法开展的；</w:t>
      </w:r>
    </w:p>
    <w:p>
      <w:pPr>
        <w:pStyle w:val="6"/>
        <w:keepNext w:val="0"/>
        <w:keepLines w:val="0"/>
        <w:pageBreakBefore w:val="0"/>
        <w:widowControl w:val="0"/>
        <w:numPr>
          <w:ilvl w:val="0"/>
          <w:numId w:val="0"/>
        </w:numPr>
        <w:shd w:val="clear" w:color="auto" w:fill="auto"/>
        <w:tabs>
          <w:tab w:val="left" w:pos="1305"/>
          <w:tab w:val="left" w:pos="6138"/>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12" w:name="bookmark82"/>
      <w:bookmarkEnd w:id="12"/>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2</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甲方无故克扣、拖欠该合同款项达</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日的。</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6.2.3</w:t>
      </w:r>
      <w:r>
        <w:rPr>
          <w:rFonts w:hint="eastAsia" w:ascii="宋体" w:hAnsi="宋体" w:eastAsia="宋体" w:cs="宋体"/>
          <w:color w:val="auto"/>
          <w:spacing w:val="0"/>
          <w:w w:val="100"/>
          <w:position w:val="0"/>
          <w:sz w:val="24"/>
          <w:szCs w:val="24"/>
          <w:highlight w:val="none"/>
        </w:rPr>
        <w:t>协商解除</w:t>
      </w:r>
    </w:p>
    <w:p>
      <w:pPr>
        <w:pStyle w:val="6"/>
        <w:keepNext w:val="0"/>
        <w:keepLines w:val="0"/>
        <w:pageBreakBefore w:val="0"/>
        <w:widowControl w:val="0"/>
        <w:numPr>
          <w:ilvl w:val="0"/>
          <w:numId w:val="0"/>
        </w:numPr>
        <w:shd w:val="clear" w:color="auto" w:fill="auto"/>
        <w:tabs>
          <w:tab w:val="left" w:pos="1294"/>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z w:val="24"/>
          <w:szCs w:val="24"/>
          <w:highlight w:val="none"/>
        </w:rPr>
      </w:pPr>
      <w:bookmarkStart w:id="13" w:name="bookmark83"/>
      <w:bookmarkEnd w:id="13"/>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3</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因政府政策原因导致双方无法继续履行合同的，双方可协商解除该合同，甲方按乙方实际提供的服务量结算费用；</w:t>
      </w:r>
    </w:p>
    <w:p>
      <w:pPr>
        <w:pStyle w:val="6"/>
        <w:keepNext w:val="0"/>
        <w:keepLines w:val="0"/>
        <w:pageBreakBefore w:val="0"/>
        <w:widowControl w:val="0"/>
        <w:numPr>
          <w:ilvl w:val="0"/>
          <w:numId w:val="0"/>
        </w:numPr>
        <w:shd w:val="clear" w:color="auto" w:fill="auto"/>
        <w:tabs>
          <w:tab w:val="left" w:pos="1305"/>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pacing w:val="0"/>
          <w:w w:val="100"/>
          <w:position w:val="0"/>
          <w:sz w:val="24"/>
          <w:szCs w:val="24"/>
          <w:highlight w:val="none"/>
        </w:rPr>
      </w:pPr>
      <w:bookmarkStart w:id="14" w:name="bookmark84"/>
      <w:bookmarkEnd w:id="14"/>
      <w:r>
        <w:rPr>
          <w:rFonts w:hint="eastAsia" w:cs="宋体"/>
          <w:color w:val="auto"/>
          <w:spacing w:val="0"/>
          <w:w w:val="100"/>
          <w:position w:val="0"/>
          <w:sz w:val="24"/>
          <w:szCs w:val="24"/>
          <w:highlight w:val="none"/>
          <w:lang w:eastAsia="zh-CN"/>
        </w:rPr>
        <w:t>（</w:t>
      </w:r>
      <w:r>
        <w:rPr>
          <w:rFonts w:hint="eastAsia" w:cs="宋体"/>
          <w:color w:val="auto"/>
          <w:spacing w:val="0"/>
          <w:w w:val="100"/>
          <w:position w:val="0"/>
          <w:sz w:val="24"/>
          <w:szCs w:val="24"/>
          <w:highlight w:val="none"/>
          <w:lang w:val="en-US" w:eastAsia="zh-CN"/>
        </w:rPr>
        <w:t>4</w:t>
      </w:r>
      <w:r>
        <w:rPr>
          <w:rFonts w:hint="eastAsia" w:cs="宋体"/>
          <w:color w:val="auto"/>
          <w:spacing w:val="0"/>
          <w:w w:val="100"/>
          <w:position w:val="0"/>
          <w:sz w:val="24"/>
          <w:szCs w:val="24"/>
          <w:highlight w:val="none"/>
          <w:lang w:eastAsia="zh-CN"/>
        </w:rPr>
        <w:t>）</w:t>
      </w:r>
      <w:r>
        <w:rPr>
          <w:rFonts w:hint="eastAsia" w:ascii="宋体" w:hAnsi="宋体" w:eastAsia="宋体" w:cs="宋体"/>
          <w:color w:val="auto"/>
          <w:spacing w:val="0"/>
          <w:w w:val="100"/>
          <w:position w:val="0"/>
          <w:sz w:val="24"/>
          <w:szCs w:val="24"/>
          <w:highlight w:val="none"/>
        </w:rPr>
        <w:t>本合同期满，双方各自完成合同规定的事项，合同自然解除。</w:t>
      </w:r>
    </w:p>
    <w:p>
      <w:pPr>
        <w:pStyle w:val="6"/>
        <w:keepNext w:val="0"/>
        <w:keepLines w:val="0"/>
        <w:pageBreakBefore w:val="0"/>
        <w:widowControl w:val="0"/>
        <w:numPr>
          <w:ilvl w:val="0"/>
          <w:numId w:val="0"/>
        </w:numPr>
        <w:shd w:val="clear" w:color="auto" w:fill="auto"/>
        <w:tabs>
          <w:tab w:val="left" w:pos="1305"/>
        </w:tabs>
        <w:kinsoku/>
        <w:wordWrap/>
        <w:overflowPunct/>
        <w:topLinePunct w:val="0"/>
        <w:autoSpaceDE/>
        <w:autoSpaceDN/>
        <w:bidi w:val="0"/>
        <w:adjustRightInd/>
        <w:snapToGrid/>
        <w:spacing w:before="0" w:after="0" w:line="480" w:lineRule="auto"/>
        <w:ind w:leftChars="200" w:right="0" w:rightChars="0"/>
        <w:jc w:val="both"/>
        <w:textAlignment w:val="auto"/>
        <w:rPr>
          <w:rFonts w:hint="eastAsia" w:ascii="宋体" w:hAnsi="宋体" w:eastAsia="宋体" w:cs="宋体"/>
          <w:color w:val="auto"/>
          <w:spacing w:val="0"/>
          <w:w w:val="100"/>
          <w:position w:val="0"/>
          <w:sz w:val="24"/>
          <w:szCs w:val="24"/>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bookmarkStart w:id="15" w:name="bookmark85"/>
      <w:r>
        <w:rPr>
          <w:rFonts w:hint="eastAsia" w:ascii="黑体" w:hAnsi="黑体" w:eastAsia="黑体" w:cs="黑体"/>
          <w:color w:val="auto"/>
          <w:spacing w:val="0"/>
          <w:w w:val="100"/>
          <w:position w:val="0"/>
          <w:sz w:val="32"/>
          <w:szCs w:val="32"/>
          <w:highlight w:val="none"/>
        </w:rPr>
        <w:t>七</w:t>
      </w:r>
      <w:bookmarkEnd w:id="15"/>
      <w:r>
        <w:rPr>
          <w:rFonts w:hint="eastAsia" w:ascii="黑体" w:hAnsi="黑体" w:eastAsia="黑体" w:cs="黑体"/>
          <w:color w:val="auto"/>
          <w:spacing w:val="0"/>
          <w:w w:val="100"/>
          <w:position w:val="0"/>
          <w:sz w:val="32"/>
          <w:szCs w:val="32"/>
          <w:highlight w:val="none"/>
        </w:rPr>
        <w:t>、违约责任</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7.1</w:t>
      </w:r>
      <w:r>
        <w:rPr>
          <w:rFonts w:hint="eastAsia" w:ascii="宋体" w:hAnsi="宋体" w:eastAsia="宋体" w:cs="宋体"/>
          <w:color w:val="auto"/>
          <w:spacing w:val="0"/>
          <w:w w:val="100"/>
          <w:position w:val="0"/>
          <w:sz w:val="24"/>
          <w:szCs w:val="24"/>
          <w:highlight w:val="none"/>
        </w:rPr>
        <w:t>本合同在履行过程中发生争议，由甲、乙双方协商解决，协商不成的，可以向甲方所在地人民法院提起诉讼。</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7.2</w:t>
      </w:r>
      <w:r>
        <w:rPr>
          <w:rFonts w:hint="eastAsia" w:ascii="宋体" w:hAnsi="宋体" w:eastAsia="宋体" w:cs="宋体"/>
          <w:color w:val="auto"/>
          <w:spacing w:val="0"/>
          <w:w w:val="100"/>
          <w:position w:val="0"/>
          <w:sz w:val="24"/>
          <w:szCs w:val="24"/>
          <w:highlight w:val="none"/>
        </w:rPr>
        <w:t>在履行合同过程中，乙方违反本合同的约定，所开展的工作未达到合同要求的，甲方提出书面限期整改通知，乙方应当按照书面意见进行整改。书面限期整改通知累计达三次，乙方均未按要求整改的，或乙方被投诉，经核实有效而未及时釆取积极措施改进累计达三次的，甲方有权终止合同，由此造成甲方的经济损失，乙方应予以赔偿。</w:t>
      </w:r>
    </w:p>
    <w:p>
      <w:pPr>
        <w:pStyle w:val="6"/>
        <w:keepNext w:val="0"/>
        <w:keepLines w:val="0"/>
        <w:pageBreakBefore w:val="0"/>
        <w:widowControl w:val="0"/>
        <w:shd w:val="clear" w:color="auto" w:fill="auto"/>
        <w:tabs>
          <w:tab w:val="left" w:pos="7402"/>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7.3</w:t>
      </w:r>
      <w:r>
        <w:rPr>
          <w:rFonts w:hint="eastAsia" w:ascii="宋体" w:hAnsi="宋体" w:eastAsia="宋体" w:cs="宋体"/>
          <w:color w:val="auto"/>
          <w:spacing w:val="0"/>
          <w:w w:val="100"/>
          <w:position w:val="0"/>
          <w:sz w:val="24"/>
          <w:szCs w:val="24"/>
          <w:highlight w:val="none"/>
        </w:rPr>
        <w:t>由于乙方原因造成该合同项目成果不符合约定要求，或未通过甲方验收的，甲方有权要求乙方按本合同项目费用总额的</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%支付违约金。</w:t>
      </w:r>
    </w:p>
    <w:p>
      <w:pPr>
        <w:pStyle w:val="6"/>
        <w:keepNext w:val="0"/>
        <w:keepLines w:val="0"/>
        <w:pageBreakBefore w:val="0"/>
        <w:widowControl w:val="0"/>
        <w:shd w:val="clear" w:color="auto" w:fill="auto"/>
        <w:tabs>
          <w:tab w:val="left" w:pos="4608"/>
        </w:tabs>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7.4</w:t>
      </w:r>
      <w:r>
        <w:rPr>
          <w:rFonts w:hint="eastAsia" w:ascii="宋体" w:hAnsi="宋体" w:eastAsia="宋体" w:cs="宋体"/>
          <w:color w:val="auto"/>
          <w:spacing w:val="0"/>
          <w:w w:val="100"/>
          <w:position w:val="0"/>
          <w:sz w:val="24"/>
          <w:szCs w:val="24"/>
          <w:highlight w:val="none"/>
        </w:rPr>
        <w:t>根据本合同，甲方逾期</w:t>
      </w:r>
      <w:r>
        <w:rPr>
          <w:rFonts w:hint="eastAsia" w:cs="宋体"/>
          <w:color w:val="auto"/>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日未向乙方支付对应款项的，乙方有权临时召回员工或解除合同，并向甲方索要赔偿费用。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7.5</w:t>
      </w:r>
      <w:r>
        <w:rPr>
          <w:rFonts w:hint="eastAsia" w:ascii="宋体" w:hAnsi="宋体" w:eastAsia="宋体" w:cs="宋体"/>
          <w:color w:val="auto"/>
          <w:spacing w:val="0"/>
          <w:w w:val="100"/>
          <w:position w:val="0"/>
          <w:sz w:val="24"/>
          <w:szCs w:val="24"/>
          <w:highlight w:val="none"/>
        </w:rPr>
        <w:t>因广州市财政体制改革、评估政策调整或其他不可抗力导致项目中断或变化的，不属于违约范畴。</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7.6</w:t>
      </w:r>
      <w:r>
        <w:rPr>
          <w:rFonts w:hint="eastAsia" w:ascii="宋体" w:hAnsi="宋体" w:eastAsia="宋体" w:cs="宋体"/>
          <w:color w:val="auto"/>
          <w:spacing w:val="0"/>
          <w:w w:val="100"/>
          <w:position w:val="0"/>
          <w:sz w:val="24"/>
          <w:szCs w:val="24"/>
          <w:highlight w:val="none"/>
        </w:rPr>
        <w:t>在本项目运营服务过程中，由于乙方的违法违规或不当行为及过失所造成的损失及有关责任，由乙方承担；乙方与其他第三方发生的一切纠纷及责任，由乙方自行承担，与甲方无关。</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宋体" w:hAnsi="宋体" w:eastAsia="宋体" w:cs="宋体"/>
          <w:color w:val="auto"/>
          <w:sz w:val="24"/>
          <w:szCs w:val="24"/>
          <w:highlight w:val="none"/>
        </w:rPr>
      </w:pPr>
      <w:bookmarkStart w:id="16" w:name="bookmark86"/>
      <w:r>
        <w:rPr>
          <w:rFonts w:hint="eastAsia" w:ascii="黑体" w:hAnsi="黑体" w:eastAsia="黑体" w:cs="黑体"/>
          <w:color w:val="auto"/>
          <w:spacing w:val="0"/>
          <w:w w:val="100"/>
          <w:position w:val="0"/>
          <w:sz w:val="32"/>
          <w:szCs w:val="32"/>
          <w:highlight w:val="none"/>
        </w:rPr>
        <w:t>八</w:t>
      </w:r>
      <w:bookmarkEnd w:id="16"/>
      <w:r>
        <w:rPr>
          <w:rFonts w:hint="eastAsia" w:ascii="黑体" w:hAnsi="黑体" w:eastAsia="黑体" w:cs="黑体"/>
          <w:color w:val="auto"/>
          <w:spacing w:val="0"/>
          <w:w w:val="100"/>
          <w:position w:val="0"/>
          <w:sz w:val="32"/>
          <w:szCs w:val="32"/>
          <w:highlight w:val="none"/>
        </w:rPr>
        <w:t>、当事人协商一致的其他内容</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pacing w:val="0"/>
          <w:w w:val="100"/>
          <w:position w:val="0"/>
          <w:sz w:val="24"/>
          <w:szCs w:val="24"/>
          <w:highlight w:val="none"/>
          <w:u w:val="none"/>
          <w:shd w:val="clear" w:color="auto" w:fill="auto"/>
          <w:lang w:val="zh-TW" w:eastAsia="zh-CN" w:bidi="zh-TW"/>
        </w:rPr>
      </w:pPr>
      <w:r>
        <w:rPr>
          <w:rFonts w:hint="eastAsia" w:ascii="宋体" w:hAnsi="宋体" w:eastAsia="宋体" w:cs="宋体"/>
          <w:color w:val="auto"/>
          <w:spacing w:val="0"/>
          <w:w w:val="100"/>
          <w:position w:val="0"/>
          <w:sz w:val="24"/>
          <w:szCs w:val="24"/>
          <w:highlight w:val="none"/>
          <w:u w:val="none"/>
          <w:shd w:val="clear" w:color="auto" w:fill="auto"/>
          <w:lang w:val="zh-TW" w:eastAsia="zh-TW" w:bidi="zh-TW"/>
        </w:rPr>
        <w:t>本项目合同结束后，甲方在购买</w:t>
      </w:r>
      <w:r>
        <w:rPr>
          <w:rFonts w:hint="eastAsia" w:ascii="宋体" w:hAnsi="宋体" w:eastAsia="宋体" w:cs="宋体"/>
          <w:color w:val="auto"/>
          <w:spacing w:val="0"/>
          <w:w w:val="100"/>
          <w:position w:val="0"/>
          <w:sz w:val="24"/>
          <w:szCs w:val="24"/>
          <w:highlight w:val="none"/>
          <w:u w:val="none"/>
          <w:shd w:val="clear" w:color="auto" w:fill="auto"/>
          <w:lang w:val="en-US" w:eastAsia="zh-CN" w:bidi="zh-TW"/>
        </w:rPr>
        <w:t>老</w:t>
      </w:r>
      <w:r>
        <w:rPr>
          <w:rFonts w:hint="eastAsia" w:ascii="宋体" w:hAnsi="宋体" w:eastAsia="宋体" w:cs="宋体"/>
          <w:color w:val="auto"/>
          <w:spacing w:val="0"/>
          <w:w w:val="100"/>
          <w:position w:val="0"/>
          <w:sz w:val="24"/>
          <w:szCs w:val="24"/>
          <w:highlight w:val="none"/>
          <w:u w:val="none"/>
          <w:shd w:val="clear" w:color="auto" w:fill="auto"/>
          <w:lang w:val="zh-TW" w:eastAsia="zh-TW" w:bidi="zh-TW"/>
        </w:rPr>
        <w:t>年人照顾需求评估服务项目的过渡期间，乙方需配合甲方完成较为紧急的评估任务，甲方按乙方实际的评估情况支付相应资金。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pacing w:val="0"/>
          <w:w w:val="100"/>
          <w:position w:val="0"/>
          <w:sz w:val="24"/>
          <w:szCs w:val="24"/>
          <w:highlight w:val="none"/>
          <w:u w:val="none"/>
          <w:shd w:val="clear" w:color="auto" w:fill="auto"/>
          <w:lang w:val="zh-TW" w:eastAsia="zh-TW" w:bidi="zh-TW"/>
        </w:rPr>
      </w:pPr>
      <w:r>
        <w:rPr>
          <w:rFonts w:hint="eastAsia" w:ascii="宋体" w:hAnsi="宋体" w:eastAsia="宋体" w:cs="宋体"/>
          <w:color w:val="auto"/>
          <w:spacing w:val="0"/>
          <w:w w:val="100"/>
          <w:position w:val="0"/>
          <w:sz w:val="24"/>
          <w:szCs w:val="24"/>
          <w:highlight w:val="none"/>
          <w:u w:val="none"/>
          <w:shd w:val="clear" w:color="auto" w:fill="auto"/>
          <w:lang w:val="zh-TW" w:eastAsia="zh-TW" w:bidi="zh-TW"/>
        </w:rPr>
        <w:t>（约定内容可以另行附页）</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color w:val="auto"/>
          <w:spacing w:val="0"/>
          <w:w w:val="100"/>
          <w:position w:val="0"/>
          <w:sz w:val="24"/>
          <w:szCs w:val="24"/>
          <w:highlight w:val="none"/>
          <w:u w:val="none"/>
          <w:shd w:val="clear" w:color="auto" w:fill="auto"/>
          <w:lang w:val="zh-TW" w:eastAsia="zh-TW" w:bidi="zh-TW"/>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640" w:firstLineChars="200"/>
        <w:jc w:val="center"/>
        <w:textAlignment w:val="auto"/>
        <w:rPr>
          <w:rFonts w:hint="eastAsia" w:ascii="黑体" w:hAnsi="黑体" w:eastAsia="黑体" w:cs="黑体"/>
          <w:color w:val="auto"/>
          <w:spacing w:val="0"/>
          <w:w w:val="100"/>
          <w:position w:val="0"/>
          <w:sz w:val="32"/>
          <w:szCs w:val="32"/>
          <w:highlight w:val="none"/>
        </w:rPr>
      </w:pPr>
      <w:bookmarkStart w:id="17" w:name="bookmark87"/>
      <w:r>
        <w:rPr>
          <w:rFonts w:hint="eastAsia" w:ascii="黑体" w:hAnsi="黑体" w:eastAsia="黑体" w:cs="黑体"/>
          <w:color w:val="auto"/>
          <w:spacing w:val="0"/>
          <w:w w:val="100"/>
          <w:position w:val="0"/>
          <w:sz w:val="32"/>
          <w:szCs w:val="32"/>
          <w:highlight w:val="none"/>
        </w:rPr>
        <w:t>九</w:t>
      </w:r>
      <w:bookmarkEnd w:id="17"/>
      <w:r>
        <w:rPr>
          <w:rFonts w:hint="eastAsia" w:ascii="黑体" w:hAnsi="黑体" w:eastAsia="黑体" w:cs="黑体"/>
          <w:color w:val="auto"/>
          <w:spacing w:val="0"/>
          <w:w w:val="100"/>
          <w:position w:val="0"/>
          <w:sz w:val="32"/>
          <w:szCs w:val="32"/>
          <w:highlight w:val="none"/>
        </w:rPr>
        <w:t>、合同生效及附件</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9.1</w:t>
      </w:r>
      <w:r>
        <w:rPr>
          <w:rFonts w:hint="eastAsia" w:ascii="宋体" w:hAnsi="宋体" w:eastAsia="宋体" w:cs="宋体"/>
          <w:color w:val="auto"/>
          <w:spacing w:val="0"/>
          <w:w w:val="100"/>
          <w:position w:val="0"/>
          <w:sz w:val="24"/>
          <w:szCs w:val="24"/>
          <w:highlight w:val="none"/>
        </w:rPr>
        <w:t>本合同一式</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份，甲、乙双方各执</w:t>
      </w:r>
      <w:r>
        <w:rPr>
          <w:rFonts w:hint="eastAsia" w:cs="宋体"/>
          <w:color w:val="auto"/>
          <w:spacing w:val="0"/>
          <w:w w:val="100"/>
          <w:position w:val="0"/>
          <w:sz w:val="24"/>
          <w:szCs w:val="24"/>
          <w:highlight w:val="none"/>
          <w:u w:val="single"/>
          <w:lang w:val="en-US" w:eastAsia="zh-CN"/>
        </w:rPr>
        <w:t xml:space="preserve">    </w:t>
      </w:r>
      <w:r>
        <w:rPr>
          <w:rFonts w:hint="eastAsia" w:ascii="宋体" w:hAnsi="宋体" w:eastAsia="宋体" w:cs="宋体"/>
          <w:color w:val="auto"/>
          <w:spacing w:val="0"/>
          <w:w w:val="100"/>
          <w:position w:val="0"/>
          <w:sz w:val="24"/>
          <w:szCs w:val="24"/>
          <w:highlight w:val="none"/>
        </w:rPr>
        <w:t>份，自甲、乙双方签字或盖章之日起生效。</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lang w:val="en-US" w:eastAsia="en-US" w:bidi="en-US"/>
        </w:rPr>
        <w:t>9.2</w:t>
      </w:r>
      <w:r>
        <w:rPr>
          <w:rFonts w:hint="eastAsia" w:ascii="宋体" w:hAnsi="宋体" w:eastAsia="宋体" w:cs="宋体"/>
          <w:color w:val="auto"/>
          <w:spacing w:val="0"/>
          <w:w w:val="100"/>
          <w:position w:val="0"/>
          <w:sz w:val="24"/>
          <w:szCs w:val="24"/>
          <w:highlight w:val="none"/>
        </w:rPr>
        <w:t>下列文件为本合同附件：</w:t>
      </w:r>
    </w:p>
    <w:p>
      <w:pPr>
        <w:pStyle w:val="6"/>
        <w:keepNext w:val="0"/>
        <w:keepLines w:val="0"/>
        <w:pageBreakBefore w:val="0"/>
        <w:widowControl w:val="0"/>
        <w:shd w:val="clear" w:color="auto" w:fill="auto"/>
        <w:tabs>
          <w:tab w:val="left" w:pos="1198"/>
        </w:tabs>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bookmarkStart w:id="18" w:name="bookmark88"/>
      <w:r>
        <w:rPr>
          <w:rFonts w:hint="eastAsia" w:ascii="宋体" w:hAnsi="宋体" w:eastAsia="宋体" w:cs="宋体"/>
          <w:color w:val="auto"/>
          <w:spacing w:val="0"/>
          <w:w w:val="100"/>
          <w:position w:val="0"/>
          <w:sz w:val="24"/>
          <w:szCs w:val="24"/>
          <w:highlight w:val="none"/>
        </w:rPr>
        <w:t>（</w:t>
      </w:r>
      <w:bookmarkEnd w:id="18"/>
      <w:r>
        <w:rPr>
          <w:rFonts w:hint="eastAsia" w:ascii="宋体" w:hAnsi="宋体" w:eastAsia="宋体" w:cs="宋体"/>
          <w:color w:val="auto"/>
          <w:spacing w:val="0"/>
          <w:w w:val="100"/>
          <w:position w:val="0"/>
          <w:sz w:val="24"/>
          <w:szCs w:val="24"/>
          <w:highlight w:val="none"/>
        </w:rPr>
        <w:t>1）</w:t>
      </w:r>
      <w:r>
        <w:rPr>
          <w:rFonts w:hint="eastAsia" w:ascii="宋体" w:hAnsi="宋体" w:eastAsia="宋体" w:cs="宋体"/>
          <w:color w:val="auto"/>
          <w:spacing w:val="0"/>
          <w:w w:val="100"/>
          <w:position w:val="0"/>
          <w:sz w:val="24"/>
          <w:szCs w:val="24"/>
          <w:highlight w:val="none"/>
        </w:rPr>
        <w:tab/>
      </w:r>
      <w:r>
        <w:rPr>
          <w:rFonts w:hint="eastAsia" w:ascii="宋体" w:hAnsi="宋体" w:eastAsia="宋体" w:cs="宋体"/>
          <w:color w:val="auto"/>
          <w:spacing w:val="0"/>
          <w:w w:val="100"/>
          <w:position w:val="0"/>
          <w:sz w:val="24"/>
          <w:szCs w:val="24"/>
          <w:highlight w:val="none"/>
        </w:rPr>
        <w:t>甲方的用户需求书/招标文件及乙方的响应文件；</w:t>
      </w:r>
    </w:p>
    <w:p>
      <w:pPr>
        <w:pStyle w:val="6"/>
        <w:keepNext w:val="0"/>
        <w:keepLines w:val="0"/>
        <w:pageBreakBefore w:val="0"/>
        <w:widowControl w:val="0"/>
        <w:shd w:val="clear" w:color="auto" w:fill="auto"/>
        <w:tabs>
          <w:tab w:val="left" w:pos="1198"/>
        </w:tabs>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bookmarkStart w:id="19" w:name="bookmark89"/>
      <w:r>
        <w:rPr>
          <w:rFonts w:hint="eastAsia" w:ascii="宋体" w:hAnsi="宋体" w:eastAsia="宋体" w:cs="宋体"/>
          <w:color w:val="auto"/>
          <w:spacing w:val="0"/>
          <w:w w:val="100"/>
          <w:position w:val="0"/>
          <w:sz w:val="24"/>
          <w:szCs w:val="24"/>
          <w:highlight w:val="none"/>
        </w:rPr>
        <w:t>（</w:t>
      </w:r>
      <w:bookmarkEnd w:id="19"/>
      <w:r>
        <w:rPr>
          <w:rFonts w:hint="eastAsia" w:ascii="宋体" w:hAnsi="宋体" w:eastAsia="宋体" w:cs="宋体"/>
          <w:color w:val="auto"/>
          <w:spacing w:val="0"/>
          <w:w w:val="100"/>
          <w:position w:val="0"/>
          <w:sz w:val="24"/>
          <w:szCs w:val="24"/>
          <w:highlight w:val="none"/>
        </w:rPr>
        <w:t>2）</w:t>
      </w:r>
      <w:r>
        <w:rPr>
          <w:rFonts w:hint="eastAsia" w:ascii="宋体" w:hAnsi="宋体" w:eastAsia="宋体" w:cs="宋体"/>
          <w:color w:val="auto"/>
          <w:spacing w:val="0"/>
          <w:w w:val="100"/>
          <w:position w:val="0"/>
          <w:sz w:val="24"/>
          <w:szCs w:val="24"/>
          <w:highlight w:val="none"/>
        </w:rPr>
        <w:tab/>
      </w:r>
      <w:r>
        <w:rPr>
          <w:rFonts w:hint="eastAsia" w:ascii="宋体" w:hAnsi="宋体" w:eastAsia="宋体" w:cs="宋体"/>
          <w:color w:val="auto"/>
          <w:spacing w:val="0"/>
          <w:w w:val="100"/>
          <w:position w:val="0"/>
          <w:sz w:val="24"/>
          <w:szCs w:val="24"/>
          <w:highlight w:val="none"/>
        </w:rPr>
        <w:t>加盖乙方公章的乙方合法注册登记文件复印件；</w:t>
      </w:r>
    </w:p>
    <w:p>
      <w:pPr>
        <w:pStyle w:val="6"/>
        <w:keepNext w:val="0"/>
        <w:keepLines w:val="0"/>
        <w:pageBreakBefore w:val="0"/>
        <w:widowControl w:val="0"/>
        <w:shd w:val="clear" w:color="auto" w:fill="auto"/>
        <w:tabs>
          <w:tab w:val="left" w:pos="1198"/>
        </w:tabs>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bookmarkStart w:id="20" w:name="bookmark90"/>
      <w:r>
        <w:rPr>
          <w:rFonts w:hint="eastAsia" w:ascii="宋体" w:hAnsi="宋体" w:eastAsia="宋体" w:cs="宋体"/>
          <w:color w:val="auto"/>
          <w:spacing w:val="0"/>
          <w:w w:val="100"/>
          <w:position w:val="0"/>
          <w:sz w:val="24"/>
          <w:szCs w:val="24"/>
          <w:highlight w:val="none"/>
        </w:rPr>
        <w:t>（</w:t>
      </w:r>
      <w:bookmarkEnd w:id="20"/>
      <w:r>
        <w:rPr>
          <w:rFonts w:hint="eastAsia" w:ascii="宋体" w:hAnsi="宋体" w:eastAsia="宋体" w:cs="宋体"/>
          <w:color w:val="auto"/>
          <w:spacing w:val="0"/>
          <w:w w:val="100"/>
          <w:position w:val="0"/>
          <w:sz w:val="24"/>
          <w:szCs w:val="24"/>
          <w:highlight w:val="none"/>
        </w:rPr>
        <w:t>3）</w:t>
      </w:r>
      <w:r>
        <w:rPr>
          <w:rFonts w:hint="eastAsia" w:ascii="宋体" w:hAnsi="宋体" w:eastAsia="宋体" w:cs="宋体"/>
          <w:color w:val="auto"/>
          <w:spacing w:val="0"/>
          <w:w w:val="100"/>
          <w:position w:val="0"/>
          <w:sz w:val="24"/>
          <w:szCs w:val="24"/>
          <w:highlight w:val="none"/>
        </w:rPr>
        <w:tab/>
      </w:r>
      <w:r>
        <w:rPr>
          <w:rFonts w:hint="eastAsia" w:ascii="宋体" w:hAnsi="宋体" w:eastAsia="宋体" w:cs="宋体"/>
          <w:color w:val="auto"/>
          <w:spacing w:val="0"/>
          <w:w w:val="100"/>
          <w:position w:val="0"/>
          <w:sz w:val="24"/>
          <w:szCs w:val="24"/>
          <w:highlight w:val="none"/>
        </w:rPr>
        <w:t>加盖乙方公章的项目计划书；</w:t>
      </w:r>
    </w:p>
    <w:p>
      <w:pPr>
        <w:pStyle w:val="6"/>
        <w:keepNext w:val="0"/>
        <w:keepLines w:val="0"/>
        <w:pageBreakBefore w:val="0"/>
        <w:widowControl w:val="0"/>
        <w:shd w:val="clear" w:color="auto" w:fill="auto"/>
        <w:tabs>
          <w:tab w:val="left" w:pos="1198"/>
        </w:tabs>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bookmarkStart w:id="21" w:name="bookmark91"/>
      <w:r>
        <w:rPr>
          <w:rFonts w:hint="eastAsia" w:ascii="宋体" w:hAnsi="宋体" w:eastAsia="宋体" w:cs="宋体"/>
          <w:color w:val="auto"/>
          <w:spacing w:val="0"/>
          <w:w w:val="100"/>
          <w:position w:val="0"/>
          <w:sz w:val="24"/>
          <w:szCs w:val="24"/>
          <w:highlight w:val="none"/>
        </w:rPr>
        <w:t>（</w:t>
      </w:r>
      <w:bookmarkEnd w:id="21"/>
      <w:r>
        <w:rPr>
          <w:rFonts w:hint="eastAsia" w:ascii="宋体" w:hAnsi="宋体" w:eastAsia="宋体" w:cs="宋体"/>
          <w:color w:val="auto"/>
          <w:spacing w:val="0"/>
          <w:w w:val="100"/>
          <w:position w:val="0"/>
          <w:sz w:val="24"/>
          <w:szCs w:val="24"/>
          <w:highlight w:val="none"/>
        </w:rPr>
        <w:t>4）</w:t>
      </w:r>
      <w:r>
        <w:rPr>
          <w:rFonts w:hint="eastAsia" w:ascii="宋体" w:hAnsi="宋体" w:eastAsia="宋体" w:cs="宋体"/>
          <w:color w:val="auto"/>
          <w:spacing w:val="0"/>
          <w:w w:val="100"/>
          <w:position w:val="0"/>
          <w:sz w:val="24"/>
          <w:szCs w:val="24"/>
          <w:highlight w:val="none"/>
        </w:rPr>
        <w:tab/>
      </w:r>
      <w:r>
        <w:rPr>
          <w:rFonts w:hint="eastAsia" w:ascii="宋体" w:hAnsi="宋体" w:eastAsia="宋体" w:cs="宋体"/>
          <w:color w:val="auto"/>
          <w:spacing w:val="0"/>
          <w:w w:val="100"/>
          <w:position w:val="0"/>
          <w:sz w:val="24"/>
          <w:szCs w:val="24"/>
          <w:highlight w:val="none"/>
        </w:rPr>
        <w:t>加盖甲方公章的项目成果验收指标表；</w:t>
      </w:r>
    </w:p>
    <w:p>
      <w:pPr>
        <w:pStyle w:val="6"/>
        <w:keepNext w:val="0"/>
        <w:keepLines w:val="0"/>
        <w:pageBreakBefore w:val="0"/>
        <w:widowControl w:val="0"/>
        <w:shd w:val="clear" w:color="auto" w:fill="auto"/>
        <w:tabs>
          <w:tab w:val="left" w:pos="1198"/>
          <w:tab w:val="left" w:pos="4626"/>
        </w:tabs>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lang w:eastAsia="zh-CN"/>
        </w:rPr>
      </w:pPr>
      <w:bookmarkStart w:id="22" w:name="bookmark92"/>
      <w:r>
        <w:rPr>
          <w:rFonts w:hint="eastAsia" w:ascii="宋体" w:hAnsi="宋体" w:eastAsia="宋体" w:cs="宋体"/>
          <w:color w:val="auto"/>
          <w:spacing w:val="0"/>
          <w:w w:val="100"/>
          <w:position w:val="0"/>
          <w:sz w:val="24"/>
          <w:szCs w:val="24"/>
          <w:highlight w:val="none"/>
        </w:rPr>
        <w:t>（</w:t>
      </w:r>
      <w:bookmarkEnd w:id="22"/>
      <w:r>
        <w:rPr>
          <w:rFonts w:hint="eastAsia" w:ascii="宋体" w:hAnsi="宋体" w:eastAsia="宋体" w:cs="宋体"/>
          <w:color w:val="auto"/>
          <w:spacing w:val="0"/>
          <w:w w:val="100"/>
          <w:position w:val="0"/>
          <w:sz w:val="24"/>
          <w:szCs w:val="24"/>
          <w:highlight w:val="none"/>
        </w:rPr>
        <w:t>5）其他附件：</w:t>
      </w:r>
      <w:r>
        <w:rPr>
          <w:rFonts w:hint="eastAsia" w:ascii="宋体" w:hAnsi="宋体" w:eastAsia="宋体" w:cs="宋体"/>
          <w:color w:val="auto"/>
          <w:sz w:val="24"/>
          <w:szCs w:val="24"/>
          <w:highlight w:val="none"/>
          <w:u w:val="single"/>
        </w:rPr>
        <w:tab/>
      </w:r>
      <w:r>
        <w:rPr>
          <w:rFonts w:hint="eastAsia" w:ascii="宋体" w:hAnsi="宋体" w:eastAsia="宋体" w:cs="宋体"/>
          <w:color w:val="auto"/>
          <w:spacing w:val="0"/>
          <w:w w:val="100"/>
          <w:position w:val="0"/>
          <w:sz w:val="24"/>
          <w:szCs w:val="24"/>
          <w:highlight w:val="none"/>
          <w:lang w:eastAsia="zh-CN"/>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9</w:t>
      </w:r>
      <w:r>
        <w:rPr>
          <w:rFonts w:hint="eastAsia" w:ascii="宋体" w:hAnsi="宋体" w:eastAsia="宋体" w:cs="宋体"/>
          <w:color w:val="auto"/>
          <w:spacing w:val="0"/>
          <w:w w:val="100"/>
          <w:position w:val="0"/>
          <w:sz w:val="24"/>
          <w:szCs w:val="24"/>
          <w:highlight w:val="none"/>
          <w:lang w:val="en-US" w:eastAsia="zh-CN"/>
        </w:rPr>
        <w:t>.</w:t>
      </w:r>
      <w:r>
        <w:rPr>
          <w:rFonts w:hint="eastAsia" w:ascii="宋体" w:hAnsi="宋体" w:eastAsia="宋体" w:cs="宋体"/>
          <w:color w:val="auto"/>
          <w:spacing w:val="0"/>
          <w:w w:val="100"/>
          <w:position w:val="0"/>
          <w:sz w:val="24"/>
          <w:szCs w:val="24"/>
          <w:highlight w:val="none"/>
        </w:rPr>
        <w:t>3本合同附件系本合同组成部分，与合同具有同等法律效力。</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highlight w:val="none"/>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pacing w:val="0"/>
          <w:w w:val="100"/>
          <w:position w:val="0"/>
          <w:sz w:val="24"/>
          <w:szCs w:val="24"/>
          <w:highlight w:val="none"/>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甲方：（公章）</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法定代表人或授权代表（签字）：</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pacing w:val="0"/>
          <w:w w:val="100"/>
          <w:position w:val="0"/>
          <w:sz w:val="24"/>
          <w:szCs w:val="24"/>
          <w:highlight w:val="none"/>
        </w:rPr>
        <w:t>日期：</w:t>
      </w:r>
      <w:r>
        <w:rPr>
          <w:rFonts w:hint="eastAsia" w:ascii="宋体" w:hAnsi="宋体" w:eastAsia="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rPr>
        <w:t>年</w:t>
      </w:r>
      <w:r>
        <w:rPr>
          <w:rFonts w:hint="eastAsia" w:ascii="宋体" w:hAnsi="宋体" w:eastAsia="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rPr>
        <w:t>月</w:t>
      </w:r>
      <w:r>
        <w:rPr>
          <w:rFonts w:hint="eastAsia" w:ascii="宋体" w:hAnsi="宋体" w:eastAsia="宋体" w:cs="宋体"/>
          <w:color w:val="auto"/>
          <w:spacing w:val="0"/>
          <w:w w:val="100"/>
          <w:position w:val="0"/>
          <w:sz w:val="24"/>
          <w:szCs w:val="24"/>
          <w:highlight w:val="none"/>
          <w:lang w:val="en-US" w:eastAsia="zh-CN"/>
        </w:rPr>
        <w:t xml:space="preserve">    日</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pacing w:val="0"/>
          <w:w w:val="100"/>
          <w:position w:val="0"/>
          <w:sz w:val="24"/>
          <w:szCs w:val="24"/>
          <w:highlight w:val="none"/>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both"/>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乙方：（公章）</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pacing w:val="0"/>
          <w:w w:val="100"/>
          <w:position w:val="0"/>
          <w:sz w:val="24"/>
          <w:szCs w:val="24"/>
          <w:highlight w:val="none"/>
        </w:rPr>
        <w:t>法定代表人或授权代表（签字）：</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480" w:lineRule="auto"/>
        <w:ind w:left="0" w:leftChars="0" w:right="0" w:firstLine="480" w:firstLineChars="200"/>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pacing w:val="0"/>
          <w:w w:val="100"/>
          <w:position w:val="0"/>
          <w:sz w:val="24"/>
          <w:szCs w:val="24"/>
          <w:highlight w:val="none"/>
        </w:rPr>
        <w:t>日期：</w:t>
      </w:r>
      <w:r>
        <w:rPr>
          <w:rFonts w:hint="eastAsia" w:ascii="宋体" w:hAnsi="宋体" w:eastAsia="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rPr>
        <w:t>年</w:t>
      </w:r>
      <w:r>
        <w:rPr>
          <w:rFonts w:hint="eastAsia" w:ascii="宋体" w:hAnsi="宋体" w:eastAsia="宋体" w:cs="宋体"/>
          <w:color w:val="auto"/>
          <w:spacing w:val="0"/>
          <w:w w:val="100"/>
          <w:position w:val="0"/>
          <w:sz w:val="24"/>
          <w:szCs w:val="24"/>
          <w:highlight w:val="none"/>
          <w:lang w:val="en-US" w:eastAsia="zh-CN"/>
        </w:rPr>
        <w:t xml:space="preserve">    </w:t>
      </w:r>
      <w:r>
        <w:rPr>
          <w:rFonts w:hint="eastAsia" w:ascii="宋体" w:hAnsi="宋体" w:eastAsia="宋体" w:cs="宋体"/>
          <w:color w:val="auto"/>
          <w:spacing w:val="0"/>
          <w:w w:val="100"/>
          <w:position w:val="0"/>
          <w:sz w:val="24"/>
          <w:szCs w:val="24"/>
          <w:highlight w:val="none"/>
        </w:rPr>
        <w:t>月</w:t>
      </w:r>
      <w:r>
        <w:rPr>
          <w:rFonts w:hint="eastAsia" w:ascii="宋体" w:hAnsi="宋体" w:eastAsia="宋体" w:cs="宋体"/>
          <w:color w:val="auto"/>
          <w:spacing w:val="0"/>
          <w:w w:val="100"/>
          <w:position w:val="0"/>
          <w:sz w:val="24"/>
          <w:szCs w:val="24"/>
          <w:highlight w:val="none"/>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after="0" w:line="480" w:lineRule="auto"/>
        <w:ind w:leftChars="0" w:firstLine="480" w:firstLineChars="200"/>
        <w:textAlignment w:val="auto"/>
        <w:rPr>
          <w:rFonts w:hint="eastAsia" w:ascii="宋体" w:hAnsi="宋体" w:eastAsia="宋体" w:cs="宋体"/>
          <w:color w:val="auto"/>
          <w:sz w:val="24"/>
          <w:szCs w:val="24"/>
          <w:highlight w:val="none"/>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6289040</wp:posOffset>
              </wp:positionH>
              <wp:positionV relativeFrom="page">
                <wp:posOffset>10062845</wp:posOffset>
              </wp:positionV>
              <wp:extent cx="448310" cy="114300"/>
              <wp:effectExtent l="0" t="0" r="0" b="0"/>
              <wp:wrapNone/>
              <wp:docPr id="17" name="Shape 17"/>
              <wp:cNvGraphicFramePr/>
              <a:graphic xmlns:a="http://schemas.openxmlformats.org/drawingml/2006/main">
                <a:graphicData uri="http://schemas.microsoft.com/office/word/2010/wordprocessingShape">
                  <wps:wsp>
                    <wps:cNvSpPr txBox="1"/>
                    <wps:spPr>
                      <a:xfrm>
                        <a:off x="0" y="0"/>
                        <a:ext cx="448310" cy="11430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r>
                            <w:rPr>
                              <w:rFonts w:ascii="Times New Roman" w:hAnsi="Times New Roman" w:eastAsia="Times New Roman" w:cs="Times New Roman"/>
                              <w:color w:val="000000"/>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17" o:spid="_x0000_s1026" o:spt="202" type="#_x0000_t202" style="position:absolute;left:0pt;margin-left:495.2pt;margin-top:792.35pt;height:9pt;width:35.3pt;mso-position-horizontal-relative:page;mso-position-vertical-relative:page;mso-wrap-style:none;z-index:-251657216;mso-width-relative:page;mso-height-relative:page;" filled="f" stroked="f" coordsize="21600,21600" o:gfxdata="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C6RjZ&#10;AAAADgEAAA8AAAAAAAAAAQAgAAAAIgAAAGRycy9kb3ducmV2LnhtbFBLAQIUABQAAAAIAIdO4kBH&#10;gve6rQEAAHEDAAAOAAAAAAAAAAEAIAAAACg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4"/>
                        <w:szCs w:val="24"/>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fldChar w:fldCharType="end"/>
                    </w:r>
                    <w:r>
                      <w:rPr>
                        <w:rFonts w:ascii="Times New Roman" w:hAnsi="Times New Roman" w:eastAsia="Times New Roman" w:cs="Times New Roman"/>
                        <w:color w:val="000000"/>
                        <w:spacing w:val="0"/>
                        <w:w w:val="100"/>
                        <w:position w:val="0"/>
                        <w:sz w:val="24"/>
                        <w:szCs w:val="24"/>
                        <w:lang w:val="en-US" w:eastAsia="en-US" w:bidi="en-US"/>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C50BD"/>
    <w:rsid w:val="27AC50BD"/>
    <w:rsid w:val="2BAA4CEC"/>
    <w:rsid w:val="33561294"/>
    <w:rsid w:val="3B4E1DCF"/>
    <w:rsid w:val="40AF693A"/>
    <w:rsid w:val="426E1347"/>
    <w:rsid w:val="472F3D62"/>
    <w:rsid w:val="597D184E"/>
    <w:rsid w:val="5F5D0C46"/>
    <w:rsid w:val="68445F29"/>
    <w:rsid w:val="723A6C3E"/>
    <w:rsid w:val="74AB1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5"/>
    <w:basedOn w:val="1"/>
    <w:qFormat/>
    <w:uiPriority w:val="0"/>
    <w:pPr>
      <w:widowControl w:val="0"/>
      <w:shd w:val="clear" w:color="auto" w:fill="auto"/>
      <w:spacing w:line="569" w:lineRule="exact"/>
      <w:jc w:val="center"/>
    </w:pPr>
    <w:rPr>
      <w:rFonts w:ascii="宋体" w:hAnsi="宋体" w:eastAsia="宋体" w:cs="宋体"/>
      <w:sz w:val="42"/>
      <w:szCs w:val="42"/>
      <w:u w:val="none"/>
      <w:shd w:val="clear" w:color="auto" w:fill="auto"/>
      <w:lang w:val="zh-TW" w:eastAsia="zh-TW" w:bidi="zh-TW"/>
    </w:rPr>
  </w:style>
  <w:style w:type="paragraph" w:customStyle="1" w:styleId="5">
    <w:name w:val="Heading #2|1"/>
    <w:basedOn w:val="1"/>
    <w:qFormat/>
    <w:uiPriority w:val="0"/>
    <w:pPr>
      <w:widowControl w:val="0"/>
      <w:shd w:val="clear" w:color="auto" w:fill="auto"/>
      <w:spacing w:after="360" w:line="554"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6">
    <w:name w:val="Body text|2"/>
    <w:basedOn w:val="1"/>
    <w:qFormat/>
    <w:uiPriority w:val="0"/>
    <w:pPr>
      <w:widowControl w:val="0"/>
      <w:shd w:val="clear" w:color="auto" w:fill="auto"/>
      <w:spacing w:line="562" w:lineRule="exact"/>
      <w:ind w:firstLine="760"/>
    </w:pPr>
    <w:rPr>
      <w:rFonts w:ascii="宋体" w:hAnsi="宋体" w:eastAsia="宋体" w:cs="宋体"/>
      <w:sz w:val="26"/>
      <w:szCs w:val="26"/>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280" w:line="228" w:lineRule="auto"/>
      <w:ind w:hanging="780"/>
    </w:pPr>
    <w:rPr>
      <w:sz w:val="32"/>
      <w:szCs w:val="32"/>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u w:val="none"/>
      <w:shd w:val="clear" w:color="auto" w:fill="auto"/>
      <w:lang w:val="zh-TW" w:eastAsia="zh-TW" w:bidi="zh-TW"/>
    </w:rPr>
  </w:style>
  <w:style w:type="paragraph" w:customStyle="1" w:styleId="10">
    <w:name w:val="文件"/>
    <w:basedOn w:val="1"/>
    <w:qFormat/>
    <w:uiPriority w:val="0"/>
    <w:pPr>
      <w:adjustRightInd w:val="0"/>
      <w:snapToGrid w:val="0"/>
      <w:spacing w:line="336" w:lineRule="auto"/>
      <w:ind w:firstLine="658"/>
    </w:pPr>
    <w:rPr>
      <w:rFonts w:ascii="?????" w:hAnsi="Calibri" w:eastAsia="Times New Roman"/>
      <w:spacing w:val="-3"/>
      <w:sz w:val="32"/>
    </w:rPr>
  </w:style>
  <w:style w:type="paragraph" w:customStyle="1" w:styleId="11">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2021-03-24T06:49:00Z</dcterms:created>
  <dc:creator>J1395545971</dc:creator>
  <cp:lastModifiedBy>J1395545971</cp:lastModifiedBy>
  <dcterms:modified xsi:type="dcterms:W3CDTF">2021-03-26T05:10:46Z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83C3F91C59FF48E48558F0F2E30A58A5</vt:lpwstr>
  </property>
</Properties>
</file>