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adjustRightInd w:val="0"/>
        <w:snapToGrid w:val="0"/>
        <w:spacing w:line="360" w:lineRule="auto"/>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10</w:t>
      </w:r>
    </w:p>
    <w:p>
      <w:pPr>
        <w:wordWrap w:val="0"/>
        <w:adjustRightInd w:val="0"/>
        <w:snapToGrid w:val="0"/>
        <w:spacing w:line="360" w:lineRule="auto"/>
        <w:jc w:val="left"/>
        <w:rPr>
          <w:rFonts w:hint="default" w:eastAsia="楷体_GB2312"/>
          <w:b/>
          <w:color w:val="auto"/>
          <w:sz w:val="28"/>
          <w:szCs w:val="28"/>
          <w:lang w:val="en-US" w:eastAsia="zh-CN"/>
        </w:rPr>
      </w:pPr>
      <w:r>
        <w:rPr>
          <w:rFonts w:hint="eastAsia" w:ascii="楷体_GB2312" w:hAnsi="宋体" w:eastAsia="楷体_GB2312"/>
          <w:color w:val="auto"/>
          <w:sz w:val="28"/>
        </w:rPr>
        <w:t>NYFB-2019-18</w:t>
      </w:r>
      <w:r>
        <w:rPr>
          <w:rFonts w:hint="eastAsia" w:eastAsia="仿宋"/>
          <w:b/>
          <w:color w:val="auto"/>
          <w:sz w:val="28"/>
          <w:szCs w:val="28"/>
        </w:rPr>
        <w:t>合同编号：</w:t>
      </w:r>
      <w:r>
        <w:rPr>
          <w:rFonts w:hint="eastAsia" w:ascii="楷体_GB2312" w:hAnsi="宋体" w:eastAsia="楷体_GB2312"/>
          <w:color w:val="auto"/>
          <w:sz w:val="28"/>
          <w:u w:val="single"/>
        </w:rPr>
        <w:t xml:space="preserve"> </w:t>
      </w:r>
      <w:r>
        <w:rPr>
          <w:rFonts w:hint="eastAsia" w:ascii="楷体_GB2312" w:hAnsi="宋体" w:eastAsia="楷体_GB2312"/>
          <w:color w:val="auto"/>
          <w:sz w:val="28"/>
          <w:u w:val="single"/>
          <w:lang w:val="en-US" w:eastAsia="zh-CN"/>
        </w:rPr>
        <w:t xml:space="preserve">            </w:t>
      </w:r>
    </w:p>
    <w:p>
      <w:pPr>
        <w:spacing w:line="360" w:lineRule="auto"/>
        <w:ind w:left="1044" w:hanging="1044" w:hangingChars="495"/>
        <w:jc w:val="right"/>
        <w:rPr>
          <w:rFonts w:eastAsia="仿宋"/>
          <w:b/>
          <w:color w:val="auto"/>
          <w:szCs w:val="21"/>
          <w:u w:val="single"/>
        </w:rPr>
      </w:pPr>
    </w:p>
    <w:p>
      <w:pPr>
        <w:spacing w:line="360" w:lineRule="auto"/>
        <w:ind w:left="1044" w:hanging="1044" w:hangingChars="495"/>
        <w:rPr>
          <w:rFonts w:eastAsia="仿宋"/>
          <w:b/>
          <w:color w:val="auto"/>
          <w:szCs w:val="21"/>
          <w:u w:val="single"/>
        </w:rPr>
      </w:pPr>
    </w:p>
    <w:p>
      <w:pPr>
        <w:spacing w:line="1200" w:lineRule="exact"/>
        <w:ind w:right="-479" w:rightChars="-228"/>
        <w:rPr>
          <w:rFonts w:eastAsia="仿宋"/>
          <w:b/>
          <w:snapToGrid w:val="0"/>
          <w:color w:val="auto"/>
          <w:spacing w:val="8"/>
          <w:kern w:val="0"/>
          <w:sz w:val="72"/>
          <w:szCs w:val="72"/>
        </w:rPr>
      </w:pPr>
    </w:p>
    <w:p>
      <w:pPr>
        <w:spacing w:line="1200" w:lineRule="exact"/>
        <w:ind w:right="-2" w:rightChars="-1"/>
        <w:jc w:val="center"/>
        <w:rPr>
          <w:rFonts w:ascii="仿宋" w:hAnsi="仿宋" w:eastAsia="仿宋" w:cs="仿宋"/>
          <w:b/>
          <w:bCs/>
          <w:color w:val="auto"/>
          <w:spacing w:val="80"/>
          <w:kern w:val="0"/>
          <w:sz w:val="84"/>
          <w:szCs w:val="84"/>
        </w:rPr>
      </w:pPr>
      <w:r>
        <w:rPr>
          <w:rFonts w:hint="eastAsia" w:ascii="宋体" w:hAnsi="宋体" w:cs="宋体"/>
          <w:b/>
          <w:bCs/>
          <w:color w:val="auto"/>
          <w:sz w:val="84"/>
          <w:szCs w:val="84"/>
        </w:rPr>
        <w:t>检测服务合同书</w:t>
      </w:r>
    </w:p>
    <w:p>
      <w:pPr>
        <w:adjustRightInd w:val="0"/>
        <w:snapToGrid w:val="0"/>
        <w:spacing w:line="360" w:lineRule="auto"/>
        <w:jc w:val="center"/>
        <w:rPr>
          <w:rFonts w:eastAsia="仿宋"/>
          <w:b/>
          <w:color w:val="auto"/>
          <w:szCs w:val="21"/>
        </w:rPr>
      </w:pPr>
    </w:p>
    <w:p>
      <w:pPr>
        <w:adjustRightInd w:val="0"/>
        <w:snapToGrid w:val="0"/>
        <w:spacing w:line="360" w:lineRule="auto"/>
        <w:rPr>
          <w:rFonts w:eastAsia="仿宋"/>
          <w:b/>
          <w:color w:val="auto"/>
          <w:szCs w:val="21"/>
        </w:rPr>
      </w:pPr>
    </w:p>
    <w:p>
      <w:pPr>
        <w:adjustRightInd w:val="0"/>
        <w:snapToGrid w:val="0"/>
        <w:spacing w:line="360" w:lineRule="auto"/>
        <w:jc w:val="center"/>
        <w:rPr>
          <w:rFonts w:eastAsia="仿宋"/>
          <w:b/>
          <w:color w:val="auto"/>
          <w:szCs w:val="21"/>
        </w:rPr>
      </w:pPr>
    </w:p>
    <w:p>
      <w:pPr>
        <w:adjustRightInd w:val="0"/>
        <w:snapToGrid w:val="0"/>
        <w:spacing w:line="700" w:lineRule="exact"/>
        <w:rPr>
          <w:rFonts w:eastAsia="仿宋"/>
          <w:b/>
          <w:color w:val="auto"/>
          <w:sz w:val="28"/>
          <w:szCs w:val="28"/>
        </w:rPr>
      </w:pPr>
    </w:p>
    <w:p>
      <w:pPr>
        <w:adjustRightInd w:val="0"/>
        <w:snapToGrid w:val="0"/>
        <w:spacing w:line="700" w:lineRule="exact"/>
        <w:rPr>
          <w:rFonts w:eastAsia="仿宋"/>
          <w:b/>
          <w:color w:val="auto"/>
          <w:sz w:val="28"/>
          <w:szCs w:val="28"/>
        </w:rPr>
      </w:pPr>
    </w:p>
    <w:p>
      <w:pPr>
        <w:adjustRightInd w:val="0"/>
        <w:snapToGrid w:val="0"/>
        <w:spacing w:line="700" w:lineRule="exact"/>
        <w:rPr>
          <w:rFonts w:eastAsia="仿宋"/>
          <w:b/>
          <w:color w:val="auto"/>
          <w:sz w:val="28"/>
          <w:szCs w:val="28"/>
        </w:rPr>
      </w:pPr>
    </w:p>
    <w:p>
      <w:pPr>
        <w:adjustRightInd w:val="0"/>
        <w:snapToGrid w:val="0"/>
        <w:spacing w:line="700" w:lineRule="exact"/>
        <w:rPr>
          <w:rFonts w:eastAsia="仿宋"/>
          <w:b/>
          <w:color w:val="auto"/>
          <w:sz w:val="28"/>
          <w:szCs w:val="28"/>
        </w:rPr>
      </w:pPr>
    </w:p>
    <w:p>
      <w:pPr>
        <w:adjustRightInd w:val="0"/>
        <w:snapToGrid w:val="0"/>
        <w:spacing w:line="700" w:lineRule="exact"/>
        <w:rPr>
          <w:rFonts w:eastAsia="仿宋"/>
          <w:b/>
          <w:color w:val="auto"/>
          <w:sz w:val="28"/>
          <w:szCs w:val="28"/>
        </w:rPr>
      </w:pPr>
    </w:p>
    <w:p>
      <w:pPr>
        <w:adjustRightInd w:val="0"/>
        <w:snapToGrid w:val="0"/>
        <w:spacing w:line="700" w:lineRule="exact"/>
        <w:rPr>
          <w:rFonts w:eastAsia="仿宋"/>
          <w:b/>
          <w:color w:val="auto"/>
          <w:sz w:val="28"/>
          <w:szCs w:val="28"/>
        </w:rPr>
      </w:pPr>
    </w:p>
    <w:p>
      <w:pPr>
        <w:adjustRightInd w:val="0"/>
        <w:snapToGrid w:val="0"/>
        <w:spacing w:line="700" w:lineRule="exact"/>
        <w:ind w:firstLine="1687" w:firstLineChars="600"/>
        <w:rPr>
          <w:rFonts w:ascii="宋体" w:hAnsi="宋体" w:cs="宋体"/>
          <w:b/>
          <w:color w:val="auto"/>
          <w:sz w:val="28"/>
          <w:szCs w:val="28"/>
        </w:rPr>
      </w:pPr>
    </w:p>
    <w:p>
      <w:pPr>
        <w:adjustRightInd w:val="0"/>
        <w:snapToGrid w:val="0"/>
        <w:spacing w:line="700" w:lineRule="exact"/>
        <w:ind w:firstLine="1687" w:firstLineChars="600"/>
        <w:rPr>
          <w:rFonts w:ascii="宋体" w:hAnsi="宋体" w:cs="宋体"/>
          <w:b/>
          <w:color w:val="auto"/>
          <w:sz w:val="28"/>
          <w:szCs w:val="28"/>
        </w:rPr>
      </w:pPr>
    </w:p>
    <w:p>
      <w:pPr>
        <w:adjustRightInd w:val="0"/>
        <w:snapToGrid w:val="0"/>
        <w:spacing w:line="700" w:lineRule="exact"/>
        <w:ind w:firstLine="1276" w:firstLineChars="454"/>
        <w:rPr>
          <w:rFonts w:ascii="宋体" w:hAnsi="宋体" w:cs="宋体"/>
          <w:b/>
          <w:color w:val="auto"/>
          <w:sz w:val="28"/>
          <w:szCs w:val="28"/>
        </w:rPr>
      </w:pPr>
      <w:r>
        <w:rPr>
          <w:rFonts w:hint="eastAsia" w:ascii="宋体" w:hAnsi="宋体" w:cs="宋体"/>
          <w:b/>
          <w:color w:val="auto"/>
          <w:sz w:val="28"/>
          <w:szCs w:val="28"/>
        </w:rPr>
        <w:t>签约地点：广州市天河区员村街白马岗自编1号8楼</w:t>
      </w:r>
    </w:p>
    <w:p>
      <w:pPr>
        <w:adjustRightInd w:val="0"/>
        <w:snapToGrid w:val="0"/>
        <w:spacing w:line="700" w:lineRule="exact"/>
        <w:ind w:firstLine="1276" w:firstLineChars="454"/>
        <w:rPr>
          <w:rFonts w:ascii="宋体" w:hAnsi="宋体" w:cs="宋体"/>
          <w:snapToGrid w:val="0"/>
          <w:color w:val="auto"/>
          <w:kern w:val="0"/>
          <w:sz w:val="28"/>
          <w:szCs w:val="28"/>
        </w:rPr>
      </w:pPr>
      <w:r>
        <w:rPr>
          <w:rFonts w:hint="eastAsia" w:ascii="宋体" w:hAnsi="宋体" w:cs="宋体"/>
          <w:b/>
          <w:color w:val="auto"/>
          <w:sz w:val="28"/>
          <w:szCs w:val="28"/>
        </w:rPr>
        <w:t>签订日期：</w:t>
      </w:r>
      <w:r>
        <w:rPr>
          <w:rFonts w:hint="eastAsia" w:ascii="宋体" w:hAnsi="宋体" w:cs="宋体"/>
          <w:b/>
          <w:color w:val="auto"/>
          <w:sz w:val="28"/>
          <w:szCs w:val="28"/>
          <w:lang w:val="en-US" w:eastAsia="zh-CN"/>
        </w:rPr>
        <w:t xml:space="preserve"> </w:t>
      </w:r>
      <w:r>
        <w:rPr>
          <w:rFonts w:hint="eastAsia" w:ascii="宋体" w:hAnsi="宋体" w:cs="宋体"/>
          <w:b/>
          <w:color w:val="auto"/>
          <w:sz w:val="28"/>
          <w:szCs w:val="28"/>
        </w:rPr>
        <w:t>年</w:t>
      </w:r>
      <w:r>
        <w:rPr>
          <w:rFonts w:hint="eastAsia" w:ascii="宋体" w:hAnsi="宋体" w:cs="宋体"/>
          <w:b/>
          <w:color w:val="auto"/>
          <w:sz w:val="28"/>
          <w:szCs w:val="28"/>
          <w:lang w:val="en-US" w:eastAsia="zh-CN"/>
        </w:rPr>
        <w:t xml:space="preserve">  </w:t>
      </w:r>
      <w:r>
        <w:rPr>
          <w:rFonts w:hint="eastAsia" w:ascii="宋体" w:hAnsi="宋体" w:cs="宋体"/>
          <w:b/>
          <w:color w:val="auto"/>
          <w:sz w:val="28"/>
          <w:szCs w:val="28"/>
        </w:rPr>
        <w:t>月</w:t>
      </w:r>
      <w:r>
        <w:rPr>
          <w:rFonts w:hint="eastAsia" w:ascii="宋体" w:hAnsi="宋体" w:cs="宋体"/>
          <w:b/>
          <w:color w:val="auto"/>
          <w:sz w:val="28"/>
          <w:szCs w:val="28"/>
          <w:lang w:val="en-US" w:eastAsia="zh-CN"/>
        </w:rPr>
        <w:t xml:space="preserve">  </w:t>
      </w:r>
      <w:r>
        <w:rPr>
          <w:rFonts w:hint="eastAsia" w:ascii="宋体" w:hAnsi="宋体" w:cs="宋体"/>
          <w:b/>
          <w:color w:val="auto"/>
          <w:sz w:val="28"/>
          <w:szCs w:val="28"/>
        </w:rPr>
        <w:t>日</w:t>
      </w:r>
    </w:p>
    <w:p>
      <w:pPr>
        <w:spacing w:line="360" w:lineRule="auto"/>
        <w:rPr>
          <w:rFonts w:eastAsia="仿宋"/>
          <w:color w:val="auto"/>
          <w:sz w:val="32"/>
          <w:szCs w:val="32"/>
        </w:rPr>
        <w:sectPr>
          <w:headerReference r:id="rId3" w:type="default"/>
          <w:footerReference r:id="rId4" w:type="default"/>
          <w:pgSz w:w="11906" w:h="16838"/>
          <w:pgMar w:top="1701" w:right="1587" w:bottom="1701" w:left="1587" w:header="851" w:footer="992" w:gutter="0"/>
          <w:cols w:space="0" w:num="1"/>
          <w:docGrid w:type="lines" w:linePitch="312" w:charSpace="0"/>
        </w:sectPr>
      </w:pPr>
    </w:p>
    <w:p>
      <w:pPr>
        <w:spacing w:line="360" w:lineRule="auto"/>
        <w:rPr>
          <w:rFonts w:eastAsia="仿宋"/>
          <w:color w:val="auto"/>
          <w:sz w:val="32"/>
          <w:szCs w:val="32"/>
        </w:rPr>
      </w:pPr>
    </w:p>
    <w:p>
      <w:pPr>
        <w:spacing w:line="600" w:lineRule="exact"/>
        <w:jc w:val="left"/>
        <w:rPr>
          <w:rFonts w:ascii="仿宋_GB2312" w:hAnsi="仿宋_GB2312" w:eastAsia="仿宋_GB2312" w:cs="仿宋_GB2312"/>
          <w:bCs/>
          <w:color w:val="auto"/>
          <w:kern w:val="0"/>
          <w:sz w:val="32"/>
          <w:szCs w:val="32"/>
        </w:rPr>
        <w:sectPr>
          <w:pgSz w:w="11906" w:h="16838"/>
          <w:pgMar w:top="1701" w:right="1587" w:bottom="1701" w:left="1587" w:header="851" w:footer="992" w:gutter="0"/>
          <w:cols w:space="0" w:num="1"/>
          <w:docGrid w:type="lines" w:linePitch="312" w:charSpace="0"/>
        </w:sectPr>
      </w:pPr>
      <w:r>
        <w:rPr>
          <w:rFonts w:hint="eastAsia" w:ascii="楷体_GB2312" w:hAnsi="宋体" w:eastAsia="楷体_GB2312"/>
          <w:color w:val="auto"/>
          <w:sz w:val="28"/>
        </w:rPr>
        <w:br w:type="page"/>
      </w:r>
    </w:p>
    <w:p>
      <w:pPr>
        <w:spacing w:line="600" w:lineRule="exact"/>
        <w:jc w:val="left"/>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甲方：广州市天河区农产品质量安全监督检测中心</w:t>
      </w:r>
    </w:p>
    <w:p>
      <w:pPr>
        <w:widowControl/>
        <w:spacing w:line="600" w:lineRule="exact"/>
        <w:jc w:val="left"/>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地址：广州市天河区员村街白马岗自编1号8楼</w:t>
      </w:r>
    </w:p>
    <w:p>
      <w:pPr>
        <w:widowControl/>
        <w:spacing w:line="600" w:lineRule="exact"/>
        <w:jc w:val="left"/>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rPr>
        <w:t>乙方：</w:t>
      </w:r>
      <w:r>
        <w:rPr>
          <w:rFonts w:hint="eastAsia" w:ascii="仿宋_GB2312" w:hAnsi="仿宋_GB2312" w:eastAsia="仿宋_GB2312" w:cs="仿宋_GB2312"/>
          <w:bCs/>
          <w:color w:val="auto"/>
          <w:kern w:val="0"/>
          <w:sz w:val="32"/>
          <w:szCs w:val="32"/>
          <w:lang w:val="en-US" w:eastAsia="zh-CN"/>
        </w:rPr>
        <w:t xml:space="preserve"> </w:t>
      </w:r>
    </w:p>
    <w:p>
      <w:pPr>
        <w:widowControl/>
        <w:spacing w:line="600" w:lineRule="exact"/>
        <w:jc w:val="left"/>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rPr>
        <w:t>地址：</w:t>
      </w:r>
      <w:r>
        <w:rPr>
          <w:rFonts w:hint="eastAsia" w:ascii="仿宋_GB2312" w:hAnsi="仿宋_GB2312" w:eastAsia="仿宋_GB2312" w:cs="仿宋_GB2312"/>
          <w:bCs/>
          <w:color w:val="auto"/>
          <w:kern w:val="0"/>
          <w:sz w:val="32"/>
          <w:szCs w:val="32"/>
          <w:lang w:val="en-US" w:eastAsia="zh-CN"/>
        </w:rPr>
        <w:t xml:space="preserve"> </w:t>
      </w:r>
    </w:p>
    <w:p>
      <w:pPr>
        <w:snapToGrid w:val="0"/>
        <w:spacing w:line="600" w:lineRule="exact"/>
        <w:ind w:firstLine="656" w:firstLineChars="205"/>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根据《中华人民共和国</w:t>
      </w:r>
      <w:r>
        <w:rPr>
          <w:rFonts w:hint="eastAsia" w:ascii="仿宋_GB2312" w:hAnsi="仿宋_GB2312" w:eastAsia="仿宋_GB2312" w:cs="仿宋_GB2312"/>
          <w:color w:val="auto"/>
          <w:sz w:val="32"/>
          <w:szCs w:val="32"/>
          <w:lang w:val="en-US" w:eastAsia="zh-CN"/>
        </w:rPr>
        <w:t>民法典</w:t>
      </w:r>
      <w:r>
        <w:rPr>
          <w:rFonts w:hint="eastAsia" w:ascii="仿宋_GB2312" w:hAnsi="仿宋_GB2312" w:eastAsia="仿宋_GB2312" w:cs="仿宋_GB2312"/>
          <w:color w:val="auto"/>
          <w:sz w:val="32"/>
          <w:szCs w:val="32"/>
        </w:rPr>
        <w:t>》的规定，甲乙双方在平等、互利基础上，经双方共同协商达成如下条款，以资共同信守。</w:t>
      </w:r>
    </w:p>
    <w:p>
      <w:pPr>
        <w:pStyle w:val="18"/>
        <w:numPr>
          <w:ilvl w:val="0"/>
          <w:numId w:val="1"/>
        </w:numPr>
        <w:snapToGrid w:val="0"/>
        <w:spacing w:line="600" w:lineRule="exact"/>
        <w:ind w:firstLine="643"/>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合同金额和服务期限</w:t>
      </w:r>
    </w:p>
    <w:p>
      <w:pPr>
        <w:pStyle w:val="18"/>
        <w:snapToGrid w:val="0"/>
        <w:spacing w:line="60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1、合同金额为人民币</w:t>
      </w:r>
      <w:r>
        <w:rPr>
          <w:rFonts w:hint="eastAsia" w:ascii="仿宋_GB2312" w:hAnsi="仿宋_GB2312" w:eastAsia="仿宋_GB2312"/>
          <w:color w:val="auto"/>
          <w:sz w:val="32"/>
          <w:lang w:val="en-US" w:eastAsia="zh-CN"/>
        </w:rPr>
        <w:t xml:space="preserve">    </w:t>
      </w:r>
      <w:r>
        <w:rPr>
          <w:rFonts w:hint="eastAsia" w:ascii="仿宋_GB2312" w:hAnsi="仿宋_GB2312" w:eastAsia="仿宋_GB2312"/>
          <w:color w:val="auto"/>
          <w:sz w:val="32"/>
        </w:rPr>
        <w:t>元</w:t>
      </w:r>
    </w:p>
    <w:p>
      <w:pPr>
        <w:pStyle w:val="18"/>
        <w:numPr>
          <w:ilvl w:val="255"/>
          <w:numId w:val="0"/>
        </w:numPr>
        <w:snapToGrid w:val="0"/>
        <w:spacing w:line="60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2、服务期限：</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至</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日</w:t>
      </w:r>
    </w:p>
    <w:p>
      <w:pPr>
        <w:widowControl/>
        <w:spacing w:line="600" w:lineRule="exact"/>
        <w:ind w:firstLine="643" w:firstLineChars="200"/>
        <w:rPr>
          <w:rFonts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二、服务范围</w:t>
      </w:r>
    </w:p>
    <w:p>
      <w:pPr>
        <w:spacing w:line="600" w:lineRule="exact"/>
        <w:ind w:firstLine="592" w:firstLineChars="185"/>
        <w:rPr>
          <w:rFonts w:ascii="仿宋_GB2312" w:hAnsi="仿宋_GB2312" w:eastAsia="仿宋_GB2312" w:cs="仿宋_GB2312"/>
          <w:b/>
          <w:bCs/>
          <w:color w:val="auto"/>
          <w:kern w:val="0"/>
          <w:sz w:val="32"/>
          <w:szCs w:val="32"/>
        </w:rPr>
      </w:pPr>
      <w:r>
        <w:rPr>
          <w:rFonts w:hint="eastAsia" w:eastAsia="仿宋_GB2312"/>
          <w:color w:val="auto"/>
          <w:sz w:val="32"/>
          <w:szCs w:val="32"/>
        </w:rPr>
        <w:t>广州市</w:t>
      </w:r>
      <w:r>
        <w:rPr>
          <w:rFonts w:eastAsia="仿宋_GB2312"/>
          <w:color w:val="auto"/>
          <w:sz w:val="32"/>
          <w:szCs w:val="32"/>
        </w:rPr>
        <w:t>天河区种植业产地。</w:t>
      </w:r>
    </w:p>
    <w:p>
      <w:pPr>
        <w:pStyle w:val="18"/>
        <w:snapToGrid w:val="0"/>
        <w:spacing w:line="600" w:lineRule="exact"/>
        <w:ind w:left="420" w:leftChars="200" w:firstLine="321" w:firstLineChars="100"/>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三、服务内容</w:t>
      </w:r>
    </w:p>
    <w:p>
      <w:pPr>
        <w:widowControl/>
        <w:spacing w:line="600" w:lineRule="exact"/>
        <w:ind w:firstLine="640" w:firstLineChars="200"/>
        <w:rPr>
          <w:rFonts w:ascii="仿宋_GB2312" w:hAnsi="仿宋_GB2312" w:eastAsia="仿宋_GB2312" w:cs="仿宋_GB2312"/>
          <w:color w:val="auto"/>
          <w:sz w:val="32"/>
          <w:szCs w:val="32"/>
        </w:rPr>
      </w:pPr>
      <w:r>
        <w:rPr>
          <w:rFonts w:hint="eastAsia" w:eastAsia="仿宋_GB2312"/>
          <w:color w:val="auto"/>
          <w:sz w:val="32"/>
          <w:szCs w:val="32"/>
        </w:rPr>
        <w:t>广州市</w:t>
      </w:r>
      <w:r>
        <w:rPr>
          <w:rFonts w:eastAsia="仿宋_GB2312"/>
          <w:color w:val="auto"/>
          <w:sz w:val="32"/>
          <w:szCs w:val="32"/>
        </w:rPr>
        <w:t>天河区种植业产地</w:t>
      </w:r>
      <w:r>
        <w:rPr>
          <w:rFonts w:hint="eastAsia" w:ascii="仿宋_GB2312" w:hAnsi="仿宋_GB2312" w:eastAsia="仿宋_GB2312" w:cs="仿宋_GB2312"/>
          <w:color w:val="auto"/>
          <w:sz w:val="32"/>
          <w:szCs w:val="32"/>
        </w:rPr>
        <w:t>专项监测及风险预警监测工作: 全年专项监测样品200份及种植业农产品农药残留风险预警监测样品40份。检测内容详见附表1,并出具检测报告。</w:t>
      </w:r>
    </w:p>
    <w:p>
      <w:pPr>
        <w:widowControl/>
        <w:spacing w:line="600" w:lineRule="exact"/>
        <w:ind w:firstLine="643" w:firstLineChars="200"/>
        <w:rPr>
          <w:rFonts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sz w:val="32"/>
          <w:szCs w:val="32"/>
        </w:rPr>
        <w:t>四、甲乙方责任</w:t>
      </w:r>
    </w:p>
    <w:p>
      <w:pPr>
        <w:widowControl/>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1、甲方责任</w:t>
      </w:r>
    </w:p>
    <w:p>
      <w:pPr>
        <w:widowControl/>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（1）提供项目实施经费，并根据工作进度开展资金拨付工作。</w:t>
      </w:r>
    </w:p>
    <w:p>
      <w:pPr>
        <w:widowControl/>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（2）安排专人作为此项工作的联络员(联系人:李宁，联系电话: 020-38665992，负责与</w:t>
      </w:r>
      <w:r>
        <w:rPr>
          <w:rFonts w:hint="eastAsia" w:ascii="仿宋_GB2312" w:hAnsi="仿宋_GB2312" w:eastAsia="仿宋_GB2312" w:cs="仿宋_GB2312"/>
          <w:color w:val="auto"/>
          <w:sz w:val="32"/>
          <w:szCs w:val="32"/>
        </w:rPr>
        <w:t>乙方</w:t>
      </w:r>
      <w:r>
        <w:rPr>
          <w:rFonts w:hint="eastAsia" w:ascii="仿宋_GB2312" w:hAnsi="仿宋_GB2312" w:eastAsia="仿宋_GB2312" w:cs="仿宋_GB2312"/>
          <w:color w:val="auto"/>
          <w:sz w:val="32"/>
          <w:szCs w:val="32"/>
          <w:lang w:eastAsia="zh-CN"/>
        </w:rPr>
        <w:t>项目</w:t>
      </w:r>
      <w:r>
        <w:rPr>
          <w:rFonts w:hint="eastAsia" w:ascii="仿宋_GB2312" w:hAnsi="仿宋_GB2312" w:eastAsia="仿宋_GB2312" w:cs="仿宋_GB2312"/>
          <w:color w:val="auto"/>
          <w:sz w:val="32"/>
          <w:szCs w:val="32"/>
        </w:rPr>
        <w:t>联络员</w:t>
      </w:r>
      <w:r>
        <w:rPr>
          <w:rFonts w:hint="eastAsia" w:ascii="仿宋_GB2312" w:hAnsi="仿宋_GB2312" w:eastAsia="仿宋_GB2312" w:cs="仿宋_GB2312"/>
          <w:color w:val="auto"/>
          <w:sz w:val="32"/>
          <w:szCs w:val="32"/>
          <w:lang w:eastAsia="zh-CN"/>
        </w:rPr>
        <w:t>（联系人：</w:t>
      </w:r>
      <w:r>
        <w:rPr>
          <w:rFonts w:hint="eastAsia" w:ascii="仿宋_GB2312" w:hAnsi="仿宋_GB2312" w:eastAsia="仿宋_GB2312" w:cs="仿宋_GB2312"/>
          <w:color w:val="auto"/>
          <w:sz w:val="32"/>
          <w:szCs w:val="32"/>
          <w:lang w:val="en-US" w:eastAsia="zh-CN"/>
        </w:rPr>
        <w:t xml:space="preserve">  ，联系电话：   </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对接</w:t>
      </w:r>
      <w:r>
        <w:rPr>
          <w:rFonts w:hint="eastAsia" w:ascii="仿宋_GB2312" w:hAnsi="仿宋_GB2312" w:eastAsia="仿宋_GB2312" w:cs="仿宋_GB2312"/>
          <w:color w:val="auto"/>
          <w:sz w:val="32"/>
          <w:szCs w:val="32"/>
        </w:rPr>
        <w:t>，协助带队抽样，提供每次抽检的范围，抽检的品种、被抽检单位、检验项目等信息。</w:t>
      </w:r>
    </w:p>
    <w:p>
      <w:pPr>
        <w:widowControl/>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（3）本合同约定检测项目数量为202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年度检测量，甲方以单价按实际产生数量进行结算，超出约定数量另作补充协议说明。</w:t>
      </w:r>
    </w:p>
    <w:p>
      <w:pPr>
        <w:widowControl/>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（4）如甲方对乙方安排的工作人员不满意，有权指定并要求更换工作人员。</w:t>
      </w:r>
    </w:p>
    <w:p>
      <w:pPr>
        <w:pStyle w:val="18"/>
        <w:snapToGrid w:val="0"/>
        <w:spacing w:line="60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2、乙方责任</w:t>
      </w:r>
      <w:bookmarkStart w:id="0" w:name="_GoBack"/>
      <w:bookmarkEnd w:id="0"/>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乙方检测必须符合国家、省、市有关规范和规定要求，包括抽检过程中协助抽样的要求、数量及检测依据标准，样品及项目所需的运输、保存及备份要求等。一个样品(样品编号相同)制备后分三份样，由检测机构统一保存，其中一份留存给被抽检单位或封存当地行政主管部门。其余两份样品，一份作为检样，一份作为备用留样。</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乙方检测资质不能涵盖的项目，乙方应当在本合同签订之前向甲方书面告知其检测资质不能涵盖的项目，由甲方另行委托或经甲方及相关管理部门同意后由乙方委托有资质的第三方单位实施检测；没有适用标准的项目，由乙方出具测试报告。</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（3）乙方应在抽检工作完成后向甲方报送检验汇总表、抽检明细表、抽检不合格情况表和抽检质量分析报告。</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（4）乙方安排熟悉本项目的人员作为此项工作的联络员</w:t>
      </w:r>
      <w:r>
        <w:rPr>
          <w:rFonts w:hint="eastAsia" w:ascii="仿宋_GB2312" w:hAnsi="仿宋_GB2312" w:eastAsia="仿宋_GB2312" w:cs="仿宋_GB2312"/>
          <w:color w:val="auto"/>
          <w:sz w:val="32"/>
          <w:szCs w:val="32"/>
          <w:lang w:val="en-US" w:eastAsia="zh-CN"/>
        </w:rPr>
        <w:t>,抽样工作联络员</w:t>
      </w:r>
      <w:r>
        <w:rPr>
          <w:rFonts w:hint="eastAsia" w:ascii="仿宋_GB2312" w:hAnsi="仿宋_GB2312" w:eastAsia="仿宋_GB2312" w:cs="仿宋_GB2312"/>
          <w:color w:val="auto"/>
          <w:sz w:val="32"/>
          <w:szCs w:val="32"/>
        </w:rPr>
        <w:t>(联系人:</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，联系电话:</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），负责与甲方对接</w:t>
      </w:r>
      <w:r>
        <w:rPr>
          <w:rFonts w:hint="eastAsia" w:ascii="仿宋_GB2312" w:hAnsi="仿宋_GB2312" w:eastAsia="仿宋_GB2312" w:cs="仿宋_GB2312"/>
          <w:color w:val="auto"/>
          <w:sz w:val="32"/>
          <w:szCs w:val="32"/>
          <w:lang w:eastAsia="zh-CN"/>
        </w:rPr>
        <w:t>抽样工作</w:t>
      </w:r>
      <w:r>
        <w:rPr>
          <w:rFonts w:hint="eastAsia" w:ascii="仿宋_GB2312" w:hAnsi="仿宋_GB2312" w:eastAsia="仿宋_GB2312" w:cs="仿宋_GB2312"/>
          <w:color w:val="auto"/>
          <w:sz w:val="32"/>
          <w:szCs w:val="32"/>
        </w:rPr>
        <w:t>，安排抽样工作</w:t>
      </w:r>
      <w:r>
        <w:rPr>
          <w:rFonts w:hint="eastAsia" w:ascii="仿宋_GB2312" w:hAnsi="仿宋_GB2312" w:eastAsia="仿宋_GB2312" w:cs="仿宋_GB2312"/>
          <w:color w:val="auto"/>
          <w:sz w:val="32"/>
          <w:szCs w:val="32"/>
          <w:lang w:eastAsia="zh-CN"/>
        </w:rPr>
        <w:t>时间</w:t>
      </w:r>
      <w:r>
        <w:rPr>
          <w:rFonts w:hint="eastAsia" w:ascii="仿宋_GB2312" w:hAnsi="仿宋_GB2312" w:eastAsia="仿宋_GB2312" w:cs="仿宋_GB2312"/>
          <w:color w:val="auto"/>
          <w:sz w:val="32"/>
          <w:szCs w:val="32"/>
        </w:rPr>
        <w:t>，每次实施协助抽样的人员不得少于2名，协助抽样人员与检验人员不得同为一人。</w:t>
      </w:r>
      <w:r>
        <w:rPr>
          <w:rFonts w:hint="eastAsia" w:ascii="仿宋_GB2312" w:hAnsi="仿宋_GB2312" w:eastAsia="仿宋_GB2312" w:cs="仿宋_GB2312"/>
          <w:color w:val="auto"/>
          <w:sz w:val="32"/>
          <w:szCs w:val="32"/>
          <w:lang w:eastAsia="zh-CN"/>
        </w:rPr>
        <w:t>实验室检测工作负责人（联系人：</w:t>
      </w:r>
      <w:r>
        <w:rPr>
          <w:rFonts w:hint="eastAsia" w:ascii="仿宋_GB2312" w:hAnsi="仿宋_GB2312" w:eastAsia="仿宋_GB2312" w:cs="仿宋_GB2312"/>
          <w:color w:val="auto"/>
          <w:sz w:val="32"/>
          <w:szCs w:val="32"/>
          <w:lang w:val="en-US" w:eastAsia="zh-CN"/>
        </w:rPr>
        <w:t xml:space="preserve"> ，联系电话：  </w:t>
      </w:r>
      <w:r>
        <w:rPr>
          <w:rFonts w:hint="eastAsia" w:ascii="仿宋_GB2312" w:hAnsi="仿宋_GB2312" w:eastAsia="仿宋_GB2312" w:cs="仿宋_GB2312"/>
          <w:color w:val="auto"/>
          <w:sz w:val="32"/>
          <w:szCs w:val="32"/>
          <w:lang w:eastAsia="zh-CN"/>
        </w:rPr>
        <w:t>），负责与甲方对接检测工作，检测相关问题需及时告知甲方。</w:t>
      </w:r>
      <w:r>
        <w:rPr>
          <w:rFonts w:hint="eastAsia" w:ascii="仿宋_GB2312" w:hAnsi="仿宋_GB2312" w:eastAsia="仿宋_GB2312" w:cs="仿宋_GB2312"/>
          <w:color w:val="auto"/>
          <w:sz w:val="32"/>
          <w:szCs w:val="32"/>
        </w:rPr>
        <w:t>如乙方变更联系人应事先经甲方当面同意。未及时通如并影响本合同履行或造成损失的，乙方应承担相应的责任。</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（5）乙方</w:t>
      </w:r>
      <w:r>
        <w:rPr>
          <w:rFonts w:hint="eastAsia" w:ascii="仿宋_GB2312" w:hAnsi="仿宋_GB2312" w:eastAsia="仿宋_GB2312" w:cs="仿宋_GB2312"/>
          <w:color w:val="auto"/>
          <w:sz w:val="32"/>
          <w:szCs w:val="32"/>
          <w:lang w:eastAsia="zh-CN"/>
        </w:rPr>
        <w:t>按照</w:t>
      </w:r>
      <w:r>
        <w:rPr>
          <w:rFonts w:hint="eastAsia" w:ascii="仿宋_GB2312" w:hAnsi="仿宋_GB2312" w:eastAsia="仿宋_GB2312" w:cs="仿宋_GB2312"/>
          <w:color w:val="auto"/>
          <w:sz w:val="32"/>
          <w:szCs w:val="32"/>
        </w:rPr>
        <w:t>递交的《天河区农产品质量安全监督检测中心关</w:t>
      </w:r>
      <w:r>
        <w:rPr>
          <w:rFonts w:hint="eastAsia" w:ascii="仿宋_GB2312" w:hAnsi="仿宋_GB2312" w:eastAsia="仿宋_GB2312" w:cs="仿宋_GB2312"/>
          <w:color w:val="auto"/>
          <w:sz w:val="32"/>
          <w:szCs w:val="32"/>
          <w:lang w:eastAsia="zh-CN"/>
        </w:rPr>
        <w:t>于</w:t>
      </w:r>
      <w:r>
        <w:rPr>
          <w:rFonts w:hint="eastAsia" w:ascii="仿宋_GB2312" w:hAnsi="仿宋_GB2312" w:eastAsia="仿宋_GB2312" w:cs="仿宋_GB2312"/>
          <w:color w:val="auto"/>
          <w:sz w:val="32"/>
          <w:szCs w:val="32"/>
        </w:rPr>
        <w:t>公开选定2021年天河区种植业农产品专项监测及风险预警监测的报名</w:t>
      </w:r>
      <w:r>
        <w:rPr>
          <w:rFonts w:hint="eastAsia" w:ascii="仿宋_GB2312" w:hAnsi="仿宋_GB2312" w:eastAsia="仿宋_GB2312" w:cs="仿宋_GB2312"/>
          <w:color w:val="auto"/>
          <w:sz w:val="32"/>
          <w:szCs w:val="32"/>
          <w:u w:val="none"/>
          <w:lang w:eastAsia="zh-CN"/>
        </w:rPr>
        <w:t>公告</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报名文件</w:t>
      </w:r>
      <w:r>
        <w:rPr>
          <w:rFonts w:hint="eastAsia" w:ascii="仿宋_GB2312" w:hAnsi="仿宋_GB2312" w:eastAsia="仿宋_GB2312" w:cs="仿宋_GB2312"/>
          <w:color w:val="auto"/>
          <w:sz w:val="32"/>
          <w:szCs w:val="32"/>
        </w:rPr>
        <w:t>中的相关承诺完成相关工作。</w:t>
      </w:r>
    </w:p>
    <w:p>
      <w:pPr>
        <w:spacing w:line="60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乙方在每次接样后，需72小时内将初步检测结果告知甲方</w:t>
      </w:r>
      <w:r>
        <w:rPr>
          <w:rFonts w:hint="eastAsia" w:ascii="仿宋_GB2312" w:hAnsi="仿宋_GB2312" w:eastAsia="仿宋_GB2312" w:cs="仿宋_GB2312"/>
          <w:color w:val="auto"/>
          <w:sz w:val="32"/>
          <w:szCs w:val="32"/>
          <w:lang w:eastAsia="zh-CN"/>
        </w:rPr>
        <w:t>。</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）乙方96小时提交给甲方的检测报告须具有法律效力，并在检测报告上加盖资质认证印章，检测报告一式一份，具体要求见附</w:t>
      </w:r>
      <w:r>
        <w:rPr>
          <w:rFonts w:hint="eastAsia" w:ascii="仿宋_GB2312" w:hAnsi="仿宋_GB2312" w:eastAsia="仿宋_GB2312" w:cs="仿宋_GB2312"/>
          <w:color w:val="auto"/>
          <w:sz w:val="32"/>
          <w:szCs w:val="32"/>
          <w:lang w:eastAsia="zh-CN"/>
        </w:rPr>
        <w:t>件</w:t>
      </w:r>
      <w:r>
        <w:rPr>
          <w:rFonts w:hint="eastAsia" w:ascii="仿宋_GB2312" w:hAnsi="仿宋_GB2312" w:eastAsia="仿宋_GB2312" w:cs="仿宋_GB2312"/>
          <w:color w:val="auto"/>
          <w:sz w:val="32"/>
          <w:szCs w:val="32"/>
        </w:rPr>
        <w:t>2。</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）乙方应自行解决检测人员交通、通讯费等，因检测发生的全部费用已包含在本合同约定费用中。</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）乙方应当秉公守法、廉洁公正、不得弄虚作假、以权谋私，被抽查人或者与其有利害关系的人员不得参与抽样、检测工作。</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）乙方应当对检测结果的真实性负责，不得瞒报、谎报、迟报检测数据和分析结果，未征得甲方书面同意，不得利用检测结果参与其他活动。</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）由于非甲方原因造成检测返工或增加工作量的，甲方不另外支付费用。</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）乙方应当对监测工作方案和检测结果保密，未经甲方同意，不得向任何单位和个人透露。</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13</w:t>
      </w:r>
      <w:r>
        <w:rPr>
          <w:rFonts w:hint="eastAsia" w:ascii="仿宋_GB2312" w:hAnsi="仿宋_GB2312" w:eastAsia="仿宋_GB2312" w:cs="仿宋_GB2312"/>
          <w:color w:val="auto"/>
          <w:sz w:val="32"/>
          <w:szCs w:val="32"/>
          <w:lang w:eastAsia="zh-CN"/>
        </w:rPr>
        <w:t>）乙方在合同期限内要对甲方技术人员进行</w:t>
      </w:r>
      <w:r>
        <w:rPr>
          <w:rFonts w:hint="eastAsia" w:ascii="仿宋_GB2312" w:hAnsi="仿宋_GB2312" w:eastAsia="仿宋_GB2312" w:cs="仿宋_GB2312"/>
          <w:color w:val="auto"/>
          <w:sz w:val="32"/>
          <w:szCs w:val="32"/>
          <w:lang w:val="en-US" w:eastAsia="zh-CN"/>
        </w:rPr>
        <w:t>2次技术培训，每次不少于3小时。</w:t>
      </w:r>
    </w:p>
    <w:p>
      <w:pPr>
        <w:spacing w:line="600" w:lineRule="exact"/>
        <w:ind w:firstLine="643" w:firstLineChars="200"/>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五、支付方式</w:t>
      </w:r>
    </w:p>
    <w:p>
      <w:pPr>
        <w:pStyle w:val="18"/>
        <w:snapToGrid w:val="0"/>
        <w:spacing w:line="600" w:lineRule="exact"/>
        <w:ind w:firstLine="640"/>
        <w:rPr>
          <w:rFonts w:ascii="仿宋_GB2312" w:hAnsi="仿宋_GB2312" w:eastAsia="仿宋_GB2312" w:cs="仿宋_GB2312"/>
          <w:bCs/>
          <w:color w:val="auto"/>
          <w:sz w:val="32"/>
          <w:szCs w:val="32"/>
        </w:rPr>
      </w:pPr>
      <w:r>
        <w:rPr>
          <w:rFonts w:hint="eastAsia" w:ascii="仿宋_GB2312" w:hAnsi="仿宋_GB2312" w:eastAsia="仿宋_GB2312" w:cs="仿宋_GB2312"/>
          <w:color w:val="auto"/>
          <w:sz w:val="32"/>
          <w:szCs w:val="32"/>
        </w:rPr>
        <w:t>1、签订合同后甲方按乙方每月</w:t>
      </w:r>
      <w:r>
        <w:rPr>
          <w:rFonts w:hint="eastAsia" w:ascii="仿宋_GB2312" w:hAnsi="仿宋_GB2312" w:eastAsia="仿宋_GB2312" w:cs="仿宋_GB2312"/>
          <w:bCs/>
          <w:color w:val="auto"/>
          <w:sz w:val="32"/>
          <w:szCs w:val="32"/>
        </w:rPr>
        <w:t>实际完成工作量进行结算,项目金额参照报价明细表（详见附件3）。乙方于每月15日前开具发票，甲方在收到乙方发票和验收材料后30个工作日内向乙方指定账号支付进度款。</w:t>
      </w:r>
    </w:p>
    <w:p>
      <w:pPr>
        <w:pStyle w:val="18"/>
        <w:snapToGrid w:val="0"/>
        <w:spacing w:line="600" w:lineRule="exact"/>
        <w:ind w:firstLine="640"/>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rPr>
        <w:t>2、验收材料：检测报告、汇总资料、质量分析报告</w:t>
      </w:r>
      <w:r>
        <w:rPr>
          <w:rFonts w:hint="eastAsia" w:ascii="仿宋_GB2312" w:hAnsi="仿宋_GB2312" w:eastAsia="仿宋_GB2312" w:cs="仿宋_GB2312"/>
          <w:bCs/>
          <w:color w:val="auto"/>
          <w:sz w:val="32"/>
          <w:szCs w:val="32"/>
          <w:lang w:eastAsia="zh-CN"/>
        </w:rPr>
        <w:t>。</w:t>
      </w:r>
    </w:p>
    <w:p>
      <w:pPr>
        <w:pStyle w:val="18"/>
        <w:snapToGrid w:val="0"/>
        <w:spacing w:line="600" w:lineRule="exact"/>
        <w:ind w:firstLine="643"/>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六、违约责任与赔偿损失</w:t>
      </w:r>
    </w:p>
    <w:p>
      <w:pPr>
        <w:pStyle w:val="18"/>
        <w:snapToGrid w:val="0"/>
        <w:spacing w:line="60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甲方未能履行本合同规定义务而造成乙方经济损失的，甲方按乙方的直接经济损失向乙方赔偿。若项目实施经费须经财政部门审核拨付，则因财政部门审批流程问题导致的迟延付款的，不属于甲方违约，乙方不得向甲方追究任何责任。</w:t>
      </w:r>
    </w:p>
    <w:p>
      <w:pPr>
        <w:pStyle w:val="18"/>
        <w:snapToGrid w:val="0"/>
        <w:spacing w:line="600" w:lineRule="exact"/>
        <w:ind w:firstLine="640"/>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rPr>
        <w:t>2、乙方</w:t>
      </w:r>
      <w:r>
        <w:rPr>
          <w:rFonts w:hint="eastAsia" w:ascii="仿宋_GB2312" w:hAnsi="仿宋_GB2312" w:eastAsia="仿宋_GB2312" w:cs="仿宋_GB2312"/>
          <w:color w:val="auto"/>
          <w:sz w:val="32"/>
          <w:szCs w:val="32"/>
          <w:lang w:val="en-US" w:eastAsia="zh-CN"/>
        </w:rPr>
        <w:t>在履约过程中不得出现</w:t>
      </w:r>
      <w:r>
        <w:rPr>
          <w:rFonts w:hint="eastAsia" w:ascii="仿宋_GB2312" w:hAnsi="仿宋_GB2312" w:eastAsia="仿宋_GB2312" w:cs="仿宋_GB2312"/>
          <w:color w:val="auto"/>
          <w:sz w:val="32"/>
          <w:szCs w:val="32"/>
        </w:rPr>
        <w:t>伪造检测结果或者出具检测结果不实，或未能履行本合同约定，或瞒报、谎报、迟报检测数据和分析结果</w:t>
      </w:r>
      <w:r>
        <w:rPr>
          <w:rFonts w:hint="eastAsia" w:ascii="仿宋_GB2312" w:hAnsi="仿宋_GB2312" w:eastAsia="仿宋_GB2312" w:cs="仿宋_GB2312"/>
          <w:color w:val="auto"/>
          <w:sz w:val="32"/>
          <w:szCs w:val="32"/>
          <w:lang w:val="en-US" w:eastAsia="zh-CN"/>
        </w:rPr>
        <w:t>的情形，否则甲方可以单方解除本合同，并乙方应按合同总金额的20%向甲方支付违约金</w:t>
      </w:r>
      <w:r>
        <w:rPr>
          <w:rFonts w:hint="eastAsia" w:ascii="仿宋_GB2312" w:hAnsi="仿宋_GB2312" w:eastAsia="仿宋_GB2312" w:cs="仿宋_GB2312"/>
          <w:color w:val="auto"/>
          <w:sz w:val="32"/>
          <w:szCs w:val="32"/>
          <w:lang w:eastAsia="zh-CN"/>
        </w:rPr>
        <w:t>。</w:t>
      </w:r>
    </w:p>
    <w:p>
      <w:pPr>
        <w:pStyle w:val="18"/>
        <w:snapToGrid w:val="0"/>
        <w:spacing w:line="60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3、其他违约责任按《中华人民共和国</w:t>
      </w:r>
      <w:r>
        <w:rPr>
          <w:rFonts w:hint="eastAsia" w:ascii="仿宋_GB2312" w:hAnsi="仿宋_GB2312" w:eastAsia="仿宋_GB2312" w:cs="仿宋_GB2312"/>
          <w:color w:val="auto"/>
          <w:sz w:val="32"/>
          <w:szCs w:val="32"/>
          <w:lang w:val="en-US" w:eastAsia="zh-CN"/>
        </w:rPr>
        <w:t>民法典</w:t>
      </w:r>
      <w:r>
        <w:rPr>
          <w:rFonts w:hint="eastAsia" w:ascii="仿宋_GB2312" w:hAnsi="仿宋_GB2312" w:eastAsia="仿宋_GB2312" w:cs="仿宋_GB2312"/>
          <w:color w:val="auto"/>
          <w:sz w:val="32"/>
          <w:szCs w:val="32"/>
        </w:rPr>
        <w:t>》处理。</w:t>
      </w:r>
    </w:p>
    <w:p>
      <w:pPr>
        <w:pStyle w:val="18"/>
        <w:snapToGrid w:val="0"/>
        <w:spacing w:line="600" w:lineRule="exact"/>
        <w:ind w:firstLine="643"/>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七、争端的解决</w:t>
      </w:r>
    </w:p>
    <w:p>
      <w:pPr>
        <w:tabs>
          <w:tab w:val="left" w:pos="1255"/>
        </w:tabs>
        <w:spacing w:line="360" w:lineRule="auto"/>
        <w:ind w:left="355" w:leftChars="169" w:firstLine="42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合同执行过程中发生的任何争议，应由双方协商解决，如双方不能通过友好协商解决，可提交</w:t>
      </w:r>
      <w:r>
        <w:rPr>
          <w:rFonts w:hint="eastAsia" w:ascii="仿宋_GB2312" w:hAnsi="仿宋_GB2312" w:eastAsia="仿宋_GB2312" w:cs="仿宋_GB2312"/>
          <w:color w:val="auto"/>
          <w:sz w:val="32"/>
          <w:szCs w:val="32"/>
          <w:lang w:val="en-US" w:eastAsia="zh-CN"/>
        </w:rPr>
        <w:t>天河区人民法院诉讼解决</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维权方</w:t>
      </w:r>
      <w:r>
        <w:rPr>
          <w:rFonts w:hint="eastAsia" w:ascii="仿宋_GB2312" w:hAnsi="仿宋_GB2312" w:eastAsia="仿宋_GB2312" w:cs="仿宋_GB2312"/>
          <w:color w:val="auto"/>
          <w:sz w:val="32"/>
          <w:szCs w:val="32"/>
        </w:rPr>
        <w:t>为实现权利所支付的</w:t>
      </w:r>
      <w:r>
        <w:rPr>
          <w:rFonts w:hint="eastAsia" w:ascii="仿宋_GB2312" w:hAnsi="仿宋_GB2312" w:eastAsia="仿宋_GB2312" w:cs="仿宋_GB2312"/>
          <w:color w:val="auto"/>
          <w:sz w:val="32"/>
          <w:szCs w:val="32"/>
          <w:lang w:val="en-US" w:eastAsia="zh-CN"/>
        </w:rPr>
        <w:t>诉讼</w:t>
      </w:r>
      <w:r>
        <w:rPr>
          <w:rFonts w:hint="eastAsia" w:ascii="仿宋_GB2312" w:hAnsi="仿宋_GB2312" w:eastAsia="仿宋_GB2312" w:cs="仿宋_GB2312"/>
          <w:color w:val="auto"/>
          <w:sz w:val="32"/>
          <w:szCs w:val="32"/>
        </w:rPr>
        <w:t>费、律师费、鉴定费等费用均由败诉方承担。</w:t>
      </w:r>
    </w:p>
    <w:p>
      <w:pPr>
        <w:pStyle w:val="18"/>
        <w:snapToGrid w:val="0"/>
        <w:spacing w:line="600" w:lineRule="exact"/>
        <w:ind w:firstLine="643"/>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八、不可抗力</w:t>
      </w:r>
    </w:p>
    <w:p>
      <w:pPr>
        <w:pStyle w:val="18"/>
        <w:snapToGrid w:val="0"/>
        <w:spacing w:line="60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任何一方由于不可抗力原因不能履行合同时，应在不可抗力事件结束后7日内向对方通报，以减轻可能给对方造成的损失，在取得有关机构的不可抗力证明或双方谅解确认后，允许延期履行或修订合同，并根据情况可部分或全部免于承担违约责任。</w:t>
      </w:r>
    </w:p>
    <w:p>
      <w:pPr>
        <w:pStyle w:val="18"/>
        <w:snapToGrid w:val="0"/>
        <w:spacing w:line="600" w:lineRule="exact"/>
        <w:ind w:firstLine="643"/>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九、其他</w:t>
      </w:r>
    </w:p>
    <w:p>
      <w:pPr>
        <w:pStyle w:val="18"/>
        <w:snapToGrid w:val="0"/>
        <w:spacing w:line="60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1、在</w:t>
      </w:r>
      <w:r>
        <w:rPr>
          <w:rFonts w:hint="eastAsia" w:ascii="仿宋_GB2312" w:hAnsi="仿宋_GB2312" w:eastAsia="仿宋_GB2312" w:cs="仿宋_GB2312"/>
          <w:color w:val="auto"/>
          <w:sz w:val="32"/>
          <w:szCs w:val="32"/>
          <w:lang w:val="en-US" w:eastAsia="zh-CN"/>
        </w:rPr>
        <w:t>履</w:t>
      </w:r>
      <w:r>
        <w:rPr>
          <w:rFonts w:hint="eastAsia" w:ascii="仿宋_GB2312" w:hAnsi="仿宋_GB2312" w:eastAsia="仿宋_GB2312" w:cs="仿宋_GB2312"/>
          <w:color w:val="auto"/>
          <w:sz w:val="32"/>
          <w:szCs w:val="32"/>
        </w:rPr>
        <w:t>行本合同的过程中，所有经双方签署确认的文件（包括会议纪要、补充协议、往来信函）即成为本合同的有效组成部分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形成时间较迟的文件其效力高于形成时间在先的文件</w:t>
      </w:r>
      <w:r>
        <w:rPr>
          <w:rFonts w:hint="eastAsia" w:ascii="仿宋_GB2312" w:hAnsi="仿宋_GB2312" w:eastAsia="仿宋_GB2312" w:cs="仿宋_GB2312"/>
          <w:color w:val="auto"/>
          <w:sz w:val="32"/>
          <w:szCs w:val="32"/>
        </w:rPr>
        <w:t>。</w:t>
      </w:r>
    </w:p>
    <w:p>
      <w:pPr>
        <w:pStyle w:val="18"/>
        <w:snapToGrid w:val="0"/>
        <w:spacing w:line="60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2、如一方地址、电话、传真号码有变更，应在变更当日内书面通知对方，否则，应承担相应责任。</w:t>
      </w:r>
    </w:p>
    <w:p>
      <w:pPr>
        <w:pStyle w:val="18"/>
        <w:snapToGrid w:val="0"/>
        <w:spacing w:line="60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3、除甲方事先书面同意外，乙方不得部分或全部转让其应履行的合同项下的义务；否则，甲方有权单方解除合同并乙方</w:t>
      </w:r>
      <w:r>
        <w:rPr>
          <w:rFonts w:hint="eastAsia" w:ascii="仿宋_GB2312" w:hAnsi="仿宋_GB2312" w:eastAsia="仿宋_GB2312" w:cs="仿宋_GB2312"/>
          <w:color w:val="auto"/>
          <w:sz w:val="32"/>
          <w:szCs w:val="32"/>
          <w:lang w:val="en-US" w:eastAsia="zh-CN"/>
        </w:rPr>
        <w:t>应向甲方支付相当于合同金额20%的违约金</w:t>
      </w:r>
      <w:r>
        <w:rPr>
          <w:rFonts w:hint="eastAsia" w:ascii="仿宋_GB2312" w:hAnsi="仿宋_GB2312" w:eastAsia="仿宋_GB2312" w:cs="仿宋_GB2312"/>
          <w:color w:val="auto"/>
          <w:sz w:val="32"/>
          <w:szCs w:val="32"/>
        </w:rPr>
        <w:t>。</w:t>
      </w:r>
    </w:p>
    <w:p>
      <w:pPr>
        <w:spacing w:line="360" w:lineRule="auto"/>
        <w:ind w:firstLine="640" w:firstLineChars="200"/>
        <w:rPr>
          <w:rFonts w:ascii="仿宋_GB2312" w:hAnsi="仿宋_GB2312" w:eastAsia="仿宋_GB2312"/>
          <w:color w:val="auto"/>
          <w:sz w:val="32"/>
          <w:szCs w:val="32"/>
        </w:rPr>
      </w:pPr>
      <w:r>
        <w:rPr>
          <w:rFonts w:hint="eastAsia" w:ascii="仿宋_GB2312" w:hAnsi="仿宋_GB2312" w:eastAsia="仿宋_GB2312"/>
          <w:color w:val="auto"/>
          <w:sz w:val="32"/>
          <w:szCs w:val="32"/>
        </w:rPr>
        <w:t>4、双方因履行本合同需要作出的各类通知、书信等业务函件，应发送至对方在本合同列明的地址，并在下列情况视为有效送：以邮寄方式发出的，在收件方签收或妥投之日起视为有效送达，但有充分证据证明确未收到的除外。接收方无正当理由拒收的，视为有效送达。</w:t>
      </w:r>
    </w:p>
    <w:p>
      <w:pPr>
        <w:pStyle w:val="18"/>
        <w:snapToGrid w:val="0"/>
        <w:spacing w:line="600" w:lineRule="exact"/>
        <w:ind w:firstLine="643"/>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十、合同生效</w:t>
      </w:r>
    </w:p>
    <w:p>
      <w:pPr>
        <w:pStyle w:val="18"/>
        <w:snapToGrid w:val="0"/>
        <w:spacing w:line="60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1、合同自甲乙双方法人代表或其授权代表签字盖章之日起生效。</w:t>
      </w:r>
    </w:p>
    <w:p>
      <w:pPr>
        <w:pStyle w:val="18"/>
        <w:snapToGrid w:val="0"/>
        <w:spacing w:line="60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2、合同一式4份，甲、乙双方各执2份。</w:t>
      </w:r>
    </w:p>
    <w:p>
      <w:pPr>
        <w:pStyle w:val="18"/>
        <w:snapToGrid w:val="0"/>
        <w:spacing w:line="600" w:lineRule="exact"/>
        <w:ind w:firstLine="640"/>
        <w:rPr>
          <w:rFonts w:ascii="仿宋_GB2312" w:hAnsi="仿宋_GB2312" w:eastAsia="仿宋_GB2312" w:cs="仿宋_GB2312"/>
          <w:color w:val="auto"/>
          <w:sz w:val="32"/>
          <w:szCs w:val="32"/>
        </w:rPr>
      </w:pPr>
    </w:p>
    <w:p>
      <w:pPr>
        <w:pStyle w:val="18"/>
        <w:snapToGrid w:val="0"/>
        <w:spacing w:line="600" w:lineRule="exact"/>
        <w:ind w:firstLine="640"/>
        <w:rPr>
          <w:rFonts w:ascii="仿宋_GB2312" w:hAnsi="仿宋_GB2312" w:eastAsia="仿宋_GB2312" w:cs="仿宋_GB2312"/>
          <w:color w:val="auto"/>
          <w:sz w:val="32"/>
          <w:szCs w:val="32"/>
        </w:rPr>
      </w:pPr>
    </w:p>
    <w:p>
      <w:pPr>
        <w:pStyle w:val="18"/>
        <w:snapToGrid w:val="0"/>
        <w:spacing w:line="600" w:lineRule="exact"/>
        <w:ind w:firstLine="640"/>
        <w:rPr>
          <w:rFonts w:ascii="仿宋_GB2312" w:hAnsi="仿宋_GB2312" w:eastAsia="仿宋_GB2312" w:cs="仿宋_GB2312"/>
          <w:color w:val="auto"/>
          <w:sz w:val="32"/>
          <w:szCs w:val="32"/>
        </w:rPr>
      </w:pPr>
    </w:p>
    <w:p>
      <w:pPr>
        <w:pStyle w:val="18"/>
        <w:snapToGrid w:val="0"/>
        <w:spacing w:line="600" w:lineRule="exact"/>
        <w:ind w:firstLine="640"/>
        <w:rPr>
          <w:rFonts w:ascii="仿宋_GB2312" w:hAnsi="仿宋_GB2312" w:eastAsia="仿宋_GB2312" w:cs="仿宋_GB2312"/>
          <w:color w:val="auto"/>
          <w:sz w:val="32"/>
          <w:szCs w:val="32"/>
        </w:rPr>
      </w:pPr>
    </w:p>
    <w:p>
      <w:pPr>
        <w:pStyle w:val="18"/>
        <w:snapToGrid w:val="0"/>
        <w:spacing w:line="600" w:lineRule="exact"/>
        <w:ind w:firstLine="640"/>
        <w:rPr>
          <w:rFonts w:ascii="仿宋_GB2312" w:hAnsi="仿宋_GB2312" w:eastAsia="仿宋_GB2312" w:cs="仿宋_GB2312"/>
          <w:color w:val="auto"/>
          <w:sz w:val="32"/>
          <w:szCs w:val="32"/>
        </w:rPr>
      </w:pPr>
    </w:p>
    <w:p>
      <w:pPr>
        <w:pStyle w:val="18"/>
        <w:snapToGrid w:val="0"/>
        <w:spacing w:line="600" w:lineRule="exact"/>
        <w:ind w:firstLine="640"/>
        <w:rPr>
          <w:rFonts w:ascii="仿宋_GB2312" w:hAnsi="仿宋_GB2312" w:eastAsia="仿宋_GB2312" w:cs="仿宋_GB2312"/>
          <w:color w:val="auto"/>
          <w:sz w:val="32"/>
          <w:szCs w:val="32"/>
        </w:rPr>
      </w:pPr>
    </w:p>
    <w:p>
      <w:pPr>
        <w:pStyle w:val="18"/>
        <w:snapToGrid w:val="0"/>
        <w:spacing w:line="600" w:lineRule="exact"/>
        <w:ind w:firstLine="640"/>
        <w:rPr>
          <w:rFonts w:ascii="仿宋_GB2312" w:hAnsi="仿宋_GB2312" w:eastAsia="仿宋_GB2312" w:cs="仿宋_GB2312"/>
          <w:color w:val="auto"/>
          <w:sz w:val="32"/>
          <w:szCs w:val="32"/>
        </w:rPr>
      </w:pPr>
    </w:p>
    <w:p>
      <w:pPr>
        <w:pStyle w:val="18"/>
        <w:snapToGrid w:val="0"/>
        <w:spacing w:line="600" w:lineRule="exact"/>
        <w:ind w:firstLine="640"/>
        <w:rPr>
          <w:rFonts w:ascii="仿宋_GB2312" w:hAnsi="仿宋_GB2312" w:eastAsia="仿宋_GB2312" w:cs="仿宋_GB2312"/>
          <w:color w:val="auto"/>
          <w:sz w:val="32"/>
          <w:szCs w:val="32"/>
        </w:rPr>
      </w:pPr>
    </w:p>
    <w:p>
      <w:pPr>
        <w:pStyle w:val="18"/>
        <w:snapToGrid w:val="0"/>
        <w:spacing w:line="600" w:lineRule="exact"/>
        <w:ind w:firstLine="0" w:firstLineChars="0"/>
        <w:rPr>
          <w:rFonts w:ascii="仿宋_GB2312" w:hAnsi="仿宋_GB2312" w:eastAsia="仿宋_GB2312" w:cs="仿宋_GB2312"/>
          <w:color w:val="auto"/>
          <w:sz w:val="32"/>
          <w:szCs w:val="32"/>
        </w:rPr>
      </w:pPr>
    </w:p>
    <w:p>
      <w:pPr>
        <w:pStyle w:val="18"/>
        <w:snapToGrid w:val="0"/>
        <w:spacing w:line="600" w:lineRule="exact"/>
        <w:ind w:firstLine="0" w:firstLineChars="0"/>
        <w:rPr>
          <w:rFonts w:ascii="仿宋_GB2312" w:hAnsi="仿宋_GB2312" w:eastAsia="仿宋_GB2312" w:cs="仿宋_GB2312"/>
          <w:color w:val="auto"/>
          <w:sz w:val="32"/>
          <w:szCs w:val="32"/>
        </w:rPr>
      </w:pPr>
    </w:p>
    <w:p>
      <w:pPr>
        <w:pStyle w:val="18"/>
        <w:snapToGrid w:val="0"/>
        <w:spacing w:line="600" w:lineRule="exact"/>
        <w:ind w:firstLine="0" w:firstLineChars="0"/>
        <w:rPr>
          <w:rFonts w:ascii="仿宋_GB2312" w:hAnsi="仿宋_GB2312" w:eastAsia="仿宋_GB2312" w:cs="仿宋_GB2312"/>
          <w:color w:val="auto"/>
          <w:sz w:val="32"/>
          <w:szCs w:val="32"/>
        </w:rPr>
      </w:pPr>
    </w:p>
    <w:p>
      <w:pPr>
        <w:pStyle w:val="18"/>
        <w:snapToGrid w:val="0"/>
        <w:spacing w:line="600" w:lineRule="exact"/>
        <w:ind w:firstLine="0" w:firstLineChars="0"/>
        <w:rPr>
          <w:rFonts w:ascii="仿宋_GB2312" w:hAnsi="仿宋_GB2312" w:eastAsia="仿宋_GB2312" w:cs="仿宋_GB2312"/>
          <w:color w:val="auto"/>
          <w:sz w:val="32"/>
          <w:szCs w:val="32"/>
        </w:rPr>
      </w:pPr>
    </w:p>
    <w:p>
      <w:pPr>
        <w:pStyle w:val="18"/>
        <w:snapToGrid w:val="0"/>
        <w:spacing w:line="600" w:lineRule="exact"/>
        <w:ind w:firstLine="0" w:firstLineChars="0"/>
        <w:rPr>
          <w:rFonts w:ascii="仿宋_GB2312" w:hAnsi="仿宋_GB2312" w:eastAsia="仿宋_GB2312" w:cs="仿宋_GB2312"/>
          <w:color w:val="auto"/>
          <w:sz w:val="32"/>
          <w:szCs w:val="32"/>
        </w:rPr>
      </w:pPr>
    </w:p>
    <w:p>
      <w:pPr>
        <w:pStyle w:val="18"/>
        <w:snapToGrid w:val="0"/>
        <w:spacing w:line="600" w:lineRule="exact"/>
        <w:ind w:firstLine="0" w:firstLineChars="0"/>
        <w:rPr>
          <w:rFonts w:ascii="仿宋_GB2312" w:hAnsi="仿宋_GB2312" w:eastAsia="仿宋_GB2312" w:cs="仿宋_GB2312"/>
          <w:color w:val="auto"/>
          <w:sz w:val="32"/>
          <w:szCs w:val="32"/>
        </w:rPr>
      </w:pPr>
    </w:p>
    <w:p>
      <w:pPr>
        <w:pStyle w:val="18"/>
        <w:snapToGrid w:val="0"/>
        <w:spacing w:line="60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附表1</w:t>
      </w:r>
    </w:p>
    <w:tbl>
      <w:tblPr>
        <w:tblStyle w:val="12"/>
        <w:tblW w:w="104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095"/>
        <w:gridCol w:w="5160"/>
        <w:gridCol w:w="1830"/>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882" w:type="dxa"/>
            <w:noWrap w:val="0"/>
            <w:vAlign w:val="center"/>
          </w:tcPr>
          <w:p>
            <w:pPr>
              <w:spacing w:line="300" w:lineRule="exact"/>
              <w:jc w:val="center"/>
              <w:rPr>
                <w:rFonts w:hint="eastAsia" w:ascii="Times New Roman" w:hAnsi="Times New Roman" w:eastAsia="仿宋_GB2312"/>
                <w:b/>
                <w:bCs/>
                <w:color w:val="auto"/>
                <w:sz w:val="24"/>
                <w:szCs w:val="24"/>
                <w:lang w:eastAsia="zh-CN"/>
              </w:rPr>
            </w:pPr>
            <w:r>
              <w:rPr>
                <w:rFonts w:hint="eastAsia" w:eastAsia="仿宋_GB2312"/>
                <w:b/>
                <w:bCs/>
                <w:color w:val="auto"/>
                <w:sz w:val="24"/>
                <w:szCs w:val="24"/>
                <w:lang w:eastAsia="zh-CN"/>
              </w:rPr>
              <w:t>项目</w:t>
            </w:r>
          </w:p>
        </w:tc>
        <w:tc>
          <w:tcPr>
            <w:tcW w:w="1095" w:type="dxa"/>
            <w:noWrap w:val="0"/>
            <w:vAlign w:val="center"/>
          </w:tcPr>
          <w:p>
            <w:pPr>
              <w:spacing w:line="300" w:lineRule="exact"/>
              <w:jc w:val="center"/>
              <w:rPr>
                <w:rFonts w:ascii="Times New Roman" w:hAnsi="Times New Roman" w:eastAsia="仿宋_GB2312"/>
                <w:color w:val="auto"/>
                <w:kern w:val="0"/>
                <w:sz w:val="22"/>
                <w:szCs w:val="22"/>
              </w:rPr>
            </w:pPr>
            <w:r>
              <w:rPr>
                <w:rFonts w:ascii="Times New Roman" w:hAnsi="Times New Roman" w:eastAsia="仿宋_GB2312"/>
                <w:b/>
                <w:bCs/>
                <w:color w:val="auto"/>
                <w:sz w:val="24"/>
                <w:szCs w:val="24"/>
              </w:rPr>
              <w:t>品种</w:t>
            </w:r>
          </w:p>
        </w:tc>
        <w:tc>
          <w:tcPr>
            <w:tcW w:w="5160" w:type="dxa"/>
            <w:noWrap w:val="0"/>
            <w:vAlign w:val="center"/>
          </w:tcPr>
          <w:p>
            <w:pPr>
              <w:spacing w:line="300" w:lineRule="exact"/>
              <w:jc w:val="center"/>
              <w:rPr>
                <w:rFonts w:ascii="Times New Roman" w:hAnsi="Times New Roman" w:eastAsia="仿宋_GB2312"/>
                <w:color w:val="auto"/>
                <w:kern w:val="0"/>
                <w:sz w:val="22"/>
                <w:szCs w:val="22"/>
              </w:rPr>
            </w:pPr>
            <w:r>
              <w:rPr>
                <w:rFonts w:ascii="Times New Roman" w:hAnsi="Times New Roman" w:eastAsia="仿宋_GB2312"/>
                <w:b/>
                <w:bCs/>
                <w:color w:val="auto"/>
                <w:sz w:val="24"/>
                <w:szCs w:val="24"/>
              </w:rPr>
              <w:t>监测项目</w:t>
            </w:r>
          </w:p>
        </w:tc>
        <w:tc>
          <w:tcPr>
            <w:tcW w:w="1830" w:type="dxa"/>
            <w:noWrap w:val="0"/>
            <w:vAlign w:val="center"/>
          </w:tcPr>
          <w:p>
            <w:pPr>
              <w:pStyle w:val="6"/>
              <w:spacing w:line="400" w:lineRule="exact"/>
              <w:ind w:hanging="17" w:firstLineChars="0"/>
              <w:jc w:val="center"/>
              <w:rPr>
                <w:rFonts w:ascii="Times New Roman" w:hAnsi="Times New Roman" w:eastAsia="仿宋_GB2312" w:cs="Times New Roman"/>
                <w:b/>
                <w:color w:val="auto"/>
                <w:kern w:val="2"/>
                <w:sz w:val="24"/>
                <w:szCs w:val="24"/>
                <w:lang w:val="en-US" w:eastAsia="zh-CN" w:bidi="ar-SA"/>
              </w:rPr>
            </w:pPr>
            <w:r>
              <w:rPr>
                <w:rFonts w:ascii="Times New Roman"/>
                <w:b/>
                <w:color w:val="auto"/>
                <w:sz w:val="24"/>
                <w:szCs w:val="24"/>
              </w:rPr>
              <w:t>检测方法</w:t>
            </w:r>
          </w:p>
        </w:tc>
        <w:tc>
          <w:tcPr>
            <w:tcW w:w="1481" w:type="dxa"/>
            <w:noWrap w:val="0"/>
            <w:vAlign w:val="center"/>
          </w:tcPr>
          <w:p>
            <w:pPr>
              <w:pStyle w:val="6"/>
              <w:spacing w:line="400" w:lineRule="exact"/>
              <w:ind w:hanging="17" w:firstLineChars="0"/>
              <w:jc w:val="center"/>
              <w:rPr>
                <w:rFonts w:ascii="Times New Roman"/>
                <w:b/>
                <w:color w:val="auto"/>
                <w:sz w:val="24"/>
                <w:szCs w:val="24"/>
              </w:rPr>
            </w:pPr>
            <w:r>
              <w:rPr>
                <w:rFonts w:ascii="Times New Roman"/>
                <w:b/>
                <w:color w:val="auto"/>
                <w:sz w:val="24"/>
                <w:szCs w:val="24"/>
              </w:rPr>
              <w:t xml:space="preserve"> 判定依据</w:t>
            </w:r>
          </w:p>
          <w:p>
            <w:pPr>
              <w:pStyle w:val="6"/>
              <w:spacing w:line="400" w:lineRule="exact"/>
              <w:ind w:hanging="17" w:firstLineChars="0"/>
              <w:jc w:val="center"/>
              <w:rPr>
                <w:rFonts w:ascii="Times New Roman" w:hAnsi="Times New Roman" w:eastAsia="仿宋_GB2312" w:cs="Times New Roman"/>
                <w:b/>
                <w:color w:val="auto"/>
                <w:kern w:val="2"/>
                <w:sz w:val="24"/>
                <w:szCs w:val="24"/>
                <w:lang w:val="en-US" w:eastAsia="zh-CN" w:bidi="ar-SA"/>
              </w:rPr>
            </w:pPr>
            <w:r>
              <w:rPr>
                <w:rFonts w:ascii="Times New Roman"/>
                <w:b/>
                <w:color w:val="auto"/>
                <w:sz w:val="24"/>
                <w:szCs w:val="24"/>
              </w:rPr>
              <w:t>和原则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6" w:hRule="atLeast"/>
          <w:jc w:val="center"/>
        </w:trPr>
        <w:tc>
          <w:tcPr>
            <w:tcW w:w="88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专项监测</w:t>
            </w: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pacing w:val="-20"/>
                <w:sz w:val="22"/>
                <w:szCs w:val="22"/>
              </w:rPr>
            </w:pPr>
            <w:r>
              <w:rPr>
                <w:rFonts w:hint="eastAsia" w:ascii="仿宋_GB2312" w:hAnsi="仿宋_GB2312" w:eastAsia="仿宋_GB2312" w:cs="仿宋_GB2312"/>
                <w:color w:val="auto"/>
                <w:spacing w:val="-20"/>
                <w:sz w:val="22"/>
                <w:szCs w:val="22"/>
              </w:rPr>
              <w:t>蔬菜</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pacing w:val="-20"/>
                <w:sz w:val="22"/>
                <w:szCs w:val="22"/>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pacing w:val="-20"/>
                <w:sz w:val="22"/>
                <w:szCs w:val="22"/>
              </w:rPr>
            </w:pPr>
            <w:r>
              <w:rPr>
                <w:rFonts w:hint="eastAsia" w:ascii="仿宋_GB2312" w:hAnsi="仿宋_GB2312" w:eastAsia="仿宋_GB2312" w:cs="仿宋_GB2312"/>
                <w:color w:val="auto"/>
                <w:spacing w:val="-20"/>
                <w:sz w:val="22"/>
                <w:szCs w:val="22"/>
              </w:rPr>
              <w:t>水果</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w:t>
            </w:r>
            <w:r>
              <w:rPr>
                <w:rFonts w:hint="eastAsia" w:ascii="仿宋_GB2312" w:hAnsi="仿宋_GB2312" w:eastAsia="仿宋_GB2312" w:cs="仿宋_GB2312"/>
                <w:color w:val="auto"/>
                <w:kern w:val="0"/>
                <w:sz w:val="22"/>
                <w:szCs w:val="22"/>
                <w:lang w:val="en-US" w:eastAsia="zh-CN"/>
              </w:rPr>
              <w:t>200份</w:t>
            </w:r>
            <w:r>
              <w:rPr>
                <w:rFonts w:hint="eastAsia" w:ascii="仿宋_GB2312" w:hAnsi="仿宋_GB2312" w:eastAsia="仿宋_GB2312" w:cs="仿宋_GB2312"/>
                <w:color w:val="auto"/>
                <w:kern w:val="0"/>
                <w:sz w:val="22"/>
                <w:szCs w:val="22"/>
                <w:lang w:eastAsia="zh-CN"/>
              </w:rPr>
              <w:t>）</w:t>
            </w:r>
          </w:p>
        </w:tc>
        <w:tc>
          <w:tcPr>
            <w:tcW w:w="516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sz w:val="22"/>
                <w:szCs w:val="22"/>
              </w:rPr>
              <w:t>甲胺磷、氧乐果、甲拌磷（包括甲拌磷砜、甲拌磷亚砜）、对硫磷、甲基对硫磷、甲基异柳磷、水胺硫磷、治螟磷、特丁硫磷、乐果、敌敌畏、毒死蜱、乙酰甲胺磷、三唑磷、丙溴磷、杀螟硫磷、二嗪磷、马拉硫磷、亚胺硫磷、伏杀硫磷、辛硫磷、杀扑磷、六六六（α-六六六，β-六六六，γ-六六六和δ-六六六之和）、氯菊酯、氯氰菊酯、氰戊菊酯、甲氰菊酯、氯氟氰菊酯、氟氯氰菊酯、溴氰菊酯、联苯菊酯、氟胺氰菊酯、氟氰戊菊酯、三唑酮、百菌清、异菌脲、硫丹、涕灭威（包括涕灭威砜，涕灭威亚砜）、灭多威、克百威（包括3-羟基克百威）、丁硫克百威、甲萘威、三氯杀螨醇、腐霉利、五氯硝基苯、乙烯菌核利、多菌灵、吡虫啉、氟虫腈（包括氟甲腈，氟虫腈砜，氟虫腈硫醚）、啶虫脒、哒螨灵、苯醚甲环唑、嘧霉胺、甲氨基阿维菌素苯甲酸盐、烯酰吗啉、虫螨腈、咪鲜胺、嘧菌酯、二甲戊乐灵（二甲戊灵）、噻虫嗪、氟啶脲、除虫脲、灭幼脲、阿维菌素、灭蝇胺、甲霜灵、霜霉威、多效唑、氯吡脲、氯虫苯甲酰胺、醚菊酯、虫酰肼、吡唑醚菌酯、内吸磷、久效磷等75种农药</w:t>
            </w:r>
          </w:p>
        </w:tc>
        <w:tc>
          <w:tcPr>
            <w:tcW w:w="1830" w:type="dxa"/>
            <w:noWrap w:val="0"/>
            <w:vAlign w:val="center"/>
          </w:tcPr>
          <w:p>
            <w:pPr>
              <w:pStyle w:val="3"/>
              <w:keepNext w:val="0"/>
              <w:keepLines w:val="0"/>
              <w:pageBreakBefore w:val="0"/>
              <w:widowControl w:val="0"/>
              <w:tabs>
                <w:tab w:val="left" w:pos="1800"/>
              </w:tabs>
              <w:kinsoku/>
              <w:wordWrap/>
              <w:overflowPunct/>
              <w:topLinePunct w:val="0"/>
              <w:autoSpaceDE/>
              <w:autoSpaceDN/>
              <w:bidi w:val="0"/>
              <w:adjustRightInd/>
              <w:snapToGrid/>
              <w:spacing w:line="260" w:lineRule="exact"/>
              <w:ind w:left="0" w:leftChars="0"/>
              <w:textAlignment w:val="auto"/>
              <w:rPr>
                <w:rFonts w:hint="eastAsia" w:ascii="仿宋_GB2312" w:hAnsi="仿宋_GB2312" w:eastAsia="仿宋_GB2312" w:cs="仿宋_GB2312"/>
                <w:color w:val="auto"/>
                <w:kern w:val="2"/>
                <w:sz w:val="22"/>
                <w:szCs w:val="22"/>
                <w:lang w:val="fr-FR" w:eastAsia="zh-CN" w:bidi="ar-SA"/>
              </w:rPr>
            </w:pPr>
            <w:r>
              <w:rPr>
                <w:rFonts w:hint="eastAsia" w:ascii="仿宋_GB2312" w:hAnsi="仿宋_GB2312" w:eastAsia="仿宋_GB2312" w:cs="仿宋_GB2312"/>
                <w:color w:val="auto"/>
                <w:sz w:val="22"/>
                <w:szCs w:val="22"/>
                <w:lang w:val="fr-FR"/>
              </w:rPr>
              <w:t>参照</w:t>
            </w:r>
            <w:r>
              <w:rPr>
                <w:rFonts w:hint="eastAsia" w:ascii="仿宋_GB2312" w:hAnsi="仿宋_GB2312" w:eastAsia="仿宋_GB2312" w:cs="仿宋_GB2312"/>
                <w:color w:val="auto"/>
                <w:sz w:val="22"/>
                <w:szCs w:val="22"/>
                <w:lang w:val="fr-FR" w:eastAsia="zh-CN"/>
              </w:rPr>
              <w:t>《</w:t>
            </w:r>
            <w:r>
              <w:rPr>
                <w:rFonts w:hint="eastAsia" w:ascii="仿宋_GB2312" w:hAnsi="仿宋_GB2312" w:eastAsia="仿宋_GB2312" w:cs="仿宋_GB2312"/>
                <w:color w:val="auto"/>
                <w:sz w:val="22"/>
                <w:szCs w:val="22"/>
                <w:lang w:val="fr-FR"/>
              </w:rPr>
              <w:t>广州市农业农村局关于印发</w:t>
            </w:r>
            <w:r>
              <w:rPr>
                <w:rFonts w:hint="eastAsia" w:ascii="仿宋_GB2312" w:hAnsi="仿宋_GB2312" w:eastAsia="仿宋_GB2312" w:cs="仿宋_GB2312"/>
                <w:color w:val="auto"/>
                <w:sz w:val="22"/>
                <w:szCs w:val="22"/>
              </w:rPr>
              <w:t>202</w:t>
            </w:r>
            <w:r>
              <w:rPr>
                <w:rFonts w:hint="eastAsia" w:ascii="仿宋_GB2312" w:hAnsi="仿宋_GB2312" w:eastAsia="仿宋_GB2312" w:cs="仿宋_GB2312"/>
                <w:color w:val="auto"/>
                <w:sz w:val="22"/>
                <w:szCs w:val="22"/>
                <w:lang w:val="en-US" w:eastAsia="zh-CN"/>
              </w:rPr>
              <w:t>1</w:t>
            </w:r>
            <w:r>
              <w:rPr>
                <w:rFonts w:hint="eastAsia" w:ascii="仿宋_GB2312" w:hAnsi="仿宋_GB2312" w:eastAsia="仿宋_GB2312" w:cs="仿宋_GB2312"/>
                <w:color w:val="auto"/>
                <w:sz w:val="22"/>
                <w:szCs w:val="22"/>
              </w:rPr>
              <w:t>年广州市产地农产品质量安全监测工作方案的通知</w:t>
            </w:r>
            <w:r>
              <w:rPr>
                <w:rFonts w:hint="eastAsia" w:ascii="仿宋_GB2312" w:hAnsi="仿宋_GB2312" w:eastAsia="仿宋_GB2312" w:cs="仿宋_GB2312"/>
                <w:color w:val="auto"/>
                <w:sz w:val="22"/>
                <w:szCs w:val="22"/>
                <w:lang w:eastAsia="zh-CN"/>
              </w:rPr>
              <w:t>》</w:t>
            </w:r>
          </w:p>
        </w:tc>
        <w:tc>
          <w:tcPr>
            <w:tcW w:w="1481" w:type="dxa"/>
            <w:noWrap w:val="0"/>
            <w:vAlign w:val="center"/>
          </w:tcPr>
          <w:p>
            <w:pPr>
              <w:pStyle w:val="3"/>
              <w:keepNext w:val="0"/>
              <w:keepLines w:val="0"/>
              <w:pageBreakBefore w:val="0"/>
              <w:widowControl w:val="0"/>
              <w:tabs>
                <w:tab w:val="left" w:pos="1800"/>
              </w:tabs>
              <w:kinsoku/>
              <w:wordWrap/>
              <w:overflowPunct/>
              <w:topLinePunct w:val="0"/>
              <w:autoSpaceDE/>
              <w:autoSpaceDN/>
              <w:bidi w:val="0"/>
              <w:adjustRightInd/>
              <w:snapToGrid/>
              <w:spacing w:after="0" w:line="260" w:lineRule="exact"/>
              <w:ind w:left="0" w:leftChars="0"/>
              <w:textAlignment w:val="auto"/>
              <w:rPr>
                <w:rFonts w:hint="eastAsia" w:ascii="仿宋_GB2312" w:hAnsi="仿宋_GB2312" w:eastAsia="仿宋_GB2312" w:cs="仿宋_GB2312"/>
                <w:color w:val="auto"/>
                <w:kern w:val="2"/>
                <w:sz w:val="22"/>
                <w:szCs w:val="22"/>
                <w:lang w:val="fr-FR" w:eastAsia="zh-CN" w:bidi="ar-SA"/>
              </w:rPr>
            </w:pPr>
            <w:r>
              <w:rPr>
                <w:rFonts w:hint="eastAsia" w:ascii="仿宋_GB2312" w:hAnsi="仿宋_GB2312" w:eastAsia="仿宋_GB2312" w:cs="仿宋_GB2312"/>
                <w:color w:val="auto"/>
                <w:sz w:val="22"/>
                <w:szCs w:val="22"/>
                <w:lang w:val="fr-FR"/>
              </w:rPr>
              <w:t>GB 27</w:t>
            </w:r>
            <w:r>
              <w:rPr>
                <w:rFonts w:hint="eastAsia" w:ascii="仿宋_GB2312" w:hAnsi="仿宋_GB2312" w:eastAsia="仿宋_GB2312" w:cs="仿宋_GB2312"/>
                <w:color w:val="auto"/>
                <w:sz w:val="22"/>
                <w:szCs w:val="22"/>
              </w:rPr>
              <w:t>63《食品安全国家标准  食品中农药最大残留限量》及《农药管理条例》等相关法律规章（风险监测可参照202</w:t>
            </w:r>
            <w:r>
              <w:rPr>
                <w:rFonts w:hint="eastAsia" w:ascii="仿宋_GB2312" w:hAnsi="仿宋_GB2312" w:eastAsia="仿宋_GB2312" w:cs="仿宋_GB2312"/>
                <w:color w:val="auto"/>
                <w:sz w:val="22"/>
                <w:szCs w:val="22"/>
                <w:lang w:val="en-US" w:eastAsia="zh-CN"/>
              </w:rPr>
              <w:t>1</w:t>
            </w:r>
            <w:r>
              <w:rPr>
                <w:rFonts w:hint="eastAsia" w:ascii="仿宋_GB2312" w:hAnsi="仿宋_GB2312" w:eastAsia="仿宋_GB2312" w:cs="仿宋_GB2312"/>
                <w:color w:val="auto"/>
                <w:sz w:val="22"/>
                <w:szCs w:val="22"/>
              </w:rPr>
              <w:t>年农业农村部蔬菜水果农药残留例行监测限量值判定</w:t>
            </w:r>
            <w:r>
              <w:rPr>
                <w:rFonts w:hint="eastAsia" w:ascii="仿宋_GB2312" w:hAnsi="仿宋_GB2312" w:eastAsia="仿宋_GB2312" w:cs="仿宋_GB2312"/>
                <w:color w:val="auto"/>
                <w:sz w:val="22"/>
                <w:szCs w:val="22"/>
                <w:lang w:val="fr-F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5" w:hRule="atLeast"/>
          <w:jc w:val="center"/>
        </w:trPr>
        <w:tc>
          <w:tcPr>
            <w:tcW w:w="88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仿宋_GB2312"/>
                <w:color w:val="auto"/>
                <w:kern w:val="0"/>
                <w:sz w:val="22"/>
                <w:szCs w:val="22"/>
                <w:lang w:eastAsia="zh-CN"/>
              </w:rPr>
            </w:pPr>
            <w:r>
              <w:rPr>
                <w:rFonts w:hint="eastAsia" w:eastAsia="仿宋_GB2312"/>
                <w:color w:val="auto"/>
                <w:kern w:val="0"/>
                <w:sz w:val="22"/>
                <w:szCs w:val="22"/>
                <w:lang w:eastAsia="zh-CN"/>
              </w:rPr>
              <w:t>重金属检测</w:t>
            </w: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仿宋_GB2312"/>
                <w:color w:val="auto"/>
                <w:kern w:val="0"/>
                <w:sz w:val="22"/>
                <w:szCs w:val="22"/>
                <w:lang w:eastAsia="zh-CN"/>
              </w:rPr>
            </w:pPr>
            <w:r>
              <w:rPr>
                <w:rFonts w:hint="eastAsia" w:eastAsia="仿宋_GB2312"/>
                <w:color w:val="auto"/>
                <w:kern w:val="0"/>
                <w:sz w:val="22"/>
                <w:szCs w:val="22"/>
                <w:lang w:eastAsia="zh-CN"/>
              </w:rPr>
              <w:t>蔬菜水果（</w:t>
            </w:r>
            <w:r>
              <w:rPr>
                <w:rFonts w:hint="eastAsia" w:eastAsia="仿宋_GB2312"/>
                <w:color w:val="auto"/>
                <w:kern w:val="0"/>
                <w:sz w:val="22"/>
                <w:szCs w:val="22"/>
                <w:lang w:val="en-US" w:eastAsia="zh-CN"/>
              </w:rPr>
              <w:t>200份</w:t>
            </w:r>
            <w:r>
              <w:rPr>
                <w:rFonts w:hint="eastAsia" w:eastAsia="仿宋_GB2312"/>
                <w:color w:val="auto"/>
                <w:kern w:val="0"/>
                <w:sz w:val="22"/>
                <w:szCs w:val="22"/>
                <w:lang w:eastAsia="zh-CN"/>
              </w:rPr>
              <w:t>）</w:t>
            </w:r>
          </w:p>
        </w:tc>
        <w:tc>
          <w:tcPr>
            <w:tcW w:w="516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sz w:val="22"/>
                <w:szCs w:val="22"/>
              </w:rPr>
              <w:t>铅、总砷、镉、铬、总汞5种重金属</w:t>
            </w:r>
          </w:p>
        </w:tc>
        <w:tc>
          <w:tcPr>
            <w:tcW w:w="1830"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hAnsi="Times New Roman" w:eastAsia="仿宋_GB2312"/>
                <w:color w:val="auto"/>
                <w:kern w:val="0"/>
                <w:sz w:val="22"/>
                <w:szCs w:val="22"/>
              </w:rPr>
            </w:pPr>
            <w:r>
              <w:rPr>
                <w:rFonts w:ascii="Times New Roman" w:hAnsi="Times New Roman" w:eastAsia="仿宋_GB2312"/>
                <w:color w:val="auto"/>
                <w:kern w:val="0"/>
                <w:sz w:val="22"/>
                <w:szCs w:val="22"/>
              </w:rPr>
              <w:t>GB 5009.</w:t>
            </w:r>
            <w:r>
              <w:rPr>
                <w:rFonts w:hint="eastAsia" w:eastAsia="仿宋_GB2312"/>
                <w:color w:val="auto"/>
                <w:kern w:val="0"/>
                <w:sz w:val="22"/>
                <w:szCs w:val="22"/>
                <w:lang w:val="en-US" w:eastAsia="zh-CN"/>
              </w:rPr>
              <w:t>11</w:t>
            </w:r>
            <w:r>
              <w:rPr>
                <w:rFonts w:ascii="Times New Roman" w:hAnsi="Times New Roman" w:eastAsia="仿宋_GB2312"/>
                <w:color w:val="auto"/>
                <w:kern w:val="0"/>
                <w:sz w:val="22"/>
                <w:szCs w:val="22"/>
              </w:rPr>
              <w:t>、GB5009.1</w:t>
            </w:r>
            <w:r>
              <w:rPr>
                <w:rFonts w:hint="eastAsia" w:eastAsia="仿宋_GB2312"/>
                <w:color w:val="auto"/>
                <w:kern w:val="0"/>
                <w:sz w:val="22"/>
                <w:szCs w:val="22"/>
                <w:lang w:val="en-US" w:eastAsia="zh-CN"/>
              </w:rPr>
              <w:t>2</w:t>
            </w:r>
            <w:r>
              <w:rPr>
                <w:rFonts w:ascii="Times New Roman" w:hAnsi="Times New Roman" w:eastAsia="仿宋_GB2312"/>
                <w:color w:val="auto"/>
                <w:kern w:val="0"/>
                <w:sz w:val="22"/>
                <w:szCs w:val="22"/>
              </w:rPr>
              <w:t xml:space="preserve"> 、GB5009.1</w:t>
            </w:r>
            <w:r>
              <w:rPr>
                <w:rFonts w:hint="eastAsia" w:eastAsia="仿宋_GB2312"/>
                <w:color w:val="auto"/>
                <w:kern w:val="0"/>
                <w:sz w:val="22"/>
                <w:szCs w:val="22"/>
                <w:lang w:val="en-US" w:eastAsia="zh-CN"/>
              </w:rPr>
              <w:t>5</w:t>
            </w:r>
            <w:r>
              <w:rPr>
                <w:rFonts w:ascii="Times New Roman" w:hAnsi="Times New Roman" w:eastAsia="仿宋_GB2312"/>
                <w:color w:val="auto"/>
                <w:kern w:val="0"/>
                <w:sz w:val="22"/>
                <w:szCs w:val="22"/>
              </w:rPr>
              <w:t>、GB 5009.1</w:t>
            </w:r>
            <w:r>
              <w:rPr>
                <w:rFonts w:hint="eastAsia" w:eastAsia="仿宋_GB2312"/>
                <w:color w:val="auto"/>
                <w:kern w:val="0"/>
                <w:sz w:val="22"/>
                <w:szCs w:val="22"/>
                <w:lang w:val="en-US" w:eastAsia="zh-CN"/>
              </w:rPr>
              <w:t>7</w:t>
            </w:r>
            <w:r>
              <w:rPr>
                <w:rFonts w:ascii="Times New Roman" w:hAnsi="Times New Roman" w:eastAsia="仿宋_GB2312"/>
                <w:color w:val="auto"/>
                <w:kern w:val="0"/>
                <w:sz w:val="22"/>
                <w:szCs w:val="22"/>
              </w:rPr>
              <w:t>、GB 5009.</w:t>
            </w:r>
            <w:r>
              <w:rPr>
                <w:rFonts w:hint="eastAsia" w:eastAsia="仿宋_GB2312"/>
                <w:color w:val="auto"/>
                <w:kern w:val="0"/>
                <w:sz w:val="22"/>
                <w:szCs w:val="22"/>
                <w:lang w:val="en-US" w:eastAsia="zh-CN"/>
              </w:rPr>
              <w:t>123</w:t>
            </w:r>
            <w:r>
              <w:rPr>
                <w:rFonts w:ascii="Times New Roman" w:hAnsi="Times New Roman" w:eastAsia="仿宋_GB2312"/>
                <w:color w:val="auto"/>
                <w:kern w:val="0"/>
                <w:sz w:val="22"/>
                <w:szCs w:val="22"/>
              </w:rPr>
              <w:t>、GB 5009.</w:t>
            </w:r>
            <w:r>
              <w:rPr>
                <w:rFonts w:hint="eastAsia" w:eastAsia="仿宋_GB2312"/>
                <w:color w:val="auto"/>
                <w:kern w:val="0"/>
                <w:sz w:val="22"/>
                <w:szCs w:val="22"/>
                <w:lang w:val="en-US" w:eastAsia="zh-CN"/>
              </w:rPr>
              <w:t>268</w:t>
            </w:r>
            <w:r>
              <w:rPr>
                <w:rFonts w:ascii="Times New Roman" w:hAnsi="Times New Roman" w:eastAsia="仿宋_GB2312"/>
                <w:color w:val="auto"/>
                <w:kern w:val="0"/>
                <w:sz w:val="22"/>
                <w:szCs w:val="22"/>
              </w:rPr>
              <w:t>、</w:t>
            </w:r>
          </w:p>
        </w:tc>
        <w:tc>
          <w:tcPr>
            <w:tcW w:w="1481"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仿宋_GB2312"/>
                <w:color w:val="auto"/>
                <w:kern w:val="0"/>
                <w:sz w:val="22"/>
                <w:szCs w:val="22"/>
                <w:lang w:val="en-US" w:eastAsia="zh-CN"/>
              </w:rPr>
            </w:pPr>
            <w:r>
              <w:rPr>
                <w:rFonts w:hint="default" w:ascii="Times New Roman" w:hAnsi="Times New Roman" w:eastAsia="仿宋_GB2312"/>
                <w:color w:val="auto"/>
                <w:kern w:val="0"/>
                <w:sz w:val="22"/>
                <w:szCs w:val="22"/>
                <w:lang w:val="en-US" w:eastAsia="zh-CN"/>
              </w:rPr>
              <w:t>GB 276</w:t>
            </w:r>
            <w:r>
              <w:rPr>
                <w:rFonts w:hint="eastAsia" w:eastAsia="仿宋_GB2312"/>
                <w:color w:val="auto"/>
                <w:kern w:val="0"/>
                <w:sz w:val="22"/>
                <w:szCs w:val="22"/>
                <w:lang w:val="en-US" w:eastAsia="zh-CN"/>
              </w:rPr>
              <w:t>2</w:t>
            </w:r>
            <w:r>
              <w:rPr>
                <w:rFonts w:hint="default" w:ascii="Times New Roman" w:hAnsi="Times New Roman" w:eastAsia="仿宋_GB2312"/>
                <w:color w:val="auto"/>
                <w:kern w:val="0"/>
                <w:sz w:val="22"/>
                <w:szCs w:val="22"/>
                <w:lang w:val="en-US" w:eastAsia="zh-CN"/>
              </w:rPr>
              <w:t>《食品安全国家标准食品中</w:t>
            </w:r>
            <w:r>
              <w:rPr>
                <w:rFonts w:hint="eastAsia" w:eastAsia="仿宋_GB2312"/>
                <w:color w:val="auto"/>
                <w:kern w:val="0"/>
                <w:sz w:val="22"/>
                <w:szCs w:val="22"/>
                <w:lang w:val="en-US" w:eastAsia="zh-CN"/>
              </w:rPr>
              <w:t>污染物限量</w:t>
            </w:r>
            <w:r>
              <w:rPr>
                <w:rFonts w:hint="default" w:ascii="Times New Roman" w:hAnsi="Times New Roman" w:eastAsia="仿宋_GB2312"/>
                <w:color w:val="auto"/>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88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仿宋_GB2312"/>
                <w:color w:val="auto"/>
                <w:kern w:val="0"/>
                <w:sz w:val="22"/>
                <w:szCs w:val="22"/>
                <w:lang w:eastAsia="zh-CN"/>
              </w:rPr>
            </w:pPr>
            <w:r>
              <w:rPr>
                <w:rFonts w:hint="eastAsia" w:eastAsia="仿宋_GB2312"/>
                <w:color w:val="auto"/>
                <w:kern w:val="0"/>
                <w:sz w:val="22"/>
                <w:szCs w:val="22"/>
                <w:lang w:eastAsia="zh-CN"/>
              </w:rPr>
              <w:t>风险监测</w:t>
            </w: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蔬菜</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水果</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lang w:val="en-US" w:eastAsia="zh-CN"/>
              </w:rPr>
              <w:t>40份</w:t>
            </w:r>
            <w:r>
              <w:rPr>
                <w:rFonts w:hint="eastAsia" w:ascii="仿宋_GB2312" w:hAnsi="仿宋_GB2312" w:eastAsia="仿宋_GB2312" w:cs="仿宋_GB2312"/>
                <w:color w:val="auto"/>
                <w:sz w:val="22"/>
                <w:szCs w:val="22"/>
                <w:lang w:eastAsia="zh-CN"/>
              </w:rPr>
              <w:t>）</w:t>
            </w:r>
          </w:p>
        </w:tc>
        <w:tc>
          <w:tcPr>
            <w:tcW w:w="516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毒死蜱、三唑磷、甲胺磷、治螟磷、特丁硫磷、甲拌磷（包括甲拌磷砜、甲拌磷亚砜）、氟虫腈（包括氟甲腈、氟虫腈砜、氟虫腈硫醚）、氟虫胺、对硫磷、甲基对硫磷、水胺硫磷、久效磷、硫线磷、克百威（包括3-羟基克百威）、涕灭威（包括涕灭威砜、涕灭威亚砜）、氧乐果、灭多威、甲基异柳磷、三氯杀螨醇、硫丹、乙酰甲胺磷、丁硫克百威、乐果、六六六、内吸磷等禁限用药物及其他未包含的专项监测项目</w:t>
            </w:r>
          </w:p>
        </w:tc>
        <w:tc>
          <w:tcPr>
            <w:tcW w:w="1830" w:type="dxa"/>
            <w:noWrap w:val="0"/>
            <w:vAlign w:val="center"/>
          </w:tcPr>
          <w:p>
            <w:pPr>
              <w:pStyle w:val="3"/>
              <w:keepNext w:val="0"/>
              <w:keepLines w:val="0"/>
              <w:pageBreakBefore w:val="0"/>
              <w:widowControl w:val="0"/>
              <w:tabs>
                <w:tab w:val="left" w:pos="1800"/>
              </w:tabs>
              <w:kinsoku/>
              <w:wordWrap/>
              <w:overflowPunct/>
              <w:topLinePunct w:val="0"/>
              <w:autoSpaceDE/>
              <w:autoSpaceDN/>
              <w:bidi w:val="0"/>
              <w:adjustRightInd/>
              <w:snapToGrid/>
              <w:spacing w:line="260" w:lineRule="exact"/>
              <w:ind w:left="0" w:leftChars="0"/>
              <w:textAlignment w:val="auto"/>
              <w:rPr>
                <w:rFonts w:hint="eastAsia" w:ascii="仿宋_GB2312" w:hAnsi="仿宋_GB2312" w:eastAsia="仿宋_GB2312" w:cs="仿宋_GB2312"/>
                <w:color w:val="auto"/>
                <w:kern w:val="2"/>
                <w:sz w:val="22"/>
                <w:szCs w:val="22"/>
                <w:lang w:val="fr-FR" w:eastAsia="zh-CN" w:bidi="ar-SA"/>
              </w:rPr>
            </w:pPr>
            <w:r>
              <w:rPr>
                <w:rFonts w:hint="eastAsia" w:ascii="仿宋_GB2312" w:hAnsi="仿宋_GB2312" w:eastAsia="仿宋_GB2312" w:cs="仿宋_GB2312"/>
                <w:color w:val="auto"/>
                <w:sz w:val="22"/>
                <w:szCs w:val="22"/>
                <w:lang w:val="fr-FR"/>
              </w:rPr>
              <w:t>参照</w:t>
            </w:r>
            <w:r>
              <w:rPr>
                <w:rFonts w:hint="eastAsia" w:ascii="仿宋_GB2312" w:hAnsi="仿宋_GB2312" w:eastAsia="仿宋_GB2312" w:cs="仿宋_GB2312"/>
                <w:color w:val="auto"/>
                <w:sz w:val="22"/>
                <w:szCs w:val="22"/>
                <w:lang w:val="fr-FR" w:eastAsia="zh-CN"/>
              </w:rPr>
              <w:t>《</w:t>
            </w:r>
            <w:r>
              <w:rPr>
                <w:rFonts w:hint="eastAsia" w:ascii="仿宋_GB2312" w:hAnsi="仿宋_GB2312" w:eastAsia="仿宋_GB2312" w:cs="仿宋_GB2312"/>
                <w:color w:val="auto"/>
                <w:sz w:val="22"/>
                <w:szCs w:val="22"/>
                <w:lang w:val="fr-FR"/>
              </w:rPr>
              <w:t>广州市农业农村局关于印发</w:t>
            </w:r>
            <w:r>
              <w:rPr>
                <w:rFonts w:hint="eastAsia" w:ascii="仿宋_GB2312" w:hAnsi="仿宋_GB2312" w:eastAsia="仿宋_GB2312" w:cs="仿宋_GB2312"/>
                <w:color w:val="auto"/>
                <w:sz w:val="22"/>
                <w:szCs w:val="22"/>
              </w:rPr>
              <w:t>202</w:t>
            </w:r>
            <w:r>
              <w:rPr>
                <w:rFonts w:hint="eastAsia" w:ascii="仿宋_GB2312" w:hAnsi="仿宋_GB2312" w:eastAsia="仿宋_GB2312" w:cs="仿宋_GB2312"/>
                <w:color w:val="auto"/>
                <w:sz w:val="22"/>
                <w:szCs w:val="22"/>
                <w:lang w:val="en-US" w:eastAsia="zh-CN"/>
              </w:rPr>
              <w:t>1</w:t>
            </w:r>
            <w:r>
              <w:rPr>
                <w:rFonts w:hint="eastAsia" w:ascii="仿宋_GB2312" w:hAnsi="仿宋_GB2312" w:eastAsia="仿宋_GB2312" w:cs="仿宋_GB2312"/>
                <w:color w:val="auto"/>
                <w:sz w:val="22"/>
                <w:szCs w:val="22"/>
              </w:rPr>
              <w:t>年广州市产地农产品质量安全监测工作方案的通知</w:t>
            </w:r>
            <w:r>
              <w:rPr>
                <w:rFonts w:hint="eastAsia" w:ascii="仿宋_GB2312" w:hAnsi="仿宋_GB2312" w:eastAsia="仿宋_GB2312" w:cs="仿宋_GB2312"/>
                <w:color w:val="auto"/>
                <w:sz w:val="22"/>
                <w:szCs w:val="22"/>
                <w:lang w:eastAsia="zh-CN"/>
              </w:rPr>
              <w:t>》</w:t>
            </w:r>
          </w:p>
        </w:tc>
        <w:tc>
          <w:tcPr>
            <w:tcW w:w="1481" w:type="dxa"/>
            <w:noWrap w:val="0"/>
            <w:vAlign w:val="center"/>
          </w:tcPr>
          <w:p>
            <w:pPr>
              <w:pStyle w:val="3"/>
              <w:keepNext w:val="0"/>
              <w:keepLines w:val="0"/>
              <w:pageBreakBefore w:val="0"/>
              <w:widowControl w:val="0"/>
              <w:tabs>
                <w:tab w:val="left" w:pos="1800"/>
              </w:tabs>
              <w:kinsoku/>
              <w:wordWrap/>
              <w:overflowPunct/>
              <w:topLinePunct w:val="0"/>
              <w:autoSpaceDE/>
              <w:autoSpaceDN/>
              <w:bidi w:val="0"/>
              <w:adjustRightInd/>
              <w:snapToGrid/>
              <w:spacing w:after="0" w:line="260" w:lineRule="exact"/>
              <w:ind w:left="0" w:leftChars="0"/>
              <w:textAlignment w:val="auto"/>
              <w:rPr>
                <w:rFonts w:hint="eastAsia" w:ascii="仿宋_GB2312" w:hAnsi="仿宋_GB2312" w:eastAsia="仿宋_GB2312" w:cs="仿宋_GB2312"/>
                <w:color w:val="auto"/>
                <w:kern w:val="2"/>
                <w:sz w:val="22"/>
                <w:szCs w:val="22"/>
                <w:lang w:val="fr-FR" w:eastAsia="zh-CN" w:bidi="ar-SA"/>
              </w:rPr>
            </w:pPr>
            <w:r>
              <w:rPr>
                <w:rFonts w:hint="eastAsia" w:ascii="仿宋_GB2312" w:hAnsi="仿宋_GB2312" w:eastAsia="仿宋_GB2312" w:cs="仿宋_GB2312"/>
                <w:color w:val="auto"/>
                <w:sz w:val="22"/>
                <w:szCs w:val="22"/>
                <w:lang w:val="fr-FR"/>
              </w:rPr>
              <w:t>GB 27</w:t>
            </w:r>
            <w:r>
              <w:rPr>
                <w:rFonts w:hint="eastAsia" w:ascii="仿宋_GB2312" w:hAnsi="仿宋_GB2312" w:eastAsia="仿宋_GB2312" w:cs="仿宋_GB2312"/>
                <w:color w:val="auto"/>
                <w:sz w:val="22"/>
                <w:szCs w:val="22"/>
              </w:rPr>
              <w:t>63《食品安全国家标准  食品中农药最大残留限量》及《农药管理条例》等相关法律规章（风险监测可参照202</w:t>
            </w:r>
            <w:r>
              <w:rPr>
                <w:rFonts w:hint="eastAsia" w:ascii="仿宋_GB2312" w:hAnsi="仿宋_GB2312" w:eastAsia="仿宋_GB2312" w:cs="仿宋_GB2312"/>
                <w:color w:val="auto"/>
                <w:sz w:val="22"/>
                <w:szCs w:val="22"/>
                <w:lang w:val="en-US" w:eastAsia="zh-CN"/>
              </w:rPr>
              <w:t>1</w:t>
            </w:r>
            <w:r>
              <w:rPr>
                <w:rFonts w:hint="eastAsia" w:ascii="仿宋_GB2312" w:hAnsi="仿宋_GB2312" w:eastAsia="仿宋_GB2312" w:cs="仿宋_GB2312"/>
                <w:color w:val="auto"/>
                <w:sz w:val="22"/>
                <w:szCs w:val="22"/>
              </w:rPr>
              <w:t>年农业农村部蔬菜水果农药残留例行监测限量值判定</w:t>
            </w:r>
            <w:r>
              <w:rPr>
                <w:rFonts w:hint="eastAsia" w:ascii="仿宋_GB2312" w:hAnsi="仿宋_GB2312" w:eastAsia="仿宋_GB2312" w:cs="仿宋_GB2312"/>
                <w:color w:val="auto"/>
                <w:sz w:val="22"/>
                <w:szCs w:val="22"/>
                <w:lang w:val="fr-FR"/>
              </w:rPr>
              <w:t>）</w:t>
            </w:r>
          </w:p>
        </w:tc>
      </w:tr>
    </w:tbl>
    <w:p>
      <w:pPr>
        <w:pStyle w:val="18"/>
        <w:snapToGrid w:val="0"/>
        <w:spacing w:line="600" w:lineRule="exact"/>
        <w:ind w:firstLine="0"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附件2</w:t>
      </w:r>
    </w:p>
    <w:p>
      <w:pPr>
        <w:spacing w:line="600" w:lineRule="exact"/>
        <w:ind w:firstLine="640" w:firstLineChars="200"/>
        <w:rPr>
          <w:rFonts w:eastAsia="仿宋_GB2312"/>
          <w:color w:val="auto"/>
          <w:sz w:val="32"/>
          <w:szCs w:val="32"/>
        </w:rPr>
      </w:pPr>
      <w:r>
        <w:rPr>
          <w:rFonts w:eastAsia="仿宋_GB2312"/>
          <w:color w:val="auto"/>
          <w:sz w:val="32"/>
          <w:szCs w:val="32"/>
        </w:rPr>
        <w:t>（1）封面需有样品名称、送检单位、检验类别、报告日期，加盖资质认定计量认证证书（CMA）、农产品质量安全检测机构考核合格证书（CALT）以及服务单位公章。</w:t>
      </w:r>
    </w:p>
    <w:p>
      <w:pPr>
        <w:spacing w:line="600" w:lineRule="exact"/>
        <w:ind w:firstLine="640" w:firstLineChars="200"/>
        <w:rPr>
          <w:rFonts w:eastAsia="仿宋_GB2312"/>
          <w:color w:val="auto"/>
          <w:sz w:val="32"/>
          <w:szCs w:val="32"/>
        </w:rPr>
      </w:pPr>
      <w:r>
        <w:rPr>
          <w:rFonts w:eastAsia="仿宋_GB2312"/>
          <w:color w:val="auto"/>
          <w:sz w:val="32"/>
          <w:szCs w:val="32"/>
        </w:rPr>
        <w:t>（2）内页需含抽样单内容，包含但不限于样品名称、型号规格、商标、送检单位、检验类别、生产单位、样品等级、抽样地点、样品状态、抽样数量、送样日期、抽样基数、送样者、检验依据、原编号或生产日期、所用主要仪器、实验环境条件、检验结论、备注，要有批准人、审核人、制表人签名以及职务。</w:t>
      </w:r>
    </w:p>
    <w:p>
      <w:pPr>
        <w:spacing w:line="600" w:lineRule="exact"/>
        <w:ind w:firstLine="640" w:firstLineChars="200"/>
        <w:rPr>
          <w:rFonts w:eastAsia="仿宋_GB2312"/>
          <w:color w:val="auto"/>
          <w:sz w:val="32"/>
          <w:szCs w:val="32"/>
        </w:rPr>
      </w:pPr>
      <w:r>
        <w:rPr>
          <w:rFonts w:eastAsia="仿宋_GB2312"/>
          <w:color w:val="auto"/>
          <w:sz w:val="32"/>
          <w:szCs w:val="32"/>
        </w:rPr>
        <w:t>（3）结果报告需有检测项目的详细内容，包含但不限于样品名称、样品原号、送检单位、检验日期、检测项目、单位、实测值、检测依据、指标、单项结论、备注。</w:t>
      </w:r>
    </w:p>
    <w:p>
      <w:pPr>
        <w:spacing w:line="600" w:lineRule="exact"/>
        <w:ind w:firstLine="640" w:firstLineChars="200"/>
        <w:rPr>
          <w:rFonts w:eastAsia="仿宋_GB2312"/>
          <w:color w:val="auto"/>
          <w:sz w:val="32"/>
          <w:szCs w:val="32"/>
        </w:rPr>
      </w:pPr>
      <w:r>
        <w:rPr>
          <w:rFonts w:eastAsia="仿宋_GB2312"/>
          <w:color w:val="auto"/>
          <w:sz w:val="32"/>
          <w:szCs w:val="32"/>
        </w:rPr>
        <w:t>（4）检测报告一式</w:t>
      </w:r>
      <w:r>
        <w:rPr>
          <w:rFonts w:hint="eastAsia" w:eastAsia="仿宋_GB2312"/>
          <w:color w:val="auto"/>
          <w:sz w:val="32"/>
          <w:szCs w:val="32"/>
        </w:rPr>
        <w:t>一份,需在接样后96小时出具</w:t>
      </w:r>
      <w:r>
        <w:rPr>
          <w:rFonts w:eastAsia="仿宋_GB2312"/>
          <w:color w:val="auto"/>
          <w:sz w:val="32"/>
          <w:szCs w:val="32"/>
        </w:rPr>
        <w:t>。</w:t>
      </w:r>
    </w:p>
    <w:p>
      <w:pPr>
        <w:spacing w:line="600" w:lineRule="exact"/>
        <w:ind w:firstLine="640" w:firstLineChars="200"/>
        <w:rPr>
          <w:rFonts w:eastAsia="仿宋_GB2312"/>
          <w:color w:val="auto"/>
          <w:sz w:val="32"/>
          <w:szCs w:val="32"/>
        </w:rPr>
      </w:pPr>
      <w:r>
        <w:rPr>
          <w:rFonts w:eastAsia="仿宋_GB2312"/>
          <w:color w:val="auto"/>
          <w:sz w:val="32"/>
          <w:szCs w:val="32"/>
        </w:rPr>
        <w:t>（</w:t>
      </w:r>
      <w:r>
        <w:rPr>
          <w:rFonts w:hint="eastAsia" w:eastAsia="仿宋_GB2312"/>
          <w:color w:val="auto"/>
          <w:sz w:val="32"/>
          <w:szCs w:val="32"/>
        </w:rPr>
        <w:t>5</w:t>
      </w:r>
      <w:r>
        <w:rPr>
          <w:rFonts w:eastAsia="仿宋_GB2312"/>
          <w:color w:val="auto"/>
          <w:sz w:val="32"/>
          <w:szCs w:val="32"/>
        </w:rPr>
        <w:t>）服务单位应承担协助抽样、送样、检测工作。</w:t>
      </w:r>
    </w:p>
    <w:p>
      <w:pPr>
        <w:spacing w:line="600" w:lineRule="exact"/>
        <w:ind w:firstLine="640" w:firstLineChars="200"/>
        <w:rPr>
          <w:rFonts w:eastAsia="仿宋_GB2312"/>
          <w:color w:val="auto"/>
          <w:sz w:val="32"/>
          <w:szCs w:val="32"/>
        </w:rPr>
      </w:pPr>
      <w:r>
        <w:rPr>
          <w:rFonts w:eastAsia="仿宋_GB2312"/>
          <w:color w:val="auto"/>
          <w:sz w:val="32"/>
          <w:szCs w:val="32"/>
        </w:rPr>
        <w:t>（</w:t>
      </w:r>
      <w:r>
        <w:rPr>
          <w:rFonts w:hint="eastAsia" w:eastAsia="仿宋_GB2312"/>
          <w:color w:val="auto"/>
          <w:sz w:val="32"/>
          <w:szCs w:val="32"/>
        </w:rPr>
        <w:t>6</w:t>
      </w:r>
      <w:r>
        <w:rPr>
          <w:rFonts w:eastAsia="仿宋_GB2312"/>
          <w:color w:val="auto"/>
          <w:sz w:val="32"/>
          <w:szCs w:val="32"/>
        </w:rPr>
        <w:t>）服务单位需自备抽样工具、耗材及交通工具，并按所抽检产品当日售价向被抽查人购买样品。</w:t>
      </w:r>
    </w:p>
    <w:p>
      <w:pPr>
        <w:widowControl/>
        <w:jc w:val="left"/>
        <w:rPr>
          <w:rFonts w:eastAsia="仿宋_GB2312"/>
          <w:color w:val="auto"/>
          <w:sz w:val="32"/>
          <w:szCs w:val="32"/>
        </w:rPr>
      </w:pPr>
      <w:r>
        <w:rPr>
          <w:rFonts w:eastAsia="仿宋_GB2312"/>
          <w:color w:val="auto"/>
          <w:sz w:val="32"/>
          <w:szCs w:val="32"/>
        </w:rPr>
        <w:br w:type="page"/>
      </w:r>
    </w:p>
    <w:p>
      <w:pPr>
        <w:spacing w:line="600" w:lineRule="exact"/>
        <w:ind w:firstLine="640" w:firstLineChars="200"/>
        <w:rPr>
          <w:rFonts w:eastAsia="仿宋_GB2312"/>
          <w:color w:val="auto"/>
          <w:sz w:val="32"/>
          <w:szCs w:val="32"/>
        </w:rPr>
      </w:pPr>
      <w:r>
        <w:rPr>
          <w:rFonts w:hint="eastAsia" w:eastAsia="仿宋_GB2312"/>
          <w:color w:val="auto"/>
          <w:sz w:val="32"/>
          <w:szCs w:val="32"/>
        </w:rPr>
        <w:t>附件3</w:t>
      </w:r>
    </w:p>
    <w:tbl>
      <w:tblPr>
        <w:tblStyle w:val="12"/>
        <w:tblW w:w="8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1071"/>
        <w:gridCol w:w="5295"/>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071" w:type="dxa"/>
            <w:noWrap w:val="0"/>
            <w:vAlign w:val="center"/>
          </w:tcPr>
          <w:p>
            <w:pPr>
              <w:spacing w:line="300" w:lineRule="exact"/>
              <w:jc w:val="center"/>
              <w:rPr>
                <w:rFonts w:hint="eastAsia" w:ascii="Times New Roman" w:hAnsi="Times New Roman" w:eastAsia="仿宋_GB2312"/>
                <w:b/>
                <w:bCs/>
                <w:color w:val="auto"/>
                <w:sz w:val="24"/>
                <w:szCs w:val="24"/>
                <w:lang w:eastAsia="zh-CN"/>
              </w:rPr>
            </w:pPr>
            <w:r>
              <w:rPr>
                <w:rFonts w:hint="eastAsia" w:eastAsia="仿宋_GB2312"/>
                <w:b/>
                <w:bCs/>
                <w:color w:val="auto"/>
                <w:sz w:val="24"/>
                <w:szCs w:val="24"/>
                <w:lang w:eastAsia="zh-CN"/>
              </w:rPr>
              <w:t>项目</w:t>
            </w:r>
          </w:p>
        </w:tc>
        <w:tc>
          <w:tcPr>
            <w:tcW w:w="1071" w:type="dxa"/>
            <w:noWrap w:val="0"/>
            <w:vAlign w:val="center"/>
          </w:tcPr>
          <w:p>
            <w:pPr>
              <w:spacing w:line="300" w:lineRule="exact"/>
              <w:jc w:val="center"/>
              <w:rPr>
                <w:rFonts w:ascii="Times New Roman" w:hAnsi="Times New Roman" w:eastAsia="仿宋_GB2312"/>
                <w:color w:val="auto"/>
                <w:kern w:val="0"/>
                <w:sz w:val="22"/>
                <w:szCs w:val="22"/>
              </w:rPr>
            </w:pPr>
            <w:r>
              <w:rPr>
                <w:rFonts w:ascii="Times New Roman" w:hAnsi="Times New Roman" w:eastAsia="仿宋_GB2312"/>
                <w:b/>
                <w:bCs/>
                <w:color w:val="auto"/>
                <w:sz w:val="24"/>
                <w:szCs w:val="24"/>
              </w:rPr>
              <w:t>品种</w:t>
            </w:r>
          </w:p>
        </w:tc>
        <w:tc>
          <w:tcPr>
            <w:tcW w:w="5295" w:type="dxa"/>
            <w:noWrap w:val="0"/>
            <w:vAlign w:val="center"/>
          </w:tcPr>
          <w:p>
            <w:pPr>
              <w:spacing w:line="300" w:lineRule="exact"/>
              <w:jc w:val="center"/>
              <w:rPr>
                <w:rFonts w:ascii="Times New Roman" w:hAnsi="Times New Roman" w:eastAsia="仿宋_GB2312"/>
                <w:color w:val="auto"/>
                <w:kern w:val="0"/>
                <w:sz w:val="22"/>
                <w:szCs w:val="22"/>
              </w:rPr>
            </w:pPr>
            <w:r>
              <w:rPr>
                <w:rFonts w:ascii="Times New Roman" w:hAnsi="Times New Roman" w:eastAsia="仿宋_GB2312"/>
                <w:b/>
                <w:bCs/>
                <w:color w:val="auto"/>
                <w:sz w:val="24"/>
                <w:szCs w:val="24"/>
              </w:rPr>
              <w:t>监测项目</w:t>
            </w:r>
          </w:p>
        </w:tc>
        <w:tc>
          <w:tcPr>
            <w:tcW w:w="1366" w:type="dxa"/>
            <w:noWrap w:val="0"/>
            <w:vAlign w:val="center"/>
          </w:tcPr>
          <w:p>
            <w:pPr>
              <w:pStyle w:val="6"/>
              <w:spacing w:line="400" w:lineRule="exact"/>
              <w:ind w:hanging="17" w:firstLineChars="0"/>
              <w:jc w:val="center"/>
              <w:rPr>
                <w:rFonts w:hint="eastAsia" w:ascii="Times New Roman" w:hAnsi="Times New Roman" w:eastAsia="仿宋_GB2312" w:cs="Times New Roman"/>
                <w:b/>
                <w:color w:val="auto"/>
                <w:kern w:val="2"/>
                <w:sz w:val="24"/>
                <w:szCs w:val="24"/>
                <w:lang w:val="en-US" w:eastAsia="zh-CN" w:bidi="ar-SA"/>
              </w:rPr>
            </w:pPr>
            <w:r>
              <w:rPr>
                <w:rFonts w:hint="eastAsia" w:ascii="Times New Roman"/>
                <w:b/>
                <w:color w:val="auto"/>
                <w:sz w:val="24"/>
                <w:szCs w:val="24"/>
                <w:lang w:eastAsia="zh-CN"/>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6" w:hRule="atLeast"/>
          <w:jc w:val="center"/>
        </w:trPr>
        <w:tc>
          <w:tcPr>
            <w:tcW w:w="1071" w:type="dxa"/>
            <w:noWrap w:val="0"/>
            <w:vAlign w:val="center"/>
          </w:tcPr>
          <w:p>
            <w:pPr>
              <w:spacing w:line="300" w:lineRule="exact"/>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专项监测</w:t>
            </w:r>
          </w:p>
        </w:tc>
        <w:tc>
          <w:tcPr>
            <w:tcW w:w="1071" w:type="dxa"/>
            <w:noWrap w:val="0"/>
            <w:vAlign w:val="center"/>
          </w:tcPr>
          <w:p>
            <w:pPr>
              <w:spacing w:line="300" w:lineRule="exact"/>
              <w:jc w:val="center"/>
              <w:rPr>
                <w:rFonts w:hint="eastAsia" w:ascii="仿宋_GB2312" w:hAnsi="仿宋_GB2312" w:eastAsia="仿宋_GB2312" w:cs="仿宋_GB2312"/>
                <w:color w:val="auto"/>
                <w:spacing w:val="-20"/>
                <w:sz w:val="24"/>
                <w:szCs w:val="24"/>
              </w:rPr>
            </w:pPr>
            <w:r>
              <w:rPr>
                <w:rFonts w:hint="eastAsia" w:ascii="仿宋_GB2312" w:hAnsi="仿宋_GB2312" w:eastAsia="仿宋_GB2312" w:cs="仿宋_GB2312"/>
                <w:color w:val="auto"/>
                <w:spacing w:val="-20"/>
                <w:sz w:val="24"/>
                <w:szCs w:val="24"/>
              </w:rPr>
              <w:t>蔬菜</w:t>
            </w:r>
          </w:p>
          <w:p>
            <w:pPr>
              <w:spacing w:line="300" w:lineRule="exact"/>
              <w:jc w:val="center"/>
              <w:rPr>
                <w:rFonts w:hint="eastAsia" w:ascii="仿宋_GB2312" w:hAnsi="仿宋_GB2312" w:eastAsia="仿宋_GB2312" w:cs="仿宋_GB2312"/>
                <w:color w:val="auto"/>
                <w:spacing w:val="-20"/>
                <w:sz w:val="24"/>
                <w:szCs w:val="24"/>
              </w:rPr>
            </w:pPr>
          </w:p>
          <w:p>
            <w:pPr>
              <w:spacing w:line="300" w:lineRule="exact"/>
              <w:jc w:val="center"/>
              <w:rPr>
                <w:rFonts w:hint="eastAsia" w:ascii="仿宋_GB2312" w:hAnsi="仿宋_GB2312" w:eastAsia="仿宋_GB2312" w:cs="仿宋_GB2312"/>
                <w:color w:val="auto"/>
                <w:spacing w:val="-20"/>
                <w:sz w:val="24"/>
                <w:szCs w:val="24"/>
              </w:rPr>
            </w:pPr>
            <w:r>
              <w:rPr>
                <w:rFonts w:hint="eastAsia" w:ascii="仿宋_GB2312" w:hAnsi="仿宋_GB2312" w:eastAsia="仿宋_GB2312" w:cs="仿宋_GB2312"/>
                <w:color w:val="auto"/>
                <w:spacing w:val="-20"/>
                <w:sz w:val="24"/>
                <w:szCs w:val="24"/>
              </w:rPr>
              <w:t>水果</w:t>
            </w:r>
          </w:p>
          <w:p>
            <w:pPr>
              <w:spacing w:line="300" w:lineRule="exact"/>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lang w:val="en-US" w:eastAsia="zh-CN"/>
              </w:rPr>
              <w:t>200份</w:t>
            </w:r>
            <w:r>
              <w:rPr>
                <w:rFonts w:hint="eastAsia" w:ascii="仿宋_GB2312" w:hAnsi="仿宋_GB2312" w:eastAsia="仿宋_GB2312" w:cs="仿宋_GB2312"/>
                <w:color w:val="auto"/>
                <w:kern w:val="0"/>
                <w:sz w:val="24"/>
                <w:szCs w:val="24"/>
                <w:lang w:eastAsia="zh-CN"/>
              </w:rPr>
              <w:t>）</w:t>
            </w:r>
          </w:p>
        </w:tc>
        <w:tc>
          <w:tcPr>
            <w:tcW w:w="5295" w:type="dxa"/>
            <w:noWrap w:val="0"/>
            <w:vAlign w:val="center"/>
          </w:tcPr>
          <w:p>
            <w:pPr>
              <w:spacing w:line="300" w:lineRule="exac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甲胺磷、氧乐果、甲拌磷（包括甲拌磷砜、甲拌磷亚砜）、对硫磷、甲基对硫磷、甲基异柳磷、水胺硫磷、治螟磷、特丁硫磷、乐果、敌敌畏、毒死蜱、乙酰甲胺磷、三唑磷、丙溴磷、杀螟硫磷、二嗪磷、马拉硫磷、亚胺硫磷、伏杀硫磷、辛硫磷、杀扑磷、六六六（α-六六六，β-六六六，γ-六六六和δ-六六六之和）、氯菊酯、氯氰菊酯、氰戊菊酯、甲氰菊酯、氯氟氰菊酯、氟氯氰菊酯、溴氰菊酯、联苯菊酯、氟胺氰菊酯、氟氰戊菊酯、三唑酮、百菌清、异菌脲、硫丹、涕灭威（包括涕灭威砜，涕灭威亚砜）、灭多威、克百威（包括3-羟基克百威）、丁硫克百威、甲萘威、三氯杀螨醇、腐霉利、五氯硝基苯、乙烯菌核利、多菌灵、吡虫啉、氟虫腈（包括氟甲腈，氟虫腈砜，氟虫腈硫醚）、啶虫脒、哒螨灵、苯醚甲环唑、嘧霉胺、甲氨基阿维菌素苯甲酸盐、烯酰吗啉、虫螨腈、咪鲜胺、嘧菌酯、二甲戊乐灵（二甲戊灵）、噻虫嗪、氟啶脲、除虫脲、灭幼脲、阿维菌素、灭蝇胺、甲霜灵、霜霉威、多效唑、氯吡脲、氯虫苯甲酰胺、醚菊酯、虫酰肼、吡唑醚菌酯、内吸磷、久效磷等75种农药</w:t>
            </w:r>
          </w:p>
        </w:tc>
        <w:tc>
          <w:tcPr>
            <w:tcW w:w="1366" w:type="dxa"/>
            <w:noWrap w:val="0"/>
            <w:vAlign w:val="center"/>
          </w:tcPr>
          <w:p>
            <w:pPr>
              <w:pStyle w:val="3"/>
              <w:keepNext w:val="0"/>
              <w:keepLines w:val="0"/>
              <w:pageBreakBefore w:val="0"/>
              <w:widowControl w:val="0"/>
              <w:tabs>
                <w:tab w:val="left" w:pos="1800"/>
              </w:tabs>
              <w:kinsoku/>
              <w:wordWrap/>
              <w:overflowPunct/>
              <w:topLinePunct w:val="0"/>
              <w:autoSpaceDE/>
              <w:autoSpaceDN/>
              <w:bidi w:val="0"/>
              <w:adjustRightInd/>
              <w:snapToGrid/>
              <w:spacing w:line="400" w:lineRule="exact"/>
              <w:ind w:left="0" w:leftChars="0"/>
              <w:textAlignment w:val="auto"/>
              <w:rPr>
                <w:rFonts w:hint="eastAsia" w:ascii="仿宋_GB2312" w:hAnsi="仿宋_GB2312" w:eastAsia="仿宋_GB2312" w:cs="仿宋_GB2312"/>
                <w:color w:val="auto"/>
                <w:kern w:val="2"/>
                <w:sz w:val="24"/>
                <w:szCs w:val="24"/>
                <w:lang w:val="fr-FR"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071" w:type="dxa"/>
            <w:noWrap w:val="0"/>
            <w:vAlign w:val="center"/>
          </w:tcPr>
          <w:p>
            <w:pPr>
              <w:spacing w:line="300" w:lineRule="exact"/>
              <w:jc w:val="center"/>
              <w:rPr>
                <w:rFonts w:hint="eastAsia" w:ascii="Times New Roman" w:hAnsi="Times New Roman" w:eastAsia="仿宋_GB2312" w:cs="Times New Roman"/>
                <w:color w:val="auto"/>
                <w:kern w:val="0"/>
                <w:sz w:val="24"/>
                <w:szCs w:val="24"/>
                <w:lang w:val="en-US" w:eastAsia="zh-CN" w:bidi="ar-SA"/>
              </w:rPr>
            </w:pPr>
            <w:r>
              <w:rPr>
                <w:rFonts w:hint="eastAsia" w:eastAsia="仿宋_GB2312"/>
                <w:color w:val="auto"/>
                <w:kern w:val="0"/>
                <w:sz w:val="24"/>
                <w:lang w:eastAsia="zh-CN"/>
              </w:rPr>
              <w:t>重金属检测</w:t>
            </w:r>
          </w:p>
        </w:tc>
        <w:tc>
          <w:tcPr>
            <w:tcW w:w="1071" w:type="dxa"/>
            <w:noWrap w:val="0"/>
            <w:vAlign w:val="center"/>
          </w:tcPr>
          <w:p>
            <w:pPr>
              <w:spacing w:line="300" w:lineRule="exact"/>
              <w:jc w:val="center"/>
              <w:rPr>
                <w:rFonts w:hint="eastAsia" w:ascii="Times New Roman" w:hAnsi="Times New Roman" w:eastAsia="仿宋_GB2312" w:cs="Times New Roman"/>
                <w:color w:val="auto"/>
                <w:kern w:val="0"/>
                <w:sz w:val="24"/>
                <w:szCs w:val="24"/>
                <w:lang w:val="en-US" w:eastAsia="zh-CN" w:bidi="ar-SA"/>
              </w:rPr>
            </w:pPr>
            <w:r>
              <w:rPr>
                <w:rFonts w:hint="eastAsia" w:eastAsia="仿宋_GB2312"/>
                <w:color w:val="auto"/>
                <w:kern w:val="0"/>
                <w:sz w:val="24"/>
                <w:lang w:eastAsia="zh-CN"/>
              </w:rPr>
              <w:t>蔬菜水果（</w:t>
            </w:r>
            <w:r>
              <w:rPr>
                <w:rFonts w:hint="eastAsia" w:eastAsia="仿宋_GB2312"/>
                <w:color w:val="auto"/>
                <w:kern w:val="0"/>
                <w:sz w:val="24"/>
                <w:lang w:val="en-US" w:eastAsia="zh-CN"/>
              </w:rPr>
              <w:t>200份</w:t>
            </w:r>
            <w:r>
              <w:rPr>
                <w:rFonts w:hint="eastAsia" w:eastAsia="仿宋_GB2312"/>
                <w:color w:val="auto"/>
                <w:kern w:val="0"/>
                <w:sz w:val="24"/>
                <w:lang w:eastAsia="zh-CN"/>
              </w:rPr>
              <w:t>）</w:t>
            </w:r>
          </w:p>
        </w:tc>
        <w:tc>
          <w:tcPr>
            <w:tcW w:w="5295" w:type="dxa"/>
            <w:noWrap w:val="0"/>
            <w:vAlign w:val="center"/>
          </w:tcPr>
          <w:p>
            <w:pPr>
              <w:spacing w:line="300" w:lineRule="exac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铅、总砷、镉、铬、总汞5种重金属</w:t>
            </w:r>
          </w:p>
        </w:tc>
        <w:tc>
          <w:tcPr>
            <w:tcW w:w="1366" w:type="dxa"/>
            <w:noWrap w:val="0"/>
            <w:vAlign w:val="top"/>
          </w:tcPr>
          <w:p>
            <w:pPr>
              <w:spacing w:line="340" w:lineRule="exact"/>
              <w:rPr>
                <w:rFonts w:ascii="Times New Roman" w:hAnsi="Times New Roman" w:eastAsia="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071" w:type="dxa"/>
            <w:noWrap w:val="0"/>
            <w:vAlign w:val="center"/>
          </w:tcPr>
          <w:p>
            <w:pPr>
              <w:spacing w:line="300" w:lineRule="exact"/>
              <w:jc w:val="center"/>
              <w:rPr>
                <w:rFonts w:hint="eastAsia" w:ascii="Times New Roman" w:hAnsi="Times New Roman" w:eastAsia="仿宋_GB2312"/>
                <w:color w:val="auto"/>
                <w:kern w:val="0"/>
                <w:sz w:val="24"/>
                <w:lang w:eastAsia="zh-CN"/>
              </w:rPr>
            </w:pPr>
            <w:r>
              <w:rPr>
                <w:rFonts w:hint="eastAsia" w:eastAsia="仿宋_GB2312"/>
                <w:color w:val="auto"/>
                <w:kern w:val="0"/>
                <w:sz w:val="24"/>
                <w:lang w:eastAsia="zh-CN"/>
              </w:rPr>
              <w:t>风险监测</w:t>
            </w:r>
          </w:p>
        </w:tc>
        <w:tc>
          <w:tcPr>
            <w:tcW w:w="1071" w:type="dxa"/>
            <w:noWrap w:val="0"/>
            <w:vAlign w:val="center"/>
          </w:tcPr>
          <w:p>
            <w:pPr>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蔬菜</w:t>
            </w:r>
          </w:p>
          <w:p>
            <w:pPr>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水果</w:t>
            </w:r>
          </w:p>
          <w:p>
            <w:pPr>
              <w:spacing w:line="3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40份</w:t>
            </w:r>
            <w:r>
              <w:rPr>
                <w:rFonts w:hint="eastAsia" w:ascii="仿宋_GB2312" w:hAnsi="仿宋_GB2312" w:eastAsia="仿宋_GB2312" w:cs="仿宋_GB2312"/>
                <w:color w:val="auto"/>
                <w:sz w:val="24"/>
                <w:szCs w:val="24"/>
                <w:lang w:eastAsia="zh-CN"/>
              </w:rPr>
              <w:t>）</w:t>
            </w:r>
          </w:p>
        </w:tc>
        <w:tc>
          <w:tcPr>
            <w:tcW w:w="5295" w:type="dxa"/>
            <w:noWrap w:val="0"/>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毒死蜱、三唑磷、甲胺磷、治螟磷、特丁硫磷、甲拌磷（包括甲拌磷砜、甲拌磷亚砜）、氟虫腈（包括氟甲腈、氟虫腈砜、氟虫腈硫醚）、氟虫胺、对硫磷、甲基对硫磷、水胺硫磷、久效磷、硫线磷、克百威（包括3-羟基克百威）、涕灭威（包括涕灭威砜、涕灭威亚砜）、氧乐果、灭多威、甲基异柳磷、三氯杀螨醇、硫丹、乙酰甲胺磷、丁硫克百威、乐果、六六六、内吸磷等禁限用药物及其他未包含的专项监测项目</w:t>
            </w:r>
          </w:p>
        </w:tc>
        <w:tc>
          <w:tcPr>
            <w:tcW w:w="1366" w:type="dxa"/>
            <w:noWrap w:val="0"/>
            <w:vAlign w:val="top"/>
          </w:tcPr>
          <w:p>
            <w:pPr>
              <w:spacing w:line="340" w:lineRule="exact"/>
              <w:rPr>
                <w:rFonts w:ascii="Times New Roman" w:hAnsi="Times New Roman" w:eastAsia="仿宋_GB2312"/>
                <w:color w:val="auto"/>
                <w:kern w:val="0"/>
                <w:sz w:val="24"/>
                <w:szCs w:val="24"/>
              </w:rPr>
            </w:pPr>
          </w:p>
        </w:tc>
      </w:tr>
    </w:tbl>
    <w:p>
      <w:pPr>
        <w:spacing w:line="600" w:lineRule="exact"/>
        <w:ind w:firstLine="640" w:firstLineChars="200"/>
        <w:rPr>
          <w:rFonts w:eastAsia="仿宋_GB2312"/>
          <w:color w:val="auto"/>
          <w:sz w:val="32"/>
          <w:szCs w:val="32"/>
        </w:rPr>
      </w:pPr>
    </w:p>
    <w:p>
      <w:pPr>
        <w:widowControl/>
        <w:jc w:val="left"/>
        <w:rPr>
          <w:rFonts w:eastAsia="仿宋_GB2312"/>
          <w:color w:val="auto"/>
          <w:sz w:val="32"/>
          <w:szCs w:val="32"/>
        </w:rPr>
      </w:pPr>
      <w:r>
        <w:rPr>
          <w:rFonts w:ascii="仿宋_GB2312" w:hAnsi="仿宋_GB2312" w:eastAsia="仿宋_GB2312" w:cs="仿宋_GB2312"/>
          <w:color w:val="auto"/>
          <w:sz w:val="32"/>
          <w:szCs w:val="32"/>
        </w:rPr>
        <w:br w:type="page"/>
      </w:r>
    </w:p>
    <w:p>
      <w:pPr>
        <w:pStyle w:val="18"/>
        <w:snapToGrid w:val="0"/>
        <w:spacing w:line="600" w:lineRule="exact"/>
        <w:ind w:firstLine="0" w:firstLineChars="0"/>
        <w:rPr>
          <w:rFonts w:ascii="仿宋_GB2312" w:hAnsi="仿宋_GB2312" w:eastAsia="仿宋_GB2312" w:cs="仿宋_GB2312"/>
          <w:color w:val="auto"/>
          <w:sz w:val="32"/>
          <w:szCs w:val="32"/>
        </w:rPr>
      </w:pPr>
    </w:p>
    <w:p>
      <w:pPr>
        <w:pStyle w:val="18"/>
        <w:snapToGrid w:val="0"/>
        <w:spacing w:line="60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（以下为签署栏）</w:t>
      </w:r>
    </w:p>
    <w:tbl>
      <w:tblPr>
        <w:tblStyle w:val="12"/>
        <w:tblpPr w:leftFromText="180" w:rightFromText="180" w:vertAnchor="text" w:horzAnchor="page" w:tblpX="1491" w:tblpY="665"/>
        <w:tblW w:w="9487" w:type="dxa"/>
        <w:jc w:val="center"/>
        <w:tblLayout w:type="fixed"/>
        <w:tblCellMar>
          <w:top w:w="0" w:type="dxa"/>
          <w:left w:w="108" w:type="dxa"/>
          <w:bottom w:w="0" w:type="dxa"/>
          <w:right w:w="108" w:type="dxa"/>
        </w:tblCellMar>
      </w:tblPr>
      <w:tblGrid>
        <w:gridCol w:w="4162"/>
        <w:gridCol w:w="5325"/>
      </w:tblGrid>
      <w:tr>
        <w:tblPrEx>
          <w:tblCellMar>
            <w:top w:w="0" w:type="dxa"/>
            <w:left w:w="108" w:type="dxa"/>
            <w:bottom w:w="0" w:type="dxa"/>
            <w:right w:w="108" w:type="dxa"/>
          </w:tblCellMar>
        </w:tblPrEx>
        <w:trPr>
          <w:trHeight w:val="1245" w:hRule="atLeast"/>
          <w:jc w:val="center"/>
        </w:trPr>
        <w:tc>
          <w:tcPr>
            <w:tcW w:w="4162" w:type="dxa"/>
          </w:tcPr>
          <w:p>
            <w:pPr>
              <w:spacing w:line="48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甲方（盖章）：</w:t>
            </w:r>
          </w:p>
          <w:p>
            <w:pPr>
              <w:spacing w:line="480" w:lineRule="exact"/>
              <w:jc w:val="center"/>
              <w:rPr>
                <w:rFonts w:ascii="仿宋_GB2312" w:hAnsi="仿宋_GB2312" w:eastAsia="仿宋_GB2312" w:cs="仿宋_GB2312"/>
                <w:color w:val="auto"/>
                <w:sz w:val="32"/>
                <w:szCs w:val="32"/>
              </w:rPr>
            </w:pPr>
          </w:p>
          <w:p>
            <w:pPr>
              <w:spacing w:line="48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法定代表人（或授权代表）：</w:t>
            </w:r>
          </w:p>
        </w:tc>
        <w:tc>
          <w:tcPr>
            <w:tcW w:w="5325" w:type="dxa"/>
          </w:tcPr>
          <w:p>
            <w:pPr>
              <w:spacing w:line="480" w:lineRule="exact"/>
              <w:ind w:firstLine="320" w:firstLineChars="1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乙方（盖章）：</w:t>
            </w:r>
          </w:p>
          <w:p>
            <w:pPr>
              <w:spacing w:line="480" w:lineRule="exact"/>
              <w:ind w:firstLine="320" w:firstLineChars="100"/>
              <w:rPr>
                <w:rFonts w:ascii="仿宋_GB2312" w:hAnsi="仿宋_GB2312" w:eastAsia="仿宋_GB2312" w:cs="仿宋_GB2312"/>
                <w:color w:val="auto"/>
                <w:sz w:val="32"/>
                <w:szCs w:val="32"/>
              </w:rPr>
            </w:pPr>
          </w:p>
          <w:p>
            <w:pPr>
              <w:spacing w:line="480" w:lineRule="exact"/>
              <w:ind w:firstLine="320" w:firstLineChars="1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法定代表人（或授权代表）：</w:t>
            </w:r>
          </w:p>
        </w:tc>
      </w:tr>
      <w:tr>
        <w:tblPrEx>
          <w:tblCellMar>
            <w:top w:w="0" w:type="dxa"/>
            <w:left w:w="108" w:type="dxa"/>
            <w:bottom w:w="0" w:type="dxa"/>
            <w:right w:w="108" w:type="dxa"/>
          </w:tblCellMar>
        </w:tblPrEx>
        <w:trPr>
          <w:trHeight w:val="605" w:hRule="atLeast"/>
          <w:jc w:val="center"/>
        </w:trPr>
        <w:tc>
          <w:tcPr>
            <w:tcW w:w="4162" w:type="dxa"/>
          </w:tcPr>
          <w:p>
            <w:pPr>
              <w:tabs>
                <w:tab w:val="left" w:pos="709"/>
              </w:tabs>
              <w:spacing w:line="480" w:lineRule="exact"/>
              <w:jc w:val="left"/>
              <w:rPr>
                <w:rFonts w:ascii="仿宋_GB2312" w:hAnsi="仿宋_GB2312" w:eastAsia="仿宋_GB2312" w:cs="仿宋_GB2312"/>
                <w:color w:val="auto"/>
                <w:sz w:val="32"/>
                <w:szCs w:val="32"/>
              </w:rPr>
            </w:pPr>
          </w:p>
          <w:p>
            <w:pPr>
              <w:tabs>
                <w:tab w:val="left" w:pos="709"/>
              </w:tabs>
              <w:spacing w:line="480" w:lineRule="exact"/>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签定日期：年月日</w:t>
            </w:r>
          </w:p>
          <w:p>
            <w:pPr>
              <w:spacing w:line="480" w:lineRule="exact"/>
              <w:ind w:firstLine="320" w:firstLineChars="100"/>
              <w:rPr>
                <w:rFonts w:ascii="仿宋_GB2312" w:hAnsi="仿宋_GB2312" w:eastAsia="仿宋_GB2312" w:cs="仿宋_GB2312"/>
                <w:color w:val="auto"/>
                <w:sz w:val="32"/>
                <w:szCs w:val="32"/>
              </w:rPr>
            </w:pPr>
          </w:p>
        </w:tc>
        <w:tc>
          <w:tcPr>
            <w:tcW w:w="5325" w:type="dxa"/>
          </w:tcPr>
          <w:p>
            <w:pPr>
              <w:snapToGrid w:val="0"/>
              <w:spacing w:line="480" w:lineRule="exact"/>
              <w:ind w:firstLine="320" w:firstLineChars="100"/>
              <w:rPr>
                <w:rFonts w:ascii="仿宋_GB2312" w:hAnsi="仿宋_GB2312" w:eastAsia="仿宋_GB2312" w:cs="仿宋_GB2312"/>
                <w:color w:val="auto"/>
                <w:sz w:val="32"/>
                <w:szCs w:val="32"/>
              </w:rPr>
            </w:pPr>
          </w:p>
          <w:p>
            <w:pPr>
              <w:snapToGrid w:val="0"/>
              <w:spacing w:line="480" w:lineRule="exact"/>
              <w:ind w:firstLine="320" w:firstLineChars="1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签定日期：年月日</w:t>
            </w:r>
          </w:p>
          <w:p>
            <w:pPr>
              <w:snapToGrid w:val="0"/>
              <w:spacing w:line="480" w:lineRule="exact"/>
              <w:ind w:firstLine="320" w:firstLineChars="100"/>
              <w:rPr>
                <w:rFonts w:ascii="仿宋_GB2312" w:hAnsi="仿宋_GB2312" w:eastAsia="仿宋_GB2312" w:cs="仿宋_GB2312"/>
                <w:color w:val="auto"/>
                <w:sz w:val="32"/>
                <w:szCs w:val="32"/>
              </w:rPr>
            </w:pPr>
          </w:p>
          <w:p>
            <w:pPr>
              <w:snapToGrid w:val="0"/>
              <w:spacing w:line="480" w:lineRule="exact"/>
              <w:ind w:firstLine="320" w:firstLineChars="1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开户名称：</w:t>
            </w:r>
          </w:p>
          <w:p>
            <w:pPr>
              <w:snapToGrid w:val="0"/>
              <w:spacing w:line="480" w:lineRule="exact"/>
              <w:ind w:firstLine="320" w:firstLineChars="100"/>
              <w:rPr>
                <w:rFonts w:ascii="仿宋_GB2312" w:hAnsi="仿宋_GB2312" w:eastAsia="仿宋_GB2312" w:cs="仿宋_GB2312"/>
                <w:color w:val="auto"/>
                <w:sz w:val="32"/>
                <w:szCs w:val="32"/>
              </w:rPr>
            </w:pPr>
          </w:p>
          <w:p>
            <w:pPr>
              <w:snapToGrid w:val="0"/>
              <w:spacing w:line="480" w:lineRule="exact"/>
              <w:ind w:firstLine="320" w:firstLineChars="1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开户行：</w:t>
            </w:r>
          </w:p>
          <w:p>
            <w:pPr>
              <w:spacing w:line="480" w:lineRule="exact"/>
              <w:rPr>
                <w:rFonts w:ascii="仿宋_GB2312" w:hAnsi="仿宋_GB2312" w:eastAsia="仿宋_GB2312" w:cs="仿宋_GB2312"/>
                <w:color w:val="auto"/>
                <w:sz w:val="32"/>
                <w:szCs w:val="32"/>
              </w:rPr>
            </w:pPr>
          </w:p>
          <w:p>
            <w:pPr>
              <w:spacing w:line="480" w:lineRule="exact"/>
              <w:ind w:firstLine="320" w:firstLineChars="1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银行账号：</w:t>
            </w:r>
          </w:p>
        </w:tc>
      </w:tr>
    </w:tbl>
    <w:p>
      <w:pPr>
        <w:tabs>
          <w:tab w:val="left" w:pos="709"/>
        </w:tabs>
        <w:spacing w:line="600" w:lineRule="exact"/>
        <w:jc w:val="left"/>
        <w:rPr>
          <w:rFonts w:ascii="仿宋_GB2312" w:hAnsi="仿宋_GB2312" w:eastAsia="仿宋_GB2312" w:cs="仿宋_GB2312"/>
          <w:color w:val="auto"/>
          <w:sz w:val="32"/>
          <w:szCs w:val="32"/>
        </w:rPr>
      </w:pPr>
    </w:p>
    <w:sectPr>
      <w:pgSz w:w="11906" w:h="16838"/>
      <w:pgMar w:top="1701" w:right="1587" w:bottom="1701"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roman"/>
    <w:pitch w:val="default"/>
    <w:sig w:usb0="00000001" w:usb1="080E0000" w:usb2="00000000" w:usb3="00000000" w:csb0="00040000" w:csb1="00000000"/>
  </w:font>
  <w:font w:name="arial sans-serif">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rPr>
        <w:rStyle w:val="14"/>
      </w:rPr>
      <w:instrText xml:space="preserve"> PAGE </w:instrText>
    </w:r>
    <w:r>
      <w:fldChar w:fldCharType="separate"/>
    </w:r>
    <w:r>
      <w:rPr>
        <w:rStyle w:val="14"/>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9ACB6"/>
    <w:multiLevelType w:val="singleLevel"/>
    <w:tmpl w:val="2259ACB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0D38"/>
    <w:rsid w:val="000137BE"/>
    <w:rsid w:val="00016723"/>
    <w:rsid w:val="00021074"/>
    <w:rsid w:val="00027892"/>
    <w:rsid w:val="0003213B"/>
    <w:rsid w:val="000369B0"/>
    <w:rsid w:val="00062A54"/>
    <w:rsid w:val="00067C8D"/>
    <w:rsid w:val="00072509"/>
    <w:rsid w:val="00096644"/>
    <w:rsid w:val="000B00DC"/>
    <w:rsid w:val="000B3866"/>
    <w:rsid w:val="000D717F"/>
    <w:rsid w:val="00104BD8"/>
    <w:rsid w:val="0012556F"/>
    <w:rsid w:val="00140A7F"/>
    <w:rsid w:val="0014409E"/>
    <w:rsid w:val="00144E05"/>
    <w:rsid w:val="0015274D"/>
    <w:rsid w:val="00155AA6"/>
    <w:rsid w:val="001629F5"/>
    <w:rsid w:val="00163D9B"/>
    <w:rsid w:val="00172A27"/>
    <w:rsid w:val="00177A69"/>
    <w:rsid w:val="001821F3"/>
    <w:rsid w:val="001946E8"/>
    <w:rsid w:val="001A67BB"/>
    <w:rsid w:val="001F2F11"/>
    <w:rsid w:val="002206A0"/>
    <w:rsid w:val="00234D39"/>
    <w:rsid w:val="002514A7"/>
    <w:rsid w:val="0029472E"/>
    <w:rsid w:val="002A41E2"/>
    <w:rsid w:val="002A79A8"/>
    <w:rsid w:val="002B0A97"/>
    <w:rsid w:val="002C2EDC"/>
    <w:rsid w:val="002C7A35"/>
    <w:rsid w:val="002D2CB6"/>
    <w:rsid w:val="002D4D8B"/>
    <w:rsid w:val="002D6712"/>
    <w:rsid w:val="002D7182"/>
    <w:rsid w:val="002E4A60"/>
    <w:rsid w:val="002F5667"/>
    <w:rsid w:val="0031753D"/>
    <w:rsid w:val="00333283"/>
    <w:rsid w:val="00386123"/>
    <w:rsid w:val="003908F1"/>
    <w:rsid w:val="00397D42"/>
    <w:rsid w:val="003B5549"/>
    <w:rsid w:val="003D4D38"/>
    <w:rsid w:val="003D6C58"/>
    <w:rsid w:val="003D794B"/>
    <w:rsid w:val="003D7B09"/>
    <w:rsid w:val="004075E5"/>
    <w:rsid w:val="0041128B"/>
    <w:rsid w:val="00421546"/>
    <w:rsid w:val="0042568D"/>
    <w:rsid w:val="004269D2"/>
    <w:rsid w:val="00472D47"/>
    <w:rsid w:val="00474833"/>
    <w:rsid w:val="00481C0D"/>
    <w:rsid w:val="00492D04"/>
    <w:rsid w:val="00496245"/>
    <w:rsid w:val="004966A0"/>
    <w:rsid w:val="004C1E90"/>
    <w:rsid w:val="004C52D5"/>
    <w:rsid w:val="004D61B4"/>
    <w:rsid w:val="004E2F5E"/>
    <w:rsid w:val="004F035A"/>
    <w:rsid w:val="004F76E3"/>
    <w:rsid w:val="005302BA"/>
    <w:rsid w:val="00550750"/>
    <w:rsid w:val="00574571"/>
    <w:rsid w:val="00594252"/>
    <w:rsid w:val="00594AD4"/>
    <w:rsid w:val="005E3DC5"/>
    <w:rsid w:val="005E7152"/>
    <w:rsid w:val="005F7128"/>
    <w:rsid w:val="00612578"/>
    <w:rsid w:val="0061640D"/>
    <w:rsid w:val="00656C20"/>
    <w:rsid w:val="00657A09"/>
    <w:rsid w:val="00662E6B"/>
    <w:rsid w:val="0067153B"/>
    <w:rsid w:val="00680053"/>
    <w:rsid w:val="0068034B"/>
    <w:rsid w:val="0068493A"/>
    <w:rsid w:val="00692361"/>
    <w:rsid w:val="0069754C"/>
    <w:rsid w:val="006B17F4"/>
    <w:rsid w:val="006B49CD"/>
    <w:rsid w:val="006D3D94"/>
    <w:rsid w:val="006D64FB"/>
    <w:rsid w:val="00707A65"/>
    <w:rsid w:val="0073456E"/>
    <w:rsid w:val="00735FB3"/>
    <w:rsid w:val="007408CD"/>
    <w:rsid w:val="00745633"/>
    <w:rsid w:val="007617D5"/>
    <w:rsid w:val="00766394"/>
    <w:rsid w:val="0077024D"/>
    <w:rsid w:val="00777ABA"/>
    <w:rsid w:val="00781337"/>
    <w:rsid w:val="007A6CC0"/>
    <w:rsid w:val="007D259F"/>
    <w:rsid w:val="00810BB2"/>
    <w:rsid w:val="00812065"/>
    <w:rsid w:val="008173BF"/>
    <w:rsid w:val="008307AC"/>
    <w:rsid w:val="00843D4D"/>
    <w:rsid w:val="0084724B"/>
    <w:rsid w:val="008522D2"/>
    <w:rsid w:val="00865DF8"/>
    <w:rsid w:val="00867962"/>
    <w:rsid w:val="0087157C"/>
    <w:rsid w:val="00874CFE"/>
    <w:rsid w:val="008C10D3"/>
    <w:rsid w:val="008C2E57"/>
    <w:rsid w:val="0091391B"/>
    <w:rsid w:val="00923F21"/>
    <w:rsid w:val="0093606D"/>
    <w:rsid w:val="00937BFE"/>
    <w:rsid w:val="009572CB"/>
    <w:rsid w:val="009665B1"/>
    <w:rsid w:val="009749B9"/>
    <w:rsid w:val="00990462"/>
    <w:rsid w:val="009A3402"/>
    <w:rsid w:val="009A4D42"/>
    <w:rsid w:val="009A66E7"/>
    <w:rsid w:val="009C31F4"/>
    <w:rsid w:val="009C59F1"/>
    <w:rsid w:val="009C7864"/>
    <w:rsid w:val="009D7BE1"/>
    <w:rsid w:val="009F3314"/>
    <w:rsid w:val="00A14FF7"/>
    <w:rsid w:val="00A461DC"/>
    <w:rsid w:val="00A945B5"/>
    <w:rsid w:val="00AA4459"/>
    <w:rsid w:val="00AD6B10"/>
    <w:rsid w:val="00AF3250"/>
    <w:rsid w:val="00AF7731"/>
    <w:rsid w:val="00B10A06"/>
    <w:rsid w:val="00B217A8"/>
    <w:rsid w:val="00B60151"/>
    <w:rsid w:val="00B626C3"/>
    <w:rsid w:val="00B701F9"/>
    <w:rsid w:val="00B84392"/>
    <w:rsid w:val="00B93A6B"/>
    <w:rsid w:val="00BA214C"/>
    <w:rsid w:val="00BA7EC1"/>
    <w:rsid w:val="00BB5047"/>
    <w:rsid w:val="00BC5457"/>
    <w:rsid w:val="00C1749F"/>
    <w:rsid w:val="00C20F26"/>
    <w:rsid w:val="00C27FB2"/>
    <w:rsid w:val="00C34C8A"/>
    <w:rsid w:val="00C67EF5"/>
    <w:rsid w:val="00C8056E"/>
    <w:rsid w:val="00C87023"/>
    <w:rsid w:val="00C95E38"/>
    <w:rsid w:val="00CA2736"/>
    <w:rsid w:val="00CB6324"/>
    <w:rsid w:val="00CD15AC"/>
    <w:rsid w:val="00CE0A34"/>
    <w:rsid w:val="00CE1E49"/>
    <w:rsid w:val="00CE5EED"/>
    <w:rsid w:val="00CF6F9C"/>
    <w:rsid w:val="00D34914"/>
    <w:rsid w:val="00D4631A"/>
    <w:rsid w:val="00D5067B"/>
    <w:rsid w:val="00D516ED"/>
    <w:rsid w:val="00D73B13"/>
    <w:rsid w:val="00D923E0"/>
    <w:rsid w:val="00D95E22"/>
    <w:rsid w:val="00D97059"/>
    <w:rsid w:val="00DA15EB"/>
    <w:rsid w:val="00DA62F5"/>
    <w:rsid w:val="00DB3C7A"/>
    <w:rsid w:val="00DB4056"/>
    <w:rsid w:val="00DD114F"/>
    <w:rsid w:val="00DE0C47"/>
    <w:rsid w:val="00DF18B6"/>
    <w:rsid w:val="00E028BA"/>
    <w:rsid w:val="00E048F6"/>
    <w:rsid w:val="00E178E4"/>
    <w:rsid w:val="00E21E57"/>
    <w:rsid w:val="00E25709"/>
    <w:rsid w:val="00E30191"/>
    <w:rsid w:val="00E43E01"/>
    <w:rsid w:val="00E52DCC"/>
    <w:rsid w:val="00E55C78"/>
    <w:rsid w:val="00E641B2"/>
    <w:rsid w:val="00E73AB0"/>
    <w:rsid w:val="00E77CBD"/>
    <w:rsid w:val="00E87047"/>
    <w:rsid w:val="00EA4769"/>
    <w:rsid w:val="00EA4AFF"/>
    <w:rsid w:val="00EB220D"/>
    <w:rsid w:val="00ED5950"/>
    <w:rsid w:val="00EE6BA4"/>
    <w:rsid w:val="00EE735A"/>
    <w:rsid w:val="00F01B6F"/>
    <w:rsid w:val="00F10EF7"/>
    <w:rsid w:val="00F113EF"/>
    <w:rsid w:val="00F138D5"/>
    <w:rsid w:val="00F15F12"/>
    <w:rsid w:val="00F3021F"/>
    <w:rsid w:val="00F43D62"/>
    <w:rsid w:val="00F52AC5"/>
    <w:rsid w:val="00F63207"/>
    <w:rsid w:val="00F65CA7"/>
    <w:rsid w:val="00F93AD5"/>
    <w:rsid w:val="00FA0CA5"/>
    <w:rsid w:val="00FA772E"/>
    <w:rsid w:val="00FB0D8D"/>
    <w:rsid w:val="00FC202D"/>
    <w:rsid w:val="00FC420D"/>
    <w:rsid w:val="00FF5D11"/>
    <w:rsid w:val="03631AD2"/>
    <w:rsid w:val="04405383"/>
    <w:rsid w:val="0549620E"/>
    <w:rsid w:val="09CF0BD5"/>
    <w:rsid w:val="0AF90401"/>
    <w:rsid w:val="0B0467EA"/>
    <w:rsid w:val="0E2C3F24"/>
    <w:rsid w:val="0E2F65F6"/>
    <w:rsid w:val="12037940"/>
    <w:rsid w:val="12EF03C8"/>
    <w:rsid w:val="13887B1A"/>
    <w:rsid w:val="13C833B2"/>
    <w:rsid w:val="14487298"/>
    <w:rsid w:val="14490A04"/>
    <w:rsid w:val="16C604D0"/>
    <w:rsid w:val="172F1734"/>
    <w:rsid w:val="18784F53"/>
    <w:rsid w:val="1C1B5E70"/>
    <w:rsid w:val="20F77546"/>
    <w:rsid w:val="215F3A18"/>
    <w:rsid w:val="2313186D"/>
    <w:rsid w:val="248E21D2"/>
    <w:rsid w:val="265004FF"/>
    <w:rsid w:val="26CC27E4"/>
    <w:rsid w:val="27370A8D"/>
    <w:rsid w:val="28B2586D"/>
    <w:rsid w:val="28EB00FF"/>
    <w:rsid w:val="2E7B0F4D"/>
    <w:rsid w:val="2FEC19FB"/>
    <w:rsid w:val="32F42A25"/>
    <w:rsid w:val="341B0554"/>
    <w:rsid w:val="384339D5"/>
    <w:rsid w:val="39220441"/>
    <w:rsid w:val="39583A85"/>
    <w:rsid w:val="3BF05255"/>
    <w:rsid w:val="3C134D40"/>
    <w:rsid w:val="3C385EFA"/>
    <w:rsid w:val="3C5B544E"/>
    <w:rsid w:val="3F6415AB"/>
    <w:rsid w:val="40404793"/>
    <w:rsid w:val="41D4571E"/>
    <w:rsid w:val="43246084"/>
    <w:rsid w:val="454314BB"/>
    <w:rsid w:val="4A354EE2"/>
    <w:rsid w:val="4C411EE8"/>
    <w:rsid w:val="4D654589"/>
    <w:rsid w:val="4F294ABB"/>
    <w:rsid w:val="50E0217F"/>
    <w:rsid w:val="51E6771C"/>
    <w:rsid w:val="5226092D"/>
    <w:rsid w:val="538B33A9"/>
    <w:rsid w:val="565D3CBE"/>
    <w:rsid w:val="56BB010A"/>
    <w:rsid w:val="574A505E"/>
    <w:rsid w:val="595122E0"/>
    <w:rsid w:val="5CC41E04"/>
    <w:rsid w:val="5E801D64"/>
    <w:rsid w:val="5F8B1C95"/>
    <w:rsid w:val="609275BA"/>
    <w:rsid w:val="610B3977"/>
    <w:rsid w:val="616938B9"/>
    <w:rsid w:val="62962970"/>
    <w:rsid w:val="62EF7DC7"/>
    <w:rsid w:val="63814EFF"/>
    <w:rsid w:val="667863B3"/>
    <w:rsid w:val="669B15A2"/>
    <w:rsid w:val="6A046BF3"/>
    <w:rsid w:val="6A0A5EE8"/>
    <w:rsid w:val="6A9833A5"/>
    <w:rsid w:val="6E7A4AF0"/>
    <w:rsid w:val="73E6664B"/>
    <w:rsid w:val="762B076E"/>
    <w:rsid w:val="77562928"/>
    <w:rsid w:val="77B50F5A"/>
    <w:rsid w:val="7A3D19DD"/>
    <w:rsid w:val="7C4E5428"/>
    <w:rsid w:val="7C5C444A"/>
    <w:rsid w:val="7D0B4172"/>
    <w:rsid w:val="7D74665B"/>
    <w:rsid w:val="7F3567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qFormat="1" w:unhideWhenUsed="0" w:uiPriority="0" w:semiHidden="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0"/>
    <w:unhideWhenUsed/>
    <w:qFormat/>
    <w:uiPriority w:val="0"/>
    <w:pPr>
      <w:jc w:val="left"/>
    </w:pPr>
  </w:style>
  <w:style w:type="paragraph" w:styleId="3">
    <w:name w:val="Body Text Indent"/>
    <w:basedOn w:val="1"/>
    <w:qFormat/>
    <w:uiPriority w:val="0"/>
    <w:pPr>
      <w:spacing w:after="120" w:afterLines="0"/>
      <w:ind w:left="420" w:leftChars="200"/>
    </w:pPr>
    <w:rPr>
      <w:rFonts w:ascii="Calibri" w:hAnsi="Calibri" w:eastAsia="宋体"/>
      <w:szCs w:val="24"/>
      <w:lang w:val="en-US" w:eastAsia="zh-CN" w:bidi="ar-SA"/>
    </w:rPr>
  </w:style>
  <w:style w:type="paragraph" w:styleId="4">
    <w:name w:val="Block Text"/>
    <w:basedOn w:val="1"/>
    <w:qFormat/>
    <w:uiPriority w:val="0"/>
    <w:pPr>
      <w:spacing w:line="360" w:lineRule="auto"/>
      <w:ind w:left="225" w:leftChars="107" w:right="6" w:rightChars="3" w:firstLine="480" w:firstLineChars="200"/>
    </w:pPr>
    <w:rPr>
      <w:rFonts w:ascii="宋体" w:hAnsi="宋体"/>
      <w:sz w:val="24"/>
      <w:szCs w:val="28"/>
    </w:rPr>
  </w:style>
  <w:style w:type="paragraph" w:styleId="5">
    <w:name w:val="Plain Text"/>
    <w:basedOn w:val="1"/>
    <w:qFormat/>
    <w:uiPriority w:val="0"/>
    <w:rPr>
      <w:rFonts w:ascii="宋体" w:hAnsi="Courier New"/>
      <w:szCs w:val="20"/>
    </w:rPr>
  </w:style>
  <w:style w:type="paragraph" w:styleId="6">
    <w:name w:val="Body Text Indent 2"/>
    <w:basedOn w:val="1"/>
    <w:qFormat/>
    <w:uiPriority w:val="0"/>
    <w:pPr>
      <w:spacing w:line="520" w:lineRule="exact"/>
      <w:ind w:firstLine="606" w:firstLineChars="200"/>
    </w:pPr>
    <w:rPr>
      <w:rFonts w:ascii="仿宋_GB2312" w:eastAsia="仿宋_GB2312"/>
      <w:sz w:val="32"/>
      <w:lang w:val="en-US" w:eastAsia="zh-CN" w:bidi="ar-SA"/>
    </w:r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0"/>
    <w:pPr>
      <w:spacing w:before="100" w:beforeAutospacing="1" w:after="100" w:afterAutospacing="1"/>
      <w:jc w:val="left"/>
    </w:pPr>
    <w:rPr>
      <w:kern w:val="0"/>
      <w:sz w:val="24"/>
    </w:rPr>
  </w:style>
  <w:style w:type="paragraph" w:styleId="11">
    <w:name w:val="annotation subject"/>
    <w:basedOn w:val="2"/>
    <w:next w:val="2"/>
    <w:link w:val="21"/>
    <w:unhideWhenUsed/>
    <w:qFormat/>
    <w:uiPriority w:val="0"/>
    <w:rPr>
      <w:b/>
      <w:bCs/>
    </w:rPr>
  </w:style>
  <w:style w:type="character" w:styleId="14">
    <w:name w:val="page number"/>
    <w:basedOn w:val="13"/>
    <w:qFormat/>
    <w:uiPriority w:val="0"/>
  </w:style>
  <w:style w:type="character" w:styleId="15">
    <w:name w:val="annotation reference"/>
    <w:basedOn w:val="13"/>
    <w:unhideWhenUsed/>
    <w:qFormat/>
    <w:uiPriority w:val="0"/>
    <w:rPr>
      <w:sz w:val="21"/>
      <w:szCs w:val="21"/>
    </w:rPr>
  </w:style>
  <w:style w:type="character" w:customStyle="1" w:styleId="16">
    <w:name w:val="info1"/>
    <w:basedOn w:val="13"/>
    <w:qFormat/>
    <w:uiPriority w:val="0"/>
    <w:rPr>
      <w:rFonts w:hint="default" w:ascii="arial sans-serif" w:hAnsi="arial sans-serif"/>
      <w:color w:val="000000"/>
      <w:sz w:val="20"/>
      <w:szCs w:val="20"/>
    </w:rPr>
  </w:style>
  <w:style w:type="character" w:customStyle="1" w:styleId="17">
    <w:name w:val="st1"/>
    <w:basedOn w:val="13"/>
    <w:qFormat/>
    <w:uiPriority w:val="0"/>
  </w:style>
  <w:style w:type="paragraph" w:customStyle="1" w:styleId="18">
    <w:name w:val="列出段落1"/>
    <w:basedOn w:val="1"/>
    <w:qFormat/>
    <w:uiPriority w:val="34"/>
    <w:pPr>
      <w:ind w:firstLine="420" w:firstLineChars="200"/>
    </w:pPr>
    <w:rPr>
      <w:rFonts w:ascii="Calibri" w:hAnsi="Calibri"/>
      <w:szCs w:val="22"/>
    </w:rPr>
  </w:style>
  <w:style w:type="paragraph" w:customStyle="1" w:styleId="19">
    <w:name w:val="_Style 16"/>
    <w:basedOn w:val="1"/>
    <w:qFormat/>
    <w:uiPriority w:val="0"/>
    <w:pPr>
      <w:widowControl/>
      <w:spacing w:after="160" w:line="240" w:lineRule="exact"/>
      <w:jc w:val="left"/>
    </w:pPr>
    <w:rPr>
      <w:rFonts w:ascii="Calibri" w:hAnsi="Calibri"/>
    </w:rPr>
  </w:style>
  <w:style w:type="character" w:customStyle="1" w:styleId="20">
    <w:name w:val="批注文字 Char"/>
    <w:basedOn w:val="13"/>
    <w:link w:val="2"/>
    <w:semiHidden/>
    <w:qFormat/>
    <w:uiPriority w:val="0"/>
    <w:rPr>
      <w:kern w:val="2"/>
      <w:sz w:val="21"/>
      <w:szCs w:val="24"/>
    </w:rPr>
  </w:style>
  <w:style w:type="character" w:customStyle="1" w:styleId="21">
    <w:name w:val="批注主题 Char"/>
    <w:basedOn w:val="20"/>
    <w:link w:val="11"/>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07A6AC-F62C-443E-B804-0B6BFDC595D3}">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13</Pages>
  <Words>789</Words>
  <Characters>4498</Characters>
  <Lines>37</Lines>
  <Paragraphs>10</Paragraphs>
  <TotalTime>17</TotalTime>
  <ScaleCrop>false</ScaleCrop>
  <LinksUpToDate>false</LinksUpToDate>
  <CharactersWithSpaces>5277</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2020-04-10T02:06:00Z</dcterms:created>
  <dc:creator>Lenovo User</dc:creator>
  <cp:lastModifiedBy>谢</cp:lastModifiedBy>
  <cp:lastPrinted>2021-04-06T01:23:39Z</cp:lastPrinted>
  <dcterms:modified xsi:type="dcterms:W3CDTF">2021-04-06T01:23:41Z</dcterms:modified>
  <dc:title>广州市农业植物检疫项目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