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rPr>
      </w:pPr>
      <w:r>
        <w:rPr>
          <w:rFonts w:hint="eastAsia" w:ascii="宋体" w:hAnsi="宋体"/>
          <w:b/>
          <w:color w:val="auto"/>
          <w:kern w:val="0"/>
          <w:sz w:val="32"/>
          <w:szCs w:val="32"/>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20" w:firstLineChars="200"/>
        <w:jc w:val="left"/>
        <w:textAlignment w:val="auto"/>
        <w:outlineLvl w:val="9"/>
        <w:rPr>
          <w:rFonts w:ascii="宋体" w:hAnsi="宋体" w:cs="宋体"/>
          <w:bCs/>
          <w:color w:val="auto"/>
          <w:kern w:val="0"/>
          <w:szCs w:val="21"/>
        </w:rPr>
      </w:pPr>
      <w:r>
        <w:rPr>
          <w:rFonts w:hint="eastAsia" w:cs="宋体"/>
          <w:color w:val="auto"/>
          <w:kern w:val="0"/>
          <w:szCs w:val="21"/>
        </w:rPr>
        <w:t>项目</w:t>
      </w:r>
      <w:r>
        <w:rPr>
          <w:rFonts w:hint="eastAsia" w:ascii="Times New Roman" w:hAnsi="Times New Roman" w:cs="宋体"/>
          <w:color w:val="auto"/>
          <w:kern w:val="0"/>
          <w:szCs w:val="21"/>
        </w:rPr>
        <w:t>名称：</w:t>
      </w:r>
      <w:r>
        <w:rPr>
          <w:rFonts w:hint="eastAsia" w:ascii="Times New Roman" w:hAnsi="Times New Roman" w:cs="宋体"/>
          <w:color w:val="auto"/>
          <w:kern w:val="0"/>
          <w:szCs w:val="21"/>
          <w:lang w:eastAsia="zh-CN"/>
        </w:rPr>
        <w:t>天河软件园软件产业集中孵化中心一期改造工程全过程造价咨询</w:t>
      </w:r>
      <w:r>
        <w:rPr>
          <w:rFonts w:hint="eastAsia" w:cs="宋体"/>
          <w:color w:val="auto"/>
          <w:kern w:val="0"/>
          <w:szCs w:val="21"/>
          <w:lang w:val="en-US" w:eastAsia="zh-CN"/>
        </w:rPr>
        <w:t>服务</w:t>
      </w:r>
      <w:bookmarkStart w:id="0" w:name="_GoBack"/>
      <w:bookmarkEnd w:id="0"/>
      <w:r>
        <w:rPr>
          <w:rFonts w:hint="eastAsia" w:cs="宋体"/>
          <w:color w:val="auto"/>
          <w:kern w:val="0"/>
          <w:szCs w:val="21"/>
          <w:lang w:val="en-US" w:eastAsia="zh-CN"/>
        </w:rPr>
        <w:t xml:space="preserve">                                </w:t>
      </w:r>
      <w:r>
        <w:rPr>
          <w:rFonts w:hint="eastAsia" w:ascii="Times New Roman" w:hAnsi="Times New Roman" w:cs="宋体"/>
          <w:color w:val="auto"/>
          <w:kern w:val="0"/>
          <w:szCs w:val="21"/>
          <w:lang w:val="en-US" w:eastAsia="zh-CN"/>
        </w:rPr>
        <w:t xml:space="preserve"> </w:t>
      </w:r>
      <w:r>
        <w:rPr>
          <w:rFonts w:hint="eastAsia" w:cs="宋体"/>
          <w:color w:val="auto"/>
          <w:kern w:val="0"/>
          <w:szCs w:val="21"/>
          <w:lang w:val="en-US" w:eastAsia="zh-CN"/>
        </w:rPr>
        <w:t xml:space="preserve">        </w:t>
      </w:r>
      <w:r>
        <w:rPr>
          <w:rFonts w:hint="eastAsia" w:cs="宋体"/>
          <w:color w:val="auto"/>
          <w:kern w:val="0"/>
          <w:szCs w:val="21"/>
        </w:rPr>
        <w:t>日期：</w:t>
      </w:r>
      <w:r>
        <w:rPr>
          <w:rFonts w:hint="eastAsia" w:ascii="宋体" w:hAnsi="宋体" w:cs="宋体"/>
          <w:color w:val="auto"/>
          <w:kern w:val="0"/>
          <w:szCs w:val="21"/>
          <w:lang w:val="en-US" w:eastAsia="zh-CN"/>
        </w:rPr>
        <w:t xml:space="preserve">    </w:t>
      </w:r>
      <w:r>
        <w:rPr>
          <w:rFonts w:hint="eastAsia" w:cs="宋体"/>
          <w:color w:val="auto"/>
          <w:kern w:val="0"/>
          <w:szCs w:val="21"/>
        </w:rPr>
        <w:t>年</w:t>
      </w:r>
      <w:r>
        <w:rPr>
          <w:rFonts w:ascii="宋体" w:hAnsi="宋体" w:cs="宋体"/>
          <w:color w:val="auto"/>
          <w:kern w:val="0"/>
          <w:szCs w:val="21"/>
        </w:rPr>
        <w:t xml:space="preserve">  </w:t>
      </w:r>
      <w:r>
        <w:rPr>
          <w:rFonts w:hint="eastAsia" w:cs="宋体"/>
          <w:color w:val="auto"/>
          <w:kern w:val="0"/>
          <w:szCs w:val="21"/>
        </w:rPr>
        <w:t>月</w:t>
      </w:r>
      <w:r>
        <w:rPr>
          <w:rFonts w:ascii="宋体" w:hAnsi="宋体" w:cs="宋体"/>
          <w:color w:val="auto"/>
          <w:kern w:val="0"/>
          <w:szCs w:val="21"/>
        </w:rPr>
        <w:t xml:space="preserve">   </w:t>
      </w:r>
      <w:r>
        <w:rPr>
          <w:rFonts w:hint="eastAsia" w:cs="宋体"/>
          <w:color w:val="auto"/>
          <w:kern w:val="0"/>
          <w:szCs w:val="21"/>
        </w:rPr>
        <w:t xml:space="preserve">日     </w:t>
      </w:r>
      <w:r>
        <w:rPr>
          <w:rFonts w:hint="eastAsia" w:ascii="宋体" w:hAnsi="宋体" w:cs="宋体"/>
          <w:color w:val="auto"/>
          <w:kern w:val="0"/>
          <w:szCs w:val="21"/>
        </w:rPr>
        <w:t xml:space="preserve"> </w:t>
      </w:r>
      <w:r>
        <w:rPr>
          <w:rFonts w:ascii="宋体" w:hAnsi="宋体" w:cs="宋体"/>
          <w:color w:val="auto"/>
          <w:kern w:val="0"/>
          <w:szCs w:val="21"/>
        </w:rPr>
        <w:t xml:space="preserve">   </w:t>
      </w:r>
    </w:p>
    <w:tbl>
      <w:tblPr>
        <w:tblStyle w:val="2"/>
        <w:tblW w:w="15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197"/>
        <w:gridCol w:w="1246"/>
        <w:gridCol w:w="1016"/>
        <w:gridCol w:w="1150"/>
        <w:gridCol w:w="1963"/>
        <w:gridCol w:w="1375"/>
        <w:gridCol w:w="1225"/>
        <w:gridCol w:w="787"/>
        <w:gridCol w:w="788"/>
        <w:gridCol w:w="207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5"/>
                <w:szCs w:val="15"/>
              </w:rPr>
            </w:pPr>
            <w:r>
              <w:rPr>
                <w:rFonts w:hint="eastAsia" w:ascii="宋体" w:hAnsi="宋体" w:cs="宋体"/>
                <w:color w:val="auto"/>
                <w:spacing w:val="-10"/>
                <w:kern w:val="0"/>
                <w:sz w:val="15"/>
                <w:szCs w:val="15"/>
              </w:rPr>
              <w:t>序</w:t>
            </w:r>
          </w:p>
          <w:p>
            <w:pPr>
              <w:widowControl/>
              <w:jc w:val="center"/>
              <w:rPr>
                <w:rFonts w:hint="eastAsia" w:ascii="宋体" w:hAnsi="宋体" w:cs="宋体"/>
                <w:color w:val="auto"/>
                <w:spacing w:val="-10"/>
                <w:kern w:val="0"/>
                <w:sz w:val="15"/>
                <w:szCs w:val="15"/>
              </w:rPr>
            </w:pPr>
          </w:p>
          <w:p>
            <w:pPr>
              <w:widowControl/>
              <w:jc w:val="center"/>
              <w:rPr>
                <w:rFonts w:hint="eastAsia" w:ascii="宋体" w:hAnsi="宋体" w:cs="宋体"/>
                <w:color w:val="auto"/>
                <w:spacing w:val="-10"/>
                <w:kern w:val="0"/>
                <w:sz w:val="15"/>
                <w:szCs w:val="15"/>
              </w:rPr>
            </w:pPr>
          </w:p>
          <w:p>
            <w:pPr>
              <w:widowControl/>
              <w:jc w:val="center"/>
              <w:rPr>
                <w:rFonts w:ascii="宋体" w:hAnsi="宋体" w:cs="宋体"/>
                <w:color w:val="auto"/>
                <w:spacing w:val="-10"/>
                <w:kern w:val="0"/>
                <w:sz w:val="15"/>
                <w:szCs w:val="15"/>
              </w:rPr>
            </w:pPr>
            <w:r>
              <w:rPr>
                <w:rFonts w:hint="eastAsia" w:ascii="宋体" w:hAnsi="宋体" w:cs="宋体"/>
                <w:color w:val="auto"/>
                <w:spacing w:val="-10"/>
                <w:kern w:val="0"/>
                <w:sz w:val="15"/>
                <w:szCs w:val="15"/>
              </w:rPr>
              <w:t>号</w:t>
            </w:r>
          </w:p>
        </w:tc>
        <w:tc>
          <w:tcPr>
            <w:tcW w:w="2197" w:type="dxa"/>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50" w:firstLineChars="100"/>
              <w:jc w:val="left"/>
              <w:rPr>
                <w:rFonts w:hint="eastAsia" w:ascii="宋体" w:hAnsi="宋体" w:cs="宋体"/>
                <w:color w:val="auto"/>
                <w:kern w:val="0"/>
                <w:sz w:val="15"/>
                <w:szCs w:val="15"/>
              </w:rPr>
            </w:pPr>
            <w:r>
              <w:rPr>
                <w:rFonts w:hint="eastAsia" w:ascii="宋体" w:hAnsi="宋体" w:cs="宋体"/>
                <w:color w:val="auto"/>
                <w:kern w:val="0"/>
                <w:sz w:val="15"/>
                <w:szCs w:val="15"/>
              </w:rPr>
              <mc:AlternateContent>
                <mc:Choice Requires="wps">
                  <w:drawing>
                    <wp:anchor distT="0" distB="0" distL="114300" distR="114300" simplePos="0" relativeHeight="251658240" behindDoc="1" locked="0" layoutInCell="1" allowOverlap="1">
                      <wp:simplePos x="0" y="0"/>
                      <wp:positionH relativeFrom="column">
                        <wp:posOffset>-60960</wp:posOffset>
                      </wp:positionH>
                      <wp:positionV relativeFrom="paragraph">
                        <wp:posOffset>1905</wp:posOffset>
                      </wp:positionV>
                      <wp:extent cx="1377950" cy="558165"/>
                      <wp:effectExtent l="1905" t="4445" r="10795" b="8890"/>
                      <wp:wrapNone/>
                      <wp:docPr id="2" name="直接连接符 2"/>
                      <wp:cNvGraphicFramePr/>
                      <a:graphic xmlns:a="http://schemas.openxmlformats.org/drawingml/2006/main">
                        <a:graphicData uri="http://schemas.microsoft.com/office/word/2010/wordprocessingShape">
                          <wps:wsp>
                            <wps:cNvCnPr/>
                            <wps:spPr>
                              <a:xfrm>
                                <a:off x="0" y="0"/>
                                <a:ext cx="1377950" cy="5581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0.15pt;height:43.95pt;width:108.5pt;z-index:-251658240;mso-width-relative:page;mso-height-relative:page;" filled="f" stroked="t" coordsize="21600,21600" o:gfxdata="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vN1fVAAAABgEAAA8AAAAA&#10;AAAAAQAgAAAAIgAAAGRycy9kb3ducmV2LnhtbFBLAQIUABQAAAAIAIdO4kCV5kkH3gEAAJsDAAAO&#10;AAAAAAAAAAEAIAAAACQBAABkcnMvZTJvRG9jLnhtbFBLBQYAAAAABgAGAFkBAAB0BQAAAAA=&#10;">
                      <v:fill on="f" focussize="0,0"/>
                      <v:stroke color="#000000" joinstyle="round"/>
                      <v:imagedata o:title=""/>
                      <o:lock v:ext="edit" aspectratio="f"/>
                    </v:line>
                  </w:pict>
                </mc:Fallback>
              </mc:AlternateContent>
            </w:r>
            <w:r>
              <w:rPr>
                <w:rFonts w:hint="eastAsia" w:ascii="宋体" w:hAnsi="宋体" w:cs="宋体"/>
                <w:color w:val="auto"/>
                <w:kern w:val="0"/>
                <w:sz w:val="15"/>
                <w:szCs w:val="15"/>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-2540</wp:posOffset>
                      </wp:positionV>
                      <wp:extent cx="1388745" cy="3602355"/>
                      <wp:effectExtent l="4445" t="1905" r="16510" b="15240"/>
                      <wp:wrapNone/>
                      <wp:docPr id="1" name="直接连接符 1"/>
                      <wp:cNvGraphicFramePr/>
                      <a:graphic xmlns:a="http://schemas.openxmlformats.org/drawingml/2006/main">
                        <a:graphicData uri="http://schemas.microsoft.com/office/word/2010/wordprocessingShape">
                          <wps:wsp>
                            <wps:cNvCnPr/>
                            <wps:spPr>
                              <a:xfrm>
                                <a:off x="0" y="0"/>
                                <a:ext cx="1388745" cy="36023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83.65pt;width:109.35pt;z-index:-251656192;mso-width-relative:page;mso-height-relative:page;" filled="f" stroked="t" coordsize="21600,21600" o:gfxdata="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7GmudcAAAAJAQAADwAA&#10;AAAAAAABACAAAAAiAAAAZHJzL2Rvd25yZXYueG1sUEsBAhQAFAAAAAgAh07iQO8dFt7eAQAAnA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color w:val="auto"/>
                <w:kern w:val="0"/>
                <w:sz w:val="15"/>
                <w:szCs w:val="15"/>
              </w:rP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8890</wp:posOffset>
                      </wp:positionV>
                      <wp:extent cx="1378585" cy="1095375"/>
                      <wp:effectExtent l="3175" t="3810" r="8890" b="5715"/>
                      <wp:wrapNone/>
                      <wp:docPr id="3" name="直接连接符 3"/>
                      <wp:cNvGraphicFramePr/>
                      <a:graphic xmlns:a="http://schemas.openxmlformats.org/drawingml/2006/main">
                        <a:graphicData uri="http://schemas.microsoft.com/office/word/2010/wordprocessingShape">
                          <wps:wsp>
                            <wps:cNvCnPr/>
                            <wps:spPr>
                              <a:xfrm>
                                <a:off x="0" y="0"/>
                                <a:ext cx="1378585" cy="10953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86.25pt;width:108.55pt;z-index:-251657216;mso-width-relative:page;mso-height-relative:page;" filled="f" stroked="t" coordsize="21600,21600" o:gfxdata="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BMc9YAAAAIAQAADwAA&#10;AAAAAAABACAAAAAiAAAAZHJzL2Rvd25yZXYueG1sUEsBAhQAFAAAAAgAh07iQGJ7x4zfAQAAnAMA&#10;AA4AAAAAAAAAAQAgAAAAJQEAAGRycy9lMm9Eb2MueG1sUEsFBgAAAAAGAAYAWQEAAHYFAAAAAA==&#10;">
                      <v:fill on="f" focussize="0,0"/>
                      <v:stroke color="#000000" joinstyle="round"/>
                      <v:imagedata o:title=""/>
                      <o:lock v:ext="edit" aspectratio="f"/>
                    </v:line>
                  </w:pict>
                </mc:Fallback>
              </mc:AlternateContent>
            </w:r>
            <w:r>
              <w:rPr>
                <w:rFonts w:hint="eastAsia" w:cs="宋体"/>
                <w:color w:val="auto"/>
                <w:kern w:val="0"/>
                <w:sz w:val="15"/>
                <w:szCs w:val="15"/>
                <w:lang w:val="en-US" w:eastAsia="zh-CN"/>
              </w:rPr>
              <w:t xml:space="preserve">              </w:t>
            </w:r>
            <w:r>
              <w:rPr>
                <w:rFonts w:hint="eastAsia" w:cs="宋体"/>
                <w:color w:val="auto"/>
                <w:kern w:val="0"/>
                <w:sz w:val="15"/>
                <w:szCs w:val="15"/>
              </w:rPr>
              <w:t>项目及权重</w:t>
            </w:r>
          </w:p>
          <w:p>
            <w:pPr>
              <w:widowControl/>
              <w:jc w:val="left"/>
              <w:rPr>
                <w:rFonts w:hint="eastAsia" w:ascii="宋体" w:hAnsi="宋体" w:cs="宋体"/>
                <w:color w:val="auto"/>
                <w:kern w:val="0"/>
                <w:sz w:val="15"/>
                <w:szCs w:val="15"/>
              </w:rPr>
            </w:pPr>
            <w:r>
              <w:rPr>
                <w:rFonts w:ascii="宋体" w:hAnsi="宋体" w:cs="宋体"/>
                <w:color w:val="auto"/>
                <w:kern w:val="0"/>
                <w:sz w:val="15"/>
                <w:szCs w:val="15"/>
              </w:rPr>
              <w:t xml:space="preserve">  </w:t>
            </w:r>
          </w:p>
          <w:p>
            <w:pPr>
              <w:widowControl/>
              <w:jc w:val="left"/>
              <w:rPr>
                <w:rFonts w:hint="eastAsia" w:ascii="宋体" w:hAnsi="宋体" w:cs="宋体"/>
                <w:color w:val="auto"/>
                <w:kern w:val="0"/>
                <w:sz w:val="15"/>
                <w:szCs w:val="15"/>
              </w:rPr>
            </w:pPr>
          </w:p>
          <w:p>
            <w:pPr>
              <w:widowControl/>
              <w:ind w:left="1530" w:hanging="1275" w:hangingChars="850"/>
              <w:jc w:val="left"/>
              <w:rPr>
                <w:rFonts w:ascii="宋体" w:hAnsi="宋体" w:cs="宋体"/>
                <w:color w:val="auto"/>
                <w:kern w:val="0"/>
                <w:sz w:val="15"/>
                <w:szCs w:val="15"/>
              </w:rPr>
            </w:pPr>
            <w:r>
              <w:rPr>
                <w:rFonts w:ascii="宋体" w:hAnsi="宋体" w:cs="宋体"/>
                <w:color w:val="auto"/>
                <w:kern w:val="0"/>
                <w:sz w:val="15"/>
                <w:szCs w:val="15"/>
              </w:rPr>
              <w:t xml:space="preserve">       </w:t>
            </w:r>
            <w:r>
              <w:rPr>
                <w:rFonts w:hint="eastAsia" w:ascii="宋体" w:hAnsi="宋体" w:cs="宋体"/>
                <w:color w:val="auto"/>
                <w:kern w:val="0"/>
                <w:sz w:val="15"/>
                <w:szCs w:val="15"/>
                <w:lang w:val="en-US" w:eastAsia="zh-CN"/>
              </w:rPr>
              <w:t xml:space="preserve">        </w:t>
            </w:r>
            <w:r>
              <w:rPr>
                <w:rFonts w:ascii="宋体" w:hAnsi="宋体" w:cs="宋体"/>
                <w:color w:val="auto"/>
                <w:kern w:val="0"/>
                <w:sz w:val="15"/>
                <w:szCs w:val="15"/>
              </w:rPr>
              <w:t xml:space="preserve"> </w:t>
            </w:r>
            <w:r>
              <w:rPr>
                <w:rFonts w:hint="eastAsia" w:ascii="宋体" w:hAnsi="宋体" w:cs="宋体"/>
                <w:color w:val="auto"/>
                <w:kern w:val="0"/>
                <w:sz w:val="15"/>
                <w:szCs w:val="15"/>
                <w:lang w:val="en-US" w:eastAsia="zh-CN"/>
              </w:rPr>
              <w:t xml:space="preserve">    </w:t>
            </w:r>
            <w:r>
              <w:rPr>
                <w:rFonts w:ascii="宋体" w:hAnsi="宋体" w:cs="宋体"/>
                <w:color w:val="auto"/>
                <w:kern w:val="0"/>
                <w:sz w:val="15"/>
                <w:szCs w:val="15"/>
              </w:rPr>
              <w:t xml:space="preserve"> </w:t>
            </w:r>
            <w:r>
              <w:rPr>
                <w:rFonts w:hint="eastAsia" w:cs="宋体"/>
                <w:color w:val="auto"/>
                <w:kern w:val="0"/>
                <w:sz w:val="15"/>
                <w:szCs w:val="15"/>
              </w:rPr>
              <w:t>子</w:t>
            </w:r>
            <w:r>
              <w:rPr>
                <w:rFonts w:hint="eastAsia" w:cs="宋体"/>
                <w:color w:val="auto"/>
                <w:kern w:val="0"/>
                <w:sz w:val="15"/>
                <w:szCs w:val="15"/>
                <w:lang w:val="en-US" w:eastAsia="zh-CN"/>
              </w:rPr>
              <w:t xml:space="preserve"> </w:t>
            </w:r>
            <w:r>
              <w:rPr>
                <w:rFonts w:hint="eastAsia" w:cs="宋体"/>
                <w:color w:val="auto"/>
                <w:kern w:val="0"/>
                <w:sz w:val="15"/>
                <w:szCs w:val="15"/>
              </w:rPr>
              <w:t>项</w:t>
            </w:r>
            <w:r>
              <w:rPr>
                <w:rFonts w:ascii="宋体" w:hAnsi="宋体" w:cs="宋体"/>
                <w:color w:val="auto"/>
                <w:kern w:val="0"/>
                <w:sz w:val="15"/>
                <w:szCs w:val="15"/>
              </w:rPr>
              <w:t xml:space="preserve"> </w:t>
            </w:r>
          </w:p>
          <w:p>
            <w:pPr>
              <w:widowControl/>
              <w:jc w:val="left"/>
              <w:rPr>
                <w:rFonts w:ascii="宋体" w:hAnsi="宋体" w:cs="宋体"/>
                <w:color w:val="auto"/>
                <w:kern w:val="0"/>
                <w:sz w:val="15"/>
                <w:szCs w:val="15"/>
              </w:rPr>
            </w:pPr>
            <w:r>
              <w:rPr>
                <w:rFonts w:ascii="宋体" w:hAnsi="宋体" w:cs="宋体"/>
                <w:color w:val="auto"/>
                <w:kern w:val="0"/>
                <w:sz w:val="15"/>
                <w:szCs w:val="15"/>
              </w:rPr>
              <w:t xml:space="preserve">       </w:t>
            </w:r>
          </w:p>
          <w:p>
            <w:pPr>
              <w:widowControl/>
              <w:ind w:firstLine="600" w:firstLineChars="400"/>
              <w:jc w:val="left"/>
              <w:rPr>
                <w:rFonts w:ascii="宋体" w:hAnsi="宋体" w:cs="宋体"/>
                <w:color w:val="auto"/>
                <w:kern w:val="0"/>
                <w:sz w:val="15"/>
                <w:szCs w:val="15"/>
              </w:rPr>
            </w:pPr>
            <w:r>
              <w:rPr>
                <w:rFonts w:ascii="宋体" w:hAnsi="宋体" w:cs="宋体"/>
                <w:color w:val="auto"/>
                <w:kern w:val="0"/>
                <w:sz w:val="15"/>
                <w:szCs w:val="15"/>
              </w:rPr>
              <w:t xml:space="preserve"> </w:t>
            </w:r>
            <w:r>
              <w:rPr>
                <w:rFonts w:hint="eastAsia" w:ascii="宋体" w:hAnsi="宋体" w:cs="宋体"/>
                <w:color w:val="auto"/>
                <w:kern w:val="0"/>
                <w:sz w:val="15"/>
                <w:szCs w:val="15"/>
                <w:lang w:val="en-US" w:eastAsia="zh-CN"/>
              </w:rPr>
              <w:t xml:space="preserve">   </w:t>
            </w:r>
            <w:r>
              <w:rPr>
                <w:rFonts w:hint="eastAsia" w:cs="宋体"/>
                <w:color w:val="auto"/>
                <w:kern w:val="0"/>
                <w:sz w:val="15"/>
                <w:szCs w:val="15"/>
              </w:rPr>
              <w:t>分</w:t>
            </w:r>
          </w:p>
          <w:p>
            <w:pPr>
              <w:widowControl/>
              <w:ind w:firstLine="360"/>
              <w:jc w:val="left"/>
              <w:rPr>
                <w:rFonts w:ascii="宋体" w:hAnsi="宋体" w:cs="宋体"/>
                <w:color w:val="auto"/>
                <w:kern w:val="0"/>
                <w:sz w:val="15"/>
                <w:szCs w:val="15"/>
              </w:rPr>
            </w:pPr>
            <w:r>
              <w:rPr>
                <w:rFonts w:ascii="宋体" w:hAnsi="宋体" w:cs="宋体"/>
                <w:color w:val="auto"/>
                <w:kern w:val="0"/>
                <w:sz w:val="15"/>
                <w:szCs w:val="15"/>
              </w:rPr>
              <w:t xml:space="preserve">       </w:t>
            </w:r>
            <w:r>
              <w:rPr>
                <w:rFonts w:hint="eastAsia" w:ascii="宋体" w:hAnsi="宋体" w:cs="宋体"/>
                <w:color w:val="auto"/>
                <w:kern w:val="0"/>
                <w:sz w:val="15"/>
                <w:szCs w:val="15"/>
                <w:lang w:val="en-US" w:eastAsia="zh-CN"/>
              </w:rPr>
              <w:t xml:space="preserve">  </w:t>
            </w:r>
            <w:r>
              <w:rPr>
                <w:rFonts w:ascii="宋体" w:hAnsi="宋体" w:cs="宋体"/>
                <w:color w:val="auto"/>
                <w:kern w:val="0"/>
                <w:sz w:val="15"/>
                <w:szCs w:val="15"/>
              </w:rPr>
              <w:t xml:space="preserve"> </w:t>
            </w:r>
            <w:r>
              <w:rPr>
                <w:rFonts w:hint="eastAsia" w:cs="宋体"/>
                <w:color w:val="auto"/>
                <w:kern w:val="0"/>
                <w:sz w:val="15"/>
                <w:szCs w:val="15"/>
              </w:rPr>
              <w:t>数</w:t>
            </w:r>
          </w:p>
          <w:p>
            <w:pPr>
              <w:widowControl/>
              <w:ind w:firstLine="150" w:firstLineChars="100"/>
              <w:jc w:val="left"/>
              <w:rPr>
                <w:rFonts w:ascii="宋体" w:hAnsi="宋体" w:cs="宋体"/>
                <w:color w:val="auto"/>
                <w:kern w:val="0"/>
                <w:sz w:val="15"/>
                <w:szCs w:val="15"/>
              </w:rPr>
            </w:pPr>
            <w:r>
              <w:rPr>
                <w:rFonts w:hint="eastAsia" w:cs="宋体"/>
                <w:color w:val="auto"/>
                <w:kern w:val="0"/>
                <w:sz w:val="15"/>
                <w:szCs w:val="15"/>
              </w:rPr>
              <w:t>单</w:t>
            </w:r>
            <w:r>
              <w:rPr>
                <w:rFonts w:ascii="宋体" w:hAnsi="宋体" w:cs="宋体"/>
                <w:color w:val="auto"/>
                <w:kern w:val="0"/>
                <w:sz w:val="15"/>
                <w:szCs w:val="15"/>
              </w:rPr>
              <w:t xml:space="preserve"> </w:t>
            </w:r>
          </w:p>
          <w:p>
            <w:pPr>
              <w:widowControl/>
              <w:jc w:val="left"/>
              <w:rPr>
                <w:rFonts w:ascii="宋体" w:hAnsi="宋体" w:cs="宋体"/>
                <w:color w:val="auto"/>
                <w:kern w:val="0"/>
                <w:sz w:val="15"/>
                <w:szCs w:val="15"/>
              </w:rPr>
            </w:pPr>
          </w:p>
          <w:p>
            <w:pPr>
              <w:widowControl/>
              <w:jc w:val="left"/>
              <w:rPr>
                <w:rFonts w:ascii="宋体" w:hAnsi="宋体" w:cs="宋体"/>
                <w:color w:val="auto"/>
                <w:kern w:val="0"/>
                <w:sz w:val="15"/>
                <w:szCs w:val="15"/>
              </w:rPr>
            </w:pPr>
            <w:r>
              <w:rPr>
                <w:rFonts w:hint="eastAsia" w:cs="宋体"/>
                <w:color w:val="auto"/>
                <w:kern w:val="0"/>
                <w:sz w:val="15"/>
                <w:szCs w:val="15"/>
                <w:lang w:val="en-US" w:eastAsia="zh-CN"/>
              </w:rPr>
              <w:t xml:space="preserve">    </w:t>
            </w:r>
            <w:r>
              <w:rPr>
                <w:rFonts w:hint="eastAsia" w:cs="宋体"/>
                <w:color w:val="auto"/>
                <w:kern w:val="0"/>
                <w:sz w:val="15"/>
                <w:szCs w:val="15"/>
              </w:rPr>
              <w:t>位</w:t>
            </w:r>
          </w:p>
          <w:p>
            <w:pPr>
              <w:widowControl/>
              <w:jc w:val="left"/>
              <w:rPr>
                <w:rFonts w:ascii="宋体" w:hAnsi="宋体" w:cs="宋体"/>
                <w:color w:val="auto"/>
                <w:kern w:val="0"/>
                <w:sz w:val="15"/>
                <w:szCs w:val="15"/>
              </w:rPr>
            </w:pPr>
          </w:p>
          <w:p>
            <w:pPr>
              <w:widowControl/>
              <w:jc w:val="left"/>
              <w:rPr>
                <w:rFonts w:ascii="宋体" w:hAnsi="宋体" w:cs="宋体"/>
                <w:color w:val="auto"/>
                <w:kern w:val="0"/>
                <w:sz w:val="15"/>
                <w:szCs w:val="15"/>
              </w:rPr>
            </w:pPr>
            <w:r>
              <w:rPr>
                <w:rFonts w:hint="eastAsia" w:cs="宋体"/>
                <w:color w:val="auto"/>
                <w:kern w:val="0"/>
                <w:sz w:val="15"/>
                <w:szCs w:val="15"/>
                <w:lang w:val="en-US" w:eastAsia="zh-CN"/>
              </w:rPr>
              <w:t xml:space="preserve">      </w:t>
            </w:r>
            <w:r>
              <w:rPr>
                <w:rFonts w:hint="eastAsia" w:cs="宋体"/>
                <w:color w:val="auto"/>
                <w:kern w:val="0"/>
                <w:sz w:val="15"/>
                <w:szCs w:val="15"/>
              </w:rPr>
              <w:t>名</w:t>
            </w:r>
          </w:p>
          <w:p>
            <w:pPr>
              <w:widowControl/>
              <w:jc w:val="left"/>
              <w:rPr>
                <w:rFonts w:ascii="宋体" w:hAnsi="宋体" w:cs="宋体"/>
                <w:color w:val="auto"/>
                <w:kern w:val="0"/>
                <w:sz w:val="15"/>
                <w:szCs w:val="15"/>
              </w:rPr>
            </w:pPr>
          </w:p>
          <w:p>
            <w:pPr>
              <w:widowControl/>
              <w:jc w:val="left"/>
              <w:rPr>
                <w:rFonts w:ascii="宋体" w:hAnsi="宋体" w:cs="宋体"/>
                <w:color w:val="auto"/>
                <w:kern w:val="0"/>
                <w:sz w:val="15"/>
                <w:szCs w:val="15"/>
              </w:rPr>
            </w:pPr>
            <w:r>
              <w:rPr>
                <w:rFonts w:hint="eastAsia" w:cs="宋体"/>
                <w:color w:val="auto"/>
                <w:kern w:val="0"/>
                <w:sz w:val="15"/>
                <w:szCs w:val="15"/>
                <w:lang w:val="en-US" w:eastAsia="zh-CN"/>
              </w:rPr>
              <w:t xml:space="preserve">         </w:t>
            </w:r>
            <w:r>
              <w:rPr>
                <w:rFonts w:hint="eastAsia" w:cs="宋体"/>
                <w:color w:val="auto"/>
                <w:kern w:val="0"/>
                <w:sz w:val="15"/>
                <w:szCs w:val="15"/>
              </w:rPr>
              <w:t>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一</w:t>
            </w:r>
          </w:p>
        </w:tc>
        <w:tc>
          <w:tcPr>
            <w:tcW w:w="41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5"/>
                <w:szCs w:val="15"/>
                <w:lang w:eastAsia="zh-CN"/>
              </w:rPr>
            </w:pPr>
            <w:r>
              <w:rPr>
                <w:rFonts w:hint="eastAsia" w:ascii="宋体" w:hAnsi="宋体" w:cs="宋体"/>
                <w:color w:val="auto"/>
                <w:kern w:val="0"/>
                <w:sz w:val="15"/>
                <w:szCs w:val="15"/>
                <w:lang w:eastAsia="zh-CN"/>
              </w:rPr>
              <w:t>二</w:t>
            </w:r>
          </w:p>
        </w:tc>
        <w:tc>
          <w:tcPr>
            <w:tcW w:w="26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三</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四</w:t>
            </w:r>
          </w:p>
        </w:tc>
        <w:tc>
          <w:tcPr>
            <w:tcW w:w="2075"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五</w:t>
            </w:r>
          </w:p>
        </w:tc>
        <w:tc>
          <w:tcPr>
            <w:tcW w:w="850"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5"/>
                <w:szCs w:val="15"/>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5"/>
                <w:szCs w:val="15"/>
              </w:rPr>
            </w:pPr>
          </w:p>
        </w:tc>
        <w:tc>
          <w:tcPr>
            <w:tcW w:w="21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5"/>
                <w:szCs w:val="15"/>
              </w:rPr>
            </w:pPr>
          </w:p>
        </w:tc>
        <w:tc>
          <w:tcPr>
            <w:tcW w:w="1246"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价格（20分）</w:t>
            </w:r>
          </w:p>
        </w:tc>
        <w:tc>
          <w:tcPr>
            <w:tcW w:w="4129" w:type="dxa"/>
            <w:gridSpan w:val="3"/>
            <w:tcBorders>
              <w:top w:val="single" w:color="auto" w:sz="4" w:space="0"/>
              <w:left w:val="single" w:color="auto" w:sz="4" w:space="0"/>
              <w:right w:val="single" w:color="auto" w:sz="4" w:space="0"/>
            </w:tcBorders>
            <w:noWrap w:val="0"/>
            <w:vAlign w:val="center"/>
          </w:tcPr>
          <w:p>
            <w:pPr>
              <w:widowControl/>
              <w:spacing w:line="200" w:lineRule="exact"/>
              <w:jc w:val="center"/>
              <w:rPr>
                <w:color w:val="auto"/>
                <w:sz w:val="15"/>
                <w:szCs w:val="15"/>
              </w:rPr>
            </w:pPr>
            <w:r>
              <w:rPr>
                <w:rFonts w:hint="eastAsia" w:ascii="宋体" w:hAnsi="宋体" w:cs="宋体"/>
                <w:color w:val="auto"/>
                <w:kern w:val="0"/>
                <w:sz w:val="15"/>
                <w:szCs w:val="15"/>
                <w:lang w:val="en-US" w:eastAsia="zh-CN"/>
              </w:rPr>
              <w:t>企业综合实力</w:t>
            </w:r>
            <w:r>
              <w:rPr>
                <w:rFonts w:hint="eastAsia" w:ascii="宋体" w:hAnsi="宋体" w:cs="宋体"/>
                <w:color w:val="auto"/>
                <w:kern w:val="0"/>
                <w:sz w:val="15"/>
                <w:szCs w:val="15"/>
                <w:lang w:eastAsia="zh-CN"/>
              </w:rPr>
              <w:t>(</w:t>
            </w:r>
            <w:r>
              <w:rPr>
                <w:rFonts w:hint="eastAsia" w:ascii="宋体" w:hAnsi="宋体" w:cs="宋体"/>
                <w:color w:val="auto"/>
                <w:kern w:val="0"/>
                <w:sz w:val="15"/>
                <w:szCs w:val="15"/>
                <w:lang w:val="en-US" w:eastAsia="zh-CN"/>
              </w:rPr>
              <w:t>30</w:t>
            </w:r>
            <w:r>
              <w:rPr>
                <w:rFonts w:hint="eastAsia" w:ascii="宋体" w:hAnsi="宋体" w:cs="宋体"/>
                <w:color w:val="auto"/>
                <w:kern w:val="0"/>
                <w:sz w:val="15"/>
                <w:szCs w:val="15"/>
                <w:lang w:eastAsia="zh-CN"/>
              </w:rPr>
              <w:t>分)</w:t>
            </w:r>
          </w:p>
        </w:tc>
        <w:tc>
          <w:tcPr>
            <w:tcW w:w="26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企业业绩（20分）</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拟投入人员（20分）</w:t>
            </w:r>
          </w:p>
        </w:tc>
        <w:tc>
          <w:tcPr>
            <w:tcW w:w="2075" w:type="dxa"/>
            <w:tcBorders>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服务方案（10分）</w:t>
            </w:r>
          </w:p>
        </w:tc>
        <w:tc>
          <w:tcPr>
            <w:tcW w:w="850" w:type="dxa"/>
            <w:vMerge w:val="continue"/>
            <w:tcBorders>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5"/>
                <w:szCs w:val="15"/>
              </w:rPr>
            </w:pPr>
          </w:p>
        </w:tc>
        <w:tc>
          <w:tcPr>
            <w:tcW w:w="21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5"/>
                <w:szCs w:val="15"/>
              </w:rPr>
            </w:pPr>
          </w:p>
        </w:tc>
        <w:tc>
          <w:tcPr>
            <w:tcW w:w="1246"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造价咨询</w:t>
            </w: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服务费</w:t>
            </w:r>
          </w:p>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（20分）</w:t>
            </w:r>
          </w:p>
        </w:tc>
        <w:tc>
          <w:tcPr>
            <w:tcW w:w="1016"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荣誉证书</w:t>
            </w:r>
          </w:p>
          <w:p>
            <w:pPr>
              <w:widowControl/>
              <w:spacing w:line="200" w:lineRule="exact"/>
              <w:jc w:val="center"/>
              <w:rPr>
                <w:rFonts w:hint="default"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（10分）</w:t>
            </w:r>
          </w:p>
        </w:tc>
        <w:tc>
          <w:tcPr>
            <w:tcW w:w="1150"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企业认证</w:t>
            </w:r>
          </w:p>
          <w:p>
            <w:pPr>
              <w:widowControl/>
              <w:spacing w:line="200" w:lineRule="exact"/>
              <w:jc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（10分）</w:t>
            </w:r>
          </w:p>
        </w:tc>
        <w:tc>
          <w:tcPr>
            <w:tcW w:w="1963"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诚信综合评价</w:t>
            </w:r>
          </w:p>
          <w:p>
            <w:pPr>
              <w:widowControl/>
              <w:spacing w:line="200" w:lineRule="exact"/>
              <w:jc w:val="center"/>
              <w:rPr>
                <w:rFonts w:hint="default"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（10分）</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工程造价</w:t>
            </w: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咨询业绩</w:t>
            </w:r>
          </w:p>
          <w:p>
            <w:pPr>
              <w:widowControl/>
              <w:spacing w:line="200" w:lineRule="exact"/>
              <w:jc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w:t>
            </w:r>
            <w:r>
              <w:rPr>
                <w:rFonts w:hint="eastAsia" w:ascii="宋体" w:hAnsi="宋体" w:cs="宋体"/>
                <w:color w:val="auto"/>
                <w:kern w:val="0"/>
                <w:sz w:val="15"/>
                <w:szCs w:val="15"/>
                <w:lang w:val="en-US" w:eastAsia="zh-CN"/>
              </w:rPr>
              <w:t>10分</w:t>
            </w:r>
            <w:r>
              <w:rPr>
                <w:rFonts w:hint="eastAsia" w:ascii="宋体" w:hAnsi="宋体" w:cs="宋体"/>
                <w:color w:val="auto"/>
                <w:kern w:val="0"/>
                <w:sz w:val="15"/>
                <w:szCs w:val="15"/>
                <w:lang w:eastAsia="zh-CN"/>
              </w:rPr>
              <w:t>）</w:t>
            </w:r>
          </w:p>
        </w:tc>
        <w:tc>
          <w:tcPr>
            <w:tcW w:w="1225" w:type="dxa"/>
            <w:tcBorders>
              <w:top w:val="single" w:color="auto" w:sz="4" w:space="0"/>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5"/>
                <w:szCs w:val="15"/>
                <w:lang w:val="en-US" w:eastAsia="zh-CN"/>
              </w:rPr>
            </w:pP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业绩得奖</w:t>
            </w: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情况</w:t>
            </w:r>
          </w:p>
          <w:p>
            <w:pPr>
              <w:widowControl/>
              <w:spacing w:line="200" w:lineRule="exact"/>
              <w:jc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w:t>
            </w:r>
            <w:r>
              <w:rPr>
                <w:rFonts w:hint="eastAsia" w:ascii="宋体" w:hAnsi="宋体" w:cs="宋体"/>
                <w:color w:val="auto"/>
                <w:kern w:val="0"/>
                <w:sz w:val="15"/>
                <w:szCs w:val="15"/>
                <w:lang w:val="en-US" w:eastAsia="zh-CN"/>
              </w:rPr>
              <w:t>10分</w:t>
            </w:r>
            <w:r>
              <w:rPr>
                <w:rFonts w:hint="eastAsia" w:ascii="宋体" w:hAnsi="宋体" w:cs="宋体"/>
                <w:color w:val="auto"/>
                <w:kern w:val="0"/>
                <w:sz w:val="15"/>
                <w:szCs w:val="15"/>
                <w:lang w:eastAsia="zh-CN"/>
              </w:rPr>
              <w:t>）</w:t>
            </w:r>
          </w:p>
        </w:tc>
        <w:tc>
          <w:tcPr>
            <w:tcW w:w="787" w:type="dxa"/>
            <w:tcBorders>
              <w:left w:val="single" w:color="auto" w:sz="4" w:space="0"/>
              <w:bottom w:val="single" w:color="auto" w:sz="4" w:space="0"/>
              <w:right w:val="single" w:color="auto" w:sz="4" w:space="0"/>
            </w:tcBorders>
            <w:noWrap w:val="0"/>
            <w:vAlign w:val="top"/>
          </w:tcPr>
          <w:p>
            <w:pPr>
              <w:widowControl/>
              <w:spacing w:line="200" w:lineRule="exact"/>
              <w:ind w:firstLine="150" w:firstLineChars="100"/>
              <w:jc w:val="both"/>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项目</w:t>
            </w: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负责人水平</w:t>
            </w:r>
          </w:p>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eastAsia="zh-CN"/>
              </w:rPr>
              <w:t>（</w:t>
            </w:r>
            <w:r>
              <w:rPr>
                <w:rFonts w:hint="eastAsia" w:ascii="宋体" w:hAnsi="宋体" w:cs="宋体"/>
                <w:color w:val="auto"/>
                <w:kern w:val="0"/>
                <w:sz w:val="15"/>
                <w:szCs w:val="15"/>
                <w:lang w:val="en-US" w:eastAsia="zh-CN"/>
              </w:rPr>
              <w:t>10分</w:t>
            </w:r>
            <w:r>
              <w:rPr>
                <w:rFonts w:hint="eastAsia" w:ascii="宋体" w:hAnsi="宋体" w:cs="宋体"/>
                <w:color w:val="auto"/>
                <w:kern w:val="0"/>
                <w:sz w:val="15"/>
                <w:szCs w:val="15"/>
                <w:lang w:eastAsia="zh-CN"/>
              </w:rPr>
              <w:t>）</w:t>
            </w:r>
          </w:p>
        </w:tc>
        <w:tc>
          <w:tcPr>
            <w:tcW w:w="788" w:type="dxa"/>
            <w:tcBorders>
              <w:left w:val="single" w:color="auto" w:sz="4" w:space="0"/>
              <w:bottom w:val="single" w:color="auto" w:sz="4" w:space="0"/>
              <w:right w:val="single" w:color="auto" w:sz="4" w:space="0"/>
            </w:tcBorders>
            <w:noWrap w:val="0"/>
            <w:vAlign w:val="top"/>
          </w:tcPr>
          <w:p>
            <w:pPr>
              <w:widowControl/>
              <w:spacing w:line="200" w:lineRule="exact"/>
              <w:ind w:firstLine="150" w:firstLineChars="100"/>
              <w:jc w:val="both"/>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专业</w:t>
            </w: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负责人配备</w:t>
            </w:r>
          </w:p>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eastAsia="zh-CN"/>
              </w:rPr>
              <w:t>（</w:t>
            </w:r>
            <w:r>
              <w:rPr>
                <w:rFonts w:hint="eastAsia" w:ascii="宋体" w:hAnsi="宋体" w:cs="宋体"/>
                <w:color w:val="auto"/>
                <w:kern w:val="0"/>
                <w:sz w:val="15"/>
                <w:szCs w:val="15"/>
                <w:lang w:val="en-US" w:eastAsia="zh-CN"/>
              </w:rPr>
              <w:t>10分</w:t>
            </w:r>
            <w:r>
              <w:rPr>
                <w:rFonts w:hint="eastAsia" w:ascii="宋体" w:hAnsi="宋体" w:cs="宋体"/>
                <w:color w:val="auto"/>
                <w:kern w:val="0"/>
                <w:sz w:val="15"/>
                <w:szCs w:val="15"/>
                <w:lang w:eastAsia="zh-CN"/>
              </w:rPr>
              <w:t>）</w:t>
            </w:r>
          </w:p>
        </w:tc>
        <w:tc>
          <w:tcPr>
            <w:tcW w:w="2075" w:type="dxa"/>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5"/>
                <w:szCs w:val="15"/>
                <w:lang w:val="en-US" w:eastAsia="zh-CN"/>
              </w:rPr>
            </w:pPr>
          </w:p>
          <w:p>
            <w:pPr>
              <w:widowControl/>
              <w:spacing w:line="20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服务方案</w:t>
            </w:r>
          </w:p>
          <w:p>
            <w:pPr>
              <w:widowControl/>
              <w:spacing w:line="20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（10分）</w:t>
            </w:r>
          </w:p>
        </w:tc>
        <w:tc>
          <w:tcPr>
            <w:tcW w:w="850" w:type="dxa"/>
            <w:vMerge w:val="continue"/>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5"/>
                <w:szCs w:val="15"/>
              </w:rPr>
            </w:pPr>
          </w:p>
        </w:tc>
        <w:tc>
          <w:tcPr>
            <w:tcW w:w="21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5"/>
                <w:szCs w:val="15"/>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5"/>
                <w:szCs w:val="15"/>
                <w:highlight w:val="none"/>
                <w:lang w:val="en-US" w:eastAsia="zh-CN"/>
              </w:rPr>
            </w:pPr>
            <w:r>
              <w:rPr>
                <w:rFonts w:hint="eastAsia" w:ascii="宋体" w:hAnsi="宋体"/>
                <w:color w:val="auto"/>
                <w:sz w:val="15"/>
                <w:szCs w:val="15"/>
              </w:rPr>
              <w:t>依据《关于调整我省建设工程造价咨询服务收费的复函》 （粤价函[2011]742号）下浮率报价（保留一位小数，最低下浮率</w:t>
            </w:r>
            <w:r>
              <w:rPr>
                <w:rFonts w:hint="eastAsia" w:ascii="宋体" w:hAnsi="宋体"/>
                <w:color w:val="auto"/>
                <w:sz w:val="15"/>
                <w:szCs w:val="15"/>
                <w:lang w:val="en-US" w:eastAsia="zh-CN"/>
              </w:rPr>
              <w:t>不能低于</w:t>
            </w:r>
            <w:r>
              <w:rPr>
                <w:rFonts w:hint="eastAsia" w:ascii="宋体" w:hAnsi="宋体"/>
                <w:color w:val="auto"/>
                <w:sz w:val="15"/>
                <w:szCs w:val="15"/>
              </w:rPr>
              <w:t>20%），以最低报价都为20分，每高于最低价报价的，相应扣减得分，每高1%扣1分，不足1%的按1%计算，本项最低为0分。</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获得中国建设工程造价管理协会授予“先进会员单位（或先进单位会员）”荣誉每次得5分，没有的不得分，本项最高得10分。（注：提交相关证书复印件，日期以荣誉证书颁发时间为准。）</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具有ISO质量管理体系认证、环境管理体系认证、职业健康安全管理体系认证、信息安全管理体系认证证书及知识产权管理体系认证证书且在有效期且在有效期内的，每个得2分，最多10分</w:t>
            </w:r>
            <w:r>
              <w:rPr>
                <w:rFonts w:hint="eastAsia" w:ascii="宋体" w:hAnsi="宋体" w:cs="宋体"/>
                <w:color w:val="auto"/>
                <w:kern w:val="0"/>
                <w:sz w:val="15"/>
                <w:szCs w:val="15"/>
                <w:highlight w:val="none"/>
                <w:lang w:eastAsia="zh-CN"/>
              </w:rPr>
              <w:t>。</w:t>
            </w:r>
          </w:p>
          <w:p>
            <w:pPr>
              <w:widowControl/>
              <w:snapToGrid w:val="0"/>
              <w:spacing w:line="200" w:lineRule="exact"/>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eastAsia="zh-CN"/>
              </w:rPr>
              <w:t>（注：提交相关证书复印件。</w:t>
            </w:r>
            <w:r>
              <w:rPr>
                <w:rFonts w:hint="eastAsia" w:ascii="宋体" w:hAnsi="宋体" w:cs="宋体"/>
                <w:color w:val="auto"/>
                <w:kern w:val="0"/>
                <w:sz w:val="15"/>
                <w:szCs w:val="15"/>
                <w:highlight w:val="none"/>
                <w:lang w:eastAsia="zh-CN"/>
              </w:rPr>
              <w:t>）</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根据投标人在“广东省建设工程造价监管系统”的造价咨询企业综合诚信评价排名，第1～3名得10分，第4～6名得6分，第7～9名得2分，第10名及以后得1分，未获“广东省建设工程造价监管系统”造价咨询企业综合诚信评价的不得分。</w:t>
            </w:r>
          </w:p>
          <w:p>
            <w:pPr>
              <w:widowControl/>
              <w:snapToGrid w:val="0"/>
              <w:spacing w:line="200" w:lineRule="exact"/>
              <w:jc w:val="both"/>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（注：企业的诚信综合评价排名以投标截止时间广东省建设工程造价监管系统上公布的造价咨询企业60日诚信分排名数据为准，如“60日诚信分”得分相同，则以“当日诚信分”较高者排序优先。）</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投标人自2018年1月1日至今承接过（含已完成或实施中）工程投资额8000万元（及以上）的全过程工程造价咨询业绩，每项得2分，最高得10分。（注：提供咨询合同和咨询成果复印件，咨询成果可以是经业主确认的咨询报告或定案表或业主评价意见表等，时间、造价均以咨询成果为准。）</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全过程工程造价咨询成果获造价协会的奖项评比：获得国家级全过程工程造价咨询优秀成果奖，获一等奖每项得10分，获等奖每项得5分，获三等奖每项得1分；最高得10分。</w:t>
            </w:r>
          </w:p>
          <w:p>
            <w:pPr>
              <w:widowControl/>
              <w:snapToGrid w:val="0"/>
              <w:spacing w:line="200" w:lineRule="exact"/>
              <w:jc w:val="both"/>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（注：提供获奖证书复印件，同一项目成果获奖按最高</w:t>
            </w:r>
            <w:r>
              <w:rPr>
                <w:rFonts w:hint="eastAsia" w:ascii="宋体" w:hAnsi="宋体" w:cs="宋体"/>
                <w:color w:val="auto"/>
                <w:kern w:val="0"/>
                <w:sz w:val="15"/>
                <w:szCs w:val="15"/>
                <w:highlight w:val="none"/>
                <w:lang w:val="en-US" w:eastAsia="zh-CN"/>
              </w:rPr>
              <w:t>0</w:t>
            </w:r>
            <w:r>
              <w:rPr>
                <w:rFonts w:hint="eastAsia" w:ascii="宋体" w:hAnsi="宋体" w:eastAsia="宋体" w:cs="宋体"/>
                <w:color w:val="auto"/>
                <w:kern w:val="0"/>
                <w:sz w:val="15"/>
                <w:szCs w:val="15"/>
                <w:highlight w:val="none"/>
                <w:lang w:eastAsia="zh-CN"/>
              </w:rPr>
              <w:t>级别计算</w:t>
            </w:r>
            <w:r>
              <w:rPr>
                <w:rFonts w:hint="eastAsia" w:ascii="宋体" w:hAnsi="宋体" w:cs="宋体"/>
                <w:color w:val="auto"/>
                <w:kern w:val="0"/>
                <w:sz w:val="15"/>
                <w:szCs w:val="15"/>
                <w:highlight w:val="none"/>
                <w:lang w:eastAsia="zh-CN"/>
              </w:rPr>
              <w:t>。）</w:t>
            </w: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00" w:lineRule="exact"/>
              <w:jc w:val="center"/>
              <w:rPr>
                <w:rFonts w:hint="eastAsia" w:ascii="宋体" w:hAnsi="宋体" w:eastAsia="宋体" w:cs="宋体"/>
                <w:color w:val="auto"/>
                <w:kern w:val="0"/>
                <w:sz w:val="15"/>
                <w:szCs w:val="15"/>
                <w:highlight w:val="none"/>
                <w:lang w:val="en-US" w:eastAsia="zh-CN"/>
              </w:rPr>
            </w:pPr>
          </w:p>
          <w:p>
            <w:pPr>
              <w:widowControl/>
              <w:snapToGrid w:val="0"/>
              <w:spacing w:line="200" w:lineRule="exact"/>
              <w:jc w:val="both"/>
              <w:rPr>
                <w:rFonts w:hint="eastAsia" w:ascii="宋体" w:hAnsi="宋体" w:eastAsia="宋体" w:cs="宋体"/>
                <w:color w:val="auto"/>
                <w:kern w:val="0"/>
                <w:sz w:val="15"/>
                <w:szCs w:val="15"/>
                <w:highlight w:val="none"/>
                <w:lang w:val="en-US" w:eastAsia="zh-CN"/>
              </w:rPr>
            </w:pPr>
          </w:p>
          <w:p>
            <w:pPr>
              <w:widowControl/>
              <w:snapToGrid w:val="0"/>
              <w:spacing w:line="20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具备教授级高级工程师职称得10分、高级</w:t>
            </w:r>
            <w:r>
              <w:rPr>
                <w:rFonts w:hint="eastAsia" w:ascii="宋体" w:hAnsi="宋体" w:cs="宋体"/>
                <w:color w:val="auto"/>
                <w:kern w:val="0"/>
                <w:sz w:val="15"/>
                <w:szCs w:val="15"/>
                <w:highlight w:val="none"/>
                <w:lang w:val="en-US" w:eastAsia="zh-CN"/>
              </w:rPr>
              <w:t>（副）</w:t>
            </w:r>
            <w:r>
              <w:rPr>
                <w:rFonts w:hint="eastAsia" w:ascii="宋体" w:hAnsi="宋体" w:eastAsia="宋体" w:cs="宋体"/>
                <w:color w:val="auto"/>
                <w:kern w:val="0"/>
                <w:sz w:val="15"/>
                <w:szCs w:val="15"/>
                <w:highlight w:val="none"/>
                <w:lang w:val="en-US" w:eastAsia="zh-CN"/>
              </w:rPr>
              <w:t>工程师职称的得5分、工程师职称的得1分；</w:t>
            </w:r>
          </w:p>
          <w:p>
            <w:pPr>
              <w:widowControl/>
              <w:snapToGrid w:val="0"/>
              <w:spacing w:line="200"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（注：提供职称证书。）</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除项目负责人外，每增加一名国家注册造价工程师加2分，最多得10分。（注：提供拟配备人员执业资格证书及注册证书。）</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color w:val="auto"/>
                <w:kern w:val="0"/>
                <w:sz w:val="15"/>
                <w:szCs w:val="15"/>
                <w:lang w:val="en-US" w:eastAsia="zh-CN"/>
              </w:rPr>
            </w:pPr>
            <w:r>
              <w:rPr>
                <w:rFonts w:hint="default" w:ascii="宋体" w:hAnsi="宋体" w:eastAsia="宋体" w:cs="宋体"/>
                <w:color w:val="auto"/>
                <w:kern w:val="0"/>
                <w:sz w:val="15"/>
                <w:szCs w:val="15"/>
                <w:lang w:val="en-US" w:eastAsia="zh-CN"/>
              </w:rPr>
              <w:t>方案思路很清晰，提出的保证本项目造价咨询服务准确、合理操作性强，</w:t>
            </w:r>
            <w:r>
              <w:rPr>
                <w:rFonts w:hint="eastAsia" w:ascii="宋体" w:hAnsi="宋体" w:cs="宋体"/>
                <w:color w:val="auto"/>
                <w:kern w:val="0"/>
                <w:sz w:val="15"/>
                <w:szCs w:val="15"/>
                <w:lang w:val="en-US" w:eastAsia="zh-CN"/>
              </w:rPr>
              <w:t>能</w:t>
            </w:r>
            <w:r>
              <w:rPr>
                <w:rFonts w:hint="default" w:ascii="宋体" w:hAnsi="宋体" w:eastAsia="宋体" w:cs="宋体"/>
                <w:color w:val="auto"/>
                <w:kern w:val="0"/>
                <w:sz w:val="15"/>
                <w:szCs w:val="15"/>
                <w:lang w:val="en-US" w:eastAsia="zh-CN"/>
              </w:rPr>
              <w:t>按时按质完成任务；有明确承诺严格遵守本次委托人对工程造价咨询的各项要求和规定的得8—10分；方案思路较清晰，提出的保证本项目造价咨询服务准确、合理，操作性较强，有明确承诺严格遵守本次委托人对工程造价咨询的各项要求和规定的得5—7分；方案思路的清晰度一般，提出的保证本项目编制的造价咨询准确、合理，操作性一般；有承诺严格遭守本次委托人对工程造价咨询的各项要求和规定的得1—4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1</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246"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lang w:eastAsia="zh-CN"/>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bidi="ar-SA"/>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bidi="ar-SA"/>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2</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24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3</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246"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4</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24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bl>
    <w:p>
      <w:pPr>
        <w:widowControl/>
        <w:jc w:val="left"/>
        <w:rPr>
          <w:rFonts w:hint="eastAsia" w:cs="宋体"/>
          <w:color w:val="auto"/>
          <w:kern w:val="0"/>
          <w:sz w:val="18"/>
          <w:szCs w:val="18"/>
          <w:lang w:eastAsia="zh-CN"/>
        </w:rPr>
      </w:pPr>
    </w:p>
    <w:p>
      <w:pPr>
        <w:widowControl/>
        <w:ind w:left="808" w:leftChars="85" w:hanging="630" w:hangingChars="350"/>
        <w:jc w:val="left"/>
        <w:rPr>
          <w:rFonts w:hint="eastAsia" w:ascii="宋体" w:hAnsi="宋体" w:cs="宋体"/>
          <w:color w:val="auto"/>
          <w:kern w:val="0"/>
          <w:sz w:val="18"/>
          <w:szCs w:val="18"/>
          <w:lang w:eastAsia="zh-CN"/>
        </w:rPr>
      </w:pPr>
      <w:r>
        <w:rPr>
          <w:rFonts w:hint="eastAsia" w:cs="宋体"/>
          <w:color w:val="auto"/>
          <w:kern w:val="0"/>
          <w:sz w:val="18"/>
          <w:szCs w:val="18"/>
          <w:lang w:eastAsia="zh-CN"/>
        </w:rPr>
        <w:t>注</w:t>
      </w:r>
      <w:r>
        <w:rPr>
          <w:rFonts w:hint="eastAsia" w:cs="宋体"/>
          <w:color w:val="auto"/>
          <w:kern w:val="0"/>
          <w:sz w:val="18"/>
          <w:szCs w:val="18"/>
        </w:rPr>
        <w:t>：</w:t>
      </w: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企业业绩需提供咨询合同和咨询成果复印件，咨询成果可以是经业主确认的咨询报告或定案表或业主评价意见表等，时间、造价均以咨询成果为准。全过程必须包含：招标阶段、施工阶段、结算阶段及以上，同一合同分为不同标段的只作一项计算。</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2、拟投入本项目的人员需提供相关证书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w:t>
      </w:r>
      <w:r>
        <w:rPr>
          <w:rFonts w:hint="eastAsia" w:ascii="宋体" w:hAnsi="宋体" w:cs="宋体"/>
          <w:color w:val="auto"/>
          <w:kern w:val="0"/>
          <w:sz w:val="18"/>
          <w:szCs w:val="18"/>
          <w:lang w:val="en-US" w:eastAsia="zh-CN"/>
        </w:rPr>
        <w:t>本投标单位2020年12月至2021年2月的</w:t>
      </w:r>
      <w:r>
        <w:rPr>
          <w:rFonts w:hint="eastAsia" w:ascii="宋体" w:hAnsi="宋体" w:cs="宋体"/>
          <w:color w:val="auto"/>
          <w:kern w:val="0"/>
          <w:sz w:val="18"/>
          <w:szCs w:val="18"/>
          <w:lang w:eastAsia="zh-CN"/>
        </w:rPr>
        <w:t>社保证明。</w:t>
      </w:r>
    </w:p>
    <w:p>
      <w:pPr>
        <w:widowControl/>
        <w:ind w:left="804" w:leftChars="340" w:hanging="90" w:hangingChars="5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3、投标人的综合得分为各评委评分的算术平均分（分数出现小数点时，保留小数点后二位，第三位小数四舍五入）</w:t>
      </w:r>
    </w:p>
    <w:p>
      <w:pPr>
        <w:widowControl/>
        <w:ind w:left="804" w:leftChars="340" w:hanging="90" w:hangingChars="50"/>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4、为防范恶意低价竞标，报价下浮率低于最高限价20%的视为废标。（最低下浮率为20%）</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C5295"/>
    <w:rsid w:val="069E5BCE"/>
    <w:rsid w:val="0AC80276"/>
    <w:rsid w:val="12D91410"/>
    <w:rsid w:val="17C53726"/>
    <w:rsid w:val="18FC6D3C"/>
    <w:rsid w:val="1B546E2D"/>
    <w:rsid w:val="1E416EF7"/>
    <w:rsid w:val="227A7847"/>
    <w:rsid w:val="2763645F"/>
    <w:rsid w:val="2FE14639"/>
    <w:rsid w:val="35C164E2"/>
    <w:rsid w:val="37D1055F"/>
    <w:rsid w:val="39ED396B"/>
    <w:rsid w:val="41377131"/>
    <w:rsid w:val="4461216A"/>
    <w:rsid w:val="44E93A85"/>
    <w:rsid w:val="4C897E46"/>
    <w:rsid w:val="4D1D4F22"/>
    <w:rsid w:val="4F757EFB"/>
    <w:rsid w:val="516828CF"/>
    <w:rsid w:val="57782F54"/>
    <w:rsid w:val="57D51DAB"/>
    <w:rsid w:val="5B9C2674"/>
    <w:rsid w:val="5FFC5295"/>
    <w:rsid w:val="60883D20"/>
    <w:rsid w:val="7B6424DA"/>
    <w:rsid w:val="7C5A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2020-10-16T10:19:00Z</dcterms:created>
  <dc:creator>M</dc:creator>
  <cp:lastModifiedBy>linhl</cp:lastModifiedBy>
  <cp:lastPrinted>2021-04-13T06:49:00Z</cp:lastPrinted>
  <dcterms:modified xsi:type="dcterms:W3CDTF">2021-04-13T07:26:38Z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