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eastAsia="zh-CN"/>
        </w:rPr>
        <w:t>天河区</w:t>
      </w:r>
      <w:r>
        <w:rPr>
          <w:rFonts w:hint="eastAsia" w:ascii="Times New Roman" w:hAnsi="Times New Roman" w:eastAsia="方正小标宋_GBK" w:cs="Times New Roman"/>
          <w:color w:val="auto"/>
          <w:sz w:val="44"/>
          <w:szCs w:val="44"/>
          <w:highlight w:val="none"/>
          <w:lang w:val="en-US" w:eastAsia="zh-CN"/>
        </w:rPr>
        <w:t>天河路商圈改造提升奖励项目</w:t>
      </w:r>
    </w:p>
    <w:p>
      <w:pPr>
        <w:keepNext w:val="0"/>
        <w:keepLines w:val="0"/>
        <w:pageBreakBefore w:val="0"/>
        <w:kinsoku/>
        <w:overflowPunct/>
        <w:topLinePunct w:val="0"/>
        <w:autoSpaceDE/>
        <w:autoSpaceDN/>
        <w:bidi w:val="0"/>
        <w:adjustRightIn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办事指南</w:t>
      </w:r>
    </w:p>
    <w:p>
      <w:pPr>
        <w:keepNext w:val="0"/>
        <w:keepLines w:val="0"/>
        <w:pageBreakBefore w:val="0"/>
        <w:kinsoku/>
        <w:overflowPunct/>
        <w:topLinePunct w:val="0"/>
        <w:autoSpaceDE/>
        <w:autoSpaceDN/>
        <w:bidi w:val="0"/>
        <w:adjustRightIn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eastAsia="zh-CN"/>
        </w:rPr>
      </w:pPr>
      <w:r>
        <w:rPr>
          <w:rFonts w:hint="default" w:ascii="Times New Roman" w:hAnsi="Times New Roman" w:eastAsia="黑体" w:cs="Times New Roman"/>
          <w:color w:val="auto"/>
          <w:sz w:val="32"/>
          <w:highlight w:val="none"/>
          <w:lang w:eastAsia="zh-CN"/>
        </w:rPr>
        <w:t>一、基本信息</w:t>
      </w:r>
      <w:bookmarkStart w:id="7" w:name="_GoBack"/>
      <w:bookmarkEnd w:id="7"/>
    </w:p>
    <w:p>
      <w:pPr>
        <w:pStyle w:val="3"/>
        <w:rPr>
          <w:rFonts w:hint="eastAsia" w:ascii="楷体" w:hAnsi="楷体" w:eastAsia="楷体" w:cs="楷体"/>
          <w:color w:val="auto"/>
          <w:kern w:val="2"/>
          <w:sz w:val="32"/>
          <w:szCs w:val="24"/>
          <w:highlight w:val="none"/>
          <w:lang w:val="en-US" w:eastAsia="zh-CN" w:bidi="ar-SA"/>
        </w:rPr>
      </w:pPr>
      <w:r>
        <w:rPr>
          <w:rFonts w:hint="default" w:ascii="Times New Roman" w:hAnsi="Times New Roman" w:eastAsia="仿宋_GB2312" w:cs="Times New Roman"/>
          <w:color w:val="auto"/>
          <w:sz w:val="32"/>
          <w:highlight w:val="none"/>
          <w:lang w:val="en-US" w:eastAsia="zh-CN"/>
        </w:rPr>
        <w:t>1.申报对象：</w:t>
      </w:r>
      <w:r>
        <w:rPr>
          <w:rFonts w:hint="eastAsia" w:ascii="仿宋_GB2312" w:hAnsi="仿宋_GB2312" w:eastAsia="仿宋_GB2312" w:cs="仿宋_GB2312"/>
          <w:color w:val="auto"/>
          <w:sz w:val="32"/>
          <w:szCs w:val="32"/>
          <w:highlight w:val="none"/>
          <w:lang w:val="en-US" w:eastAsia="zh-CN"/>
        </w:rPr>
        <w:t>对天河路商圈范围内的商贸载体运营公司</w:t>
      </w:r>
      <w:r>
        <w:rPr>
          <w:rFonts w:hint="eastAsia" w:ascii="楷体" w:hAnsi="楷体" w:eastAsia="楷体" w:cs="楷体"/>
          <w:color w:val="auto"/>
          <w:sz w:val="32"/>
          <w:highlight w:val="none"/>
          <w:lang w:val="en-US" w:eastAsia="zh-CN"/>
        </w:rPr>
        <w:t>（备注：</w:t>
      </w:r>
      <w:r>
        <w:rPr>
          <w:rFonts w:hint="eastAsia" w:ascii="宋体" w:hAnsi="宋体" w:eastAsia="宋体" w:cs="宋体"/>
          <w:color w:val="auto"/>
          <w:sz w:val="32"/>
          <w:highlight w:val="none"/>
          <w:lang w:val="en-US" w:eastAsia="zh-CN"/>
        </w:rPr>
        <w:t>①</w:t>
      </w:r>
      <w:r>
        <w:rPr>
          <w:rFonts w:hint="eastAsia" w:ascii="楷体" w:hAnsi="楷体" w:eastAsia="楷体" w:cs="楷体"/>
          <w:color w:val="auto"/>
          <w:kern w:val="2"/>
          <w:sz w:val="32"/>
          <w:szCs w:val="24"/>
          <w:highlight w:val="none"/>
          <w:lang w:val="en-US" w:eastAsia="zh-CN" w:bidi="ar-SA"/>
        </w:rPr>
        <w:t>商贸载体，即商业综合体，指已建成投入使用并集购物、住宿、展览、餐饮、文娱、交通枢纽等两种或两种以上功能于一体的以零售为主的城市商业综合体。②商贸载体运营公司指该商贸载体实际经营管理方。）</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2.支付方式：后支持</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3.扶持形式：奖补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4.资金额度：</w:t>
      </w:r>
      <w:r>
        <w:rPr>
          <w:rFonts w:ascii="Times New Roman" w:hAnsi="Times New Roman" w:eastAsia="仿宋_GB2312" w:cs="Times New Roman"/>
          <w:color w:val="auto"/>
          <w:sz w:val="32"/>
          <w:szCs w:val="32"/>
          <w:highlight w:val="none"/>
        </w:rPr>
        <w:t>给予实际投资额20%，最高</w:t>
      </w:r>
      <w:r>
        <w:rPr>
          <w:rFonts w:hint="eastAsia" w:ascii="Times New Roman" w:hAnsi="Times New Roman" w:eastAsia="仿宋_GB2312" w:cs="Times New Roman"/>
          <w:color w:val="auto"/>
          <w:sz w:val="32"/>
          <w:szCs w:val="32"/>
          <w:highlight w:val="none"/>
          <w:lang w:eastAsia="zh-CN"/>
        </w:rPr>
        <w:t>不超过</w:t>
      </w:r>
      <w:r>
        <w:rPr>
          <w:rFonts w:ascii="Times New Roman" w:hAnsi="Times New Roman" w:eastAsia="仿宋_GB2312" w:cs="Times New Roman"/>
          <w:color w:val="auto"/>
          <w:sz w:val="32"/>
          <w:szCs w:val="32"/>
          <w:highlight w:val="none"/>
        </w:rPr>
        <w:t>50万元的奖励。</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7.主管部门：广州市天河区商务和金融工作局</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8.联系方式：区商务金融局</w:t>
      </w:r>
      <w:r>
        <w:rPr>
          <w:rFonts w:hint="eastAsia" w:ascii="Times New Roman" w:hAnsi="Times New Roman" w:eastAsia="仿宋_GB2312" w:cs="Times New Roman"/>
          <w:color w:val="auto"/>
          <w:sz w:val="32"/>
          <w:highlight w:val="none"/>
          <w:lang w:val="en-US" w:eastAsia="zh-CN"/>
        </w:rPr>
        <w:t>商务发展</w:t>
      </w:r>
      <w:r>
        <w:rPr>
          <w:rFonts w:hint="default" w:ascii="Times New Roman" w:hAnsi="Times New Roman" w:eastAsia="仿宋_GB2312" w:cs="Times New Roman"/>
          <w:color w:val="auto"/>
          <w:sz w:val="32"/>
          <w:highlight w:val="none"/>
          <w:lang w:val="en-US" w:eastAsia="zh-CN"/>
        </w:rPr>
        <w:t>科，020-</w:t>
      </w:r>
      <w:bookmarkStart w:id="0" w:name="_Toc166952865"/>
      <w:bookmarkStart w:id="1" w:name="_Toc166951845"/>
      <w:bookmarkStart w:id="2" w:name="_Toc166954084"/>
      <w:bookmarkStart w:id="3" w:name="_Toc166951318"/>
      <w:bookmarkStart w:id="4" w:name="_Toc166952383"/>
      <w:bookmarkStart w:id="5" w:name="_Toc166952597"/>
      <w:r>
        <w:rPr>
          <w:rFonts w:hint="default" w:ascii="Times New Roman" w:hAnsi="Times New Roman" w:eastAsia="仿宋_GB2312" w:cs="Times New Roman"/>
          <w:color w:val="auto"/>
          <w:sz w:val="32"/>
          <w:highlight w:val="none"/>
          <w:lang w:val="en-US" w:eastAsia="zh-CN"/>
        </w:rPr>
        <w:t>3862</w:t>
      </w:r>
      <w:bookmarkEnd w:id="0"/>
      <w:bookmarkEnd w:id="1"/>
      <w:bookmarkEnd w:id="2"/>
      <w:bookmarkEnd w:id="3"/>
      <w:bookmarkEnd w:id="4"/>
      <w:bookmarkEnd w:id="5"/>
      <w:r>
        <w:rPr>
          <w:rFonts w:hint="eastAsia" w:ascii="Times New Roman" w:hAnsi="Times New Roman" w:eastAsia="仿宋_GB2312" w:cs="Times New Roman"/>
          <w:color w:val="auto"/>
          <w:sz w:val="32"/>
          <w:highlight w:val="none"/>
          <w:lang w:val="en-US" w:eastAsia="zh-CN"/>
        </w:rPr>
        <w:t>3568</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楷体" w:hAnsi="楷体" w:eastAsia="楷体" w:cs="楷体"/>
          <w:b/>
          <w:bCs/>
          <w:color w:val="auto"/>
          <w:kern w:val="0"/>
          <w:sz w:val="32"/>
          <w:szCs w:val="32"/>
          <w:highlight w:val="none"/>
        </w:rPr>
      </w:pPr>
      <w:r>
        <w:rPr>
          <w:rFonts w:hint="default" w:ascii="Times New Roman" w:hAnsi="Times New Roman" w:eastAsia="仿宋_GB2312" w:cs="Times New Roman"/>
          <w:color w:val="auto"/>
          <w:sz w:val="32"/>
          <w:highlight w:val="none"/>
          <w:lang w:val="en-US" w:eastAsia="zh-CN"/>
        </w:rPr>
        <w:t>9.项目描述：</w:t>
      </w:r>
      <w:r>
        <w:rPr>
          <w:rFonts w:hint="eastAsia" w:ascii="Times New Roman" w:hAnsi="Times New Roman" w:eastAsia="仿宋_GB2312" w:cs="Times New Roman"/>
          <w:color w:val="auto"/>
          <w:sz w:val="32"/>
          <w:highlight w:val="none"/>
          <w:lang w:val="en-US" w:eastAsia="zh-CN"/>
        </w:rPr>
        <w:t>对符合天河路商圈整体策划与相关规划设计要求，按照区政府的景观改造指引，企业在区政府的指导下于其权属范围内开展绿化、公共艺术小品、灯光照明、建筑外立面整饰等景观优化提升项目，给予实际投资额20%，最高50万元的奖励</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（备注：</w:t>
      </w:r>
      <w:r>
        <w:rPr>
          <w:rFonts w:hint="eastAsia" w:ascii="宋体" w:hAnsi="宋体" w:eastAsia="宋体" w:cs="宋体"/>
          <w:color w:val="auto"/>
          <w:sz w:val="32"/>
          <w:highlight w:val="none"/>
          <w:lang w:val="en-US" w:eastAsia="zh-CN"/>
        </w:rPr>
        <w:t>①</w:t>
      </w:r>
      <w:r>
        <w:rPr>
          <w:rFonts w:hint="eastAsia" w:ascii="楷体" w:hAnsi="楷体" w:eastAsia="楷体" w:cs="楷体"/>
          <w:color w:val="auto"/>
          <w:sz w:val="32"/>
          <w:highlight w:val="none"/>
          <w:lang w:val="en-US" w:eastAsia="zh-CN"/>
        </w:rPr>
        <w:t xml:space="preserve">天河路商圈四至范围：西起天河立交，东至岗顶，北至天河北路，南至黄埔大道。 </w:t>
      </w:r>
      <w:r>
        <w:rPr>
          <w:rFonts w:hint="eastAsia" w:ascii="楷体" w:hAnsi="楷体" w:eastAsia="楷体" w:cs="楷体"/>
          <w:color w:val="auto"/>
          <w:kern w:val="2"/>
          <w:sz w:val="32"/>
          <w:szCs w:val="24"/>
          <w:highlight w:val="none"/>
          <w:lang w:val="en-US" w:eastAsia="zh-CN" w:bidi="ar-SA"/>
        </w:rPr>
        <w:t>②</w:t>
      </w:r>
      <w:r>
        <w:rPr>
          <w:rFonts w:hint="eastAsia" w:ascii="楷体" w:hAnsi="楷体" w:eastAsia="楷体" w:cs="楷体"/>
          <w:color w:val="auto"/>
          <w:sz w:val="32"/>
          <w:highlight w:val="none"/>
          <w:lang w:val="en-US" w:eastAsia="zh-CN"/>
        </w:rPr>
        <w:t>景观优化提升项目：景观提升项目是指符合天河路商圈整体策划或规划要求，有利于提升商圈街景街容水平的相关户外景观改造项目。天河路商圈范围内的商贸载体在室内开展的升级改造项目或户外临时性主题活动搭建项目不属于申报范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三、申报条件</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（一）申请专项资金</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的单位，原则上必须满足以下基本条件：</w:t>
      </w:r>
    </w:p>
    <w:p>
      <w:pPr>
        <w:pStyle w:val="6"/>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kern w:val="0"/>
          <w:sz w:val="32"/>
          <w:szCs w:val="32"/>
          <w:highlight w:val="none"/>
          <w:lang w:val="en-US" w:eastAsia="zh-CN"/>
        </w:rPr>
        <w:t>在天河辖区内登记注册、具有独立法人资格或视同独立法人资格。</w:t>
      </w:r>
      <w:r>
        <w:rPr>
          <w:rFonts w:hint="eastAsia" w:ascii="楷体" w:hAnsi="楷体" w:eastAsia="楷体" w:cs="楷体"/>
          <w:color w:val="auto"/>
          <w:sz w:val="32"/>
          <w:highlight w:val="none"/>
          <w:lang w:val="en-US" w:eastAsia="zh-CN"/>
        </w:rPr>
        <w:t>（备注：视同独立法人是指经国家统计局认可为可视同法人单位处理的法人单位下属跨省的分支机构。)</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 xml:space="preserve">2. </w:t>
      </w:r>
      <w:r>
        <w:rPr>
          <w:rFonts w:hint="eastAsia" w:ascii="仿宋_GB2312" w:hAnsi="仿宋_GB2312" w:eastAsia="仿宋_GB2312" w:cs="仿宋_GB2312"/>
          <w:color w:val="auto"/>
          <w:sz w:val="32"/>
          <w:szCs w:val="32"/>
          <w:highlight w:val="none"/>
          <w:lang w:val="en-US" w:eastAsia="zh-CN"/>
        </w:rPr>
        <w:t>符合天河路商圈整体策划与相关规划设计要求，按照区政府的景观改造指引，在区政府的指导下于其权属范围内开展绿化、公共艺术小品、灯光照明、建筑外立面整饰等景观优化提升项目的企业</w:t>
      </w:r>
      <w:r>
        <w:rPr>
          <w:rFonts w:hint="default" w:ascii="Times New Roman" w:hAnsi="Times New Roman" w:eastAsia="仿宋_GB2312" w:cs="Times New Roman"/>
          <w:color w:val="auto"/>
          <w:sz w:val="32"/>
          <w:szCs w:val="32"/>
          <w:highlight w:val="none"/>
        </w:rPr>
        <w:t>。</w:t>
      </w:r>
      <w:r>
        <w:rPr>
          <w:rFonts w:hint="eastAsia" w:ascii="楷体" w:hAnsi="楷体" w:eastAsia="楷体" w:cs="楷体"/>
          <w:color w:val="auto"/>
          <w:sz w:val="32"/>
          <w:highlight w:val="none"/>
          <w:lang w:val="en-US" w:eastAsia="zh-CN"/>
        </w:rPr>
        <w:t>（备注：景观提升项目是指符合天河路商圈整体策划或规划要求，有利于提升商圈街景街容水平的相关户外景观改造项目。天河路商圈范围内的商贸载体在室内开展的升级改造项目或户外临时性主题活动搭建项目不属于申报范畴。</w:t>
      </w:r>
      <w:r>
        <w:rPr>
          <w:rFonts w:hint="eastAsia" w:ascii="Times New Roman" w:hAnsi="Times New Roman" w:eastAsia="仿宋_GB2312" w:cs="Times New Roman"/>
          <w:color w:val="auto"/>
          <w:sz w:val="32"/>
          <w:szCs w:val="32"/>
          <w:highlight w:val="none"/>
          <w:lang w:eastAsia="zh-CN"/>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kern w:val="0"/>
          <w:sz w:val="32"/>
          <w:szCs w:val="32"/>
          <w:highlight w:val="none"/>
          <w:lang w:val="en-US" w:eastAsia="zh-CN"/>
        </w:rPr>
        <w:t xml:space="preserve">3. </w:t>
      </w:r>
      <w:r>
        <w:rPr>
          <w:rFonts w:hint="default" w:ascii="Times New Roman" w:hAnsi="Times New Roman" w:eastAsia="仿宋_GB2312" w:cs="Times New Roman"/>
          <w:color w:val="auto"/>
          <w:kern w:val="0"/>
          <w:sz w:val="32"/>
          <w:szCs w:val="32"/>
          <w:highlight w:val="none"/>
          <w:lang w:val="en-US" w:eastAsia="zh-CN"/>
        </w:rPr>
        <w:t>本项资金</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的企业守法经营、诚实守信</w:t>
      </w:r>
      <w:r>
        <w:rPr>
          <w:rFonts w:hint="eastAsia" w:ascii="Times New Roman" w:hAnsi="Times New Roman" w:eastAsia="仿宋_GB2312" w:cs="Times New Roman"/>
          <w:color w:val="auto"/>
          <w:kern w:val="0"/>
          <w:sz w:val="32"/>
          <w:szCs w:val="32"/>
          <w:highlight w:val="none"/>
          <w:lang w:val="en-US" w:eastAsia="zh-CN"/>
        </w:rPr>
        <w:t>，</w:t>
      </w:r>
      <w:r>
        <w:rPr>
          <w:rFonts w:ascii="Times New Roman" w:hAnsi="Times New Roman" w:eastAsia="仿宋_GB2312" w:cs="Times New Roman"/>
          <w:color w:val="auto"/>
          <w:sz w:val="32"/>
          <w:szCs w:val="32"/>
          <w:highlight w:val="none"/>
        </w:rPr>
        <w:t>履行安全生产责任</w:t>
      </w:r>
      <w:r>
        <w:rPr>
          <w:rFonts w:hint="eastAsia" w:ascii="Times New Roman" w:hAnsi="Times New Roman" w:eastAsia="仿宋_GB2312" w:cs="Times New Roman"/>
          <w:color w:val="auto"/>
          <w:sz w:val="32"/>
          <w:szCs w:val="32"/>
          <w:highlight w:val="none"/>
          <w:lang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hint="default" w:ascii="Times New Roman" w:hAnsi="Times New Roman" w:eastAsia="仿宋_GB2312" w:cs="Times New Roman"/>
          <w:color w:val="auto"/>
          <w:kern w:val="0"/>
          <w:sz w:val="32"/>
          <w:szCs w:val="32"/>
          <w:highlight w:val="none"/>
          <w:lang w:val="en-US" w:eastAsia="zh-CN"/>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 项目按年度申报，原则上申报上一年度或者本年度项目申报截止时间前已完成的项目。项目申报时间不得超过申报项目结束后的两个完整的会计年度。</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5. 应积极配合区委、区政府相关工作。</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（二）有下列情况之一的，本项资金不予</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1.未在天河区依法注册、依法纳统、依法纳税，或者</w:t>
      </w:r>
      <w:r>
        <w:rPr>
          <w:rFonts w:hint="default" w:ascii="Times New Roman" w:hAnsi="Times New Roman" w:eastAsia="仿宋_GB2312" w:cs="Times New Roman"/>
          <w:color w:val="auto"/>
          <w:kern w:val="0"/>
          <w:sz w:val="32"/>
          <w:szCs w:val="32"/>
          <w:highlight w:val="none"/>
          <w:lang w:val="en-US" w:eastAsia="zh-CN"/>
        </w:rPr>
        <w:t>提出</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val="en-US" w:eastAsia="zh-CN"/>
        </w:rPr>
        <w:t>等</w:t>
      </w:r>
      <w:r>
        <w:rPr>
          <w:rFonts w:hint="default" w:ascii="Times New Roman" w:hAnsi="Times New Roman" w:eastAsia="仿宋_GB2312" w:cs="Times New Roman"/>
          <w:color w:val="auto"/>
          <w:kern w:val="0"/>
          <w:sz w:val="32"/>
          <w:szCs w:val="32"/>
          <w:highlight w:val="none"/>
          <w:lang w:val="en-US" w:eastAsia="zh-CN"/>
        </w:rPr>
        <w:t>相关数据的；</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2.申报材料有弄虚作假情况的；</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3.获支持年度在广州市公共信用信息管理系统平台上有处罚、失信行为、被公安机关查处、正在立案阶段、涉及传销、非法集资等企业。</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4.同一改造项目（或项目的一部分事项）已获得《广州市天河区产业发展专项资金支持高端服务业发展实施办法》中天河路商圈景观优化提升支持的。</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四、办理流程</w:t>
      </w:r>
      <w:r>
        <w:rPr>
          <w:rFonts w:hint="eastAsia" w:ascii="Times New Roman" w:hAnsi="Times New Roman" w:eastAsia="黑体" w:cs="Times New Roman"/>
          <w:color w:val="auto"/>
          <w:sz w:val="32"/>
          <w:highlight w:val="none"/>
          <w:lang w:val="en-US" w:eastAsia="zh-CN"/>
        </w:rPr>
        <w:t>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br w:type="page"/>
      </w:r>
    </w:p>
    <w:p>
      <w:pPr>
        <w:keepNext w:val="0"/>
        <w:keepLines w:val="0"/>
        <w:pageBreakBefore w:val="0"/>
        <w:kinsoku/>
        <w:overflowPunct/>
        <w:topLinePunct w:val="0"/>
        <w:autoSpaceDE/>
        <w:autoSpaceDN/>
        <w:bidi w:val="0"/>
        <w:adjustRightInd/>
        <w:spacing w:line="560" w:lineRule="exact"/>
        <w:ind w:firstLine="420" w:firstLineChars="200"/>
        <w:jc w:val="both"/>
        <w:textAlignment w:val="auto"/>
        <w:rPr>
          <w:rFonts w:hint="default" w:ascii="Times New Roman" w:hAnsi="Times New Roman" w:eastAsia="仿宋_GB2312" w:cs="Times New Roman"/>
          <w:color w:val="auto"/>
          <w:sz w:val="32"/>
          <w:highlight w:val="none"/>
          <w:lang w:val="en-US" w:eastAsia="zh-CN"/>
        </w:rPr>
      </w:pPr>
      <w:r>
        <w:rPr>
          <w:color w:val="auto"/>
          <w:highlight w:val="none"/>
        </w:rPr>
        <w:drawing>
          <wp:anchor distT="0" distB="0" distL="114300" distR="114300" simplePos="0" relativeHeight="251658240" behindDoc="0" locked="0" layoutInCell="1" allowOverlap="1">
            <wp:simplePos x="0" y="0"/>
            <wp:positionH relativeFrom="column">
              <wp:posOffset>96520</wp:posOffset>
            </wp:positionH>
            <wp:positionV relativeFrom="paragraph">
              <wp:posOffset>-63500</wp:posOffset>
            </wp:positionV>
            <wp:extent cx="5614670" cy="8181975"/>
            <wp:effectExtent l="0" t="0" r="508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614670" cy="8181975"/>
                    </a:xfrm>
                    <a:prstGeom prst="rect">
                      <a:avLst/>
                    </a:prstGeom>
                    <a:noFill/>
                    <a:ln>
                      <a:noFill/>
                    </a:ln>
                  </pic:spPr>
                </pic:pic>
              </a:graphicData>
            </a:graphic>
          </wp:anchor>
        </w:drawing>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五、申报材料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168"/>
        <w:gridCol w:w="4301"/>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序号</w:t>
            </w:r>
          </w:p>
        </w:tc>
        <w:tc>
          <w:tcPr>
            <w:tcW w:w="216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材料名称</w:t>
            </w:r>
          </w:p>
        </w:tc>
        <w:tc>
          <w:tcPr>
            <w:tcW w:w="430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材料描述</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1</w:t>
            </w:r>
          </w:p>
        </w:tc>
        <w:tc>
          <w:tcPr>
            <w:tcW w:w="216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《项目申请书》</w:t>
            </w:r>
          </w:p>
        </w:tc>
        <w:tc>
          <w:tcPr>
            <w:tcW w:w="430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原件1份，企业法人签字并加盖公章。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2</w:t>
            </w:r>
          </w:p>
        </w:tc>
        <w:tc>
          <w:tcPr>
            <w:tcW w:w="216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企业证照</w:t>
            </w:r>
          </w:p>
        </w:tc>
        <w:tc>
          <w:tcPr>
            <w:tcW w:w="430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复印件1份，加盖企业公章。复印件1份，申请单位为企业法人的，提交营业执照（副本），加盖企业公章。合伙制企业及其分支机构提交相应材料。</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3</w:t>
            </w:r>
          </w:p>
        </w:tc>
        <w:tc>
          <w:tcPr>
            <w:tcW w:w="216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申请改造提升项目的合同、发票</w:t>
            </w:r>
          </w:p>
        </w:tc>
        <w:tc>
          <w:tcPr>
            <w:tcW w:w="430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复印件1份，加盖企业公章。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4</w:t>
            </w:r>
          </w:p>
        </w:tc>
        <w:tc>
          <w:tcPr>
            <w:tcW w:w="216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项目完成情况报告</w:t>
            </w:r>
          </w:p>
        </w:tc>
        <w:tc>
          <w:tcPr>
            <w:tcW w:w="430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原件1份，加盖企业公章：包括项目内容、开工时间、完工时间、建设情况、投资情况、项目完成后取得的经济效益和社会效益等内容。</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以上材料按照要求在线填写或采用附件形式（彩色扫描）在线提交。</w:t>
            </w:r>
            <w:r>
              <w:rPr>
                <w:rFonts w:hint="eastAsia" w:ascii="仿宋_GB2312" w:hAnsi="仿宋_GB2312" w:eastAsia="仿宋_GB2312" w:cs="仿宋_GB2312"/>
                <w:color w:val="auto"/>
                <w:sz w:val="28"/>
                <w:szCs w:val="28"/>
                <w:highlight w:val="none"/>
              </w:rPr>
              <w:t>接到递交纸质材料通知后将上述材料按顺序装订，一式一份，A4纸正反面打印/复印，非空白页（含封面）需连续编写页码，装订成册（胶装），加盖骑缝章后提交。</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六、办事窗口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仅支持全流程网上办理</w:t>
      </w:r>
      <w:r>
        <w:rPr>
          <w:rFonts w:hint="eastAsia" w:ascii="Times New Roman" w:hAnsi="Times New Roman" w:eastAsia="仿宋_GB2312" w:cs="Times New Roman"/>
          <w:color w:val="auto"/>
          <w:sz w:val="32"/>
          <w:highlight w:val="none"/>
          <w:lang w:val="en-US" w:eastAsia="zh-CN"/>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lang w:eastAsia="zh-CN"/>
        </w:rPr>
        <w:t>（联系电话：</w:t>
      </w:r>
      <w:r>
        <w:rPr>
          <w:rFonts w:hint="eastAsia" w:ascii="Times New Roman" w:hAnsi="Times New Roman" w:eastAsia="仿宋_GB2312" w:cs="Times New Roman"/>
          <w:color w:val="auto"/>
          <w:sz w:val="32"/>
          <w:highlight w:val="none"/>
          <w:lang w:val="en-US" w:eastAsia="zh-CN"/>
        </w:rPr>
        <w:t>38623568，地址：天河区天府路1号2号楼614室，邮编：510000</w:t>
      </w:r>
      <w:r>
        <w:rPr>
          <w:rFonts w:hint="eastAsia"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七、政策依据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sz w:val="32"/>
          <w:highlight w:val="none"/>
          <w:lang w:val="en-US" w:eastAsia="zh-CN"/>
        </w:rPr>
      </w:pPr>
      <w:r>
        <w:rPr>
          <w:rFonts w:hint="default" w:ascii="Times New Roman" w:hAnsi="Times New Roman" w:eastAsia="仿宋_GB2312" w:cs="Times New Roman"/>
          <w:b w:val="0"/>
          <w:bCs w:val="0"/>
          <w:color w:val="auto"/>
          <w:sz w:val="32"/>
          <w:highlight w:val="none"/>
          <w:lang w:val="en-US" w:eastAsia="zh-CN"/>
        </w:rPr>
        <w:t xml:space="preserve">《广州市天河区人民政府关于印发天河区推动经济高质量发展若干政策意见的通知》（穗天府规〔2020〕3号） </w:t>
      </w:r>
      <w:bookmarkStart w:id="6" w:name="_Toc11221"/>
      <w:r>
        <w:rPr>
          <w:rFonts w:hint="default" w:ascii="Times New Roman" w:hAnsi="Times New Roman" w:eastAsia="仿宋_GB2312" w:cs="Times New Roman"/>
          <w:b w:val="0"/>
          <w:bCs w:val="0"/>
          <w:color w:val="auto"/>
          <w:sz w:val="32"/>
          <w:highlight w:val="none"/>
          <w:lang w:val="en-US" w:eastAsia="zh-CN"/>
        </w:rPr>
        <w:t>第</w:t>
      </w:r>
      <w:r>
        <w:rPr>
          <w:rFonts w:hint="eastAsia" w:ascii="Times New Roman" w:hAnsi="Times New Roman" w:eastAsia="仿宋_GB2312" w:cs="Times New Roman"/>
          <w:b w:val="0"/>
          <w:bCs w:val="0"/>
          <w:color w:val="auto"/>
          <w:sz w:val="32"/>
          <w:highlight w:val="none"/>
          <w:lang w:val="en-US" w:eastAsia="zh-CN"/>
        </w:rPr>
        <w:t>三</w:t>
      </w:r>
      <w:r>
        <w:rPr>
          <w:rFonts w:hint="default" w:ascii="Times New Roman" w:hAnsi="Times New Roman" w:eastAsia="仿宋_GB2312" w:cs="Times New Roman"/>
          <w:b w:val="0"/>
          <w:bCs w:val="0"/>
          <w:color w:val="auto"/>
          <w:sz w:val="32"/>
          <w:highlight w:val="none"/>
          <w:lang w:val="en-US" w:eastAsia="zh-CN"/>
        </w:rPr>
        <w:t>条【大力支持现代商贸业发展】</w:t>
      </w:r>
      <w:bookmarkEnd w:id="6"/>
      <w:r>
        <w:rPr>
          <w:rFonts w:hint="default" w:ascii="Times New Roman" w:hAnsi="Times New Roman" w:eastAsia="仿宋_GB2312" w:cs="Times New Roman"/>
          <w:b w:val="0"/>
          <w:bCs w:val="0"/>
          <w:color w:val="auto"/>
          <w:sz w:val="32"/>
          <w:highlight w:val="none"/>
          <w:lang w:val="en-US" w:eastAsia="zh-CN"/>
        </w:rPr>
        <w:t>第</w:t>
      </w:r>
      <w:r>
        <w:rPr>
          <w:rFonts w:hint="eastAsia" w:ascii="Times New Roman" w:hAnsi="Times New Roman" w:eastAsia="仿宋_GB2312" w:cs="Times New Roman"/>
          <w:b w:val="0"/>
          <w:bCs w:val="0"/>
          <w:color w:val="auto"/>
          <w:sz w:val="32"/>
          <w:highlight w:val="none"/>
          <w:lang w:val="en-US" w:eastAsia="zh-CN"/>
        </w:rPr>
        <w:t>17</w:t>
      </w:r>
      <w:r>
        <w:rPr>
          <w:rFonts w:hint="default" w:ascii="Times New Roman" w:hAnsi="Times New Roman" w:eastAsia="仿宋_GB2312" w:cs="Times New Roman"/>
          <w:b w:val="0"/>
          <w:bCs w:val="0"/>
          <w:color w:val="auto"/>
          <w:sz w:val="32"/>
          <w:highlight w:val="none"/>
          <w:lang w:val="en-US" w:eastAsia="zh-CN"/>
        </w:rPr>
        <w:t>项 对符合天河路商圈整体策划与相关规划设计要求，按照区政府的景观改造指引，企业在区政府的指导下于其权属范围内开展绿化、公共艺术小品、灯光照明、建筑外立面整饰等景观优化提升项目，给予实际投资额20%，最高50万元的奖励。</w:t>
      </w:r>
    </w:p>
    <w:p>
      <w:pPr>
        <w:pStyle w:val="6"/>
        <w:keepNext w:val="0"/>
        <w:keepLines w:val="0"/>
        <w:pageBreakBefore w:val="0"/>
        <w:widowControl/>
        <w:kinsoku/>
        <w:wordWrap/>
        <w:overflowPunct/>
        <w:topLinePunct w:val="0"/>
        <w:autoSpaceDE/>
        <w:autoSpaceDN/>
        <w:bidi w:val="0"/>
        <w:adjustRightInd/>
        <w:snapToGrid/>
        <w:spacing w:after="0" w:line="560" w:lineRule="exact"/>
        <w:ind w:right="0" w:rightChars="0" w:firstLine="640" w:firstLineChars="200"/>
        <w:textAlignment w:val="auto"/>
        <w:rPr>
          <w:rFonts w:hint="default" w:ascii="Times New Roman" w:hAnsi="Times New Roman" w:eastAsia="仿宋_GB2312" w:cs="Times New Roman"/>
          <w:b w:val="0"/>
          <w:bCs w:val="0"/>
          <w:color w:val="auto"/>
          <w:sz w:val="32"/>
          <w:highlight w:val="none"/>
          <w:lang w:val="en-US" w:eastAsia="zh-CN"/>
        </w:rPr>
      </w:pPr>
      <w:r>
        <w:rPr>
          <w:rFonts w:hint="eastAsia" w:ascii="楷体" w:hAnsi="楷体" w:eastAsia="楷体" w:cs="楷体"/>
          <w:i w:val="0"/>
          <w:caps w:val="0"/>
          <w:color w:val="auto"/>
          <w:spacing w:val="0"/>
          <w:sz w:val="32"/>
          <w:szCs w:val="32"/>
          <w:highlight w:val="none"/>
          <w:shd w:val="clear" w:fill="FFFFFF"/>
          <w:lang w:eastAsia="zh-CN"/>
        </w:rPr>
        <w:t>上述政策</w:t>
      </w:r>
      <w:r>
        <w:rPr>
          <w:rFonts w:hint="eastAsia" w:ascii="楷体" w:hAnsi="楷体" w:eastAsia="楷体" w:cs="楷体"/>
          <w:i w:val="0"/>
          <w:caps w:val="0"/>
          <w:color w:val="auto"/>
          <w:spacing w:val="0"/>
          <w:sz w:val="32"/>
          <w:szCs w:val="32"/>
          <w:highlight w:val="none"/>
          <w:shd w:val="clear" w:fill="FFFFFF"/>
        </w:rPr>
        <w:t>提到的货币单位如未注明的均以人民币计算，涉及 “以上”“最高”“不超过”的数额，均包含本数。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八、常见问题说明</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在项目申报或审核过程中，如区商务金融局认为需提供相关佐证材料，</w:t>
      </w:r>
      <w:r>
        <w:rPr>
          <w:rFonts w:hint="default" w:ascii="Times New Roman" w:hAnsi="Times New Roman" w:eastAsia="仿宋_GB2312" w:cs="Times New Roman"/>
          <w:color w:val="auto"/>
          <w:sz w:val="32"/>
          <w:szCs w:val="32"/>
          <w:highlight w:val="none"/>
          <w:lang w:val="en-US" w:eastAsia="zh-CN"/>
        </w:rPr>
        <w:t>申请本项目的企业</w:t>
      </w:r>
      <w:r>
        <w:rPr>
          <w:rFonts w:hint="eastAsia" w:ascii="Times New Roman" w:hAnsi="Times New Roman" w:eastAsia="仿宋_GB2312" w:cs="Times New Roman"/>
          <w:color w:val="auto"/>
          <w:sz w:val="32"/>
          <w:szCs w:val="32"/>
          <w:highlight w:val="none"/>
          <w:lang w:val="en-US" w:eastAsia="zh-CN"/>
        </w:rPr>
        <w:t>应积极配合提供，并</w:t>
      </w:r>
      <w:r>
        <w:rPr>
          <w:rFonts w:hint="default" w:ascii="Times New Roman" w:hAnsi="Times New Roman" w:eastAsia="仿宋_GB2312" w:cs="Times New Roman"/>
          <w:color w:val="auto"/>
          <w:sz w:val="32"/>
          <w:szCs w:val="32"/>
          <w:highlight w:val="none"/>
          <w:lang w:val="en-US" w:eastAsia="zh-CN"/>
        </w:rPr>
        <w:t>保证其申报材料的完整性、真实性、准确性及合法性，</w:t>
      </w:r>
      <w:r>
        <w:rPr>
          <w:rFonts w:hint="eastAsia" w:ascii="Times New Roman" w:hAnsi="Times New Roman" w:eastAsia="仿宋_GB2312" w:cs="Times New Roman"/>
          <w:color w:val="auto"/>
          <w:sz w:val="32"/>
          <w:szCs w:val="32"/>
          <w:highlight w:val="none"/>
          <w:lang w:val="en-US" w:eastAsia="zh-CN"/>
        </w:rPr>
        <w:t>且</w:t>
      </w:r>
      <w:r>
        <w:rPr>
          <w:rFonts w:hint="default" w:ascii="Times New Roman" w:hAnsi="Times New Roman" w:eastAsia="仿宋_GB2312" w:cs="Times New Roman"/>
          <w:color w:val="auto"/>
          <w:sz w:val="32"/>
          <w:szCs w:val="32"/>
          <w:highlight w:val="none"/>
          <w:lang w:val="en-US" w:eastAsia="zh-CN"/>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lang w:val="en-US" w:eastAsia="zh-CN"/>
        </w:rPr>
        <w:t>区商务金融局</w:t>
      </w:r>
      <w:r>
        <w:rPr>
          <w:rFonts w:hint="default" w:ascii="Times New Roman" w:hAnsi="Times New Roman" w:eastAsia="仿宋_GB2312" w:cs="Times New Roman"/>
          <w:color w:val="auto"/>
          <w:sz w:val="32"/>
          <w:szCs w:val="32"/>
          <w:highlight w:val="none"/>
          <w:lang w:val="en-US" w:eastAsia="zh-CN"/>
        </w:rPr>
        <w:t>将保留依法追究其法律责任的权利。申请本项目</w:t>
      </w:r>
      <w:r>
        <w:rPr>
          <w:rFonts w:hint="eastAsia" w:ascii="Times New Roman" w:hAnsi="Times New Roman" w:eastAsia="仿宋_GB2312" w:cs="Times New Roman"/>
          <w:color w:val="auto"/>
          <w:sz w:val="32"/>
          <w:szCs w:val="32"/>
          <w:highlight w:val="none"/>
          <w:lang w:val="en-US" w:eastAsia="zh-CN"/>
        </w:rPr>
        <w:t>的企业在享受扶持后，应承诺五年内不将注册登记地址迁出天河区，不改变在天河区原有的纳税纳统义务。如有违反应全额退回已获得的扶持资金。</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黑体" w:cs="Times New Roman"/>
          <w:color w:val="auto"/>
          <w:sz w:val="32"/>
          <w:highlight w:val="none"/>
          <w:lang w:val="en-US" w:eastAsia="zh-CN"/>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Times New Roman" w:hAnsi="Times New Roman" w:eastAsia="黑体" w:cs="Times New Roman"/>
          <w:color w:val="auto"/>
          <w:sz w:val="32"/>
          <w:highlight w:val="none"/>
          <w:lang w:val="en-US" w:eastAsia="zh-CN"/>
        </w:rPr>
      </w:pPr>
    </w:p>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047B6"/>
    <w:multiLevelType w:val="singleLevel"/>
    <w:tmpl w:val="5FE047B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D13179"/>
    <w:rsid w:val="036468A8"/>
    <w:rsid w:val="03A024E2"/>
    <w:rsid w:val="04A83EEA"/>
    <w:rsid w:val="0509320F"/>
    <w:rsid w:val="055E7A39"/>
    <w:rsid w:val="07711D52"/>
    <w:rsid w:val="078A4B57"/>
    <w:rsid w:val="07D34B7C"/>
    <w:rsid w:val="08F77862"/>
    <w:rsid w:val="09614E6A"/>
    <w:rsid w:val="09E54327"/>
    <w:rsid w:val="0B375949"/>
    <w:rsid w:val="0C6411F6"/>
    <w:rsid w:val="107B2F7E"/>
    <w:rsid w:val="1093518E"/>
    <w:rsid w:val="11132DDE"/>
    <w:rsid w:val="111D4088"/>
    <w:rsid w:val="111E4A8F"/>
    <w:rsid w:val="119C5EE3"/>
    <w:rsid w:val="137C675F"/>
    <w:rsid w:val="14F01798"/>
    <w:rsid w:val="15560308"/>
    <w:rsid w:val="15DF7D47"/>
    <w:rsid w:val="15F46AC7"/>
    <w:rsid w:val="1806463F"/>
    <w:rsid w:val="19FC695D"/>
    <w:rsid w:val="1B5F759B"/>
    <w:rsid w:val="1B916E2A"/>
    <w:rsid w:val="1BCF002B"/>
    <w:rsid w:val="1C286255"/>
    <w:rsid w:val="1E3069C2"/>
    <w:rsid w:val="1EA100ED"/>
    <w:rsid w:val="1EF94490"/>
    <w:rsid w:val="1F0C2CA5"/>
    <w:rsid w:val="1F3271D4"/>
    <w:rsid w:val="1F696895"/>
    <w:rsid w:val="204B5F3D"/>
    <w:rsid w:val="21DF3BA6"/>
    <w:rsid w:val="23402B49"/>
    <w:rsid w:val="2425430C"/>
    <w:rsid w:val="245603A3"/>
    <w:rsid w:val="263660A2"/>
    <w:rsid w:val="29CC6595"/>
    <w:rsid w:val="2A7C57CB"/>
    <w:rsid w:val="2B7D759B"/>
    <w:rsid w:val="2D3835D9"/>
    <w:rsid w:val="2E3A0C2C"/>
    <w:rsid w:val="2EF125E6"/>
    <w:rsid w:val="2FBD17E0"/>
    <w:rsid w:val="325B0AB7"/>
    <w:rsid w:val="328C52E9"/>
    <w:rsid w:val="33885662"/>
    <w:rsid w:val="33D2717A"/>
    <w:rsid w:val="349168AE"/>
    <w:rsid w:val="36750BFA"/>
    <w:rsid w:val="3841792A"/>
    <w:rsid w:val="3979301C"/>
    <w:rsid w:val="3A9F451F"/>
    <w:rsid w:val="3C120843"/>
    <w:rsid w:val="3DC70632"/>
    <w:rsid w:val="3E5F27F5"/>
    <w:rsid w:val="40300133"/>
    <w:rsid w:val="40870691"/>
    <w:rsid w:val="4190123F"/>
    <w:rsid w:val="42021C3E"/>
    <w:rsid w:val="442F71FC"/>
    <w:rsid w:val="474073BF"/>
    <w:rsid w:val="4810313F"/>
    <w:rsid w:val="485D1556"/>
    <w:rsid w:val="486B2775"/>
    <w:rsid w:val="49255CE4"/>
    <w:rsid w:val="498D6104"/>
    <w:rsid w:val="4B393680"/>
    <w:rsid w:val="4B991EB0"/>
    <w:rsid w:val="4CFC7DE9"/>
    <w:rsid w:val="4D915E8E"/>
    <w:rsid w:val="4E931B8C"/>
    <w:rsid w:val="4F4041B9"/>
    <w:rsid w:val="4FF4136F"/>
    <w:rsid w:val="5047124E"/>
    <w:rsid w:val="54146404"/>
    <w:rsid w:val="576575AA"/>
    <w:rsid w:val="57B054F1"/>
    <w:rsid w:val="58B812B9"/>
    <w:rsid w:val="59FF70F7"/>
    <w:rsid w:val="5AF77728"/>
    <w:rsid w:val="5CCC4C37"/>
    <w:rsid w:val="60234D91"/>
    <w:rsid w:val="60CB009A"/>
    <w:rsid w:val="60F245DD"/>
    <w:rsid w:val="60FC1D8B"/>
    <w:rsid w:val="616126EA"/>
    <w:rsid w:val="627250A7"/>
    <w:rsid w:val="65B464FE"/>
    <w:rsid w:val="65B555FA"/>
    <w:rsid w:val="67C100DA"/>
    <w:rsid w:val="6A9C095F"/>
    <w:rsid w:val="6AAD3D02"/>
    <w:rsid w:val="6B1C4331"/>
    <w:rsid w:val="6B7A5FC1"/>
    <w:rsid w:val="6BE16598"/>
    <w:rsid w:val="6DB70C2C"/>
    <w:rsid w:val="6E190D14"/>
    <w:rsid w:val="6E2E1B98"/>
    <w:rsid w:val="6EC7748E"/>
    <w:rsid w:val="6F14109B"/>
    <w:rsid w:val="6FA93221"/>
    <w:rsid w:val="6FD4538A"/>
    <w:rsid w:val="6FED0056"/>
    <w:rsid w:val="71D81A87"/>
    <w:rsid w:val="72D835CB"/>
    <w:rsid w:val="776107E8"/>
    <w:rsid w:val="77A5246D"/>
    <w:rsid w:val="78425F82"/>
    <w:rsid w:val="7B8A1F4C"/>
    <w:rsid w:val="7B936CCC"/>
    <w:rsid w:val="7C855097"/>
    <w:rsid w:val="7F0B08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542"/>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1"/>
    <w:qFormat/>
    <w:uiPriority w:val="0"/>
    <w:pPr>
      <w:ind w:firstLine="200" w:firstLineChars="200"/>
    </w:pPr>
    <w:rPr>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88</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2021-04-16T01:33:00Z</cp:lastPrinted>
  <dcterms:modified xsi:type="dcterms:W3CDTF">2021-04-25T01:41:14Z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