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天河区支持商贸业企业做大做强做优项目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办事指南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1.申报对象：</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一是</w:t>
      </w:r>
      <w:r>
        <w:rPr>
          <w:rFonts w:hint="default" w:ascii="Times New Roman" w:hAnsi="Times New Roman" w:eastAsia="仿宋_GB2312" w:cs="Times New Roman"/>
          <w:color w:val="auto"/>
          <w:sz w:val="32"/>
          <w:szCs w:val="32"/>
          <w:highlight w:val="none"/>
        </w:rPr>
        <w:t>对上年度区经济发展贡献</w:t>
      </w:r>
      <w:r>
        <w:rPr>
          <w:rFonts w:hint="default" w:ascii="Times New Roman" w:hAnsi="Times New Roman" w:eastAsia="仿宋_GB2312" w:cs="Times New Roman"/>
          <w:color w:val="auto"/>
          <w:sz w:val="32"/>
          <w:szCs w:val="32"/>
          <w:highlight w:val="none"/>
          <w:lang w:val="en-US" w:eastAsia="zh-CN"/>
        </w:rPr>
        <w:t>1000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auto"/>
          <w:sz w:val="32"/>
          <w:szCs w:val="32"/>
          <w:highlight w:val="none"/>
        </w:rPr>
        <w:t>的重点商贸企业</w:t>
      </w:r>
      <w:r>
        <w:rPr>
          <w:rFonts w:hint="default" w:ascii="Times New Roman" w:hAnsi="Times New Roman" w:eastAsia="楷体" w:cs="Times New Roman"/>
          <w:color w:val="auto"/>
          <w:kern w:val="2"/>
          <w:sz w:val="32"/>
          <w:szCs w:val="24"/>
          <w:highlight w:val="none"/>
          <w:u w:val="none"/>
          <w:shd w:val="clear" w:fill="auto"/>
          <w:lang w:eastAsia="zh-CN" w:bidi="ar-SA"/>
        </w:rPr>
        <w:t>（备注：</w:t>
      </w:r>
      <w:r>
        <w:rPr>
          <w:rFonts w:hint="default" w:ascii="Times New Roman" w:hAnsi="Times New Roman" w:eastAsia="楷体" w:cs="Times New Roman"/>
          <w:color w:val="auto"/>
          <w:sz w:val="32"/>
          <w:szCs w:val="24"/>
          <w:highlight w:val="none"/>
          <w:u w:val="none"/>
          <w:shd w:val="clear" w:fill="auto"/>
        </w:rPr>
        <w:t>商贸企业</w:t>
      </w:r>
      <w:r>
        <w:rPr>
          <w:rFonts w:hint="default" w:ascii="Times New Roman" w:hAnsi="Times New Roman" w:eastAsia="楷体" w:cs="Times New Roman"/>
          <w:color w:val="auto"/>
          <w:sz w:val="32"/>
          <w:szCs w:val="24"/>
          <w:highlight w:val="none"/>
          <w:u w:val="none"/>
          <w:shd w:val="clear" w:fill="auto"/>
          <w:lang w:eastAsia="zh-CN"/>
        </w:rPr>
        <w:t>指</w:t>
      </w:r>
      <w:r>
        <w:rPr>
          <w:rFonts w:hint="eastAsia" w:ascii="Times New Roman" w:hAnsi="Times New Roman" w:eastAsia="楷体" w:cs="Times New Roman"/>
          <w:color w:val="auto"/>
          <w:sz w:val="32"/>
          <w:szCs w:val="24"/>
          <w:highlight w:val="none"/>
          <w:u w:val="none"/>
          <w:shd w:val="clear" w:fill="auto"/>
          <w:lang w:eastAsia="zh-CN"/>
        </w:rPr>
        <w:t>在统计范畴属于</w:t>
      </w:r>
      <w:r>
        <w:rPr>
          <w:rFonts w:hint="default" w:ascii="Times New Roman" w:hAnsi="Times New Roman" w:eastAsia="楷体" w:cs="Times New Roman"/>
          <w:color w:val="auto"/>
          <w:kern w:val="2"/>
          <w:sz w:val="32"/>
          <w:szCs w:val="24"/>
          <w:highlight w:val="none"/>
          <w:u w:val="none"/>
          <w:shd w:val="clear" w:fill="auto"/>
          <w:lang w:eastAsia="zh-CN" w:bidi="ar-SA"/>
        </w:rPr>
        <w:t>批发</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、零售</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、住宿</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、餐饮</w:t>
      </w:r>
      <w:r>
        <w:rPr>
          <w:rFonts w:hint="eastAsia" w:ascii="Times New Roman" w:hAnsi="Times New Roman" w:eastAsia="楷体" w:cs="Times New Roman"/>
          <w:color w:val="auto"/>
          <w:kern w:val="2"/>
          <w:sz w:val="32"/>
          <w:szCs w:val="24"/>
          <w:highlight w:val="none"/>
          <w:u w:val="none"/>
          <w:shd w:val="clear" w:fill="auto"/>
          <w:lang w:eastAsia="zh-CN" w:bidi="ar-SA"/>
        </w:rPr>
        <w:t>业的</w:t>
      </w:r>
      <w:r>
        <w:rPr>
          <w:rFonts w:hint="default" w:ascii="Times New Roman" w:hAnsi="Times New Roman" w:eastAsia="楷体" w:cs="Times New Roman"/>
          <w:color w:val="auto"/>
          <w:kern w:val="2"/>
          <w:sz w:val="32"/>
          <w:szCs w:val="24"/>
          <w:highlight w:val="none"/>
          <w:u w:val="none"/>
          <w:shd w:val="clear" w:fill="auto"/>
          <w:lang w:eastAsia="zh-CN" w:bidi="ar-SA"/>
        </w:rPr>
        <w:t>企业）</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上年度区经济发展贡献2000万元</w:t>
      </w:r>
      <w:r>
        <w:rPr>
          <w:rFonts w:hint="default"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auto"/>
          <w:sz w:val="32"/>
          <w:szCs w:val="32"/>
          <w:highlight w:val="none"/>
        </w:rPr>
        <w:t>的重点商贸载体运营公司</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楷体" w:cs="Times New Roman"/>
          <w:color w:val="auto"/>
          <w:sz w:val="32"/>
          <w:szCs w:val="32"/>
          <w:highlight w:val="none"/>
          <w:lang w:eastAsia="zh-CN"/>
        </w:rPr>
        <w:t>（备注：</w:t>
      </w:r>
      <w:r>
        <w:rPr>
          <w:rFonts w:hint="default" w:ascii="Times New Roman" w:hAnsi="Times New Roman" w:eastAsia="楷体" w:cs="Times New Roman"/>
          <w:color w:val="auto"/>
          <w:sz w:val="32"/>
          <w:szCs w:val="32"/>
          <w:highlight w:val="none"/>
        </w:rPr>
        <w:t>商贸载体即商业综合体，指已建成投入使用并集购物、住宿、展览、餐饮、文娱、交通枢纽等两种或两种以上功能于一体的</w:t>
      </w:r>
      <w:r>
        <w:rPr>
          <w:rFonts w:hint="eastAsia" w:ascii="楷体" w:hAnsi="楷体" w:eastAsia="楷体" w:cs="楷体"/>
          <w:color w:val="auto"/>
          <w:sz w:val="32"/>
          <w:highlight w:val="none"/>
          <w:lang w:val="en-US" w:eastAsia="zh-CN"/>
        </w:rPr>
        <w:t>以零售为主的</w:t>
      </w:r>
      <w:r>
        <w:rPr>
          <w:rFonts w:hint="default" w:ascii="Times New Roman" w:hAnsi="Times New Roman" w:eastAsia="楷体" w:cs="Times New Roman"/>
          <w:color w:val="auto"/>
          <w:sz w:val="32"/>
          <w:szCs w:val="32"/>
          <w:highlight w:val="none"/>
        </w:rPr>
        <w:t>城市商业综合体</w:t>
      </w:r>
      <w:r>
        <w:rPr>
          <w:rFonts w:hint="default" w:ascii="Times New Roman" w:hAnsi="Times New Roman" w:eastAsia="楷体" w:cs="Times New Roman"/>
          <w:color w:val="auto"/>
          <w:sz w:val="32"/>
          <w:szCs w:val="32"/>
          <w:highlight w:val="none"/>
          <w:lang w:eastAsia="zh-CN"/>
        </w:rPr>
        <w:t>；</w:t>
      </w:r>
      <w:r>
        <w:rPr>
          <w:rFonts w:hint="default" w:ascii="Times New Roman" w:hAnsi="Times New Roman" w:eastAsia="楷体" w:cs="Times New Roman"/>
          <w:color w:val="auto"/>
          <w:sz w:val="32"/>
          <w:szCs w:val="32"/>
          <w:highlight w:val="none"/>
        </w:rPr>
        <w:t>商贸载体运营公司指该商贸载体实际经营管理方。</w:t>
      </w:r>
      <w:r>
        <w:rPr>
          <w:rFonts w:hint="default" w:ascii="Times New Roman" w:hAnsi="Times New Roman" w:eastAsia="楷体"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楷体"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u w:val="none"/>
          <w:shd w:val="clear"/>
          <w:lang w:eastAsia="zh-CN"/>
        </w:rPr>
        <w:t>二是</w:t>
      </w:r>
      <w:r>
        <w:rPr>
          <w:rFonts w:hint="default" w:ascii="Times New Roman" w:hAnsi="Times New Roman" w:eastAsia="仿宋_GB2312" w:cs="Times New Roman"/>
          <w:color w:val="auto"/>
          <w:sz w:val="32"/>
          <w:szCs w:val="32"/>
          <w:highlight w:val="none"/>
          <w:u w:val="none"/>
          <w:shd w:val="clear" w:fill="auto"/>
        </w:rPr>
        <w:t>对上年度销售额30亿元以上且同比增长5%以上的限额以上批发业企业</w:t>
      </w:r>
      <w:r>
        <w:rPr>
          <w:rFonts w:hint="default" w:ascii="Times New Roman" w:hAnsi="Times New Roman" w:eastAsia="仿宋_GB2312" w:cs="Times New Roman"/>
          <w:color w:val="auto"/>
          <w:sz w:val="32"/>
          <w:szCs w:val="32"/>
          <w:highlight w:val="none"/>
          <w:u w:val="none"/>
          <w:shd w:val="clear" w:fill="auto"/>
          <w:lang w:eastAsia="zh-CN"/>
        </w:rPr>
        <w:t>、</w:t>
      </w:r>
      <w:r>
        <w:rPr>
          <w:rFonts w:hint="default" w:ascii="Times New Roman" w:hAnsi="Times New Roman" w:eastAsia="仿宋_GB2312" w:cs="Times New Roman"/>
          <w:color w:val="auto"/>
          <w:sz w:val="32"/>
          <w:szCs w:val="32"/>
          <w:highlight w:val="none"/>
          <w:u w:val="none"/>
          <w:shd w:val="clear" w:fill="auto"/>
        </w:rPr>
        <w:t>销售额10亿元以上且同比增长5%以上零售业企业</w:t>
      </w:r>
      <w:r>
        <w:rPr>
          <w:rFonts w:hint="default" w:ascii="Times New Roman" w:hAnsi="Times New Roman" w:eastAsia="仿宋_GB2312" w:cs="Times New Roman"/>
          <w:color w:val="auto"/>
          <w:sz w:val="32"/>
          <w:szCs w:val="32"/>
          <w:highlight w:val="none"/>
          <w:u w:val="none"/>
          <w:shd w:val="clear" w:fill="auto"/>
          <w:lang w:eastAsia="zh-CN"/>
        </w:rPr>
        <w:t>、</w:t>
      </w:r>
      <w:r>
        <w:rPr>
          <w:rFonts w:hint="default" w:ascii="Times New Roman" w:hAnsi="Times New Roman" w:eastAsia="仿宋_GB2312" w:cs="Times New Roman"/>
          <w:color w:val="auto"/>
          <w:sz w:val="32"/>
          <w:szCs w:val="32"/>
          <w:highlight w:val="none"/>
          <w:u w:val="none"/>
          <w:shd w:val="clear" w:fill="auto"/>
        </w:rPr>
        <w:t>营业额1亿元以上且同比增长10%以上的限额以上住宿餐饮业企业</w:t>
      </w:r>
      <w:r>
        <w:rPr>
          <w:rFonts w:hint="default" w:ascii="Times New Roman" w:hAnsi="Times New Roman" w:eastAsia="仿宋_GB2312" w:cs="Times New Roman"/>
          <w:color w:val="auto"/>
          <w:sz w:val="32"/>
          <w:szCs w:val="32"/>
          <w:highlight w:val="none"/>
          <w:u w:val="none"/>
          <w:shd w:val="clear"/>
          <w:lang w:eastAsia="zh-CN"/>
        </w:rPr>
        <w:t>。</w:t>
      </w:r>
      <w:r>
        <w:rPr>
          <w:rFonts w:hint="default" w:ascii="Times New Roman" w:hAnsi="Times New Roman" w:eastAsia="楷体" w:cs="Times New Roman"/>
          <w:color w:val="auto"/>
          <w:sz w:val="32"/>
          <w:szCs w:val="32"/>
          <w:highlight w:val="none"/>
          <w:lang w:eastAsia="zh-CN"/>
        </w:rPr>
        <w:t>（备注：限额以上企业是指达到一定规模并纳入天河区统计的企业，具体为批发业</w:t>
      </w:r>
      <w:r>
        <w:rPr>
          <w:rFonts w:hint="default" w:ascii="Times New Roman" w:hAnsi="Times New Roman" w:eastAsia="楷体" w:cs="Times New Roman"/>
          <w:i w:val="0"/>
          <w:caps w:val="0"/>
          <w:color w:val="auto"/>
          <w:spacing w:val="0"/>
          <w:kern w:val="2"/>
          <w:sz w:val="32"/>
          <w:szCs w:val="32"/>
          <w:highlight w:val="none"/>
          <w:u w:val="none"/>
          <w:shd w:val="clear" w:fill="auto"/>
          <w:lang w:bidi="ar-SA"/>
        </w:rPr>
        <w:t>年商品销售总额在2000万元以上</w:t>
      </w:r>
      <w:r>
        <w:rPr>
          <w:rFonts w:hint="default" w:ascii="Times New Roman" w:hAnsi="Times New Roman" w:eastAsia="楷体" w:cs="Times New Roman"/>
          <w:i w:val="0"/>
          <w:caps w:val="0"/>
          <w:color w:val="auto"/>
          <w:spacing w:val="0"/>
          <w:kern w:val="2"/>
          <w:sz w:val="32"/>
          <w:szCs w:val="32"/>
          <w:highlight w:val="none"/>
          <w:u w:val="none"/>
          <w:shd w:val="clear"/>
          <w:lang w:eastAsia="zh-CN" w:bidi="ar-SA"/>
        </w:rPr>
        <w:t>（含</w:t>
      </w:r>
      <w:r>
        <w:rPr>
          <w:rFonts w:hint="default" w:ascii="Times New Roman" w:hAnsi="Times New Roman" w:eastAsia="楷体" w:cs="Times New Roman"/>
          <w:i w:val="0"/>
          <w:caps w:val="0"/>
          <w:color w:val="auto"/>
          <w:spacing w:val="0"/>
          <w:kern w:val="2"/>
          <w:sz w:val="32"/>
          <w:szCs w:val="32"/>
          <w:highlight w:val="none"/>
          <w:u w:val="none"/>
          <w:shd w:val="clear"/>
          <w:lang w:val="en-US" w:eastAsia="zh-CN" w:bidi="ar-SA"/>
        </w:rPr>
        <w:t>2000万元，下同</w:t>
      </w:r>
      <w:r>
        <w:rPr>
          <w:rFonts w:hint="default" w:ascii="Times New Roman" w:hAnsi="Times New Roman" w:eastAsia="楷体" w:cs="Times New Roman"/>
          <w:i w:val="0"/>
          <w:caps w:val="0"/>
          <w:color w:val="auto"/>
          <w:spacing w:val="0"/>
          <w:kern w:val="2"/>
          <w:sz w:val="32"/>
          <w:szCs w:val="32"/>
          <w:highlight w:val="none"/>
          <w:u w:val="none"/>
          <w:shd w:val="clear"/>
          <w:lang w:eastAsia="zh-CN" w:bidi="ar-SA"/>
        </w:rPr>
        <w:t>）；零售业</w:t>
      </w:r>
      <w:r>
        <w:rPr>
          <w:rFonts w:hint="default" w:ascii="Times New Roman" w:hAnsi="Times New Roman" w:eastAsia="楷体" w:cs="Times New Roman"/>
          <w:i w:val="0"/>
          <w:caps w:val="0"/>
          <w:color w:val="auto"/>
          <w:spacing w:val="0"/>
          <w:kern w:val="2"/>
          <w:sz w:val="32"/>
          <w:szCs w:val="32"/>
          <w:highlight w:val="none"/>
          <w:u w:val="none"/>
          <w:shd w:val="clear"/>
          <w:lang w:bidi="ar-SA"/>
        </w:rPr>
        <w:t>年商品销售总额在</w:t>
      </w:r>
      <w:r>
        <w:rPr>
          <w:rFonts w:hint="default" w:ascii="Times New Roman" w:hAnsi="Times New Roman" w:eastAsia="楷体" w:cs="Times New Roman"/>
          <w:i w:val="0"/>
          <w:caps w:val="0"/>
          <w:color w:val="auto"/>
          <w:spacing w:val="0"/>
          <w:kern w:val="2"/>
          <w:sz w:val="32"/>
          <w:szCs w:val="32"/>
          <w:highlight w:val="none"/>
          <w:u w:val="none"/>
          <w:shd w:val="clear"/>
          <w:lang w:val="en-US" w:eastAsia="zh-CN" w:bidi="ar-SA"/>
        </w:rPr>
        <w:t>500</w:t>
      </w:r>
      <w:r>
        <w:rPr>
          <w:rFonts w:hint="default" w:ascii="Times New Roman" w:hAnsi="Times New Roman" w:eastAsia="楷体" w:cs="Times New Roman"/>
          <w:i w:val="0"/>
          <w:caps w:val="0"/>
          <w:color w:val="auto"/>
          <w:spacing w:val="0"/>
          <w:kern w:val="2"/>
          <w:sz w:val="32"/>
          <w:szCs w:val="32"/>
          <w:highlight w:val="none"/>
          <w:u w:val="none"/>
          <w:shd w:val="clear"/>
          <w:lang w:bidi="ar-SA"/>
        </w:rPr>
        <w:t>万元以上</w:t>
      </w:r>
      <w:r>
        <w:rPr>
          <w:rFonts w:hint="default" w:ascii="Times New Roman" w:hAnsi="Times New Roman" w:eastAsia="楷体" w:cs="Times New Roman"/>
          <w:i w:val="0"/>
          <w:caps w:val="0"/>
          <w:color w:val="auto"/>
          <w:spacing w:val="0"/>
          <w:kern w:val="2"/>
          <w:sz w:val="32"/>
          <w:szCs w:val="32"/>
          <w:highlight w:val="none"/>
          <w:u w:val="none"/>
          <w:shd w:val="clear"/>
          <w:lang w:eastAsia="zh-CN" w:bidi="ar-SA"/>
        </w:rPr>
        <w:t>；住宿餐饮业年营业额</w:t>
      </w:r>
      <w:r>
        <w:rPr>
          <w:rFonts w:hint="default" w:ascii="Times New Roman" w:hAnsi="Times New Roman" w:eastAsia="楷体" w:cs="Times New Roman"/>
          <w:i w:val="0"/>
          <w:caps w:val="0"/>
          <w:color w:val="auto"/>
          <w:spacing w:val="0"/>
          <w:kern w:val="2"/>
          <w:sz w:val="32"/>
          <w:szCs w:val="32"/>
          <w:highlight w:val="none"/>
          <w:u w:val="none"/>
          <w:shd w:val="clear"/>
          <w:lang w:val="en-US" w:eastAsia="zh-CN" w:bidi="ar-SA"/>
        </w:rPr>
        <w:t>200万元以上</w:t>
      </w:r>
      <w:r>
        <w:rPr>
          <w:rFonts w:hint="default" w:ascii="Times New Roman" w:hAnsi="Times New Roman" w:eastAsia="楷体"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4.资金额度：不超过300万元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8.联系方式：区商务金融局企业服务科，020-</w:t>
      </w:r>
      <w:bookmarkStart w:id="0" w:name="_Toc166952597"/>
      <w:bookmarkStart w:id="1" w:name="_Toc166951318"/>
      <w:bookmarkStart w:id="2" w:name="_Toc166952383"/>
      <w:bookmarkStart w:id="3" w:name="_Toc166951845"/>
      <w:bookmarkStart w:id="4" w:name="_Toc166952865"/>
      <w:bookmarkStart w:id="5" w:name="_Toc166954084"/>
      <w:r>
        <w:rPr>
          <w:rFonts w:hint="default" w:ascii="Times New Roman" w:hAnsi="Times New Roman" w:eastAsia="仿宋_GB2312" w:cs="Times New Roman"/>
          <w:color w:val="auto"/>
          <w:sz w:val="32"/>
          <w:highlight w:val="none"/>
          <w:lang w:val="en-US" w:eastAsia="zh-CN"/>
        </w:rPr>
        <w:t>3862</w:t>
      </w:r>
      <w:bookmarkEnd w:id="0"/>
      <w:bookmarkEnd w:id="1"/>
      <w:bookmarkEnd w:id="2"/>
      <w:bookmarkEnd w:id="3"/>
      <w:bookmarkEnd w:id="4"/>
      <w:bookmarkEnd w:id="5"/>
      <w:r>
        <w:rPr>
          <w:rFonts w:hint="default" w:ascii="Times New Roman" w:hAnsi="Times New Roman" w:eastAsia="仿宋_GB2312" w:cs="Times New Roman"/>
          <w:color w:val="auto"/>
          <w:sz w:val="32"/>
          <w:highlight w:val="none"/>
          <w:lang w:val="en-US" w:eastAsia="zh-CN"/>
        </w:rPr>
        <w:t>2874</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lang w:val="en-US" w:eastAsia="zh-CN"/>
        </w:rPr>
        <w:t>区商务金融局</w:t>
      </w:r>
      <w:r>
        <w:rPr>
          <w:rFonts w:hint="eastAsia" w:ascii="Times New Roman" w:hAnsi="Times New Roman" w:eastAsia="仿宋_GB2312" w:cs="Times New Roman"/>
          <w:color w:val="auto"/>
          <w:sz w:val="32"/>
          <w:highlight w:val="none"/>
          <w:lang w:val="en-US" w:eastAsia="zh-CN"/>
        </w:rPr>
        <w:t>商务发展</w:t>
      </w:r>
      <w:r>
        <w:rPr>
          <w:rFonts w:hint="default" w:ascii="Times New Roman" w:hAnsi="Times New Roman" w:eastAsia="仿宋_GB2312" w:cs="Times New Roman"/>
          <w:color w:val="auto"/>
          <w:sz w:val="32"/>
          <w:highlight w:val="none"/>
          <w:lang w:val="en-US" w:eastAsia="zh-CN"/>
        </w:rPr>
        <w:t>科，</w:t>
      </w:r>
      <w:r>
        <w:rPr>
          <w:rFonts w:hint="eastAsia" w:ascii="Times New Roman" w:hAnsi="Times New Roman" w:eastAsia="仿宋_GB2312" w:cs="Times New Roman"/>
          <w:color w:val="auto"/>
          <w:sz w:val="32"/>
          <w:highlight w:val="none"/>
          <w:lang w:val="en-US" w:eastAsia="zh-CN"/>
        </w:rPr>
        <w:t>020-</w:t>
      </w:r>
      <w:r>
        <w:rPr>
          <w:rFonts w:hint="default" w:ascii="Times New Roman" w:hAnsi="Times New Roman" w:eastAsia="仿宋_GB2312" w:cs="Times New Roman"/>
          <w:color w:val="auto"/>
          <w:sz w:val="32"/>
          <w:highlight w:val="none"/>
          <w:lang w:val="en-US" w:eastAsia="zh-CN"/>
        </w:rPr>
        <w:t>38623718</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9.项目描述：</w:t>
      </w:r>
    </w:p>
    <w:p>
      <w:pPr>
        <w:pStyle w:val="5"/>
        <w:keepNext w:val="0"/>
        <w:keepLines w:val="0"/>
        <w:pageBreakBefore w:val="0"/>
        <w:widowControl/>
        <w:suppressLineNumbers w:val="0"/>
        <w:kinsoku/>
        <w:overflowPunct/>
        <w:topLinePunct w:val="0"/>
        <w:autoSpaceDE/>
        <w:autoSpaceDN/>
        <w:bidi w:val="0"/>
        <w:adjustRightIn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color w:val="auto"/>
          <w:kern w:val="2"/>
          <w:sz w:val="32"/>
          <w:szCs w:val="24"/>
          <w:highlight w:val="none"/>
          <w:u w:val="none"/>
          <w:shd w:val="clear" w:fill="auto"/>
          <w:lang w:bidi="ar-SA"/>
        </w:rPr>
      </w:pPr>
      <w:r>
        <w:rPr>
          <w:rFonts w:hint="default" w:ascii="Times New Roman" w:hAnsi="Times New Roman" w:eastAsia="仿宋_GB2312" w:cs="Times New Roman"/>
          <w:color w:val="auto"/>
          <w:kern w:val="2"/>
          <w:sz w:val="32"/>
          <w:szCs w:val="24"/>
          <w:highlight w:val="none"/>
          <w:u w:val="none"/>
          <w:shd w:val="clear" w:fill="auto"/>
          <w:lang w:bidi="ar-SA"/>
        </w:rPr>
        <w:t>（1）发展贡献奖励。对上年度区经济发展贡献5000万元</w:t>
      </w:r>
      <w:r>
        <w:rPr>
          <w:rFonts w:hint="eastAsia" w:ascii="Times New Roman" w:hAnsi="Times New Roman" w:eastAsia="仿宋_GB2312" w:cs="Times New Roman"/>
          <w:color w:val="auto"/>
          <w:kern w:val="2"/>
          <w:sz w:val="32"/>
          <w:szCs w:val="24"/>
          <w:highlight w:val="none"/>
          <w:u w:val="none"/>
          <w:shd w:val="clear" w:fill="auto"/>
          <w:lang w:eastAsia="zh-CN" w:bidi="ar-SA"/>
        </w:rPr>
        <w:t>及</w:t>
      </w:r>
      <w:r>
        <w:rPr>
          <w:rFonts w:hint="default" w:ascii="Times New Roman" w:hAnsi="Times New Roman" w:eastAsia="仿宋_GB2312" w:cs="Times New Roman"/>
          <w:color w:val="auto"/>
          <w:kern w:val="2"/>
          <w:sz w:val="32"/>
          <w:szCs w:val="24"/>
          <w:highlight w:val="none"/>
          <w:u w:val="none"/>
          <w:shd w:val="clear" w:fill="auto"/>
          <w:lang w:bidi="ar-SA"/>
        </w:rPr>
        <w:t>以上、3000万元</w:t>
      </w:r>
      <w:r>
        <w:rPr>
          <w:rFonts w:hint="eastAsia" w:ascii="Times New Roman" w:hAnsi="Times New Roman" w:eastAsia="仿宋_GB2312" w:cs="Times New Roman"/>
          <w:color w:val="auto"/>
          <w:kern w:val="2"/>
          <w:sz w:val="32"/>
          <w:szCs w:val="24"/>
          <w:highlight w:val="none"/>
          <w:u w:val="none"/>
          <w:shd w:val="clear" w:fill="auto"/>
          <w:lang w:eastAsia="zh-CN" w:bidi="ar-SA"/>
        </w:rPr>
        <w:t>（含）</w:t>
      </w:r>
      <w:r>
        <w:rPr>
          <w:rFonts w:hint="default" w:ascii="Times New Roman" w:hAnsi="Times New Roman" w:eastAsia="仿宋_GB2312" w:cs="Times New Roman"/>
          <w:color w:val="auto"/>
          <w:kern w:val="2"/>
          <w:sz w:val="32"/>
          <w:szCs w:val="24"/>
          <w:highlight w:val="none"/>
          <w:u w:val="none"/>
          <w:shd w:val="clear" w:fill="auto"/>
          <w:lang w:bidi="ar-SA"/>
        </w:rPr>
        <w:t>—5000万元、1000万元</w:t>
      </w:r>
      <w:r>
        <w:rPr>
          <w:rFonts w:hint="eastAsia" w:ascii="Times New Roman" w:hAnsi="Times New Roman" w:eastAsia="仿宋_GB2312" w:cs="Times New Roman"/>
          <w:color w:val="auto"/>
          <w:kern w:val="2"/>
          <w:sz w:val="32"/>
          <w:szCs w:val="24"/>
          <w:highlight w:val="none"/>
          <w:u w:val="none"/>
          <w:shd w:val="clear" w:fill="auto"/>
          <w:lang w:eastAsia="zh-CN" w:bidi="ar-SA"/>
        </w:rPr>
        <w:t>（含）</w:t>
      </w:r>
      <w:r>
        <w:rPr>
          <w:rFonts w:hint="default" w:ascii="Times New Roman" w:hAnsi="Times New Roman" w:eastAsia="仿宋_GB2312" w:cs="Times New Roman"/>
          <w:color w:val="auto"/>
          <w:kern w:val="2"/>
          <w:sz w:val="32"/>
          <w:szCs w:val="24"/>
          <w:highlight w:val="none"/>
          <w:u w:val="none"/>
          <w:shd w:val="clear" w:fill="auto"/>
          <w:lang w:bidi="ar-SA"/>
        </w:rPr>
        <w:t>—3000万元的限额以上商贸企业分别给予100万元、80万元和50万元奖励。对上年度区经济发展贡献5000万元</w:t>
      </w:r>
      <w:r>
        <w:rPr>
          <w:rFonts w:hint="eastAsia" w:ascii="Times New Roman" w:hAnsi="Times New Roman" w:eastAsia="仿宋_GB2312" w:cs="Times New Roman"/>
          <w:color w:val="auto"/>
          <w:kern w:val="2"/>
          <w:sz w:val="32"/>
          <w:szCs w:val="24"/>
          <w:highlight w:val="none"/>
          <w:u w:val="none"/>
          <w:shd w:val="clear" w:fill="auto"/>
          <w:lang w:eastAsia="zh-CN" w:bidi="ar-SA"/>
        </w:rPr>
        <w:t>及</w:t>
      </w:r>
      <w:r>
        <w:rPr>
          <w:rFonts w:hint="default" w:ascii="Times New Roman" w:hAnsi="Times New Roman" w:eastAsia="仿宋_GB2312" w:cs="Times New Roman"/>
          <w:color w:val="auto"/>
          <w:kern w:val="2"/>
          <w:sz w:val="32"/>
          <w:szCs w:val="24"/>
          <w:highlight w:val="none"/>
          <w:u w:val="none"/>
          <w:shd w:val="clear" w:fill="auto"/>
          <w:lang w:bidi="ar-SA"/>
        </w:rPr>
        <w:t>以上、3000万元</w:t>
      </w:r>
      <w:r>
        <w:rPr>
          <w:rFonts w:hint="eastAsia" w:ascii="Times New Roman" w:hAnsi="Times New Roman" w:eastAsia="仿宋_GB2312" w:cs="Times New Roman"/>
          <w:color w:val="auto"/>
          <w:kern w:val="2"/>
          <w:sz w:val="32"/>
          <w:szCs w:val="24"/>
          <w:highlight w:val="none"/>
          <w:u w:val="none"/>
          <w:shd w:val="clear" w:fill="auto"/>
          <w:lang w:eastAsia="zh-CN" w:bidi="ar-SA"/>
        </w:rPr>
        <w:t>（含）</w:t>
      </w:r>
      <w:r>
        <w:rPr>
          <w:rFonts w:hint="default" w:ascii="Times New Roman" w:hAnsi="Times New Roman" w:eastAsia="仿宋_GB2312" w:cs="Times New Roman"/>
          <w:color w:val="auto"/>
          <w:kern w:val="2"/>
          <w:sz w:val="32"/>
          <w:szCs w:val="24"/>
          <w:highlight w:val="none"/>
          <w:u w:val="none"/>
          <w:shd w:val="clear" w:fill="auto"/>
          <w:lang w:bidi="ar-SA"/>
        </w:rPr>
        <w:t>—5000万元、2000万元</w:t>
      </w:r>
      <w:r>
        <w:rPr>
          <w:rFonts w:hint="eastAsia" w:ascii="Times New Roman" w:hAnsi="Times New Roman" w:eastAsia="仿宋_GB2312" w:cs="Times New Roman"/>
          <w:color w:val="auto"/>
          <w:kern w:val="2"/>
          <w:sz w:val="32"/>
          <w:szCs w:val="24"/>
          <w:highlight w:val="none"/>
          <w:u w:val="none"/>
          <w:shd w:val="clear" w:fill="auto"/>
          <w:lang w:eastAsia="zh-CN" w:bidi="ar-SA"/>
        </w:rPr>
        <w:t>（含）</w:t>
      </w:r>
      <w:r>
        <w:rPr>
          <w:rFonts w:hint="default" w:ascii="Times New Roman" w:hAnsi="Times New Roman" w:eastAsia="仿宋_GB2312" w:cs="Times New Roman"/>
          <w:color w:val="auto"/>
          <w:kern w:val="2"/>
          <w:sz w:val="32"/>
          <w:szCs w:val="24"/>
          <w:highlight w:val="none"/>
          <w:u w:val="none"/>
          <w:shd w:val="clear" w:fill="auto"/>
          <w:lang w:bidi="ar-SA"/>
        </w:rPr>
        <w:t>—3000万元的重点商贸载体运营公司分别给予100万元、80万元和50万元奖励。</w:t>
      </w:r>
    </w:p>
    <w:p>
      <w:pPr>
        <w:pStyle w:val="5"/>
        <w:keepNext w:val="0"/>
        <w:keepLines w:val="0"/>
        <w:pageBreakBefore w:val="0"/>
        <w:widowControl/>
        <w:suppressLineNumbers w:val="0"/>
        <w:kinsoku/>
        <w:overflowPunct/>
        <w:topLinePunct w:val="0"/>
        <w:autoSpaceDE/>
        <w:autoSpaceDN/>
        <w:bidi w:val="0"/>
        <w:adjustRightIn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color w:val="auto"/>
          <w:kern w:val="2"/>
          <w:sz w:val="32"/>
          <w:szCs w:val="24"/>
          <w:highlight w:val="none"/>
          <w:lang w:bidi="ar-SA"/>
        </w:rPr>
      </w:pPr>
      <w:r>
        <w:rPr>
          <w:rFonts w:hint="default" w:ascii="Times New Roman" w:hAnsi="Times New Roman" w:eastAsia="仿宋_GB2312" w:cs="Times New Roman"/>
          <w:color w:val="auto"/>
          <w:kern w:val="2"/>
          <w:sz w:val="32"/>
          <w:szCs w:val="24"/>
          <w:highlight w:val="none"/>
          <w:u w:val="none"/>
          <w:shd w:val="clear" w:fill="auto"/>
          <w:lang w:bidi="ar-SA"/>
        </w:rPr>
        <w:t>（2）快速发展奖励。对上年度销售额30亿元以上且同比增长5%以上的限额以上批发业企业，销售额10亿元以上且同比增长5%以上零售业企业，营业额1亿元以上且同比增长10%以上的限额以上住宿餐饮业企业，按其当年对区经济发展贡献的50%，分别给予最高100万元、80万元、50万元奖励。</w:t>
      </w:r>
    </w:p>
    <w:p>
      <w:pPr>
        <w:pStyle w:val="5"/>
        <w:keepNext w:val="0"/>
        <w:keepLines w:val="0"/>
        <w:pageBreakBefore w:val="0"/>
        <w:widowControl/>
        <w:kinsoku/>
        <w:overflowPunct/>
        <w:topLinePunct w:val="0"/>
        <w:autoSpaceDE/>
        <w:autoSpaceDN/>
        <w:bidi w:val="0"/>
        <w:adjustRightInd/>
        <w:spacing w:after="0" w:line="560" w:lineRule="exact"/>
        <w:ind w:right="0" w:firstLine="640" w:firstLineChars="200"/>
        <w:textAlignment w:val="auto"/>
        <w:rPr>
          <w:rFonts w:hint="default" w:ascii="Times New Roman" w:hAnsi="Times New Roman" w:eastAsia="仿宋_GB2312" w:cs="Times New Roman"/>
          <w:color w:val="auto"/>
          <w:kern w:val="2"/>
          <w:sz w:val="32"/>
          <w:szCs w:val="24"/>
          <w:highlight w:val="none"/>
          <w:u w:val="none"/>
          <w:shd w:val="clear" w:fill="auto"/>
          <w:lang w:bidi="ar-SA"/>
        </w:rPr>
      </w:pPr>
      <w:r>
        <w:rPr>
          <w:rFonts w:hint="default" w:ascii="Times New Roman" w:hAnsi="Times New Roman" w:eastAsia="仿宋_GB2312" w:cs="Times New Roman"/>
          <w:color w:val="auto"/>
          <w:kern w:val="2"/>
          <w:sz w:val="32"/>
          <w:szCs w:val="24"/>
          <w:highlight w:val="none"/>
          <w:u w:val="none"/>
          <w:shd w:val="clear" w:fill="auto"/>
          <w:lang w:bidi="ar-SA"/>
        </w:rPr>
        <w:t>（3）商贸业人才奖励。对上年度对区经济发展贡献1000万元以上的重点商贸企业、上年度对区经济发展贡献2000万元以上的重点商贸载体运营公司，给予每家企业最高不超过6个的产业人才奖励名额。产业人才奖励由企业自行确定奖励名单，按其个人对经济发展贡献的50%予以奖励，每人每年最高50万元，奖励金额合计不超过企业对本区经济发展贡献的35%。</w:t>
      </w:r>
    </w:p>
    <w:p>
      <w:pPr>
        <w:pStyle w:val="5"/>
        <w:keepNext w:val="0"/>
        <w:keepLines w:val="0"/>
        <w:pageBreakBefore w:val="0"/>
        <w:widowControl/>
        <w:kinsoku/>
        <w:overflowPunct/>
        <w:topLinePunct w:val="0"/>
        <w:autoSpaceDE/>
        <w:autoSpaceDN/>
        <w:bidi w:val="0"/>
        <w:adjustRightInd/>
        <w:spacing w:after="0" w:line="560" w:lineRule="exact"/>
        <w:ind w:right="0" w:firstLine="640" w:firstLineChars="200"/>
        <w:textAlignment w:val="auto"/>
        <w:rPr>
          <w:rFonts w:hint="default" w:ascii="Times New Roman" w:hAnsi="Times New Roman" w:eastAsia="仿宋_GB2312" w:cs="Times New Roman"/>
          <w:b w:val="0"/>
          <w:bCs w:val="0"/>
          <w:color w:val="auto"/>
          <w:kern w:val="2"/>
          <w:sz w:val="32"/>
          <w:szCs w:val="24"/>
          <w:highlight w:val="none"/>
          <w:u w:val="none"/>
          <w:shd w:val="clear" w:fill="auto"/>
          <w:lang w:bidi="ar-SA"/>
        </w:rPr>
      </w:pPr>
      <w:r>
        <w:rPr>
          <w:rFonts w:hint="default" w:ascii="Times New Roman" w:hAnsi="Times New Roman" w:eastAsia="仿宋_GB2312" w:cs="Times New Roman"/>
          <w:color w:val="auto"/>
          <w:kern w:val="2"/>
          <w:sz w:val="32"/>
          <w:szCs w:val="24"/>
          <w:highlight w:val="none"/>
          <w:u w:val="none"/>
          <w:shd w:val="clear" w:fill="auto"/>
          <w:lang w:bidi="ar-SA"/>
        </w:rPr>
        <w:t>以上</w:t>
      </w:r>
      <w:r>
        <w:rPr>
          <w:rFonts w:hint="default" w:ascii="Times New Roman" w:hAnsi="Times New Roman" w:eastAsia="仿宋_GB2312" w:cs="Times New Roman"/>
          <w:color w:val="auto"/>
          <w:kern w:val="2"/>
          <w:sz w:val="32"/>
          <w:szCs w:val="24"/>
          <w:highlight w:val="none"/>
          <w:u w:val="none"/>
          <w:shd w:val="clear" w:fill="auto"/>
          <w:lang w:val="en-US" w:eastAsia="zh-CN" w:bidi="ar-SA"/>
        </w:rPr>
        <w:t>3</w:t>
      </w:r>
      <w:r>
        <w:rPr>
          <w:rFonts w:hint="default" w:ascii="Times New Roman" w:hAnsi="Times New Roman" w:eastAsia="仿宋_GB2312" w:cs="Times New Roman"/>
          <w:color w:val="auto"/>
          <w:kern w:val="2"/>
          <w:sz w:val="32"/>
          <w:szCs w:val="24"/>
          <w:highlight w:val="none"/>
          <w:u w:val="none"/>
          <w:shd w:val="clear" w:fill="auto"/>
          <w:lang w:bidi="ar-SA"/>
        </w:rPr>
        <w:t>项从高不重复。上述</w:t>
      </w:r>
      <w:r>
        <w:rPr>
          <w:rFonts w:hint="default" w:ascii="Times New Roman" w:hAnsi="Times New Roman" w:eastAsia="仿宋_GB2312" w:cs="Times New Roman"/>
          <w:color w:val="auto"/>
          <w:kern w:val="2"/>
          <w:sz w:val="32"/>
          <w:szCs w:val="24"/>
          <w:highlight w:val="none"/>
          <w:u w:val="none"/>
          <w:shd w:val="clear" w:fill="auto"/>
          <w:lang w:eastAsia="zh-CN" w:bidi="ar-SA"/>
        </w:rPr>
        <w:t>商贸业</w:t>
      </w:r>
      <w:r>
        <w:rPr>
          <w:rFonts w:hint="eastAsia" w:ascii="Times New Roman" w:hAnsi="Times New Roman" w:eastAsia="仿宋_GB2312" w:cs="Times New Roman"/>
          <w:color w:val="auto"/>
          <w:kern w:val="2"/>
          <w:sz w:val="32"/>
          <w:szCs w:val="24"/>
          <w:highlight w:val="none"/>
          <w:u w:val="none"/>
          <w:shd w:val="clear" w:fill="auto"/>
          <w:lang w:eastAsia="zh-CN" w:bidi="ar-SA"/>
        </w:rPr>
        <w:t>企业</w:t>
      </w:r>
      <w:r>
        <w:rPr>
          <w:rFonts w:hint="default" w:ascii="Times New Roman" w:hAnsi="Times New Roman" w:eastAsia="仿宋_GB2312" w:cs="Times New Roman"/>
          <w:color w:val="auto"/>
          <w:kern w:val="2"/>
          <w:sz w:val="32"/>
          <w:szCs w:val="24"/>
          <w:highlight w:val="none"/>
          <w:u w:val="none"/>
          <w:shd w:val="clear" w:fill="auto"/>
          <w:lang w:eastAsia="zh-CN" w:bidi="ar-SA"/>
        </w:rPr>
        <w:t>及商贸载体运营公司</w:t>
      </w:r>
      <w:r>
        <w:rPr>
          <w:rFonts w:hint="default" w:ascii="Times New Roman" w:hAnsi="Times New Roman" w:eastAsia="仿宋_GB2312" w:cs="Times New Roman"/>
          <w:color w:val="auto"/>
          <w:kern w:val="2"/>
          <w:sz w:val="32"/>
          <w:szCs w:val="24"/>
          <w:highlight w:val="none"/>
          <w:u w:val="none"/>
          <w:shd w:val="clear" w:fill="auto"/>
          <w:lang w:bidi="ar-SA"/>
        </w:rPr>
        <w:t>的注册地及办公地均需在天河。</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ascii="Times New Roman" w:hAnsi="Times New Roman" w:eastAsia="仿宋_GB2312" w:cs="Times New Roman"/>
          <w:color w:val="auto"/>
          <w:kern w:val="0"/>
          <w:sz w:val="32"/>
          <w:szCs w:val="32"/>
          <w:highlight w:val="none"/>
          <w:u w:val="none"/>
          <w:shd w:val="clear" w:fill="FFFFFF"/>
          <w:lang w:bidi="ar"/>
        </w:rPr>
        <w:t>本项目每年组织一次申报，2021年申报起止时间为：2021年5月1日至2021年5月21日</w:t>
      </w:r>
      <w:r>
        <w:rPr>
          <w:rFonts w:hint="eastAsia" w:ascii="Times New Roman" w:hAnsi="Times New Roman" w:eastAsia="仿宋_GB2312" w:cs="Times New Roman"/>
          <w:color w:val="auto"/>
          <w:kern w:val="0"/>
          <w:sz w:val="32"/>
          <w:szCs w:val="32"/>
          <w:highlight w:val="none"/>
          <w:u w:val="none"/>
          <w:shd w:val="clear" w:fill="FFFFFF"/>
          <w:lang w:eastAsia="zh-CN" w:bidi="ar"/>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u w:val="none"/>
          <w:shd w:val="clear" w:fill="FFFFFF"/>
          <w:lang w:eastAsia="zh-CN"/>
        </w:rPr>
        <w:t>注册地及办公地均在天河区，</w:t>
      </w:r>
      <w:r>
        <w:rPr>
          <w:rFonts w:hint="default" w:ascii="Times New Roman" w:hAnsi="Times New Roman" w:eastAsia="仿宋_GB2312" w:cs="Times New Roman"/>
          <w:color w:val="auto"/>
          <w:kern w:val="0"/>
          <w:sz w:val="32"/>
          <w:szCs w:val="32"/>
          <w:highlight w:val="none"/>
          <w:lang w:val="en-US" w:eastAsia="zh-CN"/>
        </w:rPr>
        <w:t>具有独立法人资格或视同独立法人资格</w:t>
      </w:r>
      <w:r>
        <w:rPr>
          <w:rFonts w:hint="default" w:ascii="Times New Roman" w:hAnsi="Times New Roman" w:eastAsia="仿宋_GB2312" w:cs="Times New Roman"/>
          <w:color w:val="auto"/>
          <w:sz w:val="32"/>
          <w:szCs w:val="32"/>
          <w:highlight w:val="none"/>
          <w:u w:val="none"/>
          <w:shd w:val="clear" w:fill="FFFFFF"/>
          <w:lang w:eastAsia="zh-CN"/>
        </w:rPr>
        <w:t>。</w:t>
      </w:r>
      <w:r>
        <w:rPr>
          <w:rFonts w:hint="default" w:ascii="Times New Roman" w:hAnsi="Times New Roman" w:eastAsia="楷体" w:cs="Times New Roman"/>
          <w:color w:val="auto"/>
          <w:sz w:val="32"/>
          <w:highlight w:val="none"/>
          <w:lang w:val="en-US" w:eastAsia="zh-CN"/>
        </w:rPr>
        <w:t>（备注：视同独立法人是指经国家统计局认可为可视同法人单位处理的法人单位下属跨省的分支机构。)</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2"/>
          <w:sz w:val="32"/>
          <w:szCs w:val="24"/>
          <w:highlight w:val="none"/>
          <w:u w:val="none"/>
          <w:shd w:val="clear" w:fill="auto"/>
          <w:lang w:eastAsia="zh-CN" w:bidi="ar-SA"/>
        </w:rPr>
      </w:pPr>
      <w:r>
        <w:rPr>
          <w:rFonts w:hint="default" w:ascii="Times New Roman" w:hAnsi="Times New Roman" w:eastAsia="仿宋_GB2312" w:cs="Times New Roman"/>
          <w:color w:val="auto"/>
          <w:kern w:val="2"/>
          <w:sz w:val="32"/>
          <w:szCs w:val="24"/>
          <w:highlight w:val="none"/>
          <w:u w:val="none"/>
          <w:shd w:val="clear" w:fill="auto"/>
          <w:lang w:bidi="ar-SA"/>
        </w:rPr>
        <w:t>上年度区经济发展</w:t>
      </w:r>
      <w:bookmarkStart w:id="7" w:name="_GoBack"/>
      <w:bookmarkEnd w:id="7"/>
      <w:r>
        <w:rPr>
          <w:rFonts w:hint="default" w:ascii="Times New Roman" w:hAnsi="Times New Roman" w:eastAsia="仿宋_GB2312" w:cs="Times New Roman"/>
          <w:color w:val="auto"/>
          <w:kern w:val="2"/>
          <w:sz w:val="32"/>
          <w:szCs w:val="24"/>
          <w:highlight w:val="none"/>
          <w:u w:val="none"/>
          <w:shd w:val="clear" w:fill="auto"/>
          <w:lang w:bidi="ar-SA"/>
        </w:rPr>
        <w:t>贡献</w:t>
      </w:r>
      <w:r>
        <w:rPr>
          <w:rFonts w:hint="default" w:ascii="Times New Roman" w:hAnsi="Times New Roman" w:eastAsia="仿宋_GB2312" w:cs="Times New Roman"/>
          <w:color w:val="auto"/>
          <w:kern w:val="2"/>
          <w:sz w:val="32"/>
          <w:szCs w:val="24"/>
          <w:highlight w:val="none"/>
          <w:u w:val="none"/>
          <w:shd w:val="clear" w:fill="auto"/>
          <w:lang w:val="en-US" w:eastAsia="zh-CN" w:bidi="ar-SA"/>
        </w:rPr>
        <w:t>1</w:t>
      </w:r>
      <w:r>
        <w:rPr>
          <w:rFonts w:hint="default" w:ascii="Times New Roman" w:hAnsi="Times New Roman" w:eastAsia="仿宋_GB2312" w:cs="Times New Roman"/>
          <w:color w:val="auto"/>
          <w:kern w:val="2"/>
          <w:sz w:val="32"/>
          <w:szCs w:val="24"/>
          <w:highlight w:val="none"/>
          <w:u w:val="none"/>
          <w:shd w:val="clear" w:fill="auto"/>
          <w:lang w:bidi="ar-SA"/>
        </w:rPr>
        <w:t>000万元以上</w:t>
      </w:r>
      <w:r>
        <w:rPr>
          <w:rFonts w:hint="default" w:ascii="Times New Roman" w:hAnsi="Times New Roman" w:eastAsia="仿宋_GB2312" w:cs="Times New Roman"/>
          <w:color w:val="auto"/>
          <w:kern w:val="2"/>
          <w:sz w:val="32"/>
          <w:szCs w:val="24"/>
          <w:highlight w:val="none"/>
          <w:u w:val="none"/>
          <w:shd w:val="clear" w:fill="auto"/>
          <w:lang w:eastAsia="zh-CN" w:bidi="ar-SA"/>
        </w:rPr>
        <w:t>的商贸企业</w:t>
      </w:r>
      <w:r>
        <w:rPr>
          <w:rFonts w:hint="default" w:ascii="Times New Roman" w:hAnsi="Times New Roman" w:eastAsia="楷体" w:cs="Times New Roman"/>
          <w:color w:val="auto"/>
          <w:kern w:val="2"/>
          <w:sz w:val="32"/>
          <w:szCs w:val="24"/>
          <w:highlight w:val="none"/>
          <w:u w:val="none"/>
          <w:shd w:val="clear" w:fill="auto"/>
          <w:lang w:eastAsia="zh-CN" w:bidi="ar-SA"/>
        </w:rPr>
        <w:t>（备注：</w:t>
      </w:r>
      <w:r>
        <w:rPr>
          <w:rFonts w:hint="default" w:ascii="Times New Roman" w:hAnsi="Times New Roman" w:eastAsia="楷体" w:cs="Times New Roman"/>
          <w:color w:val="auto"/>
          <w:sz w:val="32"/>
          <w:szCs w:val="24"/>
          <w:highlight w:val="none"/>
          <w:u w:val="none"/>
          <w:shd w:val="clear" w:fill="auto"/>
        </w:rPr>
        <w:t>商贸企业</w:t>
      </w:r>
      <w:r>
        <w:rPr>
          <w:rFonts w:hint="default" w:ascii="Times New Roman" w:hAnsi="Times New Roman" w:eastAsia="楷体" w:cs="Times New Roman"/>
          <w:color w:val="auto"/>
          <w:sz w:val="32"/>
          <w:szCs w:val="24"/>
          <w:highlight w:val="none"/>
          <w:u w:val="none"/>
          <w:shd w:val="clear" w:fill="auto"/>
          <w:lang w:eastAsia="zh-CN"/>
        </w:rPr>
        <w:t>指</w:t>
      </w:r>
      <w:r>
        <w:rPr>
          <w:rFonts w:hint="eastAsia" w:ascii="Times New Roman" w:hAnsi="Times New Roman" w:eastAsia="楷体" w:cs="Times New Roman"/>
          <w:color w:val="auto"/>
          <w:sz w:val="32"/>
          <w:szCs w:val="24"/>
          <w:highlight w:val="none"/>
          <w:u w:val="none"/>
          <w:shd w:val="clear" w:fill="auto"/>
          <w:lang w:eastAsia="zh-CN"/>
        </w:rPr>
        <w:t>在统计范畴属于</w:t>
      </w:r>
      <w:r>
        <w:rPr>
          <w:rFonts w:hint="default" w:ascii="Times New Roman" w:hAnsi="Times New Roman" w:eastAsia="楷体" w:cs="Times New Roman"/>
          <w:color w:val="auto"/>
          <w:kern w:val="2"/>
          <w:sz w:val="32"/>
          <w:szCs w:val="24"/>
          <w:highlight w:val="none"/>
          <w:u w:val="none"/>
          <w:shd w:val="clear" w:fill="auto"/>
          <w:lang w:eastAsia="zh-CN" w:bidi="ar-SA"/>
        </w:rPr>
        <w:t>批发</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、零售</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、住宿</w:t>
      </w:r>
      <w:r>
        <w:rPr>
          <w:rFonts w:hint="eastAsia" w:ascii="Times New Roman" w:hAnsi="Times New Roman" w:eastAsia="楷体" w:cs="Times New Roman"/>
          <w:color w:val="auto"/>
          <w:kern w:val="2"/>
          <w:sz w:val="32"/>
          <w:szCs w:val="24"/>
          <w:highlight w:val="none"/>
          <w:u w:val="none"/>
          <w:shd w:val="clear" w:fill="auto"/>
          <w:lang w:eastAsia="zh-CN" w:bidi="ar-SA"/>
        </w:rPr>
        <w:t>业</w:t>
      </w:r>
      <w:r>
        <w:rPr>
          <w:rFonts w:hint="default" w:ascii="Times New Roman" w:hAnsi="Times New Roman" w:eastAsia="楷体" w:cs="Times New Roman"/>
          <w:color w:val="auto"/>
          <w:kern w:val="2"/>
          <w:sz w:val="32"/>
          <w:szCs w:val="24"/>
          <w:highlight w:val="none"/>
          <w:u w:val="none"/>
          <w:shd w:val="clear" w:fill="auto"/>
          <w:lang w:eastAsia="zh-CN" w:bidi="ar-SA"/>
        </w:rPr>
        <w:t>、餐饮</w:t>
      </w:r>
      <w:r>
        <w:rPr>
          <w:rFonts w:hint="eastAsia" w:ascii="Times New Roman" w:hAnsi="Times New Roman" w:eastAsia="楷体" w:cs="Times New Roman"/>
          <w:color w:val="auto"/>
          <w:kern w:val="2"/>
          <w:sz w:val="32"/>
          <w:szCs w:val="24"/>
          <w:highlight w:val="none"/>
          <w:u w:val="none"/>
          <w:shd w:val="clear" w:fill="auto"/>
          <w:lang w:eastAsia="zh-CN" w:bidi="ar-SA"/>
        </w:rPr>
        <w:t>业的</w:t>
      </w:r>
      <w:r>
        <w:rPr>
          <w:rFonts w:hint="default" w:ascii="Times New Roman" w:hAnsi="Times New Roman" w:eastAsia="楷体" w:cs="Times New Roman"/>
          <w:color w:val="auto"/>
          <w:kern w:val="2"/>
          <w:sz w:val="32"/>
          <w:szCs w:val="24"/>
          <w:highlight w:val="none"/>
          <w:u w:val="none"/>
          <w:shd w:val="clear" w:fill="auto"/>
          <w:lang w:eastAsia="zh-CN" w:bidi="ar-SA"/>
        </w:rPr>
        <w:t>企业）</w:t>
      </w:r>
      <w:r>
        <w:rPr>
          <w:rFonts w:hint="default" w:ascii="Times New Roman" w:hAnsi="Times New Roman" w:eastAsia="仿宋_GB2312" w:cs="Times New Roman"/>
          <w:color w:val="auto"/>
          <w:kern w:val="2"/>
          <w:sz w:val="32"/>
          <w:szCs w:val="24"/>
          <w:highlight w:val="none"/>
          <w:u w:val="none"/>
          <w:shd w:val="clear" w:fill="auto"/>
          <w:lang w:bidi="ar-SA"/>
        </w:rPr>
        <w:t>、</w:t>
      </w:r>
      <w:r>
        <w:rPr>
          <w:rFonts w:hint="default" w:ascii="Times New Roman" w:hAnsi="Times New Roman" w:eastAsia="仿宋_GB2312" w:cs="Times New Roman"/>
          <w:color w:val="auto"/>
          <w:kern w:val="2"/>
          <w:sz w:val="32"/>
          <w:szCs w:val="24"/>
          <w:highlight w:val="none"/>
          <w:u w:val="none"/>
          <w:shd w:val="clear" w:fill="auto"/>
          <w:lang w:val="en-US" w:eastAsia="zh-CN" w:bidi="ar-SA"/>
        </w:rPr>
        <w:t>2</w:t>
      </w:r>
      <w:r>
        <w:rPr>
          <w:rFonts w:hint="default" w:ascii="Times New Roman" w:hAnsi="Times New Roman" w:eastAsia="仿宋_GB2312" w:cs="Times New Roman"/>
          <w:color w:val="auto"/>
          <w:kern w:val="2"/>
          <w:sz w:val="32"/>
          <w:szCs w:val="24"/>
          <w:highlight w:val="none"/>
          <w:u w:val="none"/>
          <w:shd w:val="clear" w:fill="auto"/>
          <w:lang w:bidi="ar-SA"/>
        </w:rPr>
        <w:t>000万元以上</w:t>
      </w:r>
      <w:r>
        <w:rPr>
          <w:rFonts w:hint="default" w:ascii="Times New Roman" w:hAnsi="Times New Roman" w:eastAsia="仿宋_GB2312" w:cs="Times New Roman"/>
          <w:color w:val="auto"/>
          <w:kern w:val="2"/>
          <w:sz w:val="32"/>
          <w:szCs w:val="24"/>
          <w:highlight w:val="none"/>
          <w:u w:val="none"/>
          <w:shd w:val="clear" w:fill="auto"/>
          <w:lang w:eastAsia="zh-CN" w:bidi="ar-SA"/>
        </w:rPr>
        <w:t>的商贸载体</w:t>
      </w:r>
      <w:r>
        <w:rPr>
          <w:rFonts w:hint="default" w:ascii="Times New Roman" w:hAnsi="Times New Roman" w:eastAsia="楷体" w:cs="Times New Roman"/>
          <w:color w:val="auto"/>
          <w:kern w:val="2"/>
          <w:sz w:val="32"/>
          <w:szCs w:val="24"/>
          <w:highlight w:val="none"/>
          <w:u w:val="none"/>
          <w:shd w:val="clear" w:fill="auto"/>
          <w:lang w:eastAsia="zh-CN" w:bidi="ar-SA"/>
        </w:rPr>
        <w:t>（备注：</w:t>
      </w:r>
      <w:r>
        <w:rPr>
          <w:rFonts w:hint="default" w:ascii="Times New Roman" w:hAnsi="Times New Roman" w:eastAsia="楷体" w:cs="Times New Roman"/>
          <w:color w:val="auto"/>
          <w:kern w:val="2"/>
          <w:sz w:val="32"/>
          <w:szCs w:val="24"/>
          <w:highlight w:val="none"/>
          <w:u w:val="none"/>
          <w:shd w:val="clear" w:fill="auto"/>
          <w:lang w:bidi="ar-SA"/>
        </w:rPr>
        <w:t>商贸载体即商业综合体，指已建成投入使用并集购物、住宿、展览、餐饮、文娱、交通枢纽等两种或两种以上功能于一体的</w:t>
      </w:r>
      <w:r>
        <w:rPr>
          <w:rFonts w:hint="eastAsia" w:ascii="楷体" w:hAnsi="楷体" w:eastAsia="楷体" w:cs="楷体"/>
          <w:color w:val="auto"/>
          <w:sz w:val="32"/>
          <w:highlight w:val="none"/>
          <w:lang w:val="en-US" w:eastAsia="zh-CN"/>
        </w:rPr>
        <w:t>以零售为主的</w:t>
      </w:r>
      <w:r>
        <w:rPr>
          <w:rFonts w:hint="default" w:ascii="Times New Roman" w:hAnsi="Times New Roman" w:eastAsia="楷体" w:cs="Times New Roman"/>
          <w:color w:val="auto"/>
          <w:kern w:val="2"/>
          <w:sz w:val="32"/>
          <w:szCs w:val="24"/>
          <w:highlight w:val="none"/>
          <w:u w:val="none"/>
          <w:shd w:val="clear" w:fill="auto"/>
          <w:lang w:bidi="ar-SA"/>
        </w:rPr>
        <w:t>城市商业综合体</w:t>
      </w:r>
      <w:r>
        <w:rPr>
          <w:rFonts w:hint="default" w:ascii="Times New Roman" w:hAnsi="Times New Roman" w:eastAsia="楷体" w:cs="Times New Roman"/>
          <w:color w:val="auto"/>
          <w:kern w:val="2"/>
          <w:sz w:val="32"/>
          <w:szCs w:val="24"/>
          <w:highlight w:val="none"/>
          <w:u w:val="none"/>
          <w:shd w:val="clear" w:fill="auto"/>
          <w:lang w:eastAsia="zh-CN" w:bidi="ar-SA"/>
        </w:rPr>
        <w:t>）</w:t>
      </w:r>
      <w:r>
        <w:rPr>
          <w:rFonts w:hint="default" w:ascii="Times New Roman" w:hAnsi="Times New Roman" w:eastAsia="仿宋_GB2312" w:cs="Times New Roman"/>
          <w:color w:val="auto"/>
          <w:kern w:val="2"/>
          <w:sz w:val="32"/>
          <w:szCs w:val="24"/>
          <w:highlight w:val="none"/>
          <w:u w:val="none"/>
          <w:shd w:val="clear" w:fill="auto"/>
          <w:lang w:eastAsia="zh-CN" w:bidi="ar-SA"/>
        </w:rPr>
        <w:t>；</w:t>
      </w:r>
      <w:r>
        <w:rPr>
          <w:rFonts w:hint="default" w:ascii="Times New Roman" w:hAnsi="Times New Roman" w:eastAsia="仿宋_GB2312" w:cs="Times New Roman"/>
          <w:color w:val="auto"/>
          <w:kern w:val="2"/>
          <w:sz w:val="32"/>
          <w:szCs w:val="24"/>
          <w:highlight w:val="none"/>
          <w:u w:val="none"/>
          <w:shd w:val="clear" w:fill="auto"/>
          <w:lang w:bidi="ar-SA"/>
        </w:rPr>
        <w:t>上年度销售额30亿元以上且同比增长5%以上的限额以上批发业企业，销售额10亿元以上且同比增长5%以上零售业企业，营业额1亿元以上且同比增长10%以上的限额以上住宿餐饮业企业</w:t>
      </w:r>
      <w:r>
        <w:rPr>
          <w:rFonts w:hint="default" w:ascii="Times New Roman" w:hAnsi="Times New Roman" w:eastAsia="仿宋_GB2312" w:cs="Times New Roman"/>
          <w:color w:val="auto"/>
          <w:kern w:val="2"/>
          <w:sz w:val="32"/>
          <w:szCs w:val="24"/>
          <w:highlight w:val="none"/>
          <w:u w:val="none"/>
          <w:shd w:val="clear" w:fill="auto"/>
          <w:lang w:eastAsia="zh-CN" w:bidi="ar-SA"/>
        </w:rPr>
        <w:t>。</w:t>
      </w:r>
    </w:p>
    <w:p>
      <w:pPr>
        <w:pStyle w:val="5"/>
        <w:keepNext w:val="0"/>
        <w:keepLines w:val="0"/>
        <w:pageBreakBefore w:val="0"/>
        <w:widowControl/>
        <w:numPr>
          <w:ilvl w:val="-1"/>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kern w:val="0"/>
          <w:sz w:val="32"/>
          <w:szCs w:val="32"/>
          <w:highlight w:val="none"/>
          <w:lang w:val="en-US" w:eastAsia="zh-CN"/>
        </w:rPr>
        <w:t>3. 本项资金</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的企业要求统计关系及税务登记地在天河区，履行统计数据申报义务、守法经营、诚实守信</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eastAsia" w:ascii="Times New Roman" w:hAnsi="Times New Roman" w:eastAsia="仿宋_GB2312" w:cs="Times New Roman"/>
          <w:color w:val="auto"/>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 xml:space="preserve">4. </w:t>
      </w:r>
      <w:r>
        <w:rPr>
          <w:rFonts w:hint="default" w:ascii="Times New Roman" w:hAnsi="Times New Roman" w:eastAsia="仿宋_GB2312" w:cs="Times New Roman"/>
          <w:color w:val="auto"/>
          <w:kern w:val="0"/>
          <w:sz w:val="32"/>
          <w:szCs w:val="32"/>
          <w:highlight w:val="none"/>
          <w:lang w:val="en-US" w:eastAsia="zh-CN"/>
        </w:rPr>
        <w:t>应积极配合区委、区政府相关工作。</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1.未在天河区依法注册、依法纳统、依法纳税，或者提出支持申请后，将企业注册地搬离天河和未按规定提交统计报表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4.就同一事项已获得天河区政府“一企一策”政策扶持的（协议中注明可享受本区普惠性政策的除外）。</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keepNext w:val="0"/>
        <w:keepLines w:val="0"/>
        <w:pageBreakBefore w:val="0"/>
        <w:kinsoku/>
        <w:overflowPunct/>
        <w:topLinePunct w:val="0"/>
        <w:autoSpaceDE/>
        <w:autoSpaceDN/>
        <w:bidi w:val="0"/>
        <w:adjustRightInd/>
        <w:spacing w:line="560" w:lineRule="exact"/>
        <w:jc w:val="both"/>
        <w:textAlignment w:val="auto"/>
        <w:rPr>
          <w:rFonts w:hint="default" w:ascii="Times New Roman" w:hAnsi="Times New Roman" w:eastAsia="仿宋_GB2312" w:cs="Times New Roman"/>
          <w:color w:val="auto"/>
          <w:sz w:val="32"/>
          <w:highlight w:val="none"/>
          <w:lang w:val="en-US" w:eastAsia="zh-CN"/>
        </w:rPr>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p>
    <w:p>
      <w:pPr>
        <w:keepNext w:val="0"/>
        <w:keepLines w:val="0"/>
        <w:pageBreakBefore w:val="0"/>
        <w:kinsoku/>
        <w:overflowPunct/>
        <w:topLinePunct w:val="0"/>
        <w:autoSpaceDE/>
        <w:autoSpaceDN/>
        <w:bidi w:val="0"/>
        <w:adjustRightInd/>
        <w:spacing w:line="560" w:lineRule="exact"/>
        <w:jc w:val="both"/>
        <w:textAlignment w:val="auto"/>
        <w:rPr>
          <w:rFonts w:hint="default" w:ascii="Times New Roman" w:hAnsi="Times New Roman" w:eastAsia="仿宋_GB2312" w:cs="Times New Roman"/>
          <w:color w:val="auto"/>
          <w:sz w:val="32"/>
          <w:highlight w:val="none"/>
          <w:lang w:val="en-US" w:eastAsia="zh-CN"/>
        </w:rPr>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drawing>
          <wp:anchor distT="0" distB="0" distL="114300" distR="114300" simplePos="0" relativeHeight="251658240" behindDoc="0" locked="0" layoutInCell="1" allowOverlap="1">
            <wp:simplePos x="0" y="0"/>
            <wp:positionH relativeFrom="column">
              <wp:posOffset>0</wp:posOffset>
            </wp:positionH>
            <wp:positionV relativeFrom="paragraph">
              <wp:posOffset>-97790</wp:posOffset>
            </wp:positionV>
            <wp:extent cx="5770880" cy="8235315"/>
            <wp:effectExtent l="0" t="0" r="1270" b="13335"/>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770880" cy="823531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val="en-US" w:eastAsia="zh-CN"/>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原件1份，企业法人签字并加盖企业公章。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企业证照</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val="en-US" w:eastAsia="zh-CN"/>
              </w:rPr>
              <w:t>复印件1份，申请单位为企业的，提交营业执照（副本），加盖企业公章。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eastAsia="zh-CN"/>
              </w:rPr>
              <w:t>企业</w:t>
            </w:r>
            <w:r>
              <w:rPr>
                <w:rFonts w:hint="default" w:ascii="Times New Roman" w:hAnsi="Times New Roman" w:eastAsia="仿宋_GB2312" w:cs="Times New Roman"/>
                <w:color w:val="auto"/>
                <w:sz w:val="28"/>
                <w:szCs w:val="28"/>
                <w:highlight w:val="none"/>
              </w:rPr>
              <w:t>经营情况</w:t>
            </w:r>
            <w:r>
              <w:rPr>
                <w:rFonts w:hint="default" w:ascii="Times New Roman" w:hAnsi="Times New Roman" w:eastAsia="仿宋_GB2312" w:cs="Times New Roman"/>
                <w:color w:val="auto"/>
                <w:sz w:val="28"/>
                <w:szCs w:val="28"/>
                <w:highlight w:val="none"/>
                <w:lang w:eastAsia="zh-CN"/>
              </w:rPr>
              <w:t>表</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原件1份，公司上一年度</w:t>
            </w:r>
            <w:r>
              <w:rPr>
                <w:rFonts w:hint="default" w:ascii="Times New Roman" w:hAnsi="Times New Roman" w:eastAsia="仿宋_GB2312" w:cs="Times New Roman"/>
                <w:color w:val="auto"/>
                <w:sz w:val="28"/>
                <w:szCs w:val="28"/>
                <w:highlight w:val="none"/>
              </w:rPr>
              <w:t>经营情况</w:t>
            </w:r>
            <w:r>
              <w:rPr>
                <w:rFonts w:hint="default" w:ascii="Times New Roman" w:hAnsi="Times New Roman" w:eastAsia="仿宋_GB2312" w:cs="Times New Roman"/>
                <w:color w:val="auto"/>
                <w:sz w:val="28"/>
                <w:szCs w:val="28"/>
                <w:highlight w:val="none"/>
                <w:lang w:eastAsia="zh-CN"/>
              </w:rPr>
              <w:t>表（已上报统计部门的年度报表）</w:t>
            </w:r>
            <w:r>
              <w:rPr>
                <w:rFonts w:hint="default" w:ascii="Times New Roman" w:hAnsi="Times New Roman" w:eastAsia="仿宋_GB2312" w:cs="Times New Roman"/>
                <w:color w:val="auto"/>
                <w:sz w:val="28"/>
                <w:szCs w:val="28"/>
                <w:highlight w:val="none"/>
                <w:lang w:val="en-US" w:eastAsia="zh-CN"/>
              </w:rPr>
              <w:t>，加盖企业公章。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val="en-US" w:eastAsia="zh-CN"/>
              </w:rPr>
              <w:t>批零住餐企业必须提交，商贸载体不用提交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vertAlign w:val="baseline"/>
                <w:lang w:val="en-US" w:eastAsia="zh-CN"/>
              </w:rPr>
              <w:t>4</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纳税证明</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原件1份，税务部门出具的个人上年度1-12月累计纳税证明，加盖企业公章。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val="en-US" w:eastAsia="zh-CN"/>
              </w:rPr>
              <w:t>申报</w:t>
            </w:r>
            <w:r>
              <w:rPr>
                <w:rFonts w:hint="default" w:ascii="Times New Roman" w:hAnsi="Times New Roman" w:eastAsia="仿宋_GB2312" w:cs="Times New Roman"/>
                <w:color w:val="auto"/>
                <w:kern w:val="2"/>
                <w:sz w:val="28"/>
                <w:szCs w:val="28"/>
                <w:highlight w:val="none"/>
                <w:u w:val="none"/>
                <w:shd w:val="clear" w:fill="auto"/>
                <w:lang w:bidi="ar-SA"/>
              </w:rPr>
              <w:t>人才奖励</w:t>
            </w:r>
            <w:r>
              <w:rPr>
                <w:rFonts w:hint="default" w:ascii="Times New Roman" w:hAnsi="Times New Roman" w:eastAsia="仿宋_GB2312" w:cs="Times New Roman"/>
                <w:color w:val="auto"/>
                <w:kern w:val="2"/>
                <w:sz w:val="28"/>
                <w:szCs w:val="28"/>
                <w:highlight w:val="none"/>
                <w:u w:val="none"/>
                <w:shd w:val="clear" w:fill="auto"/>
                <w:lang w:eastAsia="zh-CN" w:bidi="ar-SA"/>
              </w:rPr>
              <w:t>的企业及商贸载体均需提交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eastAsia" w:ascii="Times New Roman" w:hAnsi="Times New Roman" w:eastAsia="仿宋_GB2312" w:cs="Times New Roman"/>
                <w:color w:val="auto"/>
                <w:sz w:val="28"/>
                <w:szCs w:val="28"/>
                <w:highlight w:val="none"/>
                <w:vertAlign w:val="baseline"/>
                <w:lang w:val="en-US" w:eastAsia="zh-CN"/>
              </w:rPr>
              <w:t>5</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商贸业人才名单</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原件1份，《天河区商贸业人才名单信息表》，加盖企业公章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申报</w:t>
            </w:r>
            <w:r>
              <w:rPr>
                <w:rFonts w:hint="default" w:ascii="Times New Roman" w:hAnsi="Times New Roman" w:eastAsia="仿宋_GB2312" w:cs="Times New Roman"/>
                <w:color w:val="auto"/>
                <w:kern w:val="2"/>
                <w:sz w:val="28"/>
                <w:szCs w:val="28"/>
                <w:highlight w:val="none"/>
                <w:u w:val="none"/>
                <w:shd w:val="clear" w:fill="auto"/>
                <w:lang w:bidi="ar-SA"/>
              </w:rPr>
              <w:t>人才奖励</w:t>
            </w:r>
            <w:r>
              <w:rPr>
                <w:rFonts w:hint="default" w:ascii="Times New Roman" w:hAnsi="Times New Roman" w:eastAsia="仿宋_GB2312" w:cs="Times New Roman"/>
                <w:color w:val="auto"/>
                <w:kern w:val="2"/>
                <w:sz w:val="28"/>
                <w:szCs w:val="28"/>
                <w:highlight w:val="none"/>
                <w:u w:val="none"/>
                <w:shd w:val="clear" w:fill="auto"/>
                <w:lang w:eastAsia="zh-CN" w:bidi="ar-SA"/>
              </w:rPr>
              <w:t>的企业及商贸载体均需提交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Times New Roman" w:hAnsi="Times New Roman" w:eastAsia="仿宋_GB2312" w:cs="Times New Roman"/>
                <w:color w:val="auto"/>
                <w:sz w:val="28"/>
                <w:szCs w:val="28"/>
                <w:highlight w:val="none"/>
                <w:vertAlign w:val="baseline"/>
                <w:lang w:val="en-US" w:eastAsia="zh-CN"/>
              </w:rPr>
            </w:pPr>
            <w:r>
              <w:rPr>
                <w:rFonts w:hint="default" w:ascii="Times New Roman" w:hAnsi="Times New Roman" w:eastAsia="仿宋_GB2312" w:cs="Times New Roman"/>
                <w:color w:val="auto"/>
                <w:sz w:val="28"/>
                <w:szCs w:val="28"/>
                <w:highlight w:val="none"/>
                <w:lang w:val="en-US" w:eastAsia="zh-CN"/>
              </w:rPr>
              <w:t>以上材料按照要求在线填写或采用附件形式（彩色扫描）在线提交。</w:t>
            </w:r>
            <w:r>
              <w:rPr>
                <w:rFonts w:hint="default" w:ascii="Times New Roman" w:hAnsi="Times New Roman" w:eastAsia="仿宋_GB2312" w:cs="Times New Roman"/>
                <w:color w:val="auto"/>
                <w:sz w:val="28"/>
                <w:szCs w:val="28"/>
                <w:highlight w:val="none"/>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仅支持全流程网上办理，</w:t>
      </w:r>
      <w:r>
        <w:rPr>
          <w:rFonts w:ascii="Times New Roman" w:hAnsi="Times New Roman" w:eastAsia="仿宋_GB2312" w:cs="Times New Roman"/>
          <w:color w:val="auto"/>
          <w:sz w:val="32"/>
          <w:highlight w:val="none"/>
        </w:rPr>
        <w:t>公示期间拟获奖企业将纸质材料报送至区商务金融局</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lang w:val="en-US" w:eastAsia="zh-CN"/>
        </w:rPr>
        <w:t>1.申报</w:t>
      </w:r>
      <w:r>
        <w:rPr>
          <w:rFonts w:hint="default" w:ascii="Times New Roman" w:hAnsi="Times New Roman" w:eastAsia="仿宋_GB2312" w:cs="Times New Roman"/>
          <w:color w:val="auto"/>
          <w:sz w:val="32"/>
          <w:highlight w:val="none"/>
          <w:lang w:eastAsia="zh-CN"/>
        </w:rPr>
        <w:t>商贸企业条款，联系电话：</w:t>
      </w:r>
      <w:r>
        <w:rPr>
          <w:rFonts w:hint="default" w:ascii="Times New Roman" w:hAnsi="Times New Roman" w:eastAsia="仿宋_GB2312" w:cs="Times New Roman"/>
          <w:color w:val="auto"/>
          <w:sz w:val="32"/>
          <w:highlight w:val="none"/>
          <w:lang w:val="en-US" w:eastAsia="zh-CN"/>
        </w:rPr>
        <w:t>38622874，地址：天河区天府路1号2号楼615室，邮编：510000；2.商贸载体条款，联系电话：38623718，地址：天河区天府路1号2号楼606室，邮编：510000</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atLeast"/>
        <w:ind w:left="0" w:right="0" w:firstLine="640" w:firstLineChars="200"/>
        <w:textAlignment w:val="auto"/>
        <w:rPr>
          <w:rFonts w:hint="default" w:ascii="Times New Roman" w:hAnsi="Times New Roman" w:eastAsia="仿宋_GB2312" w:cs="Times New Roman"/>
          <w:color w:val="auto"/>
          <w:kern w:val="2"/>
          <w:sz w:val="32"/>
          <w:szCs w:val="24"/>
          <w:highlight w:val="none"/>
          <w:u w:val="none"/>
          <w:shd w:val="clear"/>
          <w:lang w:bidi="ar-SA"/>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bookmarkStart w:id="6" w:name="_Toc11221"/>
      <w:r>
        <w:rPr>
          <w:rFonts w:hint="default" w:ascii="Times New Roman" w:hAnsi="Times New Roman" w:eastAsia="仿宋_GB2312" w:cs="Times New Roman"/>
          <w:b w:val="0"/>
          <w:bCs w:val="0"/>
          <w:color w:val="auto"/>
          <w:sz w:val="32"/>
          <w:highlight w:val="none"/>
          <w:lang w:val="en-US" w:eastAsia="zh-CN"/>
        </w:rPr>
        <w:t>第三条【大力支持现代商贸业发展】</w:t>
      </w:r>
      <w:bookmarkEnd w:id="6"/>
      <w:r>
        <w:rPr>
          <w:rFonts w:hint="default" w:ascii="Times New Roman" w:hAnsi="Times New Roman" w:eastAsia="仿宋_GB2312" w:cs="Times New Roman"/>
          <w:b w:val="0"/>
          <w:bCs w:val="0"/>
          <w:color w:val="auto"/>
          <w:sz w:val="32"/>
          <w:highlight w:val="none"/>
          <w:lang w:val="en-US" w:eastAsia="zh-CN"/>
        </w:rPr>
        <w:t>第15项 支持企业做大做强做优。</w:t>
      </w:r>
      <w:r>
        <w:rPr>
          <w:rFonts w:hint="default" w:ascii="Times New Roman" w:hAnsi="Times New Roman" w:eastAsia="仿宋_GB2312" w:cs="Times New Roman"/>
          <w:color w:val="auto"/>
          <w:kern w:val="2"/>
          <w:sz w:val="32"/>
          <w:szCs w:val="24"/>
          <w:highlight w:val="none"/>
          <w:u w:val="none"/>
          <w:shd w:val="clear"/>
          <w:lang w:bidi="ar-SA"/>
        </w:rPr>
        <w:t>（1）发展贡献奖励。对上年度区经济发展贡献5000万元以上、3000万元—5000万元、1000万元—3000万元的限额以上商贸企业分别给予100万元、80万元和50万元奖励。对上年度区经济发展贡献5000万元以上、3000万元—5000万元、2000万元—3000万元的重点商贸载体运营公司分别给予100万元、80万元和50万元奖励。</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atLeast"/>
        <w:ind w:left="0" w:right="0" w:firstLine="640" w:firstLineChars="200"/>
        <w:textAlignment w:val="auto"/>
        <w:rPr>
          <w:rFonts w:hint="default" w:ascii="Times New Roman" w:hAnsi="Times New Roman" w:eastAsia="仿宋_GB2312" w:cs="Times New Roman"/>
          <w:color w:val="auto"/>
          <w:kern w:val="2"/>
          <w:sz w:val="32"/>
          <w:szCs w:val="24"/>
          <w:highlight w:val="none"/>
          <w:lang w:bidi="ar-SA"/>
        </w:rPr>
      </w:pPr>
      <w:r>
        <w:rPr>
          <w:rFonts w:hint="default" w:ascii="Times New Roman" w:hAnsi="Times New Roman" w:eastAsia="仿宋_GB2312" w:cs="Times New Roman"/>
          <w:color w:val="auto"/>
          <w:kern w:val="2"/>
          <w:sz w:val="32"/>
          <w:szCs w:val="24"/>
          <w:highlight w:val="none"/>
          <w:u w:val="none"/>
          <w:shd w:val="clear"/>
          <w:lang w:bidi="ar-SA"/>
        </w:rPr>
        <w:t>（2）快速发展奖励。对上年度销售额30亿元以上且同比增长5%以上的限额以上批发业企业，销售额10亿元以上且同比增长5%以上零售业企业，营业额1亿元以上且同比增长10%以上的限额以上住宿餐饮业企业，按其当年对区经济发展贡献的50%，分别给予最高100万元、80万元、50万元奖励。</w:t>
      </w:r>
    </w:p>
    <w:p>
      <w:pPr>
        <w:pStyle w:val="5"/>
        <w:keepNext w:val="0"/>
        <w:keepLines w:val="0"/>
        <w:pageBreakBefore w:val="0"/>
        <w:widowControl/>
        <w:kinsoku/>
        <w:wordWrap/>
        <w:overflowPunct/>
        <w:topLinePunct w:val="0"/>
        <w:autoSpaceDE/>
        <w:autoSpaceDN/>
        <w:bidi w:val="0"/>
        <w:adjustRightInd/>
        <w:snapToGrid/>
        <w:spacing w:after="0" w:line="560" w:lineRule="atLeast"/>
        <w:ind w:right="0" w:rightChars="0" w:firstLine="640" w:firstLineChars="200"/>
        <w:textAlignment w:val="auto"/>
        <w:rPr>
          <w:rFonts w:hint="default" w:ascii="Times New Roman" w:hAnsi="Times New Roman" w:eastAsia="仿宋_GB2312" w:cs="Times New Roman"/>
          <w:color w:val="auto"/>
          <w:kern w:val="2"/>
          <w:sz w:val="32"/>
          <w:szCs w:val="24"/>
          <w:highlight w:val="none"/>
          <w:u w:val="none"/>
          <w:shd w:val="clear"/>
          <w:lang w:bidi="ar-SA"/>
        </w:rPr>
      </w:pPr>
      <w:r>
        <w:rPr>
          <w:rFonts w:hint="default" w:ascii="Times New Roman" w:hAnsi="Times New Roman" w:eastAsia="仿宋_GB2312" w:cs="Times New Roman"/>
          <w:color w:val="auto"/>
          <w:kern w:val="2"/>
          <w:sz w:val="32"/>
          <w:szCs w:val="24"/>
          <w:highlight w:val="none"/>
          <w:u w:val="none"/>
          <w:shd w:val="clear"/>
          <w:lang w:bidi="ar-SA"/>
        </w:rPr>
        <w:t>（3）商贸业人才奖励。对上年度对区经济发展贡献1000万元以上的重点商贸企业、上年度对区经济发展贡献2000万元以上的重点商贸载体运营公司，给予每家企业最高不超过6个的产业人才奖励名额。产业人才奖励由企业自行确定奖励名单，按其个人对经济发展贡献的50%予以奖励，每人每年最高50万元，奖励金额合计不超过企业对本区经济发展贡献的35%。</w:t>
      </w:r>
    </w:p>
    <w:p>
      <w:pPr>
        <w:pStyle w:val="5"/>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default" w:ascii="Times New Roman" w:hAnsi="Times New Roman" w:eastAsia="楷体" w:cs="Times New Roman"/>
          <w:color w:val="auto"/>
          <w:kern w:val="2"/>
          <w:sz w:val="32"/>
          <w:szCs w:val="24"/>
          <w:highlight w:val="none"/>
          <w:u w:val="none"/>
          <w:shd w:val="clear"/>
          <w:lang w:val="en-US" w:eastAsia="zh-CN" w:bidi="ar-SA"/>
        </w:rPr>
      </w:pPr>
      <w:r>
        <w:rPr>
          <w:rFonts w:hint="default" w:ascii="Times New Roman" w:hAnsi="Times New Roman" w:eastAsia="楷体" w:cs="Times New Roman"/>
          <w:i w:val="0"/>
          <w:caps w:val="0"/>
          <w:color w:val="auto"/>
          <w:spacing w:val="0"/>
          <w:sz w:val="32"/>
          <w:szCs w:val="32"/>
          <w:highlight w:val="none"/>
          <w:shd w:val="clear" w:fill="FFFFFF"/>
          <w:lang w:eastAsia="zh-CN"/>
        </w:rPr>
        <w:t>上述政策</w:t>
      </w:r>
      <w:r>
        <w:rPr>
          <w:rFonts w:hint="default" w:ascii="Times New Roman" w:hAnsi="Times New Roman" w:eastAsia="楷体" w:cs="Times New Roman"/>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在项目申报或审核过程中，如区商务金融局认为需提供相关佐证材料，申请本项目的企业应积极配合提供，并保证其申报材料的完整性、真实性、准确性及合法性，且承担所提交项目申报材料的相关法律责任，如有虚假或侵权等行为，该项目申请无效，如事后发现存在以上行为，区商务金融局将保留依法追究其法律责任的权利。申请本项目的企业在享受扶持后，应承诺五年内不将注册登记地址迁出天河区，不改变在天河区原有的纳税纳统义务。如有违反应全额退回已获得的扶持资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p>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47B6"/>
    <w:multiLevelType w:val="singleLevel"/>
    <w:tmpl w:val="5FE047B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60885"/>
    <w:rsid w:val="00994845"/>
    <w:rsid w:val="00BF07C2"/>
    <w:rsid w:val="03A024E2"/>
    <w:rsid w:val="044F6ED9"/>
    <w:rsid w:val="0680567A"/>
    <w:rsid w:val="079D6862"/>
    <w:rsid w:val="07D34B7C"/>
    <w:rsid w:val="08660121"/>
    <w:rsid w:val="09614E6A"/>
    <w:rsid w:val="0B375949"/>
    <w:rsid w:val="0BAE6B92"/>
    <w:rsid w:val="0BB06E30"/>
    <w:rsid w:val="0BC0691C"/>
    <w:rsid w:val="0BE054D1"/>
    <w:rsid w:val="0C1A72E5"/>
    <w:rsid w:val="0DEE574A"/>
    <w:rsid w:val="0E0C5B80"/>
    <w:rsid w:val="0F6A733C"/>
    <w:rsid w:val="0F9C05BF"/>
    <w:rsid w:val="1093518E"/>
    <w:rsid w:val="10E868FB"/>
    <w:rsid w:val="11132DDE"/>
    <w:rsid w:val="11133ABB"/>
    <w:rsid w:val="111D4088"/>
    <w:rsid w:val="111E4A8F"/>
    <w:rsid w:val="11D3432C"/>
    <w:rsid w:val="11E61EEF"/>
    <w:rsid w:val="133A00CD"/>
    <w:rsid w:val="137C675F"/>
    <w:rsid w:val="14F01798"/>
    <w:rsid w:val="154D2F67"/>
    <w:rsid w:val="15560308"/>
    <w:rsid w:val="15F46AC7"/>
    <w:rsid w:val="17080AE3"/>
    <w:rsid w:val="172A5C9A"/>
    <w:rsid w:val="184E6303"/>
    <w:rsid w:val="1A7C0D8C"/>
    <w:rsid w:val="1B564326"/>
    <w:rsid w:val="1B5F759B"/>
    <w:rsid w:val="1BCF002B"/>
    <w:rsid w:val="1C286255"/>
    <w:rsid w:val="1EF94490"/>
    <w:rsid w:val="1F044304"/>
    <w:rsid w:val="1F0C2CA5"/>
    <w:rsid w:val="1F0C5E43"/>
    <w:rsid w:val="1F3271D4"/>
    <w:rsid w:val="1F696895"/>
    <w:rsid w:val="204B5F3D"/>
    <w:rsid w:val="214C3E5B"/>
    <w:rsid w:val="21DF3BA6"/>
    <w:rsid w:val="23402B49"/>
    <w:rsid w:val="2425430C"/>
    <w:rsid w:val="245603A3"/>
    <w:rsid w:val="272E0346"/>
    <w:rsid w:val="29CC6595"/>
    <w:rsid w:val="29D277A8"/>
    <w:rsid w:val="2A7C57CB"/>
    <w:rsid w:val="2B7D759B"/>
    <w:rsid w:val="2BD421CA"/>
    <w:rsid w:val="2CFB2916"/>
    <w:rsid w:val="2D3835D9"/>
    <w:rsid w:val="2E3A0C2C"/>
    <w:rsid w:val="2EF125E6"/>
    <w:rsid w:val="2F9F479A"/>
    <w:rsid w:val="2FBD17E0"/>
    <w:rsid w:val="30606272"/>
    <w:rsid w:val="325B0AB7"/>
    <w:rsid w:val="328C52E9"/>
    <w:rsid w:val="33885662"/>
    <w:rsid w:val="347F05EA"/>
    <w:rsid w:val="349168AE"/>
    <w:rsid w:val="362C7C9F"/>
    <w:rsid w:val="373613C2"/>
    <w:rsid w:val="3841792A"/>
    <w:rsid w:val="38421DB4"/>
    <w:rsid w:val="3A7809B7"/>
    <w:rsid w:val="3A9F451F"/>
    <w:rsid w:val="3AE22A11"/>
    <w:rsid w:val="3D17071F"/>
    <w:rsid w:val="3E5F27F5"/>
    <w:rsid w:val="3FA90FF9"/>
    <w:rsid w:val="40923400"/>
    <w:rsid w:val="42F55232"/>
    <w:rsid w:val="43B44B2D"/>
    <w:rsid w:val="457005AB"/>
    <w:rsid w:val="474073BF"/>
    <w:rsid w:val="486424CC"/>
    <w:rsid w:val="498D6104"/>
    <w:rsid w:val="4E931B8C"/>
    <w:rsid w:val="4EA04DC7"/>
    <w:rsid w:val="4F0A19A6"/>
    <w:rsid w:val="4F0C6912"/>
    <w:rsid w:val="4FF4136F"/>
    <w:rsid w:val="52C60A61"/>
    <w:rsid w:val="53C80003"/>
    <w:rsid w:val="54740785"/>
    <w:rsid w:val="550F4D54"/>
    <w:rsid w:val="55EB7D8E"/>
    <w:rsid w:val="56A623CA"/>
    <w:rsid w:val="58B812B9"/>
    <w:rsid w:val="59D1403E"/>
    <w:rsid w:val="59FF70F7"/>
    <w:rsid w:val="5AF77728"/>
    <w:rsid w:val="5EBF5B21"/>
    <w:rsid w:val="5FF6447D"/>
    <w:rsid w:val="60234D91"/>
    <w:rsid w:val="604F1954"/>
    <w:rsid w:val="60C212E6"/>
    <w:rsid w:val="616126EA"/>
    <w:rsid w:val="61B64885"/>
    <w:rsid w:val="626D2921"/>
    <w:rsid w:val="6311235C"/>
    <w:rsid w:val="64443786"/>
    <w:rsid w:val="64742C3E"/>
    <w:rsid w:val="652D3174"/>
    <w:rsid w:val="65B464FE"/>
    <w:rsid w:val="679C29CC"/>
    <w:rsid w:val="67C100DA"/>
    <w:rsid w:val="69165C02"/>
    <w:rsid w:val="6A194DAA"/>
    <w:rsid w:val="6A3D285C"/>
    <w:rsid w:val="6A9C095F"/>
    <w:rsid w:val="6AAD3D02"/>
    <w:rsid w:val="6B1C4331"/>
    <w:rsid w:val="6BE16598"/>
    <w:rsid w:val="6DB70C2C"/>
    <w:rsid w:val="6E2E1B98"/>
    <w:rsid w:val="6EC7748E"/>
    <w:rsid w:val="6F14109B"/>
    <w:rsid w:val="6FD4538A"/>
    <w:rsid w:val="73164EF0"/>
    <w:rsid w:val="73F6412C"/>
    <w:rsid w:val="76177085"/>
    <w:rsid w:val="76B57350"/>
    <w:rsid w:val="77A5246D"/>
    <w:rsid w:val="77BF5EA9"/>
    <w:rsid w:val="77E845EE"/>
    <w:rsid w:val="77EC2674"/>
    <w:rsid w:val="781C5082"/>
    <w:rsid w:val="7B36028C"/>
    <w:rsid w:val="7B8A1F4C"/>
    <w:rsid w:val="7BED646D"/>
    <w:rsid w:val="7C855097"/>
    <w:rsid w:val="7E6B18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60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2021-04-16T01:32:00Z</cp:lastPrinted>
  <dcterms:modified xsi:type="dcterms:W3CDTF">2021-04-23T07:55:11Z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