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eastAsia="zh-CN"/>
        </w:rPr>
        <w:t>天河区</w:t>
      </w:r>
      <w:r>
        <w:rPr>
          <w:rFonts w:hint="default" w:ascii="Times New Roman" w:hAnsi="Times New Roman" w:eastAsia="方正小标宋_GBK" w:cs="Times New Roman"/>
          <w:color w:val="auto"/>
          <w:sz w:val="44"/>
          <w:szCs w:val="44"/>
          <w:highlight w:val="none"/>
          <w:lang w:val="en-US" w:eastAsia="zh-CN"/>
        </w:rPr>
        <w:t>电子商务发展奖励</w:t>
      </w:r>
      <w:r>
        <w:rPr>
          <w:rFonts w:hint="eastAsia" w:ascii="Times New Roman" w:hAnsi="Times New Roman" w:eastAsia="方正小标宋_GBK" w:cs="Times New Roman"/>
          <w:color w:val="auto"/>
          <w:sz w:val="44"/>
          <w:szCs w:val="44"/>
          <w:highlight w:val="none"/>
          <w:lang w:val="en-US" w:eastAsia="zh-CN"/>
        </w:rPr>
        <w:t>项目办事指南</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color w:val="auto"/>
          <w:sz w:val="44"/>
          <w:szCs w:val="44"/>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eastAsia="zh-CN"/>
        </w:rPr>
      </w:pPr>
      <w:r>
        <w:rPr>
          <w:rFonts w:hint="default" w:ascii="Times New Roman" w:hAnsi="Times New Roman" w:eastAsia="黑体" w:cs="Times New Roman"/>
          <w:color w:val="auto"/>
          <w:sz w:val="32"/>
          <w:highlight w:val="none"/>
          <w:lang w:eastAsia="zh-CN"/>
        </w:rPr>
        <w:t>一、基本信息</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shd w:val="clear" w:fill="FFFFFF"/>
          <w:lang w:val="en-US" w:eastAsia="zh-CN"/>
        </w:rPr>
      </w:pPr>
      <w:r>
        <w:rPr>
          <w:rFonts w:hint="default" w:ascii="Times New Roman" w:hAnsi="Times New Roman" w:eastAsia="仿宋_GB2312" w:cs="Times New Roman"/>
          <w:color w:val="auto"/>
          <w:sz w:val="32"/>
          <w:highlight w:val="none"/>
          <w:lang w:val="en-US" w:eastAsia="zh-CN"/>
        </w:rPr>
        <w:t>1.申报对象：</w:t>
      </w:r>
      <w:r>
        <w:rPr>
          <w:rFonts w:hint="default" w:ascii="Times New Roman" w:hAnsi="Times New Roman" w:eastAsia="仿宋_GB2312" w:cs="Times New Roman"/>
          <w:color w:val="auto"/>
          <w:sz w:val="32"/>
          <w:szCs w:val="32"/>
          <w:highlight w:val="none"/>
          <w:u w:val="none"/>
          <w:shd w:val="clear" w:fill="FFFFFF"/>
          <w:lang w:val="en-US" w:eastAsia="zh-CN"/>
        </w:rPr>
        <w:t>拥有自营交易平台上年度网络商品销售额1亿元以上的企业和首次被认定为市级或以上的电子商务示范企业。</w:t>
      </w:r>
      <w:r>
        <w:rPr>
          <w:rFonts w:hint="default" w:ascii="Times New Roman" w:hAnsi="Times New Roman" w:eastAsia="楷体_GB2312" w:cs="Times New Roman"/>
          <w:color w:val="auto"/>
          <w:sz w:val="32"/>
          <w:szCs w:val="32"/>
          <w:highlight w:val="none"/>
          <w:u w:val="none"/>
          <w:shd w:val="clear" w:fill="FFFFFF"/>
          <w:lang w:val="en-US" w:eastAsia="zh-CN"/>
        </w:rPr>
        <w:t>（备注：</w:t>
      </w:r>
      <w:r>
        <w:rPr>
          <w:rFonts w:hint="default" w:ascii="Times New Roman" w:hAnsi="Times New Roman" w:eastAsia="楷体_GB2312" w:cs="Times New Roman"/>
          <w:color w:val="auto"/>
          <w:sz w:val="32"/>
          <w:szCs w:val="32"/>
          <w:highlight w:val="none"/>
        </w:rPr>
        <w:t>电子商务平台是指在电子商务中为交易双方或者多方提供网络经营场所、交易撮合、信息发布等服务，供交易双方或者多方独立开展交易活动的法人或者非法人组织</w:t>
      </w:r>
      <w:r>
        <w:rPr>
          <w:rFonts w:hint="default" w:ascii="Times New Roman" w:hAnsi="Times New Roman" w:eastAsia="楷体_GB2312" w:cs="Times New Roman"/>
          <w:color w:val="auto"/>
          <w:sz w:val="32"/>
          <w:szCs w:val="32"/>
          <w:highlight w:val="none"/>
          <w:u w:val="none"/>
          <w:shd w:val="clear" w:fill="FFFFFF"/>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2.支付方式：后支持</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3.扶持形式：奖补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4.资金额度：1-100万元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bookmarkStart w:id="7" w:name="_GoBack"/>
      <w:bookmarkEnd w:id="7"/>
      <w:r>
        <w:rPr>
          <w:rFonts w:hint="default" w:ascii="Times New Roman" w:hAnsi="Times New Roman" w:eastAsia="仿宋_GB2312" w:cs="Times New Roman"/>
          <w:color w:val="auto"/>
          <w:sz w:val="32"/>
          <w:highlight w:val="none"/>
          <w:lang w:val="en-US" w:eastAsia="zh-CN"/>
        </w:rPr>
        <w:t>7.主管部门：广州市天河区商务和金融工作局</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8.联系方式：区商务金融局</w:t>
      </w:r>
      <w:r>
        <w:rPr>
          <w:rFonts w:hint="eastAsia" w:ascii="Times New Roman" w:hAnsi="Times New Roman" w:eastAsia="仿宋_GB2312" w:cs="Times New Roman"/>
          <w:color w:val="auto"/>
          <w:sz w:val="32"/>
          <w:highlight w:val="none"/>
          <w:lang w:val="en-US" w:eastAsia="zh-CN"/>
        </w:rPr>
        <w:t>企业服务</w:t>
      </w:r>
      <w:r>
        <w:rPr>
          <w:rFonts w:hint="default" w:ascii="Times New Roman" w:hAnsi="Times New Roman" w:eastAsia="仿宋_GB2312" w:cs="Times New Roman"/>
          <w:color w:val="auto"/>
          <w:sz w:val="32"/>
          <w:highlight w:val="none"/>
          <w:lang w:val="en-US" w:eastAsia="zh-CN"/>
        </w:rPr>
        <w:t>科，020-</w:t>
      </w:r>
      <w:bookmarkStart w:id="0" w:name="_Toc166952865"/>
      <w:bookmarkStart w:id="1" w:name="_Toc166951845"/>
      <w:bookmarkStart w:id="2" w:name="_Toc166952383"/>
      <w:bookmarkStart w:id="3" w:name="_Toc166954084"/>
      <w:bookmarkStart w:id="4" w:name="_Toc166951318"/>
      <w:bookmarkStart w:id="5" w:name="_Toc166952597"/>
      <w:r>
        <w:rPr>
          <w:rFonts w:hint="default" w:ascii="Times New Roman" w:hAnsi="Times New Roman" w:eastAsia="仿宋_GB2312" w:cs="Times New Roman"/>
          <w:color w:val="auto"/>
          <w:sz w:val="32"/>
          <w:highlight w:val="none"/>
          <w:lang w:val="en-US" w:eastAsia="zh-CN"/>
        </w:rPr>
        <w:t>3862</w:t>
      </w:r>
      <w:bookmarkEnd w:id="0"/>
      <w:bookmarkEnd w:id="1"/>
      <w:bookmarkEnd w:id="2"/>
      <w:bookmarkEnd w:id="3"/>
      <w:bookmarkEnd w:id="4"/>
      <w:bookmarkEnd w:id="5"/>
      <w:r>
        <w:rPr>
          <w:rFonts w:hint="eastAsia" w:ascii="Times New Roman" w:hAnsi="Times New Roman" w:eastAsia="仿宋_GB2312" w:cs="Times New Roman"/>
          <w:color w:val="auto"/>
          <w:sz w:val="32"/>
          <w:highlight w:val="none"/>
          <w:lang w:val="en-US" w:eastAsia="zh-CN"/>
        </w:rPr>
        <w:t>2874</w:t>
      </w:r>
    </w:p>
    <w:p>
      <w:pPr>
        <w:pStyle w:val="11"/>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highlight w:val="none"/>
          <w:lang w:val="en-US" w:eastAsia="zh-CN"/>
        </w:rPr>
        <w:t>9.项目描述：</w:t>
      </w:r>
      <w:r>
        <w:rPr>
          <w:rFonts w:hint="eastAsia" w:ascii="Times New Roman" w:hAnsi="Times New Roman" w:eastAsia="仿宋_GB2312" w:cs="Times New Roman"/>
          <w:color w:val="auto"/>
          <w:sz w:val="32"/>
          <w:highlight w:val="none"/>
          <w:lang w:val="en-US" w:eastAsia="zh-CN"/>
        </w:rPr>
        <w:t>（1）</w:t>
      </w:r>
      <w:r>
        <w:rPr>
          <w:rFonts w:hint="default" w:ascii="Times New Roman" w:hAnsi="Times New Roman" w:eastAsia="仿宋_GB2312" w:cs="Times New Roman"/>
          <w:color w:val="auto"/>
          <w:sz w:val="32"/>
          <w:szCs w:val="32"/>
          <w:highlight w:val="none"/>
        </w:rPr>
        <w:t>对上年度对拥有自营交易平台上年度网络商品销售额1亿元以上的企业，按1亿元支持1万元的标准，给予最高不超过100万元的奖励</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拥有自营交易平台的企业以取得互联网信息服务增值电信业务经营许可证并开通运营独立的电子商务平台为准，不同于借助第三方电商平台开展业务的电商企业。</w:t>
      </w:r>
    </w:p>
    <w:p>
      <w:pPr>
        <w:pStyle w:val="11"/>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对首次被认定为市级或以上的电子商务示范企业，给予一次性10万元奖励。电子商务示范企业以政府部门出具的认定示范企业的文件为准。</w:t>
      </w:r>
    </w:p>
    <w:p>
      <w:pPr>
        <w:pStyle w:val="11"/>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color w:val="auto"/>
          <w:sz w:val="32"/>
          <w:szCs w:val="32"/>
          <w:highlight w:val="none"/>
        </w:rPr>
        <w:t>以上两点奖励从高不重复。</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三、申报条件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（一）申请专项资金</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的单位，原则上必须满足以下基本条件：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1. 在天河辖区内登记注册、具有独立法人资格；</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 拥有自营交易平台上年度网络商品销售额1亿元以上的企业和首次被认定为市级或以上的电子商务示范企业；</w:t>
      </w:r>
      <w:r>
        <w:rPr>
          <w:rFonts w:hint="default" w:ascii="Times New Roman" w:hAnsi="Times New Roman" w:eastAsia="仿宋_GB2312" w:cs="Times New Roman"/>
          <w:color w:val="auto"/>
          <w:sz w:val="32"/>
          <w:szCs w:val="32"/>
          <w:highlight w:val="none"/>
        </w:rPr>
        <w:t>拥有自营交易平台的企业以取得互联网信息服务增值电信业务经营许可证并开通运营独立的电子商务平台为准，不同于借助第三方电商平台开展业务的电商企业</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电子商务示范企业以政府部门出具的认定示范企业的文件为准</w:t>
      </w:r>
      <w:r>
        <w:rPr>
          <w:rFonts w:hint="default" w:ascii="Times New Roman" w:hAnsi="Times New Roman" w:eastAsia="仿宋_GB2312" w:cs="Times New Roman"/>
          <w:color w:val="auto"/>
          <w:sz w:val="32"/>
          <w:szCs w:val="32"/>
          <w:highlight w:val="none"/>
          <w:lang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 xml:space="preserve">3. </w:t>
      </w:r>
      <w:r>
        <w:rPr>
          <w:rFonts w:hint="eastAsia" w:ascii="Times New Roman" w:hAnsi="Times New Roman" w:eastAsia="仿宋_GB2312" w:cs="Times New Roman"/>
          <w:color w:val="auto"/>
          <w:kern w:val="0"/>
          <w:sz w:val="32"/>
          <w:szCs w:val="32"/>
          <w:highlight w:val="none"/>
          <w:lang w:val="en-US" w:eastAsia="zh-CN"/>
        </w:rPr>
        <w:t>本项资金支持的企业要求统计关系及税务关系在天河区，履行统计数据申报义务、守法经营、诚实守信、有规范健全的财务制度，履行安全生产责任，并对申请材料内容真实性、准确性和完整性负责；</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lang w:val="en-US" w:eastAsia="zh-CN"/>
        </w:rPr>
        <w:t>. 应积极配合区委、区政府相关工作。</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（二）有下列情况之一的，本项资金不予</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1.</w:t>
      </w:r>
      <w:r>
        <w:rPr>
          <w:rFonts w:hint="eastAsia" w:ascii="Times New Roman" w:hAnsi="Times New Roman" w:eastAsia="仿宋_GB2312" w:cs="Times New Roman"/>
          <w:color w:val="auto"/>
          <w:kern w:val="0"/>
          <w:sz w:val="32"/>
          <w:szCs w:val="32"/>
          <w:highlight w:val="none"/>
          <w:lang w:val="en-US" w:eastAsia="zh-CN"/>
        </w:rPr>
        <w:t>未在天河区依法注册、依法纳统、依法纳税，或者</w:t>
      </w:r>
      <w:r>
        <w:rPr>
          <w:rFonts w:hint="default" w:ascii="Times New Roman" w:hAnsi="Times New Roman" w:eastAsia="仿宋_GB2312" w:cs="Times New Roman"/>
          <w:color w:val="auto"/>
          <w:kern w:val="0"/>
          <w:sz w:val="32"/>
          <w:szCs w:val="32"/>
          <w:highlight w:val="none"/>
          <w:lang w:val="en-US" w:eastAsia="zh-CN"/>
        </w:rPr>
        <w:t>提出</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val="en-US" w:eastAsia="zh-CN"/>
        </w:rPr>
        <w:t>等</w:t>
      </w:r>
      <w:r>
        <w:rPr>
          <w:rFonts w:hint="default" w:ascii="Times New Roman" w:hAnsi="Times New Roman" w:eastAsia="仿宋_GB2312" w:cs="Times New Roman"/>
          <w:color w:val="auto"/>
          <w:kern w:val="0"/>
          <w:sz w:val="32"/>
          <w:szCs w:val="32"/>
          <w:highlight w:val="none"/>
          <w:lang w:val="en-US" w:eastAsia="zh-CN"/>
        </w:rPr>
        <w:t>相关数据的</w:t>
      </w:r>
      <w:r>
        <w:rPr>
          <w:rFonts w:hint="eastAsia" w:ascii="Times New Roman" w:hAnsi="Times New Roman" w:eastAsia="仿宋_GB2312"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2.申报材料有弄虚作假情况的；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3.获支持年度在广州市公共信用信息管理系统平台上有处罚、失信行为、被公安机关查处、正在立案阶段、涉及传销、非法集资等企业；</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lang w:val="en-US" w:eastAsia="zh-CN"/>
        </w:rPr>
        <w:t>.就同一事项已获得天河区政府“一企一策”政策扶持的</w:t>
      </w:r>
      <w:r>
        <w:rPr>
          <w:rFonts w:hint="eastAsia" w:ascii="Times New Roman" w:hAnsi="Times New Roman" w:eastAsia="仿宋_GB2312" w:cs="Times New Roman"/>
          <w:color w:val="auto"/>
          <w:kern w:val="0"/>
          <w:sz w:val="32"/>
          <w:szCs w:val="32"/>
          <w:highlight w:val="none"/>
          <w:lang w:val="en-US" w:eastAsia="zh-CN"/>
        </w:rPr>
        <w:t>（协议中注明可享受本区普惠性政策的除外）。</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四、办理流程</w:t>
      </w:r>
      <w:r>
        <w:rPr>
          <w:rFonts w:hint="eastAsia" w:ascii="Times New Roman" w:hAnsi="Times New Roman" w:eastAsia="黑体" w:cs="Times New Roman"/>
          <w:color w:val="auto"/>
          <w:sz w:val="32"/>
          <w:highlight w:val="none"/>
          <w:lang w:val="en-US" w:eastAsia="zh-CN"/>
        </w:rPr>
        <w:t>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eastAsiaTheme="minorEastAsia"/>
          <w:color w:val="auto"/>
          <w:highlight w:val="none"/>
          <w:lang w:eastAsia="zh-CN"/>
        </w:rPr>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eastAsiaTheme="minorEastAsia"/>
          <w:color w:val="auto"/>
          <w:highlight w:val="none"/>
          <w:lang w:eastAsia="zh-CN"/>
        </w:rPr>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r>
        <w:rPr>
          <w:color w:val="auto"/>
          <w:highlight w:val="none"/>
        </w:rPr>
        <w:drawing>
          <wp:inline distT="0" distB="0" distL="114300" distR="114300">
            <wp:extent cx="5775960" cy="8496935"/>
            <wp:effectExtent l="0" t="0" r="1524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775960" cy="84969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五、申报材料</w:t>
      </w:r>
    </w:p>
    <w:tbl>
      <w:tblPr>
        <w:tblStyle w:val="8"/>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3322"/>
        <w:gridCol w:w="2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序号</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材料名称</w:t>
            </w:r>
          </w:p>
        </w:tc>
        <w:tc>
          <w:tcPr>
            <w:tcW w:w="33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材料描述</w:t>
            </w:r>
          </w:p>
        </w:tc>
        <w:tc>
          <w:tcPr>
            <w:tcW w:w="23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1</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《项目申请书》</w:t>
            </w:r>
          </w:p>
        </w:tc>
        <w:tc>
          <w:tcPr>
            <w:tcW w:w="33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原件1份，企业法人签字并加盖企业公章。</w:t>
            </w:r>
          </w:p>
        </w:tc>
        <w:tc>
          <w:tcPr>
            <w:tcW w:w="23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2</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企业证照</w:t>
            </w:r>
          </w:p>
        </w:tc>
        <w:tc>
          <w:tcPr>
            <w:tcW w:w="33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复印件1份，申请单位为企业法人的，提交营业执照（副本），加盖企业公章。</w:t>
            </w:r>
          </w:p>
        </w:tc>
        <w:tc>
          <w:tcPr>
            <w:tcW w:w="23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3</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企业</w:t>
            </w:r>
            <w:r>
              <w:rPr>
                <w:rFonts w:hint="eastAsia" w:ascii="仿宋_GB2312" w:hAnsi="仿宋_GB2312" w:eastAsia="仿宋_GB2312" w:cs="仿宋_GB2312"/>
                <w:color w:val="auto"/>
                <w:sz w:val="28"/>
                <w:szCs w:val="28"/>
                <w:highlight w:val="none"/>
              </w:rPr>
              <w:t>经营情况</w:t>
            </w:r>
            <w:r>
              <w:rPr>
                <w:rFonts w:hint="eastAsia" w:ascii="仿宋_GB2312" w:hAnsi="仿宋_GB2312" w:eastAsia="仿宋_GB2312" w:cs="仿宋_GB2312"/>
                <w:color w:val="auto"/>
                <w:sz w:val="28"/>
                <w:szCs w:val="28"/>
                <w:highlight w:val="none"/>
                <w:lang w:eastAsia="zh-CN"/>
              </w:rPr>
              <w:t>表</w:t>
            </w:r>
          </w:p>
        </w:tc>
        <w:tc>
          <w:tcPr>
            <w:tcW w:w="33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原件1份，公司上一年度</w:t>
            </w:r>
            <w:r>
              <w:rPr>
                <w:rFonts w:hint="eastAsia" w:ascii="仿宋_GB2312" w:hAnsi="仿宋_GB2312" w:eastAsia="仿宋_GB2312" w:cs="仿宋_GB2312"/>
                <w:color w:val="auto"/>
                <w:sz w:val="28"/>
                <w:szCs w:val="28"/>
                <w:highlight w:val="none"/>
              </w:rPr>
              <w:t>经营情况</w:t>
            </w:r>
            <w:r>
              <w:rPr>
                <w:rFonts w:hint="eastAsia" w:ascii="仿宋_GB2312" w:hAnsi="仿宋_GB2312" w:eastAsia="仿宋_GB2312" w:cs="仿宋_GB2312"/>
                <w:color w:val="auto"/>
                <w:sz w:val="28"/>
                <w:szCs w:val="28"/>
                <w:highlight w:val="none"/>
                <w:lang w:eastAsia="zh-CN"/>
              </w:rPr>
              <w:t>表（已上报统计部门的年度报表）</w:t>
            </w:r>
            <w:r>
              <w:rPr>
                <w:rFonts w:hint="eastAsia" w:ascii="仿宋_GB2312" w:hAnsi="仿宋_GB2312" w:eastAsia="仿宋_GB2312" w:cs="仿宋_GB2312"/>
                <w:color w:val="auto"/>
                <w:sz w:val="28"/>
                <w:szCs w:val="28"/>
                <w:highlight w:val="none"/>
                <w:lang w:val="en-US" w:eastAsia="zh-CN"/>
              </w:rPr>
              <w:t>，加盖企业公章。</w:t>
            </w:r>
          </w:p>
        </w:tc>
        <w:tc>
          <w:tcPr>
            <w:tcW w:w="23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仅申请拥有自营交易平台上年度网络商品销售额1亿元以上奖励企业提交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2"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4</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互联网信息服务增值电信业务经营许可证</w:t>
            </w:r>
          </w:p>
        </w:tc>
        <w:tc>
          <w:tcPr>
            <w:tcW w:w="33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复印件1份，加盖企业公章。</w:t>
            </w:r>
          </w:p>
        </w:tc>
        <w:tc>
          <w:tcPr>
            <w:tcW w:w="23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仅申请拥有自营交易平台上年度网络商品销售额1亿元以上奖励企业提交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5</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政府部门出具的认定示范企业的文件</w:t>
            </w:r>
          </w:p>
        </w:tc>
        <w:tc>
          <w:tcPr>
            <w:tcW w:w="33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红头文件复印件1份，加盖企业工章。</w:t>
            </w:r>
          </w:p>
        </w:tc>
        <w:tc>
          <w:tcPr>
            <w:tcW w:w="23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仅申请首次被认定为市级或以上的电子商务示范企业提交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以上材料按照要求在线填写或采用附件形式（彩色扫描）在线提交。</w:t>
            </w:r>
            <w:r>
              <w:rPr>
                <w:rFonts w:hint="eastAsia" w:ascii="仿宋_GB2312" w:hAnsi="仿宋_GB2312" w:eastAsia="仿宋_GB2312" w:cs="仿宋_GB2312"/>
                <w:color w:val="auto"/>
                <w:sz w:val="28"/>
                <w:szCs w:val="28"/>
                <w:highlight w:val="none"/>
              </w:rPr>
              <w:t>接到递交纸质材料通知后将上述材料按顺序装订，一式一份，A4纸正反面打印/复印，非空白页（含封面）需连续编写页码，装订成册（胶装），加盖骑缝章后提交。</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六、办事窗口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仅支持</w:t>
      </w:r>
      <w:bookmarkStart w:id="6" w:name="OLE_LINK2"/>
      <w:r>
        <w:rPr>
          <w:rFonts w:hint="default" w:ascii="Times New Roman" w:hAnsi="Times New Roman" w:eastAsia="仿宋_GB2312" w:cs="Times New Roman"/>
          <w:color w:val="auto"/>
          <w:sz w:val="32"/>
          <w:highlight w:val="none"/>
          <w:lang w:val="en-US" w:eastAsia="zh-CN"/>
        </w:rPr>
        <w:t>全流程网上办理</w:t>
      </w:r>
      <w:bookmarkEnd w:id="6"/>
      <w:r>
        <w:rPr>
          <w:rFonts w:hint="eastAsia" w:ascii="Times New Roman" w:hAnsi="Times New Roman" w:eastAsia="仿宋_GB2312" w:cs="Times New Roman"/>
          <w:color w:val="auto"/>
          <w:sz w:val="32"/>
          <w:highlight w:val="none"/>
          <w:lang w:val="en-US" w:eastAsia="zh-CN"/>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b w:val="0"/>
          <w:bCs w:val="0"/>
          <w:color w:val="auto"/>
          <w:sz w:val="32"/>
          <w:highlight w:val="none"/>
          <w:lang w:eastAsia="zh-CN"/>
        </w:rPr>
        <w:t>（联系电话：</w:t>
      </w:r>
      <w:r>
        <w:rPr>
          <w:rFonts w:hint="eastAsia" w:ascii="Times New Roman" w:hAnsi="Times New Roman" w:eastAsia="仿宋_GB2312" w:cs="Times New Roman"/>
          <w:b w:val="0"/>
          <w:bCs w:val="0"/>
          <w:color w:val="auto"/>
          <w:sz w:val="32"/>
          <w:highlight w:val="none"/>
          <w:lang w:val="en-US" w:eastAsia="zh-CN"/>
        </w:rPr>
        <w:t>38622874，地址：天河区天府路1号2号楼615室，邮编：510000</w:t>
      </w:r>
      <w:r>
        <w:rPr>
          <w:rFonts w:hint="eastAsia" w:ascii="Times New Roman" w:hAnsi="Times New Roman" w:eastAsia="仿宋_GB2312" w:cs="Times New Roman"/>
          <w:b w:val="0"/>
          <w:bCs w:val="0"/>
          <w:color w:val="auto"/>
          <w:sz w:val="32"/>
          <w:highlight w:val="none"/>
          <w:lang w:eastAsia="zh-CN"/>
        </w:rPr>
        <w:t>）</w:t>
      </w:r>
      <w:r>
        <w:rPr>
          <w:rFonts w:hint="default" w:ascii="Times New Roman" w:hAnsi="Times New Roman" w:eastAsia="仿宋_GB2312" w:cs="Times New Roman"/>
          <w:b w:val="0"/>
          <w:bCs w:val="0"/>
          <w:color w:val="auto"/>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七、政策依据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color w:val="auto"/>
          <w:sz w:val="32"/>
          <w:highlight w:val="none"/>
          <w:lang w:val="en-US" w:eastAsia="zh-CN"/>
        </w:rPr>
      </w:pPr>
      <w:r>
        <w:rPr>
          <w:rFonts w:hint="default" w:ascii="Times New Roman" w:hAnsi="Times New Roman" w:eastAsia="仿宋_GB2312" w:cs="Times New Roman"/>
          <w:b w:val="0"/>
          <w:bCs w:val="0"/>
          <w:color w:val="auto"/>
          <w:sz w:val="32"/>
          <w:highlight w:val="none"/>
          <w:lang w:val="en-US" w:eastAsia="zh-CN"/>
        </w:rPr>
        <w:t xml:space="preserve">《广州市天河区人民政府关于印发天河区推动经济高质量发展若干政策意见的通知》（穗天府规〔2020〕3号） </w:t>
      </w:r>
      <w:r>
        <w:rPr>
          <w:rFonts w:hint="eastAsia" w:ascii="Times New Roman" w:hAnsi="Times New Roman" w:eastAsia="仿宋_GB2312" w:cs="Times New Roman"/>
          <w:b w:val="0"/>
          <w:bCs w:val="0"/>
          <w:color w:val="auto"/>
          <w:sz w:val="32"/>
          <w:highlight w:val="none"/>
          <w:lang w:val="en-US" w:eastAsia="zh-CN"/>
        </w:rPr>
        <w:t>第三条</w:t>
      </w:r>
      <w:r>
        <w:rPr>
          <w:rFonts w:hint="default" w:ascii="Times New Roman" w:hAnsi="Times New Roman" w:eastAsia="仿宋_GB2312" w:cs="Times New Roman"/>
          <w:b w:val="0"/>
          <w:bCs w:val="0"/>
          <w:color w:val="auto"/>
          <w:sz w:val="32"/>
          <w:highlight w:val="none"/>
          <w:lang w:val="en-US" w:eastAsia="zh-CN"/>
        </w:rPr>
        <w:t>【大力支持现代商贸业发展】第</w:t>
      </w:r>
      <w:r>
        <w:rPr>
          <w:rFonts w:hint="eastAsia" w:ascii="Times New Roman" w:hAnsi="Times New Roman" w:eastAsia="仿宋_GB2312" w:cs="Times New Roman"/>
          <w:b w:val="0"/>
          <w:bCs w:val="0"/>
          <w:color w:val="auto"/>
          <w:sz w:val="32"/>
          <w:highlight w:val="none"/>
          <w:lang w:val="en-US" w:eastAsia="zh-CN"/>
        </w:rPr>
        <w:t>16</w:t>
      </w:r>
      <w:r>
        <w:rPr>
          <w:rFonts w:hint="default" w:ascii="Times New Roman" w:hAnsi="Times New Roman" w:eastAsia="仿宋_GB2312" w:cs="Times New Roman"/>
          <w:b w:val="0"/>
          <w:bCs w:val="0"/>
          <w:color w:val="auto"/>
          <w:sz w:val="32"/>
          <w:highlight w:val="none"/>
          <w:lang w:val="en-US" w:eastAsia="zh-CN"/>
        </w:rPr>
        <w:t>项 支持商贸业新业态发展</w:t>
      </w:r>
      <w:r>
        <w:rPr>
          <w:rFonts w:hint="eastAsia" w:ascii="Times New Roman" w:hAnsi="Times New Roman" w:eastAsia="仿宋_GB2312" w:cs="Times New Roman"/>
          <w:b w:val="0"/>
          <w:bCs w:val="0"/>
          <w:color w:val="auto"/>
          <w:sz w:val="32"/>
          <w:highlight w:val="none"/>
          <w:lang w:val="en-US" w:eastAsia="zh-CN"/>
        </w:rPr>
        <w:t>（1）电子商务发展奖励。对拥有自营交易平台上年度网络商品销售额1亿元以上的企业，按1亿元支持1万元的标准，给予最高100万元的奖励。对首次被认定为市级或以上的电子商务示范企业，给予10万元奖励。本条款两项奖励从高不重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i w:val="0"/>
          <w:caps w:val="0"/>
          <w:color w:val="auto"/>
          <w:spacing w:val="0"/>
          <w:sz w:val="32"/>
          <w:szCs w:val="32"/>
          <w:highlight w:val="none"/>
          <w:shd w:val="clear" w:fill="FFFFFF"/>
        </w:rPr>
      </w:pPr>
      <w:r>
        <w:rPr>
          <w:rFonts w:hint="eastAsia" w:ascii="楷体" w:hAnsi="楷体" w:eastAsia="楷体" w:cs="楷体"/>
          <w:i w:val="0"/>
          <w:caps w:val="0"/>
          <w:color w:val="auto"/>
          <w:spacing w:val="0"/>
          <w:sz w:val="32"/>
          <w:szCs w:val="32"/>
          <w:highlight w:val="none"/>
          <w:shd w:val="clear" w:fill="FFFFFF"/>
          <w:lang w:eastAsia="zh-CN"/>
        </w:rPr>
        <w:t>上述政策</w:t>
      </w:r>
      <w:r>
        <w:rPr>
          <w:rFonts w:hint="eastAsia" w:ascii="楷体" w:hAnsi="楷体" w:eastAsia="楷体" w:cs="楷体"/>
          <w:i w:val="0"/>
          <w:caps w:val="0"/>
          <w:color w:val="auto"/>
          <w:spacing w:val="0"/>
          <w:sz w:val="32"/>
          <w:szCs w:val="32"/>
          <w:highlight w:val="none"/>
          <w:shd w:val="clear" w:fill="FFFFFF"/>
        </w:rPr>
        <w:t>提到的货币单位如未注明的均以人民币计算，涉及 “以上”“最高”“不超过”的数额，均包含本数。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八、常见问题说明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在项目申报或审核过程中，如区商务金融局认为需提供相关佐证材料，</w:t>
      </w:r>
      <w:r>
        <w:rPr>
          <w:rFonts w:hint="default" w:ascii="Times New Roman" w:hAnsi="Times New Roman" w:eastAsia="仿宋_GB2312" w:cs="Times New Roman"/>
          <w:color w:val="auto"/>
          <w:sz w:val="32"/>
          <w:szCs w:val="32"/>
          <w:highlight w:val="none"/>
          <w:lang w:val="en-US" w:eastAsia="zh-CN"/>
        </w:rPr>
        <w:t>申请本项目的企业</w:t>
      </w:r>
      <w:r>
        <w:rPr>
          <w:rFonts w:hint="eastAsia" w:ascii="Times New Roman" w:hAnsi="Times New Roman" w:eastAsia="仿宋_GB2312" w:cs="Times New Roman"/>
          <w:color w:val="auto"/>
          <w:sz w:val="32"/>
          <w:szCs w:val="32"/>
          <w:highlight w:val="none"/>
          <w:lang w:val="en-US" w:eastAsia="zh-CN"/>
        </w:rPr>
        <w:t>应积极配合提供，并</w:t>
      </w:r>
      <w:r>
        <w:rPr>
          <w:rFonts w:hint="default" w:ascii="Times New Roman" w:hAnsi="Times New Roman" w:eastAsia="仿宋_GB2312" w:cs="Times New Roman"/>
          <w:color w:val="auto"/>
          <w:sz w:val="32"/>
          <w:szCs w:val="32"/>
          <w:highlight w:val="none"/>
          <w:lang w:val="en-US" w:eastAsia="zh-CN"/>
        </w:rPr>
        <w:t>保证其申报材料的完整性、真实性、准确性及合法性，</w:t>
      </w:r>
      <w:r>
        <w:rPr>
          <w:rFonts w:hint="eastAsia" w:ascii="Times New Roman" w:hAnsi="Times New Roman" w:eastAsia="仿宋_GB2312" w:cs="Times New Roman"/>
          <w:color w:val="auto"/>
          <w:sz w:val="32"/>
          <w:szCs w:val="32"/>
          <w:highlight w:val="none"/>
          <w:lang w:val="en-US" w:eastAsia="zh-CN"/>
        </w:rPr>
        <w:t>且</w:t>
      </w:r>
      <w:r>
        <w:rPr>
          <w:rFonts w:hint="default" w:ascii="Times New Roman" w:hAnsi="Times New Roman" w:eastAsia="仿宋_GB2312" w:cs="Times New Roman"/>
          <w:color w:val="auto"/>
          <w:sz w:val="32"/>
          <w:szCs w:val="32"/>
          <w:highlight w:val="none"/>
          <w:lang w:val="en-US" w:eastAsia="zh-CN"/>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lang w:val="en-US" w:eastAsia="zh-CN"/>
        </w:rPr>
        <w:t>区商务金融局</w:t>
      </w:r>
      <w:r>
        <w:rPr>
          <w:rFonts w:hint="default" w:ascii="Times New Roman" w:hAnsi="Times New Roman" w:eastAsia="仿宋_GB2312" w:cs="Times New Roman"/>
          <w:color w:val="auto"/>
          <w:sz w:val="32"/>
          <w:szCs w:val="32"/>
          <w:highlight w:val="none"/>
          <w:lang w:val="en-US" w:eastAsia="zh-CN"/>
        </w:rPr>
        <w:t>将保留依法追究其法律责任的权利。申请本项目</w:t>
      </w:r>
      <w:r>
        <w:rPr>
          <w:rFonts w:hint="eastAsia" w:ascii="Times New Roman" w:hAnsi="Times New Roman" w:eastAsia="仿宋_GB2312" w:cs="Times New Roman"/>
          <w:color w:val="auto"/>
          <w:sz w:val="32"/>
          <w:szCs w:val="32"/>
          <w:highlight w:val="none"/>
          <w:lang w:val="en-US" w:eastAsia="zh-CN"/>
        </w:rPr>
        <w:t>的企业在享受扶持后，应承诺五年内不将注册登记地址迁出天河区，不改变在天河区原有的纳税纳统义务。如有违反应全额退回已获得的扶持资金。</w:t>
      </w:r>
    </w:p>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02ACF"/>
    <w:rsid w:val="03A024E2"/>
    <w:rsid w:val="0501337E"/>
    <w:rsid w:val="055F0625"/>
    <w:rsid w:val="06FF227F"/>
    <w:rsid w:val="07D34B7C"/>
    <w:rsid w:val="08F10E08"/>
    <w:rsid w:val="09614E6A"/>
    <w:rsid w:val="0A045A2E"/>
    <w:rsid w:val="0A421AC8"/>
    <w:rsid w:val="0B375949"/>
    <w:rsid w:val="0F03090E"/>
    <w:rsid w:val="0F3E20B0"/>
    <w:rsid w:val="1093518E"/>
    <w:rsid w:val="11132DDE"/>
    <w:rsid w:val="111D4088"/>
    <w:rsid w:val="111E4A8F"/>
    <w:rsid w:val="137C675F"/>
    <w:rsid w:val="14F01798"/>
    <w:rsid w:val="15560308"/>
    <w:rsid w:val="15F46AC7"/>
    <w:rsid w:val="16873C39"/>
    <w:rsid w:val="176B67D4"/>
    <w:rsid w:val="18F7702B"/>
    <w:rsid w:val="1A1C78BC"/>
    <w:rsid w:val="1A44130C"/>
    <w:rsid w:val="1A9838E5"/>
    <w:rsid w:val="1B5F759B"/>
    <w:rsid w:val="1B8C51DD"/>
    <w:rsid w:val="1BCF002B"/>
    <w:rsid w:val="1C286255"/>
    <w:rsid w:val="1C30609D"/>
    <w:rsid w:val="1DC87073"/>
    <w:rsid w:val="1DFB455C"/>
    <w:rsid w:val="1EAE60A3"/>
    <w:rsid w:val="1EF94490"/>
    <w:rsid w:val="1F0C2CA5"/>
    <w:rsid w:val="1F3271D4"/>
    <w:rsid w:val="1F696895"/>
    <w:rsid w:val="204B5F3D"/>
    <w:rsid w:val="21DF3BA6"/>
    <w:rsid w:val="23402B49"/>
    <w:rsid w:val="2425430C"/>
    <w:rsid w:val="245603A3"/>
    <w:rsid w:val="25C31E92"/>
    <w:rsid w:val="29CC6595"/>
    <w:rsid w:val="29E2630A"/>
    <w:rsid w:val="2A7C57CB"/>
    <w:rsid w:val="2AE75646"/>
    <w:rsid w:val="2B7D759B"/>
    <w:rsid w:val="2BEC5B1F"/>
    <w:rsid w:val="2D3835D9"/>
    <w:rsid w:val="2D8A1F5A"/>
    <w:rsid w:val="2E21712D"/>
    <w:rsid w:val="2E3A0C2C"/>
    <w:rsid w:val="2E96456F"/>
    <w:rsid w:val="2EF125E6"/>
    <w:rsid w:val="2FBD17E0"/>
    <w:rsid w:val="30963AFE"/>
    <w:rsid w:val="325B0AB7"/>
    <w:rsid w:val="328C52E9"/>
    <w:rsid w:val="33885662"/>
    <w:rsid w:val="349168AE"/>
    <w:rsid w:val="36013B91"/>
    <w:rsid w:val="3841792A"/>
    <w:rsid w:val="39447492"/>
    <w:rsid w:val="3A9F451F"/>
    <w:rsid w:val="3C174D48"/>
    <w:rsid w:val="3D5F4E94"/>
    <w:rsid w:val="3E40782A"/>
    <w:rsid w:val="3E5F27F5"/>
    <w:rsid w:val="40986489"/>
    <w:rsid w:val="474073BF"/>
    <w:rsid w:val="498D6104"/>
    <w:rsid w:val="4A8F5B44"/>
    <w:rsid w:val="4A983EC8"/>
    <w:rsid w:val="4B72356E"/>
    <w:rsid w:val="4B8469F6"/>
    <w:rsid w:val="4CE5757A"/>
    <w:rsid w:val="4D8D1385"/>
    <w:rsid w:val="4E931B8C"/>
    <w:rsid w:val="4FF4136F"/>
    <w:rsid w:val="50FC5B98"/>
    <w:rsid w:val="53371E22"/>
    <w:rsid w:val="536B2602"/>
    <w:rsid w:val="53E70943"/>
    <w:rsid w:val="552A5E00"/>
    <w:rsid w:val="563D2780"/>
    <w:rsid w:val="57F41FB2"/>
    <w:rsid w:val="58B812B9"/>
    <w:rsid w:val="59FF70F7"/>
    <w:rsid w:val="5AF77728"/>
    <w:rsid w:val="5B791318"/>
    <w:rsid w:val="60234D91"/>
    <w:rsid w:val="616126EA"/>
    <w:rsid w:val="61AB4F8F"/>
    <w:rsid w:val="641966AA"/>
    <w:rsid w:val="65B464FE"/>
    <w:rsid w:val="67C100DA"/>
    <w:rsid w:val="690350E8"/>
    <w:rsid w:val="6A9C095F"/>
    <w:rsid w:val="6AAD3D02"/>
    <w:rsid w:val="6B1C4331"/>
    <w:rsid w:val="6BC44623"/>
    <w:rsid w:val="6BE16598"/>
    <w:rsid w:val="6CE42953"/>
    <w:rsid w:val="6CE84683"/>
    <w:rsid w:val="6DB70C2C"/>
    <w:rsid w:val="6E2E1B98"/>
    <w:rsid w:val="6EC7748E"/>
    <w:rsid w:val="6F14109B"/>
    <w:rsid w:val="6FD4538A"/>
    <w:rsid w:val="722A6D68"/>
    <w:rsid w:val="77A5246D"/>
    <w:rsid w:val="79837DA2"/>
    <w:rsid w:val="7A2D68B0"/>
    <w:rsid w:val="7AC77248"/>
    <w:rsid w:val="7B8A1F4C"/>
    <w:rsid w:val="7C101B02"/>
    <w:rsid w:val="7C855097"/>
    <w:rsid w:val="7E2847C3"/>
    <w:rsid w:val="7EB713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6">
    <w:name w:val="Body Text First Indent"/>
    <w:basedOn w:val="1"/>
    <w:qFormat/>
    <w:uiPriority w:val="0"/>
    <w:pPr>
      <w:ind w:firstLine="200" w:firstLineChars="200"/>
    </w:pPr>
    <w:rPr>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2021-04-16T01:33:15Z</cp:lastPrinted>
  <dcterms:modified xsi:type="dcterms:W3CDTF">2021-04-16T01:33:17Z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