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pPr>
      <w:r>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t>天河区服务外包业绩奖励项目</w:t>
      </w:r>
    </w:p>
    <w:p>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pPr>
      <w:r>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t>天河区服务贸易额业绩奖励项目</w:t>
      </w:r>
    </w:p>
    <w:p>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pPr>
      <w:r>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t>办事指南</w:t>
      </w:r>
    </w:p>
    <w:p>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default" w:ascii="Times New Roman" w:hAnsi="Times New Roman" w:eastAsia="方正小标宋_GBK" w:cs="Times New Roman"/>
          <w:color w:val="000000" w:themeColor="text1"/>
          <w:sz w:val="44"/>
          <w:szCs w:val="44"/>
          <w:lang w:val="en-US" w:eastAsia="zh-CN"/>
          <w14:textFill>
            <w14:solidFill>
              <w14:schemeClr w14:val="tx1"/>
            </w14:solidFill>
          </w14:textFill>
        </w:rPr>
      </w:pP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eastAsia="zh-CN"/>
          <w14:textFill>
            <w14:solidFill>
              <w14:schemeClr w14:val="tx1"/>
            </w14:solidFill>
          </w14:textFill>
        </w:rPr>
      </w:pPr>
      <w:r>
        <w:rPr>
          <w:rFonts w:hint="default" w:ascii="Times New Roman" w:hAnsi="Times New Roman" w:eastAsia="黑体" w:cs="Times New Roman"/>
          <w:color w:val="000000" w:themeColor="text1"/>
          <w:sz w:val="32"/>
          <w:highlight w:val="none"/>
          <w:lang w:eastAsia="zh-CN"/>
          <w14:textFill>
            <w14:solidFill>
              <w14:schemeClr w14:val="tx1"/>
            </w14:solidFill>
          </w14:textFill>
        </w:rPr>
        <w:t>一、基本信息</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1.申报对象：</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在广州市天河区依法登记注册，从事服务外包、服务贸易业务的企事业单位、社会团体及其他相关单位。</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2.支付方式：后支持</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3.扶持形式：奖补</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4.资金额度：0.3-100万元</w:t>
      </w:r>
    </w:p>
    <w:p>
      <w:pPr>
        <w:keepNext w:val="0"/>
        <w:keepLines w:val="0"/>
        <w:pageBreakBefore w:val="0"/>
        <w:kinsoku/>
        <w:overflowPunct/>
        <w:topLinePunct w:val="0"/>
        <w:autoSpaceDE/>
        <w:autoSpaceDN/>
        <w:bidi w:val="0"/>
        <w:adjustRightInd/>
        <w:snapToGrid w:val="0"/>
        <w:spacing w:line="560" w:lineRule="exact"/>
        <w:ind w:firstLine="64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5.法定办结时限：申报截止后</w:t>
      </w:r>
      <w:r>
        <w:rPr>
          <w:rFonts w:hint="eastAsia" w:ascii="Times New Roman" w:hAnsi="Times New Roman" w:eastAsia="仿宋_GB2312" w:cs="Times New Roman"/>
          <w:color w:val="000000" w:themeColor="text1"/>
          <w:sz w:val="32"/>
          <w:highlight w:val="none"/>
          <w:lang w:val="en-US" w:eastAsia="zh-CN"/>
          <w14:textFill>
            <w14:solidFill>
              <w14:schemeClr w14:val="tx1"/>
            </w14:solidFill>
          </w14:textFill>
        </w:rPr>
        <w:t>40</w:t>
      </w: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个工作日</w:t>
      </w:r>
    </w:p>
    <w:p>
      <w:pPr>
        <w:keepNext w:val="0"/>
        <w:keepLines w:val="0"/>
        <w:pageBreakBefore w:val="0"/>
        <w:kinsoku/>
        <w:overflowPunct/>
        <w:topLinePunct w:val="0"/>
        <w:autoSpaceDE/>
        <w:autoSpaceDN/>
        <w:bidi w:val="0"/>
        <w:adjustRightInd/>
        <w:snapToGrid w:val="0"/>
        <w:spacing w:line="560" w:lineRule="exact"/>
        <w:ind w:firstLine="64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6.承诺办结时限：申报截止后</w:t>
      </w:r>
      <w:r>
        <w:rPr>
          <w:rFonts w:hint="eastAsia" w:ascii="Times New Roman" w:hAnsi="Times New Roman" w:eastAsia="仿宋_GB2312" w:cs="Times New Roman"/>
          <w:color w:val="000000" w:themeColor="text1"/>
          <w:sz w:val="32"/>
          <w:highlight w:val="none"/>
          <w:lang w:val="en-US" w:eastAsia="zh-CN"/>
          <w14:textFill>
            <w14:solidFill>
              <w14:schemeClr w14:val="tx1"/>
            </w14:solidFill>
          </w14:textFill>
        </w:rPr>
        <w:t>40</w:t>
      </w: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个工作日</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7.主管部门：广州市天河区商务和金融工作局</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8.联系方式：区商务金融局商务管理科，020-</w:t>
      </w:r>
      <w:bookmarkStart w:id="0" w:name="_Toc166952865"/>
      <w:bookmarkStart w:id="1" w:name="_Toc166951318"/>
      <w:bookmarkStart w:id="2" w:name="_Toc166952383"/>
      <w:bookmarkStart w:id="3" w:name="_Toc166951845"/>
      <w:bookmarkStart w:id="4" w:name="_Toc166954084"/>
      <w:bookmarkStart w:id="5" w:name="_Toc166952597"/>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3862</w:t>
      </w:r>
      <w:bookmarkEnd w:id="0"/>
      <w:bookmarkEnd w:id="1"/>
      <w:bookmarkEnd w:id="2"/>
      <w:bookmarkEnd w:id="3"/>
      <w:bookmarkEnd w:id="4"/>
      <w:bookmarkEnd w:id="5"/>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2695</w:t>
      </w:r>
    </w:p>
    <w:p>
      <w:pPr>
        <w:pStyle w:val="11"/>
        <w:keepNext w:val="0"/>
        <w:keepLines w:val="0"/>
        <w:pageBreakBefore w:val="0"/>
        <w:widowControl/>
        <w:kinsoku/>
        <w:wordWrap w:val="0"/>
        <w:overflowPunct/>
        <w:topLinePunct w:val="0"/>
        <w:autoSpaceDE/>
        <w:autoSpaceDN/>
        <w:bidi w:val="0"/>
        <w:adjustRightInd/>
        <w:snapToGrid w:val="0"/>
        <w:spacing w:line="560" w:lineRule="exact"/>
        <w:ind w:right="0" w:rightChars="0" w:firstLine="643"/>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9.项目描述：</w:t>
      </w:r>
    </w:p>
    <w:p>
      <w:pPr>
        <w:pStyle w:val="11"/>
        <w:keepNext w:val="0"/>
        <w:keepLines w:val="0"/>
        <w:pageBreakBefore w:val="0"/>
        <w:widowControl/>
        <w:kinsoku/>
        <w:wordWrap w:val="0"/>
        <w:overflowPunct/>
        <w:topLinePunct w:val="0"/>
        <w:autoSpaceDE/>
        <w:autoSpaceDN/>
        <w:bidi w:val="0"/>
        <w:adjustRightInd/>
        <w:snapToGrid w:val="0"/>
        <w:spacing w:line="560" w:lineRule="exact"/>
        <w:ind w:right="0" w:rightChars="0" w:firstLine="643"/>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（一）服务外包业绩奖励。</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对上年度服务外包离岸执行额1000万美元以上的企业（低于1亿美元的企业要求有正增长），按1美元支持0.3分人民币的标准，给予最高100万元的奖励。其中，对于天河科技园、天河软件园、天河高新区范围内，上年度服务外包离岸执行额500万美元以上的企业（低于1亿美元的企业要求有正增长），按1美元支持0.45分人民币的标准，给予最高100万元的奖励。</w:t>
      </w:r>
    </w:p>
    <w:p>
      <w:pPr>
        <w:pStyle w:val="11"/>
        <w:keepNext w:val="0"/>
        <w:keepLines w:val="0"/>
        <w:pageBreakBefore w:val="0"/>
        <w:widowControl/>
        <w:kinsoku/>
        <w:wordWrap w:val="0"/>
        <w:overflowPunct/>
        <w:topLinePunct w:val="0"/>
        <w:autoSpaceDE/>
        <w:autoSpaceDN/>
        <w:bidi w:val="0"/>
        <w:adjustRightInd/>
        <w:snapToGrid w:val="0"/>
        <w:spacing w:line="560" w:lineRule="exact"/>
        <w:ind w:right="0" w:rightChars="0" w:firstLine="643"/>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（二）服务贸易额业绩奖励。</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对上年度服务贸易额超100万美元的企业，按1美元支持0.3分人民币的标准，给予最高100万元的奖励。</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二、申报起止时间</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本项目每年组织一次申报，2021年申报起止时间为：2021年5月1日至2021年5月21日</w:t>
      </w:r>
      <w:r>
        <w:rPr>
          <w:rFonts w:hint="eastAsia" w:ascii="Times New Roman" w:hAnsi="Times New Roman" w:eastAsia="仿宋_GB2312" w:cs="Times New Roman"/>
          <w:color w:val="000000" w:themeColor="text1"/>
          <w:sz w:val="32"/>
          <w:highlight w:val="none"/>
          <w:lang w:val="en-US" w:eastAsia="zh-CN"/>
          <w14:textFill>
            <w14:solidFill>
              <w14:schemeClr w14:val="tx1"/>
            </w14:solidFill>
          </w14:textFill>
        </w:rPr>
        <w:t>。</w:t>
      </w:r>
      <w:bookmarkStart w:id="7" w:name="_GoBack"/>
      <w:bookmarkEnd w:id="7"/>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三、申报条件</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textAlignment w:val="auto"/>
        <w:outlineLvl w:val="9"/>
        <w:rPr>
          <w:rFonts w:hint="default" w:ascii="Times New Roman" w:hAnsi="Times New Roman" w:eastAsia="楷体"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楷体" w:cs="Times New Roman"/>
          <w:color w:val="000000" w:themeColor="text1"/>
          <w:kern w:val="0"/>
          <w:sz w:val="32"/>
          <w:szCs w:val="32"/>
          <w:highlight w:val="none"/>
          <w:lang w:val="en-US" w:eastAsia="zh-CN"/>
          <w14:textFill>
            <w14:solidFill>
              <w14:schemeClr w14:val="tx1"/>
            </w14:solidFill>
          </w14:textFill>
        </w:rPr>
        <w:t>（一）申请专项资金支持的单位，原则上必须满足以下基本条件：</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textAlignment w:val="auto"/>
        <w:outlineLvl w:val="9"/>
        <w:rPr>
          <w:rFonts w:hint="default" w:ascii="Times New Roman" w:hAnsi="Times New Roman" w:eastAsia="仿宋_GB2312" w:cs="Times New Roman"/>
          <w:color w:val="000000" w:themeColor="text1"/>
          <w:sz w:val="32"/>
          <w:szCs w:val="32"/>
          <w:highlight w:val="none"/>
          <w:u w:val="none"/>
          <w:shd w:val="clear" w:fill="FFFFFF"/>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shd w:val="clear" w:fill="FFFFFF"/>
          <w:lang w:eastAsia="zh-CN"/>
          <w14:textFill>
            <w14:solidFill>
              <w14:schemeClr w14:val="tx1"/>
            </w14:solidFill>
          </w14:textFill>
        </w:rPr>
        <w:t>1.在广州市天河区依法登记注册，从事服务贸易、服务外包业务的企事业单位、社会团体及其他相关单位。其中，从事服务外包业务的单位，要求</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上年度服务外包离岸执行额1000万美元以上</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，且</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低于1亿美元的企业要求有正增长</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天河科技园、天河软件园、天河高新区范围内</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的单位</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要求</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上年度服务外包离岸执行额500万美元以上</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，且</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低于1亿美元的企业要求有正增长）</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；从事服务贸易的单位，要求</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上年度服务贸易额超100万美元</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textAlignment w:val="auto"/>
        <w:outlineLvl w:val="9"/>
        <w:rPr>
          <w:rFonts w:hint="default" w:ascii="Times New Roman" w:hAnsi="Times New Roman" w:eastAsia="仿宋_GB2312" w:cs="Times New Roman"/>
          <w:color w:val="000000" w:themeColor="text1"/>
          <w:sz w:val="32"/>
          <w:szCs w:val="32"/>
          <w:highlight w:val="none"/>
          <w:u w:val="none"/>
          <w:shd w:val="clear" w:fill="FFFFFF"/>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shd w:val="clear" w:fill="FFFFFF"/>
          <w:lang w:eastAsia="zh-CN"/>
          <w14:textFill>
            <w14:solidFill>
              <w14:schemeClr w14:val="tx1"/>
            </w14:solidFill>
          </w14:textFill>
        </w:rPr>
        <w:t>2.根据申报业务类型，已在商务部业务系统统一平台的服务外包及软件出口信息管理应用系统（企业端）或服务贸易统计监测管理业务应用系统（企业端）中登统相应业务数据且纳入天河区统计。</w:t>
      </w:r>
    </w:p>
    <w:p>
      <w:pPr>
        <w:pStyle w:val="5"/>
        <w:keepNext w:val="0"/>
        <w:keepLines w:val="0"/>
        <w:pageBreakBefore w:val="0"/>
        <w:widowControl/>
        <w:numPr>
          <w:ilvl w:val="0"/>
          <w:numId w:val="0"/>
        </w:numPr>
        <w:suppressLineNumbers w:val="0"/>
        <w:kinsoku/>
        <w:wordWrap/>
        <w:overflowPunct/>
        <w:topLinePunct w:val="0"/>
        <w:autoSpaceDE/>
        <w:autoSpaceDN/>
        <w:bidi w:val="0"/>
        <w:adjustRightInd/>
        <w:spacing w:before="0" w:beforeAutospacing="0" w:after="0" w:afterAutospacing="0" w:line="560" w:lineRule="exact"/>
        <w:ind w:left="0" w:leftChars="0" w:right="0" w:rightChars="0" w:firstLine="640"/>
        <w:textAlignment w:val="auto"/>
        <w:outlineLvl w:val="9"/>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shd w:val="clear" w:fill="FFFFFF"/>
          <w:lang w:eastAsia="zh-CN"/>
          <w14:textFill>
            <w14:solidFill>
              <w14:schemeClr w14:val="tx1"/>
            </w14:solidFill>
          </w14:textFill>
        </w:rPr>
        <w:t>3.守法经营、诚实守信</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，履行安全生产责任</w:t>
      </w:r>
      <w:r>
        <w:rPr>
          <w:rFonts w:hint="default" w:ascii="Times New Roman" w:hAnsi="Times New Roman" w:eastAsia="仿宋_GB2312" w:cs="Times New Roman"/>
          <w:color w:val="000000" w:themeColor="text1"/>
          <w:sz w:val="32"/>
          <w:szCs w:val="32"/>
          <w:highlight w:val="none"/>
          <w:u w:val="none"/>
          <w:shd w:val="clear" w:fill="FFFFFF"/>
          <w:lang w:eastAsia="zh-CN"/>
          <w14:textFill>
            <w14:solidFill>
              <w14:schemeClr w14:val="tx1"/>
            </w14:solidFill>
          </w14:textFill>
        </w:rPr>
        <w:t>，并</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对申请材料内容真实性、准确性和完整性负责。</w:t>
      </w:r>
    </w:p>
    <w:p>
      <w:pPr>
        <w:pStyle w:val="5"/>
        <w:keepNext w:val="0"/>
        <w:keepLines w:val="0"/>
        <w:pageBreakBefore w:val="0"/>
        <w:widowControl/>
        <w:numPr>
          <w:ilvl w:val="0"/>
          <w:numId w:val="0"/>
        </w:numPr>
        <w:suppressLineNumbers w:val="0"/>
        <w:kinsoku/>
        <w:wordWrap/>
        <w:overflowPunct/>
        <w:topLinePunct w:val="0"/>
        <w:autoSpaceDE/>
        <w:autoSpaceDN/>
        <w:bidi w:val="0"/>
        <w:adjustRightInd/>
        <w:spacing w:before="0" w:beforeAutospacing="0" w:after="0" w:afterAutospacing="0" w:line="560" w:lineRule="exact"/>
        <w:ind w:left="0" w:leftChars="0" w:right="0" w:rightChars="0" w:firstLine="640"/>
        <w:textAlignment w:val="auto"/>
        <w:outlineLvl w:val="9"/>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4.应积极配合区委、区政府相关工作。</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textAlignment w:val="auto"/>
        <w:outlineLvl w:val="9"/>
        <w:rPr>
          <w:rFonts w:hint="default" w:ascii="Times New Roman" w:hAnsi="Times New Roman" w:eastAsia="楷体"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楷体" w:cs="Times New Roman"/>
          <w:color w:val="000000" w:themeColor="text1"/>
          <w:kern w:val="0"/>
          <w:sz w:val="32"/>
          <w:szCs w:val="32"/>
          <w:highlight w:val="none"/>
          <w:lang w:val="en-US" w:eastAsia="zh-CN"/>
          <w14:textFill>
            <w14:solidFill>
              <w14:schemeClr w14:val="tx1"/>
            </w14:solidFill>
          </w14:textFill>
        </w:rPr>
        <w:t>（二）有下列情况之一的，本项资金不予资助：</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firstLineChars="200"/>
        <w:textAlignment w:val="auto"/>
        <w:outlineLvl w:val="9"/>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1.未在天河区依法注册、依法纳统、依法纳税，或者提出支持申请后，将企业注册地搬离天河和未按规定提交统计报表、在商务部业务系统统一平台填报相关数据的；</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firstLineChars="200"/>
        <w:textAlignment w:val="auto"/>
        <w:outlineLvl w:val="9"/>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2.申报材料有弄虚作假情况的；</w:t>
      </w:r>
    </w:p>
    <w:p>
      <w:pPr>
        <w:pStyle w:val="5"/>
        <w:keepNext w:val="0"/>
        <w:keepLines w:val="0"/>
        <w:pageBreakBefore w:val="0"/>
        <w:widowControl/>
        <w:numPr>
          <w:ilvl w:val="0"/>
          <w:numId w:val="0"/>
        </w:numPr>
        <w:suppressLineNumbers w:val="0"/>
        <w:kinsoku/>
        <w:wordWrap/>
        <w:overflowPunct/>
        <w:topLinePunct w:val="0"/>
        <w:autoSpaceDE/>
        <w:autoSpaceDN/>
        <w:bidi w:val="0"/>
        <w:adjustRightInd/>
        <w:snapToGrid w:val="0"/>
        <w:spacing w:before="0" w:beforeAutospacing="0" w:after="0" w:afterAutospacing="0" w:line="560" w:lineRule="exact"/>
        <w:ind w:left="0" w:leftChars="0" w:right="0" w:rightChars="0" w:firstLine="640" w:firstLineChars="200"/>
        <w:textAlignment w:val="auto"/>
        <w:outlineLvl w:val="9"/>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3.获支持年度在广州市公共信用信息管理系统平台上有处罚、失信行为、被公安机关查处、正在立案阶段、涉及传销、非法集资等企业。</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四、办理流程及流程图</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1.申请。申请人可通过网上方式提出申请，在线填写申请表单，上传规定格式的申请书及其他申请材料，不按规定要求填写申请书及上传其他申请材料的，视为无效申请。</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2.受理。区商务金融局收到申请材料之日起在5个工作日内作出受理或不予受理决定。经审查，材料不全或不符合法定形式的，办理机关应一次性告知申请人需补正的全部内容。需要补正申请材料的，受理人将申请材料退回申请人后，申请人补正申请材料后，可以再次提交申请。</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3.审核与公示。企业受理通过后，须将装订成册的纸质材料（一式一份）提交至区商务金融局（联系电话：020-38622695，地址：天河区天府路1号2号楼613室，邮编：510000）。区商务金融局对申报材料进行初审后，提请第三方机构完成复审并出具审核报告，在申报截止后30个工作日内做出审核决定，形成项目支持方案，并</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向社会公示5个工作日</w:t>
      </w: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w:t>
      </w:r>
    </w:p>
    <w:p>
      <w:pPr>
        <w:keepNext w:val="0"/>
        <w:keepLines w:val="0"/>
        <w:pageBreakBefore w:val="0"/>
        <w:kinsoku/>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4.拨付。</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对公示期满，无有效投诉的项目支持方案，</w:t>
      </w: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区商务金融局报送区财政局，公示后一般30个工作日内办理完成奖励资金兑现拨付（具体拨付时间视预算资金到位情况确定）。</w:t>
      </w:r>
    </w:p>
    <w:p>
      <w:pP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drawing>
          <wp:inline distT="0" distB="0" distL="114300" distR="114300">
            <wp:extent cx="5979795" cy="8456930"/>
            <wp:effectExtent l="0" t="0" r="1905" b="1270"/>
            <wp:docPr id="3" name="图片 1" descr="E:\0 政府\政策资金\2021\天河区推动经济高质量发展的若干政策意见\政策兑现\附件1.流程图（服务外包和服务贸易额）\附件1.流程图（服务外包和服务贸易额）_00.jpg附件1.流程图（服务外包和服务贸易额）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E:\0 政府\政策资金\2021\天河区推动经济高质量发展的若干政策意见\政策兑现\附件1.流程图（服务外包和服务贸易额）\附件1.流程图（服务外包和服务贸易额）_00.jpg附件1.流程图（服务外包和服务贸易额）_00"/>
                    <pic:cNvPicPr>
                      <a:picLocks noChangeAspect="1"/>
                    </pic:cNvPicPr>
                  </pic:nvPicPr>
                  <pic:blipFill>
                    <a:blip r:embed="rId5"/>
                    <a:srcRect/>
                    <a:stretch>
                      <a:fillRect/>
                    </a:stretch>
                  </pic:blipFill>
                  <pic:spPr>
                    <a:xfrm>
                      <a:off x="0" y="0"/>
                      <a:ext cx="5979795" cy="8456930"/>
                    </a:xfrm>
                    <a:prstGeom prst="rect">
                      <a:avLst/>
                    </a:prstGeom>
                    <a:noFill/>
                    <a:ln>
                      <a:noFill/>
                    </a:ln>
                  </pic:spPr>
                </pic:pic>
              </a:graphicData>
            </a:graphic>
          </wp:inline>
        </w:drawing>
      </w:r>
    </w:p>
    <w:p>
      <w:pPr>
        <w:keepNext w:val="0"/>
        <w:keepLines w:val="0"/>
        <w:pageBreakBefore w:val="0"/>
        <w:kinsoku/>
        <w:overflowPunct/>
        <w:topLinePunct w:val="0"/>
        <w:autoSpaceDE/>
        <w:autoSpaceDN/>
        <w:bidi w:val="0"/>
        <w:adjustRightInd/>
        <w:snapToGrid w:val="0"/>
        <w:spacing w:line="60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五、申报材料</w:t>
      </w:r>
    </w:p>
    <w:tbl>
      <w:tblPr>
        <w:tblStyle w:val="8"/>
        <w:tblW w:w="89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2"/>
        <w:gridCol w:w="1780"/>
        <w:gridCol w:w="5085"/>
        <w:gridCol w:w="13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3" w:hRule="atLeast"/>
          <w:jc w:val="center"/>
        </w:trPr>
        <w:tc>
          <w:tcPr>
            <w:tcW w:w="782" w:type="dxa"/>
            <w:vAlign w:val="center"/>
          </w:tcPr>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center"/>
              <w:textAlignment w:val="auto"/>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t>序号</w:t>
            </w: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center"/>
              <w:textAlignment w:val="auto"/>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t>材料名称</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500" w:lineRule="exact"/>
              <w:jc w:val="center"/>
              <w:textAlignment w:val="auto"/>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t>材料描述</w:t>
            </w:r>
          </w:p>
        </w:tc>
        <w:tc>
          <w:tcPr>
            <w:tcW w:w="1348" w:type="dxa"/>
            <w:vAlign w:val="center"/>
          </w:tcPr>
          <w:p>
            <w:pPr>
              <w:keepNext w:val="0"/>
              <w:keepLines w:val="0"/>
              <w:pageBreakBefore w:val="0"/>
              <w:widowControl w:val="0"/>
              <w:kinsoku/>
              <w:wordWrap/>
              <w:overflowPunct/>
              <w:topLinePunct w:val="0"/>
              <w:autoSpaceDE/>
              <w:autoSpaceDN/>
              <w:bidi w:val="0"/>
              <w:adjustRightInd/>
              <w:snapToGrid w:val="0"/>
              <w:spacing w:line="500" w:lineRule="exact"/>
              <w:jc w:val="center"/>
              <w:textAlignment w:val="auto"/>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黑体" w:cs="Times New Roman"/>
                <w:color w:val="000000" w:themeColor="text1"/>
                <w:sz w:val="28"/>
                <w:szCs w:val="28"/>
                <w:highlight w:val="none"/>
                <w:vertAlign w:val="baseline"/>
                <w:lang w:val="en-US" w:eastAsia="zh-CN"/>
                <w14:textFill>
                  <w14:solidFill>
                    <w14:schemeClr w14:val="tx1"/>
                  </w14:solidFill>
                </w14:textFill>
              </w:rPr>
              <w:t>是否必备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项目申请书</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t>原件，企业法人签字并加盖公章。</w:t>
            </w:r>
          </w:p>
        </w:tc>
        <w:tc>
          <w:tcPr>
            <w:tcW w:w="1348" w:type="dxa"/>
            <w:vMerge w:val="restart"/>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14:textFill>
                  <w14:solidFill>
                    <w14:schemeClr w14:val="tx1"/>
                  </w14:solidFill>
                </w14:textFill>
              </w:rPr>
            </w:pPr>
            <w:r>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t>企业证照</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复印件加盖企业公章：申请单位为企业法人的，提交营业执照（副本）；单位为非企业法人的，提交社团登记证、民办非企业登记证。</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银行开户证明</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复印件加盖企业公章：基本开户许可证或证明材料。</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财务报表</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复印件加盖企业公章：申报单位申报年度全年财务报表，仅需资产负债表、利润表、现金流量表。</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专项审计报告</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复印件加盖企业公章：提供申报期间本单位服务贸易收支或离岸服务外包专项审计报告（结论页须加盖审计单位公章）。</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离岸服务外包收入明细表及正增长情况说明</w:t>
            </w:r>
          </w:p>
        </w:tc>
        <w:tc>
          <w:tcPr>
            <w:tcW w:w="508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val="0"/>
              <w:spacing w:line="400" w:lineRule="exact"/>
              <w:ind w:leftChars="0"/>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（1）复印件加盖企业公章：离岸服务外包收入明细表（线上需提交扫描件和Excel表格）。</w:t>
            </w:r>
          </w:p>
          <w:p>
            <w:pPr>
              <w:keepNext w:val="0"/>
              <w:keepLines w:val="0"/>
              <w:pageBreakBefore w:val="0"/>
              <w:widowControl w:val="0"/>
              <w:numPr>
                <w:ilvl w:val="0"/>
                <w:numId w:val="0"/>
              </w:numPr>
              <w:kinsoku/>
              <w:wordWrap/>
              <w:overflowPunct/>
              <w:topLinePunct w:val="0"/>
              <w:autoSpaceDE/>
              <w:autoSpaceDN/>
              <w:bidi w:val="0"/>
              <w:adjustRightInd/>
              <w:snapToGrid w:val="0"/>
              <w:spacing w:line="400" w:lineRule="exact"/>
              <w:ind w:leftChars="0"/>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（2）原件：上年度服务外包离岸执行额低于1亿美元的企业须提供正增长情况说明。</w:t>
            </w:r>
          </w:p>
        </w:tc>
        <w:tc>
          <w:tcPr>
            <w:tcW w:w="1348" w:type="dxa"/>
            <w:vMerge w:val="restart"/>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14:textFill>
                  <w14:solidFill>
                    <w14:schemeClr w14:val="tx1"/>
                  </w14:solidFill>
                </w14:textFill>
              </w:rPr>
              <w:t>服务外包业绩奖励专项申报材料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离岸服务外包合同</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系统上传原件，纸质材料提交复印件并加盖公章：企业在商务部服务外包及软件出口信息管理应用系统中填报且审定通过的5份离岸服务外包合同。</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t>（其它离岸服务外包合同应随时备查。）</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离岸服务外包合同相关材料</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（1）原件：申报材料中的合同、水单在服务外包系统上审核通过的页面截图并做好标记。</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（2）原件：外文合同需提供中文翻译件，包含涉外服务内容、金额、合同签订名称等主要条款。</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（3）复印件加盖公章：外汇收入凭证。</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（4）复印件加盖公章：涉外收入申报单。</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t>（其它外汇收入凭证应随时备查。）</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服务进出口情况明细表</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i/>
                <w:iCs/>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t>复印件加盖企业公章：企业服务进出口情况明细表（线上需提交扫描件和Excel表格）。</w:t>
            </w:r>
          </w:p>
        </w:tc>
        <w:tc>
          <w:tcPr>
            <w:tcW w:w="1348" w:type="dxa"/>
            <w:vMerge w:val="restart"/>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14:textFill>
                  <w14:solidFill>
                    <w14:schemeClr w14:val="tx1"/>
                  </w14:solidFill>
                </w14:textFill>
              </w:rPr>
              <w:t>服务贸易额业绩奖励专项申报材料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t>服务合同</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t>系统上传原件，纸质材料提交复印件并加盖公章：企业在服务贸易统计监测管理业务应用系统中填报且审定通过的5份涉外服务合同或补充协议。</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i w:val="0"/>
                <w:iCs w:val="0"/>
                <w:color w:val="000000" w:themeColor="text1"/>
                <w:sz w:val="28"/>
                <w:szCs w:val="28"/>
                <w:highlight w:val="none"/>
                <w:lang w:val="en-US" w:eastAsia="zh-CN"/>
                <w14:textFill>
                  <w14:solidFill>
                    <w14:schemeClr w14:val="tx1"/>
                  </w14:solidFill>
                </w14:textFill>
              </w:rPr>
              <w:t>（其它涉外服务合同应随时备查。）</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2" w:type="dxa"/>
            <w:vAlign w:val="center"/>
          </w:tcPr>
          <w:p>
            <w:pPr>
              <w:keepNext w:val="0"/>
              <w:keepLines w:val="0"/>
              <w:pageBreakBefore w:val="0"/>
              <w:widowControl w:val="0"/>
              <w:numPr>
                <w:ilvl w:val="0"/>
                <w:numId w:val="1"/>
              </w:numPr>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c>
          <w:tcPr>
            <w:tcW w:w="1780" w:type="dxa"/>
            <w:vAlign w:val="center"/>
          </w:tcPr>
          <w:p>
            <w:pPr>
              <w:keepNext w:val="0"/>
              <w:keepLines w:val="0"/>
              <w:pageBreakBefore w:val="0"/>
              <w:widowControl w:val="0"/>
              <w:kinsoku/>
              <w:wordWrap/>
              <w:overflowPunct/>
              <w:topLinePunct w:val="0"/>
              <w:autoSpaceDE/>
              <w:autoSpaceDN/>
              <w:bidi w:val="0"/>
              <w:adjustRightInd/>
              <w:snapToGrid w:val="0"/>
              <w:spacing w:line="400" w:lineRule="exact"/>
              <w:ind w:left="0" w:leftChars="0" w:right="0" w:rightChars="0" w:firstLine="0" w:firstLineChars="0"/>
              <w:jc w:val="center"/>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服务合同相关材料</w:t>
            </w:r>
          </w:p>
        </w:tc>
        <w:tc>
          <w:tcPr>
            <w:tcW w:w="5085" w:type="dxa"/>
            <w:vAlign w:val="center"/>
          </w:tcPr>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（1）原件：申报材料中的合同、水单在服务贸易系统上审核通过的页面截图并做好标记。</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（2）原件：合同中文翻译件，需包含涉外服务内容、金额、合同签订名称等主要条款。</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（3）复印件加盖公章：外汇收入凭证（或付汇凭证）。</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（4）复印件加盖公章：涉外收入申报单（或境外汇款申请书）。</w:t>
            </w:r>
          </w:p>
          <w:p>
            <w:pPr>
              <w:keepNext w:val="0"/>
              <w:keepLines w:val="0"/>
              <w:pageBreakBefore w:val="0"/>
              <w:widowControl w:val="0"/>
              <w:kinsoku/>
              <w:wordWrap/>
              <w:overflowPunct/>
              <w:topLinePunct w:val="0"/>
              <w:autoSpaceDE/>
              <w:autoSpaceDN/>
              <w:bidi w:val="0"/>
              <w:adjustRightInd/>
              <w:snapToGrid w:val="0"/>
              <w:spacing w:line="400" w:lineRule="exact"/>
              <w:jc w:val="both"/>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（其它外汇收入凭证或付汇凭证应随时备查。）</w:t>
            </w:r>
          </w:p>
        </w:tc>
        <w:tc>
          <w:tcPr>
            <w:tcW w:w="1348" w:type="dxa"/>
            <w:vMerge w:val="continue"/>
            <w:vAlign w:val="center"/>
          </w:tcPr>
          <w:p>
            <w:pPr>
              <w:keepNext w:val="0"/>
              <w:keepLines w:val="0"/>
              <w:pageBreakBefore w:val="0"/>
              <w:widowControl w:val="0"/>
              <w:kinsoku/>
              <w:wordWrap/>
              <w:overflowPunct/>
              <w:topLinePunct w:val="0"/>
              <w:autoSpaceDE/>
              <w:autoSpaceDN/>
              <w:bidi w:val="0"/>
              <w:adjustRightInd/>
              <w:snapToGrid w:val="0"/>
              <w:spacing w:line="400" w:lineRule="exact"/>
              <w:jc w:val="center"/>
              <w:textAlignment w:val="auto"/>
              <w:rPr>
                <w:rFonts w:hint="default" w:ascii="Times New Roman" w:hAnsi="Times New Roman" w:eastAsia="仿宋_GB2312" w:cs="Times New Roman"/>
                <w:color w:val="000000" w:themeColor="text1"/>
                <w:sz w:val="28"/>
                <w:szCs w:val="28"/>
                <w:highlight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8995" w:type="dxa"/>
            <w:gridSpan w:val="4"/>
            <w:vAlign w:val="center"/>
          </w:tcPr>
          <w:p>
            <w:pPr>
              <w:keepNext w:val="0"/>
              <w:keepLines w:val="0"/>
              <w:pageBreakBefore w:val="0"/>
              <w:widowControl w:val="0"/>
              <w:kinsoku/>
              <w:wordWrap/>
              <w:overflowPunct/>
              <w:topLinePunct w:val="0"/>
              <w:autoSpaceDE/>
              <w:autoSpaceDN/>
              <w:bidi w:val="0"/>
              <w:adjustRightInd/>
              <w:snapToGrid w:val="0"/>
              <w:spacing w:line="400" w:lineRule="exact"/>
              <w:ind w:firstLine="560" w:firstLineChars="200"/>
              <w:jc w:val="left"/>
              <w:textAlignment w:val="auto"/>
              <w:rPr>
                <w:rFonts w:hint="default" w:ascii="Times New Roman" w:hAnsi="Times New Roman" w:eastAsia="仿宋_GB2312" w:cs="Times New Roman"/>
                <w:color w:val="000000" w:themeColor="text1"/>
                <w:sz w:val="28"/>
                <w:szCs w:val="28"/>
                <w14:textFill>
                  <w14:solidFill>
                    <w14:schemeClr w14:val="tx1"/>
                  </w14:solidFill>
                </w14:textFill>
              </w:rPr>
            </w:pP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以上材料按照要求在线填写或采用附件形式（彩色扫描）在线提交。系统受理通过后将</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上述纸质</w:t>
            </w:r>
            <w:r>
              <w:rPr>
                <w:rFonts w:hint="default" w:ascii="Times New Roman" w:hAnsi="Times New Roman" w:eastAsia="仿宋_GB2312" w:cs="Times New Roman"/>
                <w:color w:val="000000" w:themeColor="text1"/>
                <w:sz w:val="28"/>
                <w:szCs w:val="28"/>
                <w14:textFill>
                  <w14:solidFill>
                    <w14:schemeClr w14:val="tx1"/>
                  </w14:solidFill>
                </w14:textFill>
              </w:rPr>
              <w:t>材料按顺序装订，一式一份，A4纸</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双面</w:t>
            </w:r>
            <w:r>
              <w:rPr>
                <w:rFonts w:hint="default" w:ascii="Times New Roman" w:hAnsi="Times New Roman" w:eastAsia="仿宋_GB2312" w:cs="Times New Roman"/>
                <w:color w:val="000000" w:themeColor="text1"/>
                <w:sz w:val="28"/>
                <w:szCs w:val="28"/>
                <w14:textFill>
                  <w14:solidFill>
                    <w14:schemeClr w14:val="tx1"/>
                  </w14:solidFill>
                </w14:textFill>
              </w:rPr>
              <w:t>打印/复印，非空白页（含封面）需连续编写页码，装订成册（胶装），加盖骑缝章后提交。</w:t>
            </w:r>
          </w:p>
        </w:tc>
      </w:tr>
    </w:tbl>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六、办事窗口</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b/>
          <w:bCs/>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全流程线上线下同步办理，</w:t>
      </w:r>
      <w:r>
        <w:rPr>
          <w:rFonts w:hint="default" w:ascii="Times New Roman" w:hAnsi="Times New Roman" w:eastAsia="仿宋_GB2312" w:cs="Times New Roman"/>
          <w:color w:val="000000" w:themeColor="text1"/>
          <w:sz w:val="32"/>
          <w:lang w:val="en-US" w:eastAsia="zh-CN"/>
          <w14:textFill>
            <w14:solidFill>
              <w14:schemeClr w14:val="tx1"/>
            </w14:solidFill>
          </w14:textFill>
        </w:rPr>
        <w:t>审核</w:t>
      </w:r>
      <w:r>
        <w:rPr>
          <w:rFonts w:hint="default" w:ascii="Times New Roman" w:hAnsi="Times New Roman" w:eastAsia="仿宋_GB2312" w:cs="Times New Roman"/>
          <w:color w:val="000000" w:themeColor="text1"/>
          <w:sz w:val="32"/>
          <w14:textFill>
            <w14:solidFill>
              <w14:schemeClr w14:val="tx1"/>
            </w14:solidFill>
          </w14:textFill>
        </w:rPr>
        <w:t>期间企业将纸质材料</w:t>
      </w:r>
      <w:r>
        <w:rPr>
          <w:rFonts w:hint="default" w:ascii="Times New Roman" w:hAnsi="Times New Roman" w:eastAsia="仿宋_GB2312" w:cs="Times New Roman"/>
          <w:color w:val="000000" w:themeColor="text1"/>
          <w:sz w:val="32"/>
          <w:lang w:val="en-US" w:eastAsia="zh-CN"/>
          <w14:textFill>
            <w14:solidFill>
              <w14:schemeClr w14:val="tx1"/>
            </w14:solidFill>
          </w14:textFill>
        </w:rPr>
        <w:t>同步</w:t>
      </w:r>
      <w:r>
        <w:rPr>
          <w:rFonts w:hint="default" w:ascii="Times New Roman" w:hAnsi="Times New Roman" w:eastAsia="仿宋_GB2312" w:cs="Times New Roman"/>
          <w:color w:val="000000" w:themeColor="text1"/>
          <w:sz w:val="32"/>
          <w14:textFill>
            <w14:solidFill>
              <w14:schemeClr w14:val="tx1"/>
            </w14:solidFill>
          </w14:textFill>
        </w:rPr>
        <w:t>报送至区商务金融局</w:t>
      </w:r>
      <w:r>
        <w:rPr>
          <w:rFonts w:hint="default" w:ascii="Times New Roman" w:hAnsi="Times New Roman" w:eastAsia="仿宋_GB2312" w:cs="Times New Roman"/>
          <w:color w:val="000000" w:themeColor="text1"/>
          <w:sz w:val="32"/>
          <w:lang w:eastAsia="zh-CN"/>
          <w14:textFill>
            <w14:solidFill>
              <w14:schemeClr w14:val="tx1"/>
            </w14:solidFill>
          </w14:textFill>
        </w:rPr>
        <w:t>（联系电话：</w:t>
      </w:r>
      <w:r>
        <w:rPr>
          <w:rFonts w:hint="default" w:ascii="Times New Roman" w:hAnsi="Times New Roman" w:eastAsia="仿宋_GB2312" w:cs="Times New Roman"/>
          <w:color w:val="000000" w:themeColor="text1"/>
          <w:sz w:val="32"/>
          <w:lang w:val="en-US" w:eastAsia="zh-CN"/>
          <w14:textFill>
            <w14:solidFill>
              <w14:schemeClr w14:val="tx1"/>
            </w14:solidFill>
          </w14:textFill>
        </w:rPr>
        <w:t>020-38622695，地址：天河区天府路1号2号楼613室，邮编：510000</w:t>
      </w:r>
      <w:r>
        <w:rPr>
          <w:rFonts w:hint="default" w:ascii="Times New Roman" w:hAnsi="Times New Roman" w:eastAsia="仿宋_GB2312" w:cs="Times New Roman"/>
          <w:color w:val="000000" w:themeColor="text1"/>
          <w:sz w:val="32"/>
          <w:lang w:eastAsia="zh-CN"/>
          <w14:textFill>
            <w14:solidFill>
              <w14:schemeClr w14:val="tx1"/>
            </w14:solidFill>
          </w14:textFill>
        </w:rPr>
        <w:t>）</w:t>
      </w:r>
      <w:r>
        <w:rPr>
          <w:rFonts w:hint="default" w:ascii="Times New Roman" w:hAnsi="Times New Roman" w:eastAsia="仿宋_GB2312" w:cs="Times New Roman"/>
          <w:color w:val="000000" w:themeColor="text1"/>
          <w:sz w:val="32"/>
          <w:highlight w:val="none"/>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七、政策依据</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t xml:space="preserve">《广州市天河区人民政府关于印发天河区推动经济高质量发展若干政策意见的通知》（穗天府规〔2020〕3号） </w:t>
      </w:r>
      <w:bookmarkStart w:id="6" w:name="_Toc11221"/>
      <w:r>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t>第三条【大力支持现代商贸业发展】</w:t>
      </w:r>
      <w:bookmarkEnd w:id="6"/>
      <w:r>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t>第17项 支持企业特色发展。</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t>（1）服务外包业绩奖励。对上年度服务外包离岸执行额1000万美元以上的企业（低于1亿美元的企业要求有正增长），按1美元支持0.3分人民币的标准，给予最高100万元的奖励。其中，对于天河科技园、天河软件园、天河高新区范围内，上年度服务外包离岸执行额500万美元以上的企业（低于1亿美元的企业要求有正增长），按1美元支持0.45分人民币的标准，给予最高100万元的奖励。</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t>（2）服务贸易额业绩奖励。对上年度服务贸易额超100万美元的企业，按1美元支持0.3分人民币的标准，给予最高100万元的奖励。</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b w:val="0"/>
          <w:bCs w:val="0"/>
          <w:color w:val="000000" w:themeColor="text1"/>
          <w:sz w:val="32"/>
          <w:highlight w:val="none"/>
          <w:lang w:val="en-US" w:eastAsia="zh-CN"/>
          <w14:textFill>
            <w14:solidFill>
              <w14:schemeClr w14:val="tx1"/>
            </w14:solidFill>
          </w14:textFill>
        </w:rPr>
      </w:pPr>
      <w:r>
        <w:rPr>
          <w:rFonts w:hint="default" w:ascii="Times New Roman" w:hAnsi="Times New Roman" w:eastAsia="楷体" w:cs="Times New Roman"/>
          <w:i w:val="0"/>
          <w:caps w:val="0"/>
          <w:color w:val="000000" w:themeColor="text1"/>
          <w:spacing w:val="0"/>
          <w:sz w:val="32"/>
          <w:szCs w:val="32"/>
          <w:shd w:val="clear" w:fill="FFFFFF"/>
          <w:lang w:eastAsia="zh-CN"/>
          <w14:textFill>
            <w14:solidFill>
              <w14:schemeClr w14:val="tx1"/>
            </w14:solidFill>
          </w14:textFill>
        </w:rPr>
        <w:t>上述政策</w:t>
      </w:r>
      <w:r>
        <w:rPr>
          <w:rFonts w:hint="default" w:ascii="Times New Roman" w:hAnsi="Times New Roman" w:eastAsia="楷体" w:cs="Times New Roman"/>
          <w:i w:val="0"/>
          <w:caps w:val="0"/>
          <w:color w:val="000000" w:themeColor="text1"/>
          <w:spacing w:val="0"/>
          <w:sz w:val="32"/>
          <w:szCs w:val="32"/>
          <w:shd w:val="clear" w:fill="FFFFFF"/>
          <w14:textFill>
            <w14:solidFill>
              <w14:schemeClr w14:val="tx1"/>
            </w14:solidFill>
          </w14:textFill>
        </w:rPr>
        <w:t>提到的货币单位如未注明的均以人民币计算，涉及 “以上”“最高”“不超过”的数额，均包含本数。</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t>八、常见问题说明</w:t>
      </w:r>
    </w:p>
    <w:p>
      <w:pPr>
        <w:pStyle w:val="6"/>
        <w:keepNext w:val="0"/>
        <w:keepLines w:val="0"/>
        <w:pageBreakBefore w:val="0"/>
        <w:widowControl w:val="0"/>
        <w:numPr>
          <w:ilvl w:val="0"/>
          <w:numId w:val="0"/>
        </w:numPr>
        <w:kinsoku/>
        <w:wordWrap/>
        <w:overflowPunct/>
        <w:topLinePunct w:val="0"/>
        <w:autoSpaceDE/>
        <w:autoSpaceDN/>
        <w:bidi w:val="0"/>
        <w:adjustRightInd/>
        <w:snapToGrid w:val="0"/>
        <w:spacing w:line="560" w:lineRule="exact"/>
        <w:ind w:left="0" w:leftChars="0" w:right="0" w:rightChars="0" w:firstLine="640"/>
        <w:textAlignment w:val="auto"/>
        <w:rPr>
          <w:rFonts w:hint="default" w:ascii="Times New Roman" w:hAnsi="Times New Roman" w:eastAsia="黑体" w:cs="Times New Roman"/>
          <w:color w:val="000000" w:themeColor="text1"/>
          <w:sz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在项目申报或审核过程中，如区商务金融局认为需提供相关佐证材料，申请本项目的企业应积极配合提供，并保证其申报材料的完整性、真实性、准确性及合法性，且承担所提交项目申报材料的相关法律责任，如有虚假或侵权等行为，该项目申请无效，如事后发现存在以上行为，区商务金融局将保留依法追究其法律责任的权利。申请本项目的企业在享受扶持后，应承诺五年内不将注册登记地址迁出天河区，不改变在天河区原有的纳税纳统义务。如有违反应全额退回已获得的扶持资金。</w:t>
      </w:r>
    </w:p>
    <w:sectPr>
      <w:footerReference r:id="rId3" w:type="default"/>
      <w:pgSz w:w="11905" w:h="16838"/>
      <w:pgMar w:top="2154" w:right="1474" w:bottom="2098" w:left="1587" w:header="850" w:footer="992" w:gutter="0"/>
      <w:pgBorders>
        <w:top w:val="none" w:sz="0" w:space="0"/>
        <w:left w:val="none" w:sz="0" w:space="0"/>
        <w:bottom w:val="none" w:sz="0" w:space="0"/>
        <w:right w:val="none" w:sz="0" w:space="0"/>
      </w:pgBorders>
      <w:pgNumType w:fmt="numberInDash"/>
      <w:cols w:space="0" w:num="1"/>
      <w:rtlGutter w:val="0"/>
      <w:docGrid w:type="lines" w:linePitch="31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CDD38CD-C679-4CAD-AC35-68A51F202A85}"/>
  </w:font>
  <w:font w:name="Arial">
    <w:panose1 w:val="020B0604020202020204"/>
    <w:charset w:val="01"/>
    <w:family w:val="swiss"/>
    <w:pitch w:val="default"/>
    <w:sig w:usb0="E0002EFF" w:usb1="C000785B" w:usb2="00000009" w:usb3="00000000" w:csb0="400001FF" w:csb1="FFFF0000"/>
    <w:embedRegular r:id="rId2" w:fontKey="{F493ED07-EE5B-4755-AE48-E2FC2D298BB1}"/>
  </w:font>
  <w:font w:name="黑体">
    <w:panose1 w:val="02010609060101010101"/>
    <w:charset w:val="86"/>
    <w:family w:val="auto"/>
    <w:pitch w:val="default"/>
    <w:sig w:usb0="800002BF" w:usb1="38CF7CFA" w:usb2="00000016" w:usb3="00000000" w:csb0="00040001" w:csb1="00000000"/>
    <w:embedRegular r:id="rId3" w:fontKey="{3D95CA07-9820-4A2E-9B41-0B0246359907}"/>
  </w:font>
  <w:font w:name="Courier New">
    <w:panose1 w:val="02070309020205020404"/>
    <w:charset w:val="01"/>
    <w:family w:val="modern"/>
    <w:pitch w:val="default"/>
    <w:sig w:usb0="E0002EFF" w:usb1="C0007843" w:usb2="00000009" w:usb3="00000000" w:csb0="400001FF" w:csb1="FFFF0000"/>
    <w:embedRegular r:id="rId4" w:fontKey="{42B0FA1F-98C5-4C10-9B54-E2D8FE918BA2}"/>
  </w:font>
  <w:font w:name="Symbol">
    <w:panose1 w:val="05050102010706020507"/>
    <w:charset w:val="02"/>
    <w:family w:val="roman"/>
    <w:pitch w:val="default"/>
    <w:sig w:usb0="00000000" w:usb1="00000000" w:usb2="00000000" w:usb3="00000000" w:csb0="80000000" w:csb1="00000000"/>
    <w:embedRegular r:id="rId5" w:fontKey="{2221AEFE-9C74-4AF3-8B5B-5B9B2B746CFD}"/>
  </w:font>
  <w:font w:name="Calibri">
    <w:panose1 w:val="020F0502020204030204"/>
    <w:charset w:val="00"/>
    <w:family w:val="swiss"/>
    <w:pitch w:val="default"/>
    <w:sig w:usb0="E4002EFF" w:usb1="C000247B" w:usb2="00000009" w:usb3="00000000" w:csb0="200001FF" w:csb1="00000000"/>
    <w:embedRegular r:id="rId6" w:fontKey="{3293046F-5EC8-4981-B46E-F0DFF03741C0}"/>
  </w:font>
  <w:font w:name="方正小标宋_GBK">
    <w:panose1 w:val="03000509000000000000"/>
    <w:charset w:val="86"/>
    <w:family w:val="auto"/>
    <w:pitch w:val="default"/>
    <w:sig w:usb0="00000001" w:usb1="080E0000" w:usb2="00000000" w:usb3="00000000" w:csb0="00040000" w:csb1="00000000"/>
    <w:embedRegular r:id="rId7" w:fontKey="{C3AF0577-6FC4-4B90-9527-379E9ED547E1}"/>
  </w:font>
  <w:font w:name="仿宋_GB2312">
    <w:panose1 w:val="02010609030101010101"/>
    <w:charset w:val="86"/>
    <w:family w:val="auto"/>
    <w:pitch w:val="default"/>
    <w:sig w:usb0="00000001" w:usb1="080E0000" w:usb2="00000000" w:usb3="00000000" w:csb0="00040000" w:csb1="00000000"/>
    <w:embedRegular r:id="rId8" w:fontKey="{1A8CC1F0-5475-4872-AF08-466061D60C61}"/>
  </w:font>
  <w:font w:name="楷体">
    <w:panose1 w:val="02010609060101010101"/>
    <w:charset w:val="86"/>
    <w:family w:val="modern"/>
    <w:pitch w:val="default"/>
    <w:sig w:usb0="800002BF" w:usb1="38CF7CFA" w:usb2="00000016" w:usb3="00000000" w:csb0="00040001" w:csb1="00000000"/>
    <w:embedRegular r:id="rId9" w:fontKey="{F4BE4CBA-7587-4A39-8C79-7E969F33A72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default" w:ascii="Times New Roman" w:hAnsi="Times New Roman" w:eastAsia="宋体" w:cs="Times New Roman"/>
                              <w:sz w:val="28"/>
                              <w:szCs w:val="28"/>
                              <w:lang w:eastAsia="zh-CN"/>
                            </w:rPr>
                            <w:fldChar w:fldCharType="begin"/>
                          </w:r>
                          <w:r>
                            <w:rPr>
                              <w:rFonts w:hint="default" w:ascii="Times New Roman" w:hAnsi="Times New Roman" w:eastAsia="宋体" w:cs="Times New Roman"/>
                              <w:sz w:val="28"/>
                              <w:szCs w:val="28"/>
                              <w:lang w:eastAsia="zh-CN"/>
                            </w:rPr>
                            <w:instrText xml:space="preserve"> PAGE  \* MERGEFORMAT </w:instrText>
                          </w:r>
                          <w:r>
                            <w:rPr>
                              <w:rFonts w:hint="default" w:ascii="Times New Roman" w:hAnsi="Times New Roman" w:eastAsia="宋体" w:cs="Times New Roman"/>
                              <w:sz w:val="28"/>
                              <w:szCs w:val="28"/>
                              <w:lang w:eastAsia="zh-CN"/>
                            </w:rPr>
                            <w:fldChar w:fldCharType="separate"/>
                          </w:r>
                          <w:r>
                            <w:rPr>
                              <w:rFonts w:hint="default" w:ascii="Times New Roman" w:hAnsi="Times New Roman" w:eastAsia="宋体" w:cs="Times New Roman"/>
                              <w:sz w:val="28"/>
                              <w:szCs w:val="28"/>
                              <w:lang w:eastAsia="zh-CN"/>
                            </w:rPr>
                            <w:t>1</w:t>
                          </w:r>
                          <w:r>
                            <w:rPr>
                              <w:rFonts w:hint="default" w:ascii="Times New Roman" w:hAnsi="Times New Roman" w:eastAsia="宋体" w:cs="Times New Roman"/>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default" w:ascii="Times New Roman" w:hAnsi="Times New Roman" w:eastAsia="宋体" w:cs="Times New Roman"/>
                        <w:sz w:val="28"/>
                        <w:szCs w:val="28"/>
                        <w:lang w:eastAsia="zh-CN"/>
                      </w:rPr>
                      <w:fldChar w:fldCharType="begin"/>
                    </w:r>
                    <w:r>
                      <w:rPr>
                        <w:rFonts w:hint="default" w:ascii="Times New Roman" w:hAnsi="Times New Roman" w:eastAsia="宋体" w:cs="Times New Roman"/>
                        <w:sz w:val="28"/>
                        <w:szCs w:val="28"/>
                        <w:lang w:eastAsia="zh-CN"/>
                      </w:rPr>
                      <w:instrText xml:space="preserve"> PAGE  \* MERGEFORMAT </w:instrText>
                    </w:r>
                    <w:r>
                      <w:rPr>
                        <w:rFonts w:hint="default" w:ascii="Times New Roman" w:hAnsi="Times New Roman" w:eastAsia="宋体" w:cs="Times New Roman"/>
                        <w:sz w:val="28"/>
                        <w:szCs w:val="28"/>
                        <w:lang w:eastAsia="zh-CN"/>
                      </w:rPr>
                      <w:fldChar w:fldCharType="separate"/>
                    </w:r>
                    <w:r>
                      <w:rPr>
                        <w:rFonts w:hint="default" w:ascii="Times New Roman" w:hAnsi="Times New Roman" w:eastAsia="宋体" w:cs="Times New Roman"/>
                        <w:sz w:val="28"/>
                        <w:szCs w:val="28"/>
                        <w:lang w:eastAsia="zh-CN"/>
                      </w:rPr>
                      <w:t>1</w:t>
                    </w:r>
                    <w:r>
                      <w:rPr>
                        <w:rFonts w:hint="default" w:ascii="Times New Roman" w:hAnsi="Times New Roman" w:eastAsia="宋体" w:cs="Times New Roman"/>
                        <w:sz w:val="28"/>
                        <w:szCs w:val="28"/>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E22E8DD"/>
    <w:multiLevelType w:val="singleLevel"/>
    <w:tmpl w:val="4E22E8DD"/>
    <w:lvl w:ilvl="0" w:tentative="0">
      <w:start w:val="1"/>
      <w:numFmt w:val="decimal"/>
      <w:lvlText w:val="%1"/>
      <w:lvlJc w:val="left"/>
      <w:pPr>
        <w:tabs>
          <w:tab w:val="left" w:pos="420"/>
        </w:tabs>
        <w:ind w:left="425" w:leftChars="0" w:hanging="425" w:firstLineChars="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56938"/>
    <w:rsid w:val="0023264F"/>
    <w:rsid w:val="008C7ED6"/>
    <w:rsid w:val="00C02F20"/>
    <w:rsid w:val="00C70082"/>
    <w:rsid w:val="00EE0AB7"/>
    <w:rsid w:val="01B11D00"/>
    <w:rsid w:val="03A024E2"/>
    <w:rsid w:val="03E07B17"/>
    <w:rsid w:val="042D0DE7"/>
    <w:rsid w:val="044A289E"/>
    <w:rsid w:val="048344F3"/>
    <w:rsid w:val="05301FF1"/>
    <w:rsid w:val="056D571E"/>
    <w:rsid w:val="070E53E3"/>
    <w:rsid w:val="07610D5D"/>
    <w:rsid w:val="07D34B7C"/>
    <w:rsid w:val="08D57794"/>
    <w:rsid w:val="08EA284F"/>
    <w:rsid w:val="090C3960"/>
    <w:rsid w:val="09312B4B"/>
    <w:rsid w:val="0955419E"/>
    <w:rsid w:val="09614E6A"/>
    <w:rsid w:val="0A1E1346"/>
    <w:rsid w:val="0A42533E"/>
    <w:rsid w:val="0B175567"/>
    <w:rsid w:val="0B2B52EC"/>
    <w:rsid w:val="0B375949"/>
    <w:rsid w:val="0B9D1278"/>
    <w:rsid w:val="0BD60354"/>
    <w:rsid w:val="0C98436A"/>
    <w:rsid w:val="0D387FD9"/>
    <w:rsid w:val="0DDA6455"/>
    <w:rsid w:val="0E400515"/>
    <w:rsid w:val="0EFA360B"/>
    <w:rsid w:val="0F503AD5"/>
    <w:rsid w:val="0FB942A7"/>
    <w:rsid w:val="1093518E"/>
    <w:rsid w:val="11132DDE"/>
    <w:rsid w:val="111D4088"/>
    <w:rsid w:val="111E4A8F"/>
    <w:rsid w:val="116760A0"/>
    <w:rsid w:val="1174408B"/>
    <w:rsid w:val="121F4030"/>
    <w:rsid w:val="137C675F"/>
    <w:rsid w:val="147E5711"/>
    <w:rsid w:val="14F01798"/>
    <w:rsid w:val="15560308"/>
    <w:rsid w:val="15F46AC7"/>
    <w:rsid w:val="16E61A90"/>
    <w:rsid w:val="176A3EFE"/>
    <w:rsid w:val="183876BF"/>
    <w:rsid w:val="1A3E05BB"/>
    <w:rsid w:val="1B5F759B"/>
    <w:rsid w:val="1BCB096D"/>
    <w:rsid w:val="1BCF002B"/>
    <w:rsid w:val="1C0A73D2"/>
    <w:rsid w:val="1C286255"/>
    <w:rsid w:val="1CA11D40"/>
    <w:rsid w:val="1D2E2194"/>
    <w:rsid w:val="1D7B4B4D"/>
    <w:rsid w:val="1EE11610"/>
    <w:rsid w:val="1EF94490"/>
    <w:rsid w:val="1F0C2CA5"/>
    <w:rsid w:val="1F3271D4"/>
    <w:rsid w:val="1F696895"/>
    <w:rsid w:val="1F825378"/>
    <w:rsid w:val="1FD86EB4"/>
    <w:rsid w:val="202B09C6"/>
    <w:rsid w:val="204B5F3D"/>
    <w:rsid w:val="20570C9C"/>
    <w:rsid w:val="20874C13"/>
    <w:rsid w:val="210F18AE"/>
    <w:rsid w:val="211075ED"/>
    <w:rsid w:val="2178783A"/>
    <w:rsid w:val="21831BF3"/>
    <w:rsid w:val="21DF3BA6"/>
    <w:rsid w:val="226564B7"/>
    <w:rsid w:val="2308670C"/>
    <w:rsid w:val="23402B49"/>
    <w:rsid w:val="23BB094F"/>
    <w:rsid w:val="2425430C"/>
    <w:rsid w:val="2432746C"/>
    <w:rsid w:val="245603A3"/>
    <w:rsid w:val="24E06EEC"/>
    <w:rsid w:val="25042823"/>
    <w:rsid w:val="2508177A"/>
    <w:rsid w:val="2527636A"/>
    <w:rsid w:val="273910A1"/>
    <w:rsid w:val="274A5F06"/>
    <w:rsid w:val="27A56BF5"/>
    <w:rsid w:val="289A5A6E"/>
    <w:rsid w:val="28A66A29"/>
    <w:rsid w:val="29031406"/>
    <w:rsid w:val="297A60DF"/>
    <w:rsid w:val="29CC6595"/>
    <w:rsid w:val="2A0B582E"/>
    <w:rsid w:val="2A7C57CB"/>
    <w:rsid w:val="2B5A3732"/>
    <w:rsid w:val="2B7D759B"/>
    <w:rsid w:val="2CD6001B"/>
    <w:rsid w:val="2D187BC1"/>
    <w:rsid w:val="2D2D1914"/>
    <w:rsid w:val="2D3835D9"/>
    <w:rsid w:val="2DA123A2"/>
    <w:rsid w:val="2E3A0C2C"/>
    <w:rsid w:val="2EF125E6"/>
    <w:rsid w:val="2F0E20A0"/>
    <w:rsid w:val="2FBD17E0"/>
    <w:rsid w:val="2FDE635B"/>
    <w:rsid w:val="2FEB2077"/>
    <w:rsid w:val="2FFF24E0"/>
    <w:rsid w:val="30D92955"/>
    <w:rsid w:val="313D4ECF"/>
    <w:rsid w:val="325B0AB7"/>
    <w:rsid w:val="328C52E9"/>
    <w:rsid w:val="332F3DF1"/>
    <w:rsid w:val="33885662"/>
    <w:rsid w:val="3389749D"/>
    <w:rsid w:val="34760845"/>
    <w:rsid w:val="349168AE"/>
    <w:rsid w:val="35311350"/>
    <w:rsid w:val="362318F3"/>
    <w:rsid w:val="370A2210"/>
    <w:rsid w:val="373B4267"/>
    <w:rsid w:val="3841792A"/>
    <w:rsid w:val="3A9F451F"/>
    <w:rsid w:val="3AF743DD"/>
    <w:rsid w:val="3DE6355A"/>
    <w:rsid w:val="3E5F27F5"/>
    <w:rsid w:val="3F7108C7"/>
    <w:rsid w:val="3F99556E"/>
    <w:rsid w:val="3FDB09CE"/>
    <w:rsid w:val="401E1EE2"/>
    <w:rsid w:val="40993350"/>
    <w:rsid w:val="41DE200E"/>
    <w:rsid w:val="42F11D00"/>
    <w:rsid w:val="437129D9"/>
    <w:rsid w:val="44472949"/>
    <w:rsid w:val="44A46D1D"/>
    <w:rsid w:val="44A6501A"/>
    <w:rsid w:val="45921A6D"/>
    <w:rsid w:val="474073BF"/>
    <w:rsid w:val="48C9765A"/>
    <w:rsid w:val="48EB41A3"/>
    <w:rsid w:val="498D6104"/>
    <w:rsid w:val="4B4377CC"/>
    <w:rsid w:val="4B880214"/>
    <w:rsid w:val="4BEE6480"/>
    <w:rsid w:val="4CDA090F"/>
    <w:rsid w:val="4E0F70FD"/>
    <w:rsid w:val="4E3E1257"/>
    <w:rsid w:val="4E836FCB"/>
    <w:rsid w:val="4E931B8C"/>
    <w:rsid w:val="4EE073CA"/>
    <w:rsid w:val="4EE41395"/>
    <w:rsid w:val="4F0F4EB2"/>
    <w:rsid w:val="4F553CC4"/>
    <w:rsid w:val="4FF4136F"/>
    <w:rsid w:val="500E565C"/>
    <w:rsid w:val="51C751BB"/>
    <w:rsid w:val="54BF19F9"/>
    <w:rsid w:val="55DB30C7"/>
    <w:rsid w:val="56330C0B"/>
    <w:rsid w:val="57DA11EF"/>
    <w:rsid w:val="587F2199"/>
    <w:rsid w:val="58AF730B"/>
    <w:rsid w:val="58B812B9"/>
    <w:rsid w:val="58C4418B"/>
    <w:rsid w:val="59CE5D9F"/>
    <w:rsid w:val="59FF70F7"/>
    <w:rsid w:val="5A2671E5"/>
    <w:rsid w:val="5AF77728"/>
    <w:rsid w:val="5B3A3210"/>
    <w:rsid w:val="5E31291A"/>
    <w:rsid w:val="5E377142"/>
    <w:rsid w:val="5EDC54CD"/>
    <w:rsid w:val="5EEC17D6"/>
    <w:rsid w:val="60234D91"/>
    <w:rsid w:val="616126EA"/>
    <w:rsid w:val="63B81707"/>
    <w:rsid w:val="65780951"/>
    <w:rsid w:val="65B464FE"/>
    <w:rsid w:val="66E105B5"/>
    <w:rsid w:val="6700158A"/>
    <w:rsid w:val="677E5C08"/>
    <w:rsid w:val="679A3CD9"/>
    <w:rsid w:val="67C100DA"/>
    <w:rsid w:val="67FA4301"/>
    <w:rsid w:val="681B5012"/>
    <w:rsid w:val="68525D09"/>
    <w:rsid w:val="686976D2"/>
    <w:rsid w:val="69CD6848"/>
    <w:rsid w:val="6A6206C2"/>
    <w:rsid w:val="6A967A4C"/>
    <w:rsid w:val="6A9C095F"/>
    <w:rsid w:val="6AAD3D02"/>
    <w:rsid w:val="6B1C4331"/>
    <w:rsid w:val="6BE16598"/>
    <w:rsid w:val="6DB70C2C"/>
    <w:rsid w:val="6E130597"/>
    <w:rsid w:val="6E2E1B98"/>
    <w:rsid w:val="6EC7748E"/>
    <w:rsid w:val="6F097C0E"/>
    <w:rsid w:val="6F14109B"/>
    <w:rsid w:val="6FB829F0"/>
    <w:rsid w:val="6FD4538A"/>
    <w:rsid w:val="712D250F"/>
    <w:rsid w:val="715E2CC1"/>
    <w:rsid w:val="71BE2F35"/>
    <w:rsid w:val="720A2DD6"/>
    <w:rsid w:val="74B03F5A"/>
    <w:rsid w:val="75250291"/>
    <w:rsid w:val="76571F8E"/>
    <w:rsid w:val="76FB3992"/>
    <w:rsid w:val="77343907"/>
    <w:rsid w:val="77952129"/>
    <w:rsid w:val="77A5246D"/>
    <w:rsid w:val="786D2472"/>
    <w:rsid w:val="79CA1344"/>
    <w:rsid w:val="7A164F75"/>
    <w:rsid w:val="7B0C2D68"/>
    <w:rsid w:val="7B311E39"/>
    <w:rsid w:val="7B8A1F4C"/>
    <w:rsid w:val="7B9615F4"/>
    <w:rsid w:val="7BCD638F"/>
    <w:rsid w:val="7C7520FB"/>
    <w:rsid w:val="7C855097"/>
    <w:rsid w:val="7DE5081A"/>
    <w:rsid w:val="7E7E1BA5"/>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bidi="ar"/>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pBdr>
        <w:top w:val="none" w:color="auto" w:sz="0" w:space="0"/>
        <w:left w:val="none" w:color="auto" w:sz="0" w:space="0"/>
        <w:bottom w:val="none" w:color="auto" w:sz="0" w:space="0"/>
        <w:right w:val="none" w:color="auto" w:sz="0" w:space="0"/>
      </w:pBdr>
      <w:spacing w:before="0" w:beforeAutospacing="0" w:after="0" w:afterAutospacing="0"/>
      <w:ind w:left="0" w:right="0"/>
      <w:jc w:val="left"/>
    </w:pPr>
    <w:rPr>
      <w:kern w:val="0"/>
      <w:sz w:val="24"/>
      <w:lang w:val="en-US" w:eastAsia="zh-CN" w:bidi="ar"/>
    </w:rPr>
  </w:style>
  <w:style w:type="paragraph" w:styleId="6">
    <w:name w:val="Body Text First Indent"/>
    <w:basedOn w:val="1"/>
    <w:qFormat/>
    <w:uiPriority w:val="0"/>
    <w:pPr>
      <w:ind w:firstLine="200" w:firstLineChars="200"/>
    </w:pPr>
    <w:rPr>
      <w:szCs w:val="22"/>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Strong"/>
    <w:basedOn w:val="9"/>
    <w:qFormat/>
    <w:uiPriority w:val="0"/>
    <w:rPr>
      <w:b/>
    </w:rPr>
  </w:style>
  <w:style w:type="paragraph" w:customStyle="1" w:styleId="11">
    <w:name w:val="_Style 5"/>
    <w:basedOn w:val="1"/>
    <w:qFormat/>
    <w:uiPriority w:val="99"/>
    <w:pPr>
      <w:ind w:firstLine="420" w:firstLineChars="200"/>
    </w:p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Kingsoft</Company>
  <Pages>1</Pages>
  <Words>0</Words>
  <Characters>0</Characters>
  <Lines>0</Lines>
  <Paragraphs>0</Paragraphs>
  <TotalTime>1</TotalTime>
  <ScaleCrop>false</ScaleCrop>
  <LinksUpToDate>false</LinksUpToDate>
  <CharactersWithSpaces>0</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dc:creator>
  <cp:lastModifiedBy>Meirrr</cp:lastModifiedBy>
  <cp:lastPrinted>2021-04-22T06:57:00Z</cp:lastPrinted>
  <dcterms:modified xsi:type="dcterms:W3CDTF">2021-04-25T09:46:57Z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KSOSaveFontToCloudKey">
    <vt:lpwstr>325051549_embed</vt:lpwstr>
  </property>
  <property fmtid="{D5CDD505-2E9C-101B-9397-08002B2CF9AE}" pid="4" name="ICV">
    <vt:lpwstr>B58EC8656D864179B4FD71BCF9A53FAC</vt:lpwstr>
  </property>
</Properties>
</file>