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b/>
          <w:kern w:val="0"/>
          <w:sz w:val="32"/>
          <w:szCs w:val="32"/>
        </w:rPr>
      </w:pPr>
      <w:r>
        <w:rPr>
          <w:rFonts w:hint="eastAsia" w:ascii="宋体" w:hAnsi="宋体"/>
          <w:b/>
          <w:kern w:val="0"/>
          <w:sz w:val="32"/>
          <w:szCs w:val="32"/>
        </w:rPr>
        <w:t>择   优  项  目  表</w:t>
      </w:r>
    </w:p>
    <w:p>
      <w:pPr>
        <w:widowControl/>
        <w:jc w:val="left"/>
        <w:rPr>
          <w:rFonts w:ascii="宋体" w:hAnsi="宋体" w:cs="宋体"/>
          <w:bCs/>
          <w:kern w:val="0"/>
          <w:szCs w:val="21"/>
        </w:rPr>
      </w:pPr>
      <w:r>
        <w:rPr>
          <w:rFonts w:hint="eastAsia" w:cs="宋体"/>
          <w:kern w:val="0"/>
          <w:szCs w:val="21"/>
        </w:rPr>
        <w:t>项目名称</w:t>
      </w:r>
      <w:r>
        <w:rPr>
          <w:rFonts w:hint="eastAsia" w:eastAsia="宋体" w:cs="宋体"/>
          <w:kern w:val="0"/>
          <w:szCs w:val="21"/>
        </w:rPr>
        <w:t>：</w:t>
      </w:r>
      <w:r>
        <w:rPr>
          <w:rFonts w:hint="eastAsia" w:eastAsia="宋体" w:cs="宋体"/>
          <w:kern w:val="0"/>
          <w:szCs w:val="21"/>
          <w:lang w:val="en-US" w:eastAsia="zh-CN"/>
        </w:rPr>
        <w:t>财务系统升级服务单位</w:t>
      </w:r>
      <w:r>
        <w:rPr>
          <w:rFonts w:hint="eastAsia" w:cs="宋体"/>
          <w:kern w:val="0"/>
          <w:szCs w:val="21"/>
          <w:lang w:eastAsia="zh-CN"/>
        </w:rPr>
        <w:t>（</w:t>
      </w:r>
      <w:r>
        <w:rPr>
          <w:rFonts w:hint="eastAsia" w:cs="宋体"/>
          <w:kern w:val="0"/>
          <w:szCs w:val="21"/>
          <w:lang w:val="en-US" w:eastAsia="zh-CN"/>
        </w:rPr>
        <w:t>第二次</w:t>
      </w:r>
      <w:r>
        <w:rPr>
          <w:rFonts w:hint="eastAsia" w:cs="宋体"/>
          <w:kern w:val="0"/>
          <w:szCs w:val="21"/>
          <w:lang w:eastAsia="zh-CN"/>
        </w:rPr>
        <w:t>）</w:t>
      </w:r>
      <w:r>
        <w:rPr>
          <w:rFonts w:hint="eastAsia" w:cs="宋体"/>
          <w:kern w:val="0"/>
          <w:szCs w:val="21"/>
        </w:rPr>
        <w:t xml:space="preserve">                                                                       日期：</w:t>
      </w:r>
      <w:r>
        <w:rPr>
          <w:rFonts w:hint="eastAsia" w:ascii="宋体" w:hAnsi="宋体" w:cs="宋体"/>
          <w:kern w:val="0"/>
          <w:szCs w:val="21"/>
        </w:rPr>
        <w:t xml:space="preserve">  </w:t>
      </w:r>
      <w:r>
        <w:rPr>
          <w:rFonts w:hint="eastAsia" w:cs="宋体"/>
          <w:kern w:val="0"/>
          <w:szCs w:val="21"/>
        </w:rPr>
        <w:t>年</w:t>
      </w:r>
      <w:r>
        <w:rPr>
          <w:rFonts w:ascii="宋体" w:hAnsi="宋体" w:cs="宋体"/>
          <w:kern w:val="0"/>
          <w:szCs w:val="21"/>
        </w:rPr>
        <w:t xml:space="preserve">  </w:t>
      </w:r>
      <w:r>
        <w:rPr>
          <w:rFonts w:hint="eastAsia" w:cs="宋体"/>
          <w:kern w:val="0"/>
          <w:szCs w:val="21"/>
        </w:rPr>
        <w:t>月</w:t>
      </w:r>
      <w:r>
        <w:rPr>
          <w:rFonts w:ascii="宋体" w:hAnsi="宋体" w:cs="宋体"/>
          <w:kern w:val="0"/>
          <w:szCs w:val="21"/>
        </w:rPr>
        <w:t xml:space="preserve">   </w:t>
      </w:r>
      <w:r>
        <w:rPr>
          <w:rFonts w:hint="eastAsia" w:cs="宋体"/>
          <w:kern w:val="0"/>
          <w:szCs w:val="21"/>
        </w:rPr>
        <w:t xml:space="preserve">日                                                               </w:t>
      </w:r>
      <w:r>
        <w:rPr>
          <w:rFonts w:hint="eastAsia" w:ascii="宋体" w:hAnsi="宋体" w:cs="宋体"/>
          <w:kern w:val="0"/>
          <w:szCs w:val="21"/>
        </w:rPr>
        <w:t xml:space="preserve"> </w:t>
      </w:r>
      <w:r>
        <w:rPr>
          <w:rFonts w:ascii="宋体" w:hAnsi="宋体" w:cs="宋体"/>
          <w:kern w:val="0"/>
          <w:szCs w:val="21"/>
        </w:rPr>
        <w:t xml:space="preserve">   </w:t>
      </w:r>
    </w:p>
    <w:tbl>
      <w:tblPr>
        <w:tblStyle w:val="5"/>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09"/>
        <w:gridCol w:w="663"/>
        <w:gridCol w:w="812"/>
        <w:gridCol w:w="604"/>
        <w:gridCol w:w="812"/>
        <w:gridCol w:w="976"/>
        <w:gridCol w:w="1137"/>
        <w:gridCol w:w="800"/>
        <w:gridCol w:w="5"/>
        <w:gridCol w:w="1407"/>
        <w:gridCol w:w="1145"/>
        <w:gridCol w:w="1005"/>
        <w:gridCol w:w="5"/>
        <w:gridCol w:w="1070"/>
        <w:gridCol w:w="765"/>
        <w:gridCol w:w="800"/>
        <w:gridCol w:w="141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pacing w:val="-10"/>
                <w:kern w:val="0"/>
                <w:sz w:val="18"/>
                <w:szCs w:val="18"/>
              </w:rPr>
            </w:pPr>
            <w:r>
              <w:rPr>
                <w:rFonts w:hint="eastAsia" w:ascii="宋体" w:hAnsi="宋体" w:cs="宋体"/>
                <w:spacing w:val="-10"/>
                <w:kern w:val="0"/>
                <w:sz w:val="18"/>
                <w:szCs w:val="18"/>
              </w:rPr>
              <w:t>序</w:t>
            </w:r>
          </w:p>
          <w:p>
            <w:pPr>
              <w:widowControl/>
              <w:jc w:val="center"/>
              <w:rPr>
                <w:rFonts w:ascii="宋体" w:hAnsi="宋体" w:cs="宋体"/>
                <w:spacing w:val="-10"/>
                <w:kern w:val="0"/>
                <w:sz w:val="18"/>
                <w:szCs w:val="18"/>
              </w:rPr>
            </w:pPr>
          </w:p>
          <w:p>
            <w:pPr>
              <w:widowControl/>
              <w:jc w:val="center"/>
              <w:rPr>
                <w:rFonts w:ascii="宋体" w:hAnsi="宋体" w:cs="宋体"/>
                <w:spacing w:val="-10"/>
                <w:kern w:val="0"/>
                <w:sz w:val="18"/>
                <w:szCs w:val="18"/>
              </w:rPr>
            </w:pPr>
          </w:p>
          <w:p>
            <w:pPr>
              <w:widowControl/>
              <w:jc w:val="center"/>
              <w:rPr>
                <w:rFonts w:ascii="宋体" w:hAnsi="宋体" w:cs="宋体"/>
                <w:spacing w:val="-10"/>
                <w:kern w:val="0"/>
                <w:sz w:val="18"/>
                <w:szCs w:val="18"/>
              </w:rPr>
            </w:pPr>
            <w:r>
              <w:rPr>
                <w:rFonts w:hint="eastAsia" w:ascii="宋体" w:hAnsi="宋体" w:cs="宋体"/>
                <w:spacing w:val="-10"/>
                <w:kern w:val="0"/>
                <w:sz w:val="18"/>
                <w:szCs w:val="18"/>
              </w:rPr>
              <w:t>号</w:t>
            </w:r>
          </w:p>
        </w:tc>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center"/>
              <w:rPr>
                <w:rFonts w:hint="default" w:ascii="宋体" w:hAnsi="宋体" w:eastAsia="宋体" w:cs="宋体"/>
                <w:kern w:val="0"/>
                <w:sz w:val="18"/>
                <w:szCs w:val="18"/>
                <w:lang w:val="en-US" w:eastAsia="zh-CN"/>
              </w:rPr>
            </w:pPr>
            <w:r>
              <w:rPr>
                <w:rFonts w:hint="eastAsia" w:ascii="宋体" w:hAnsi="宋体" w:cs="宋体"/>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-52070</wp:posOffset>
                      </wp:positionH>
                      <wp:positionV relativeFrom="paragraph">
                        <wp:posOffset>26035</wp:posOffset>
                      </wp:positionV>
                      <wp:extent cx="675640" cy="971550"/>
                      <wp:effectExtent l="3810" t="2540" r="6350" b="16510"/>
                      <wp:wrapNone/>
                      <wp:docPr id="2" name="直接连接符 2"/>
                      <wp:cNvGraphicFramePr/>
                      <a:graphic xmlns:a="http://schemas.openxmlformats.org/drawingml/2006/main">
                        <a:graphicData uri="http://schemas.microsoft.com/office/word/2010/wordprocessingShape">
                          <wps:wsp>
                            <wps:cNvCnPr/>
                            <wps:spPr>
                              <a:xfrm>
                                <a:off x="0" y="0"/>
                                <a:ext cx="675640" cy="9715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1pt;margin-top:2.05pt;height:76.5pt;width:53.2pt;z-index:-251657216;mso-width-relative:page;mso-height-relative:page;" filled="f" stroked="t" coordsize="21600,21600" o:gfxdata="UEsDBAoAAAAAAIdO4kAAAAAAAAAAAAAAAAAEAAAAZHJzL1BLAwQUAAAACACHTuJAbkwxW9QAAAAH&#10;AQAADwAAAGRycy9kb3ducmV2LnhtbE2OPU/DQBBEeyT+w2mRaKLkbAMhGJ9TAO5oEohoN77FtvDt&#10;Ob7LB/x6NhWUo3maecXy5Hp1oDF0ng2kswQUce1tx42B97dqugAVIrLF3jMZ+KYAy/LyosDc+iOv&#10;6LCOjZIRDjkaaGMccq1D3ZLDMPMDsXSffnQYJY6NtiMeZdz1OkuSuXbYsTy0ONBTS/XXeu8MhGpD&#10;u+pnUk+Sj5vGU7Z7fn1BY66v0uQRVKRT/IPhrC/qUIrT1u/ZBtUbmC4yIQ3cpqCkfjjHrWB39yno&#10;stD//ctfUEsDBBQAAAAIAIdO4kDRLy8H1gEAAI4DAAAOAAAAZHJzL2Uyb0RvYy54bWytU82O0zAQ&#10;viPxDpbvNG1FumzUdA9blguCSrAPMLWdxJL/5DFN+xK8ABI3OHHkztuwPAZjt3T5uSBEDpPxeOab&#10;+b5Mlld7a9hORdTetXw2mXKmnPBSu77lt69vHj3hDBM4CcY71fKDQn61evhgOYZGzf3gjVSREYjD&#10;ZgwtH1IKTVWhGJQFnPigHF12PlpIdIx9JSOMhG5NNZ9OF9XoowzRC4VI0fXxkq8KftcpkV52HarE&#10;TMtptlRsLHabbbVaQtNHCIMWpzHgH6awoB01PUOtIQF7E/UfUFaL6NF3aSK8rXzXaaEKB2Izm/7G&#10;5tUAQRUuJA6Gs0z4/2DFi90mMi1bPufMgaVPdPfu89e3H759eU/27tNHNs8ijQEbyr12m3g6YdjE&#10;zHjfRZvfxIXti7CHs7Bqn5ig4OKiXjwm+QVdXV7M6roIX90Xh4jpmfKWZaflRrvMGxrYPcdEDSn1&#10;R0oOG8dGQqrnNWECrU1nIJFrAxFB15da9EbLG21MrsDYb69NZDvIi1CeTItwf0nLTdaAwzGvXB1X&#10;ZFAgnzrJ0iGQRI52mecRrJKcGUWrnz0ChCaBNn+TSa2Nowmyskcts7f18lAkLnH66GXG04Lmrfr5&#10;XKrvf6P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5MMVvUAAAABwEAAA8AAAAAAAAAAQAgAAAA&#10;IgAAAGRycy9kb3ducmV2LnhtbFBLAQIUABQAAAAIAIdO4kDRLy8H1gEAAI4DAAAOAAAAAAAAAAEA&#10;IAAAACMBAABkcnMvZTJvRG9jLnhtbFBLBQYAAAAABgAGAFkBAABrBQAAAAA=&#10;">
                      <v:fill on="f" focussize="0,0"/>
                      <v:stroke color="#000000" joinstyle="round"/>
                      <v:imagedata o:title=""/>
                      <o:lock v:ext="edit" aspectratio="f"/>
                    </v:line>
                  </w:pict>
                </mc:Fallback>
              </mc:AlternateContent>
            </w:r>
            <w:r>
              <w:rPr>
                <w:rFonts w:hint="eastAsia" w:ascii="宋体" w:hAnsi="宋体" w:cs="宋体"/>
                <w:kern w:val="0"/>
                <w:sz w:val="18"/>
                <w:szCs w:val="18"/>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-2540</wp:posOffset>
                      </wp:positionV>
                      <wp:extent cx="697230" cy="3937000"/>
                      <wp:effectExtent l="4445" t="635" r="22225" b="5715"/>
                      <wp:wrapNone/>
                      <wp:docPr id="3" name="直接连接符 3"/>
                      <wp:cNvGraphicFramePr/>
                      <a:graphic xmlns:a="http://schemas.openxmlformats.org/drawingml/2006/main">
                        <a:graphicData uri="http://schemas.microsoft.com/office/word/2010/wordprocessingShape">
                          <wps:wsp>
                            <wps:cNvCnPr/>
                            <wps:spPr>
                              <a:xfrm>
                                <a:off x="0" y="0"/>
                                <a:ext cx="697230" cy="39370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0.2pt;height:310pt;width:54.9pt;z-index:-251655168;mso-width-relative:page;mso-height-relative:page;" filled="f" stroked="t" coordsize="21600,21600" o:gfxdata="UEsDBAoAAAAAAIdO4kAAAAAAAAAAAAAAAAAEAAAAZHJzL1BLAwQUAAAACACHTuJAVa/e4dcAAAAI&#10;AQAADwAAAGRycy9kb3ducmV2LnhtbE2PvU7DQBCEeyTe4bRINFFy5wQsbHxOAbijIYBoN/ZiW/j2&#10;HN/lB56epQrdrGY0822xPrlBHWgKvWcLycKAIq5903Nr4e21mt+BChG5wcEzWfimAOvy8qLAvPFH&#10;fqHDJrZKSjjkaKGLccy1DnVHDsPCj8TiffrJYZRzanUz4VHK3aCXxqTaYc+y0OFIDx3VX5u9sxCq&#10;d9pVP7N6Zj5Wrafl7vH5Ca29vkrMPahIp3gOwx++oEMpTFu/5yaowcI8MSuJirgBJX6W3YLaWkiT&#10;LAVdFvr/A+UvUEsDBBQAAAAIAIdO4kCrwAMC2AEAAI8DAAAOAAAAZHJzL2Uyb0RvYy54bWytU82O&#10;0zAQviPxDpbvNNlGu0ujpnvYslwQVAIeYGo7jSX/yWOa9iV4ASRucOLInbdheQzGbunuwgUhcpiM&#10;xzPfzPdlMr/aWcO2KqL2ruNnk5oz5YSX2m06/vbNzZOnnGECJ8F4pzq+V8ivFo8fzcfQqqkfvJEq&#10;MgJx2I6h40NKoa0qFIOygBMflKPL3kcLiY5xU8kII6FbU03r+qIafZQheqEQKbo8XPJFwe97JdKr&#10;vkeVmOk4zZaKjcWus60Wc2g3EcKgxXEM+IcpLGhHTU9QS0jA3kX9B5TVInr0fZoIbyvf91qowoHY&#10;nNW/sXk9QFCFC4mD4SQT/j9Y8XK7ikzLjjecObD0iW4/fP3+/tOPbx/J3n75zJos0hiwpdxrt4rH&#10;E4ZVzIx3fbT5TVzYrgi7PwmrdokJCl7MLqcNyS/oqpk1l3VdlK/uqkPE9Fx5y7LTcaNdJg4tbF9g&#10;oo6U+islh41jY8dn59NzAgXam95AItcGYoJuU2rRGy1vtDG5AuNmfW0i20LehPJkXoT7IC03WQIO&#10;h7xyddiRQYF85iRL+0AaOVpmnkewSnJmFO1+9ggQ2gTa/E0mtTaOJsjSHsTM3trLfdG4xOmrlxmP&#10;G5rX6v65VN/9R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a/e4dcAAAAIAQAADwAAAAAAAAAB&#10;ACAAAAAiAAAAZHJzL2Rvd25yZXYueG1sUEsBAhQAFAAAAAgAh07iQKvAAwLYAQAAjwMAAA4AAAAA&#10;AAAAAQAgAAAAJgEAAGRycy9lMm9Eb2MueG1sUEsFBgAAAAAGAAYAWQEAAHAFAAAAAA==&#10;">
                      <v:fill on="f" focussize="0,0"/>
                      <v:stroke color="#000000" joinstyle="round"/>
                      <v:imagedata o:title=""/>
                      <o:lock v:ext="edit" aspectratio="f"/>
                    </v:line>
                  </w:pict>
                </mc:Fallback>
              </mc:AlternateContent>
            </w:r>
            <w:r>
              <w:rPr>
                <w:rFonts w:hint="eastAsia" w:ascii="宋体" w:hAnsi="宋体" w:cs="宋体"/>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8890</wp:posOffset>
                      </wp:positionV>
                      <wp:extent cx="693420" cy="1972945"/>
                      <wp:effectExtent l="4445" t="1270" r="6985" b="6985"/>
                      <wp:wrapNone/>
                      <wp:docPr id="1" name="直接连接符 1"/>
                      <wp:cNvGraphicFramePr/>
                      <a:graphic xmlns:a="http://schemas.openxmlformats.org/drawingml/2006/main">
                        <a:graphicData uri="http://schemas.microsoft.com/office/word/2010/wordprocessingShape">
                          <wps:wsp>
                            <wps:cNvCnPr/>
                            <wps:spPr>
                              <a:xfrm>
                                <a:off x="0" y="0"/>
                                <a:ext cx="693420" cy="19729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5pt;margin-top:0.7pt;height:155.35pt;width:54.6pt;z-index:-251656192;mso-width-relative:page;mso-height-relative:page;" filled="f" stroked="t" coordsize="21600,21600" o:gfxdata="UEsDBAoAAAAAAIdO4kAAAAAAAAAAAAAAAAAEAAAAZHJzL1BLAwQUAAAACACHTuJAq6WawtUAAAAH&#10;AQAADwAAAGRycy9kb3ducmV2LnhtbE2Ou07DQBBFeyT+YTVINFGya4eXjdcpAHc0CSDaiT3YFt5Z&#10;x7t5wNczVFDeh+49xerkBnWgKfSeLSQLA4q49k3PrYXXl2p+BypE5AYHz2ThiwKsyvOzAvPGH3lN&#10;h01slYxwyNFCF+OYax3qjhyGhR+JJfvwk8Mocmp1M+FRxt2gU2NutMOe5aHDkR46qj83e2chVG+0&#10;q75n9cy8L1tP6e7x+QmtvbxIzD2oSKf4V4ZffEGHUpi2fs9NUIOFeXYrTfGvQEmcZdegthaWSZqA&#10;Lgv9n7/8AVBLAwQUAAAACACHTuJAqS0cT9UBAACPAwAADgAAAGRycy9lMm9Eb2MueG1srVNLjhMx&#10;EN0jcQfLe9JJMxlIK51ZTBg2CCIBB6jY7m5L/sll0skluAASO1ixZM9tGI5B2QkZPhuE6EV1uT6v&#10;6z1XL6/21rCdiqi9a/lsMuVMOeGldn3LX7+6efCYM0zgJBjvVMsPCvnV6v695RgaVfvBG6kiIxCH&#10;zRhaPqQUmqpCMSgLOPFBOUp2PlpIdIx9JSOMhG5NVU+nl9XoowzRC4VI0fUxyVcFv+uUSC+6DlVi&#10;puU0Wyo2FrvNtlotoekjhEGL0xjwD1NY0I4+eoZaQwL2Juo/oKwW0aPv0kR4W/mu00IVDsRmNv2N&#10;zcsBgipcSBwMZ5nw/8GK57tNZFrS3XHmwNIV3b77/PXth29f3pO9/fSRzbJIY8CGaq/dJp5OGDYx&#10;M9530eY3cWH7IuzhLKzaJyYoeLl4eFGT/IJSs8WjenExz6DVXXeImJ4qb1l2Wm60y8Shgd0zTMfS&#10;HyU5bBwbW76Y13MCBdqbzkAi1wZigq4vveiNljfamNyBsd9em8h2kDehPKcRfinLH1kDDse6kspl&#10;0AwK5BMnWToE0sjRMvM8glWSM6No97NXKhNo8zeVxN44EiFLexQze1svD0XjEqdbLzKdNjSv1c/n&#10;0n33H6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ulmsLVAAAABwEAAA8AAAAAAAAAAQAgAAAA&#10;IgAAAGRycy9kb3ducmV2LnhtbFBLAQIUABQAAAAIAIdO4kCpLRxP1QEAAI8DAAAOAAAAAAAAAAEA&#10;IAAAACQBAABkcnMvZTJvRG9jLnhtbFBLBQYAAAAABgAGAFkBAABrBQAAAAA=&#10;">
                      <v:fill on="f" focussize="0,0"/>
                      <v:stroke color="#000000" joinstyle="round"/>
                      <v:imagedata o:title=""/>
                      <o:lock v:ext="edit" aspectratio="f"/>
                    </v:line>
                  </w:pict>
                </mc:Fallback>
              </mc:AlternateContent>
            </w:r>
            <w:r>
              <w:rPr>
                <w:rFonts w:hint="eastAsia" w:ascii="宋体" w:hAnsi="宋体" w:cs="宋体"/>
                <w:kern w:val="0"/>
                <w:sz w:val="18"/>
                <w:szCs w:val="18"/>
                <w:lang w:val="en-US" w:eastAsia="zh-CN"/>
              </w:rPr>
              <w:t>项目及权重</w:t>
            </w:r>
          </w:p>
          <w:p>
            <w:pPr>
              <w:widowControl/>
              <w:jc w:val="left"/>
              <w:rPr>
                <w:rFonts w:ascii="宋体" w:hAnsi="宋体" w:cs="宋体"/>
                <w:kern w:val="0"/>
                <w:sz w:val="18"/>
                <w:szCs w:val="18"/>
              </w:rPr>
            </w:pPr>
            <w:r>
              <w:rPr>
                <w:rFonts w:ascii="宋体" w:hAnsi="宋体" w:cs="宋体"/>
                <w:kern w:val="0"/>
                <w:sz w:val="18"/>
                <w:szCs w:val="18"/>
              </w:rPr>
              <w:t xml:space="preserve">  </w:t>
            </w:r>
          </w:p>
          <w:p>
            <w:pPr>
              <w:widowControl/>
              <w:jc w:val="left"/>
              <w:rPr>
                <w:rFonts w:ascii="宋体" w:hAnsi="宋体" w:cs="宋体"/>
                <w:kern w:val="0"/>
                <w:sz w:val="18"/>
                <w:szCs w:val="18"/>
              </w:rPr>
            </w:pPr>
          </w:p>
          <w:p>
            <w:pPr>
              <w:widowControl/>
              <w:ind w:left="1530" w:hanging="1530" w:hangingChars="850"/>
              <w:jc w:val="left"/>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lang w:val="en-US" w:eastAsia="zh-CN"/>
              </w:rPr>
              <w:t>分数</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cs="宋体"/>
                <w:kern w:val="0"/>
                <w:sz w:val="18"/>
                <w:szCs w:val="18"/>
              </w:rPr>
              <w:t>子项</w:t>
            </w:r>
            <w:r>
              <w:rPr>
                <w:rFonts w:ascii="宋体" w:hAnsi="宋体" w:cs="宋体"/>
                <w:kern w:val="0"/>
                <w:sz w:val="18"/>
                <w:szCs w:val="18"/>
              </w:rPr>
              <w:t xml:space="preserve"> </w:t>
            </w:r>
          </w:p>
          <w:p>
            <w:pPr>
              <w:widowControl/>
              <w:jc w:val="left"/>
              <w:rPr>
                <w:rFonts w:ascii="宋体" w:hAnsi="宋体" w:cs="宋体"/>
                <w:kern w:val="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602615</wp:posOffset>
                      </wp:positionV>
                      <wp:extent cx="309880" cy="1699260"/>
                      <wp:effectExtent l="4445" t="4445" r="9525" b="10795"/>
                      <wp:wrapNone/>
                      <wp:docPr id="5" name="文本框 5"/>
                      <wp:cNvGraphicFramePr/>
                      <a:graphic xmlns:a="http://schemas.openxmlformats.org/drawingml/2006/main">
                        <a:graphicData uri="http://schemas.microsoft.com/office/word/2010/wordprocessingShape">
                          <wps:wsp>
                            <wps:cNvSpPr txBox="1"/>
                            <wps:spPr>
                              <a:xfrm>
                                <a:off x="718820" y="3109595"/>
                                <a:ext cx="309880" cy="169926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单位名称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47.45pt;height:133.8pt;width:24.4pt;z-index:251662336;mso-width-relative:page;mso-height-relative:page;" fillcolor="#FFFFFF [3201]" filled="t" stroked="t" coordsize="21600,21600" o:gfxdata="UEsDBAoAAAAAAIdO4kAAAAAAAAAAAAAAAAAEAAAAZHJzL1BLAwQUAAAACACHTuJA8/JA49gAAAAI&#10;AQAADwAAAGRycy9kb3ducmV2LnhtbE2PQU+DQBSE7yb+h80z8dYuYEsp8ujBxJsxoVXrcQuvQGTf&#10;UnaB+u9dT3qczGTmm2x31Z2YaLCtYYRwGYAgLk3Vco3wdnheJCCsU1ypzjAhfJOFXX57k6m0MjMX&#10;NO1dLXwJ21QhNM71qZS2bEgruzQ9sffOZtDKeTnUshrU7Mt1J6MgiKVWLfuFRvX01FD5tR81wus0&#10;mvf6Y10e+XMubHK+FC/JBfH+LgweQTi6ur8w/OJ7dMg908mMXFnRISzi0CcRtqstCO+vog2IE8JD&#10;HK1B5pn8fyD/AVBLAwQUAAAACACHTuJAIYk43UYCAAB1BAAADgAAAGRycy9lMm9Eb2MueG1srVTN&#10;jtMwEL4j8Q6W7zRJ/7aJmq5KV0VIK3algji7jtNEcjzGdpuUB4A32BMX7jxXn4Ox2+52gQNC5OCM&#10;PV8+z3wzk+l110iyE8bWoHKa9GJKhOJQ1GqT0w/vl68mlFjHVMEkKJHTvbD0evbyxbTVmehDBbIQ&#10;hiCJslmrc1o5p7MosrwSDbM90EKhswTTMIdbs4kKw1pkb2TUj+Nx1IIptAEurMXTm6OTzgJ/WQru&#10;7srSCkdkTjE2F1YT1rVfo9mUZRvDdFXzUxjsH6JoWK3w0keqG+YY2Zr6N6qm5gYslK7HoYmgLGsu&#10;Qg6YTRL/ks2qYlqEXFAcqx9lsv+Plr/b3RtSFzkdUaJYgyU6PHw9fPtx+P6FjLw8rbYZolYaca57&#10;DR2W+Xxu8dBn3ZWm8W/Mh6D/KplM+qj2PqeDJE5HaSBimegc4egfxOlkgn6OgGScpv1xKET0RKSN&#10;dW8ENMQbOTVYxyAv291ah0Eh9Azx91qQdbGspQwbs1kvpCE7hjVfhsfHi588g0lF2pyOB6M4MD/z&#10;2b+hQEKpkNcLdBTCW65bdyfV1lDsUTQDx66zmi9rTOeWWXfPDLYZSoCj4+5wKSVgNHCyKKnAfP7T&#10;ucdj9dFLSYttm1P7acuMoES+VdgXaTIc+j4Pm+HoypfBXHrWlx61bRaAKiU4pJoH0+OdPJulgeYj&#10;Ttjc34oupjjenVN3NhfuOEw4oVzM5wGEna2Zu1UrzT21r4mC+dZBWYfaeZmO2pzUw94O9TnNoR+e&#10;y31APf0tZ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8/JA49gAAAAIAQAADwAAAAAAAAABACAA&#10;AAAiAAAAZHJzL2Rvd25yZXYueG1sUEsBAhQAFAAAAAgAh07iQCGJON1GAgAAdQQAAA4AAAAAAAAA&#10;AQAgAAAAJwEAAGRycy9lMm9Eb2MueG1sUEsFBgAAAAAGAAYAWQEAAN8FAAAAAA==&#10;">
                      <v:fill on="t" focussize="0,0"/>
                      <v:stroke weight="0.5pt" color="#FFFFFF [3212]" joinstyle="round"/>
                      <v:imagedata o:title=""/>
                      <o:lock v:ext="edit" aspectratio="f"/>
                      <v:textbox>
                        <w:txbxContent>
                          <w:p>
                            <w:pPr>
                              <w:rPr>
                                <w:rFonts w:hint="default" w:eastAsia="宋体"/>
                                <w:lang w:val="en-US" w:eastAsia="zh-CN"/>
                              </w:rPr>
                            </w:pPr>
                            <w:r>
                              <w:rPr>
                                <w:rFonts w:hint="eastAsia"/>
                                <w:lang w:val="en-US" w:eastAsia="zh-CN"/>
                              </w:rPr>
                              <w:t>单位名称</w:t>
                            </w:r>
                          </w:p>
                        </w:txbxContent>
                      </v:textbox>
                    </v:shape>
                  </w:pict>
                </mc:Fallback>
              </mc:AlternateContent>
            </w:r>
            <w:r>
              <w:rPr>
                <w:rFonts w:ascii="宋体" w:hAnsi="宋体" w:cs="宋体"/>
                <w:kern w:val="0"/>
                <w:sz w:val="18"/>
                <w:szCs w:val="18"/>
              </w:rPr>
              <w:t xml:space="preserve">     </w:t>
            </w:r>
            <w:r>
              <w:rPr>
                <w:rFonts w:hint="eastAsia" w:ascii="宋体" w:hAnsi="宋体" w:cs="宋体"/>
                <w:kern w:val="0"/>
                <w:sz w:val="18"/>
                <w:szCs w:val="18"/>
                <w:lang w:val="en-US" w:eastAsia="zh-CN"/>
              </w:rPr>
              <w:t>子项</w:t>
            </w:r>
            <w:r>
              <w:rPr>
                <w:rFonts w:ascii="宋体" w:hAnsi="宋体" w:cs="宋体"/>
                <w:kern w:val="0"/>
                <w:sz w:val="18"/>
                <w:szCs w:val="18"/>
              </w:rPr>
              <w:t xml:space="preserve">   </w:t>
            </w:r>
          </w:p>
        </w:tc>
        <w:tc>
          <w:tcPr>
            <w:tcW w:w="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w:t>
            </w:r>
          </w:p>
        </w:tc>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二</w:t>
            </w:r>
          </w:p>
        </w:tc>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三</w:t>
            </w:r>
          </w:p>
        </w:tc>
        <w:tc>
          <w:tcPr>
            <w:tcW w:w="836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ascii="宋体" w:hAnsi="宋体" w:cs="宋体"/>
                <w:kern w:val="0"/>
                <w:sz w:val="18"/>
                <w:szCs w:val="18"/>
              </w:rPr>
              <w:t>四</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五</w:t>
            </w:r>
          </w:p>
        </w:tc>
        <w:tc>
          <w:tcPr>
            <w:tcW w:w="675" w:type="dxa"/>
            <w:vMerge w:val="restart"/>
            <w:tcBorders>
              <w:top w:val="single" w:color="auto" w:sz="4" w:space="0"/>
              <w:left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63"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相</w:t>
            </w:r>
            <w:r>
              <w:rPr>
                <w:rFonts w:hint="eastAsia" w:ascii="宋体" w:hAnsi="宋体" w:cs="宋体"/>
                <w:kern w:val="0"/>
                <w:sz w:val="18"/>
                <w:szCs w:val="18"/>
                <w:lang w:val="en-US" w:eastAsia="zh-CN"/>
              </w:rPr>
              <w:t>似</w:t>
            </w:r>
            <w:r>
              <w:rPr>
                <w:rFonts w:hint="eastAsia" w:ascii="宋体" w:hAnsi="宋体" w:cs="宋体"/>
                <w:kern w:val="0"/>
                <w:sz w:val="18"/>
                <w:szCs w:val="18"/>
              </w:rPr>
              <w:t>案例</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（10分）</w:t>
            </w:r>
          </w:p>
        </w:tc>
        <w:tc>
          <w:tcPr>
            <w:tcW w:w="812"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项目预算</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（15分）</w:t>
            </w:r>
          </w:p>
        </w:tc>
        <w:tc>
          <w:tcPr>
            <w:tcW w:w="604" w:type="dxa"/>
            <w:vMerge w:val="restar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服务方案</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（30分）</w:t>
            </w:r>
          </w:p>
        </w:tc>
        <w:tc>
          <w:tcPr>
            <w:tcW w:w="8362" w:type="dxa"/>
            <w:gridSpan w:val="10"/>
            <w:vMerge w:val="restart"/>
            <w:tcBorders>
              <w:top w:val="single" w:color="auto" w:sz="4" w:space="0"/>
              <w:left w:val="single" w:color="auto" w:sz="4" w:space="0"/>
              <w:right w:val="single" w:color="auto" w:sz="4" w:space="0"/>
            </w:tcBorders>
            <w:vAlign w:val="center"/>
          </w:tcPr>
          <w:p>
            <w:pPr>
              <w:widowControl/>
              <w:spacing w:line="200" w:lineRule="exact"/>
              <w:jc w:val="center"/>
              <w:rPr>
                <w:sz w:val="18"/>
                <w:szCs w:val="18"/>
              </w:rPr>
            </w:pPr>
            <w:r>
              <w:rPr>
                <w:rFonts w:hint="eastAsia" w:ascii="宋体" w:hAnsi="宋体" w:cs="宋体"/>
                <w:kern w:val="0"/>
                <w:sz w:val="18"/>
                <w:szCs w:val="18"/>
              </w:rPr>
              <w:t>软、硬件参数响应情况（35分）</w:t>
            </w:r>
          </w:p>
        </w:tc>
        <w:tc>
          <w:tcPr>
            <w:tcW w:w="2975" w:type="dxa"/>
            <w:gridSpan w:val="3"/>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企业资信(10分)</w:t>
            </w:r>
          </w:p>
        </w:tc>
        <w:tc>
          <w:tcPr>
            <w:tcW w:w="675" w:type="dxa"/>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63"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812" w:type="dxa"/>
            <w:vMerge w:val="continue"/>
            <w:tcBorders>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60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sz w:val="18"/>
                <w:szCs w:val="18"/>
              </w:rPr>
            </w:pPr>
          </w:p>
        </w:tc>
        <w:tc>
          <w:tcPr>
            <w:tcW w:w="8362" w:type="dxa"/>
            <w:gridSpan w:val="10"/>
            <w:vMerge w:val="continue"/>
            <w:tcBorders>
              <w:left w:val="single" w:color="auto" w:sz="4" w:space="0"/>
              <w:bottom w:val="single" w:color="auto" w:sz="4" w:space="0"/>
              <w:right w:val="single" w:color="auto" w:sz="4" w:space="0"/>
            </w:tcBorders>
            <w:vAlign w:val="center"/>
          </w:tcPr>
          <w:p>
            <w:pPr>
              <w:widowControl/>
              <w:spacing w:line="240" w:lineRule="exact"/>
              <w:jc w:val="center"/>
              <w:rPr>
                <w:sz w:val="18"/>
                <w:szCs w:val="18"/>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财务报表（</w:t>
            </w:r>
            <w:r>
              <w:rPr>
                <w:rFonts w:ascii="宋体" w:hAnsi="宋体" w:cs="宋体"/>
                <w:kern w:val="0"/>
                <w:sz w:val="18"/>
                <w:szCs w:val="18"/>
              </w:rPr>
              <w:t>2</w:t>
            </w:r>
            <w:r>
              <w:rPr>
                <w:rFonts w:hint="eastAsia" w:ascii="宋体" w:hAnsi="宋体" w:cs="宋体"/>
                <w:kern w:val="0"/>
                <w:sz w:val="18"/>
                <w:szCs w:val="18"/>
              </w:rPr>
              <w:t>分）</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软、硬件厂家授权（3分）</w:t>
            </w:r>
          </w:p>
        </w:tc>
        <w:tc>
          <w:tcPr>
            <w:tcW w:w="1410" w:type="dxa"/>
            <w:tcBorders>
              <w:left w:val="single" w:color="auto" w:sz="4" w:space="0"/>
              <w:bottom w:val="single" w:color="auto" w:sz="4" w:space="0"/>
              <w:right w:val="single" w:color="auto" w:sz="4" w:space="0"/>
            </w:tcBorders>
            <w:vAlign w:val="center"/>
          </w:tcPr>
          <w:p>
            <w:pPr>
              <w:widowControl/>
              <w:ind w:left="180" w:hanging="180" w:hangingChars="100"/>
              <w:rPr>
                <w:rFonts w:ascii="宋体" w:hAnsi="宋体" w:cs="宋体"/>
                <w:kern w:val="0"/>
                <w:sz w:val="18"/>
                <w:szCs w:val="18"/>
              </w:rPr>
            </w:pPr>
            <w:r>
              <w:rPr>
                <w:rFonts w:hint="eastAsia" w:ascii="宋体" w:hAnsi="宋体" w:cs="宋体"/>
                <w:kern w:val="0"/>
                <w:sz w:val="18"/>
                <w:szCs w:val="18"/>
              </w:rPr>
              <w:t>资质荣誉（5分）</w:t>
            </w: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8"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10"/>
                <w:kern w:val="0"/>
                <w:sz w:val="18"/>
                <w:szCs w:val="18"/>
              </w:rPr>
            </w:pPr>
          </w:p>
        </w:tc>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ascii="宋体" w:hAnsi="宋体" w:cs="宋体"/>
                <w:kern w:val="0"/>
                <w:sz w:val="18"/>
                <w:szCs w:val="18"/>
              </w:rPr>
            </w:pPr>
            <w:r>
              <w:rPr>
                <w:rFonts w:hint="eastAsia" w:ascii="宋体" w:hAnsi="宋体"/>
                <w:sz w:val="18"/>
                <w:szCs w:val="18"/>
              </w:rPr>
              <w:t>近三年完成过</w:t>
            </w:r>
            <w:r>
              <w:rPr>
                <w:rFonts w:hint="eastAsia" w:ascii="宋体" w:hAnsi="宋体"/>
                <w:sz w:val="18"/>
                <w:szCs w:val="18"/>
                <w:lang w:val="en-US" w:eastAsia="zh-CN"/>
              </w:rPr>
              <w:t>2</w:t>
            </w:r>
            <w:r>
              <w:rPr>
                <w:rFonts w:hint="eastAsia" w:ascii="宋体" w:hAnsi="宋体"/>
                <w:sz w:val="18"/>
                <w:szCs w:val="18"/>
              </w:rPr>
              <w:t>个50万以上质量合格的软件项目</w:t>
            </w:r>
            <w:r>
              <w:rPr>
                <w:rFonts w:hint="eastAsia" w:ascii="宋体" w:hAnsi="宋体" w:cs="宋体"/>
                <w:kern w:val="0"/>
                <w:sz w:val="18"/>
                <w:szCs w:val="18"/>
              </w:rPr>
              <w:t>，每项得</w:t>
            </w:r>
            <w:r>
              <w:rPr>
                <w:rFonts w:hint="eastAsia" w:ascii="宋体" w:hAnsi="宋体" w:cs="宋体"/>
                <w:kern w:val="0"/>
                <w:sz w:val="18"/>
                <w:szCs w:val="18"/>
                <w:lang w:val="en-US" w:eastAsia="zh-CN"/>
              </w:rPr>
              <w:t>5</w:t>
            </w:r>
            <w:r>
              <w:rPr>
                <w:rFonts w:hint="eastAsia" w:ascii="宋体" w:hAnsi="宋体" w:cs="宋体"/>
                <w:kern w:val="0"/>
                <w:sz w:val="18"/>
                <w:szCs w:val="18"/>
              </w:rPr>
              <w:t>分，最高得1</w:t>
            </w:r>
            <w:r>
              <w:rPr>
                <w:rFonts w:hint="eastAsia" w:ascii="宋体" w:hAnsi="宋体" w:cs="宋体"/>
                <w:kern w:val="0"/>
                <w:sz w:val="18"/>
                <w:szCs w:val="18"/>
                <w:lang w:val="en-US" w:eastAsia="zh-CN"/>
              </w:rPr>
              <w:t>0</w:t>
            </w:r>
            <w:r>
              <w:rPr>
                <w:rFonts w:hint="eastAsia" w:ascii="宋体" w:hAnsi="宋体" w:cs="宋体"/>
                <w:kern w:val="0"/>
                <w:sz w:val="18"/>
                <w:szCs w:val="18"/>
              </w:rPr>
              <w:t>分。</w:t>
            </w:r>
          </w:p>
        </w:tc>
        <w:tc>
          <w:tcPr>
            <w:tcW w:w="812"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满足要求且价格最低的评标价为评标基准价，价格得分为</w:t>
            </w:r>
            <w:r>
              <w:rPr>
                <w:rFonts w:hint="eastAsia" w:ascii="宋体" w:hAnsi="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lang w:eastAsia="zh-CN"/>
              </w:rPr>
              <w:t>分，其他投标人的价格得分按如下公式计算：</w:t>
            </w:r>
          </w:p>
          <w:p>
            <w:pPr>
              <w:widowControl/>
              <w:snapToGrid w:val="0"/>
              <w:spacing w:line="200" w:lineRule="exact"/>
              <w:jc w:val="left"/>
              <w:rPr>
                <w:rFonts w:ascii="宋体" w:hAnsi="宋体" w:cs="宋体"/>
                <w:kern w:val="0"/>
                <w:sz w:val="18"/>
                <w:szCs w:val="18"/>
              </w:rPr>
            </w:pPr>
            <w:r>
              <w:rPr>
                <w:rFonts w:hint="eastAsia" w:ascii="宋体" w:hAnsi="宋体" w:eastAsia="宋体" w:cs="宋体"/>
                <w:color w:val="auto"/>
                <w:kern w:val="0"/>
                <w:sz w:val="18"/>
                <w:szCs w:val="18"/>
                <w:highlight w:val="none"/>
                <w:lang w:eastAsia="zh-CN"/>
              </w:rPr>
              <w:t>价格得分=（评标基准价÷评标价）×</w:t>
            </w:r>
            <w:r>
              <w:rPr>
                <w:rFonts w:hint="eastAsia" w:ascii="宋体" w:hAnsi="宋体" w:cs="宋体"/>
                <w:color w:val="auto"/>
                <w:kern w:val="0"/>
                <w:sz w:val="18"/>
                <w:szCs w:val="18"/>
                <w:highlight w:val="none"/>
                <w:lang w:val="en-US" w:eastAsia="zh-CN"/>
              </w:rPr>
              <w:t>15</w:t>
            </w:r>
            <w:r>
              <w:rPr>
                <w:rFonts w:hint="eastAsia" w:ascii="宋体" w:hAnsi="宋体" w:eastAsia="宋体" w:cs="宋体"/>
                <w:color w:val="auto"/>
                <w:kern w:val="0"/>
                <w:sz w:val="18"/>
                <w:szCs w:val="18"/>
                <w:highlight w:val="none"/>
                <w:lang w:eastAsia="zh-CN"/>
              </w:rPr>
              <w:t>。</w:t>
            </w:r>
          </w:p>
        </w:tc>
        <w:tc>
          <w:tcPr>
            <w:tcW w:w="604"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ascii="宋体" w:hAnsi="宋体" w:cs="宋体"/>
                <w:kern w:val="0"/>
                <w:sz w:val="18"/>
                <w:szCs w:val="18"/>
              </w:rPr>
            </w:pPr>
            <w:r>
              <w:rPr>
                <w:rFonts w:hint="eastAsia" w:ascii="宋体" w:hAnsi="宋体" w:eastAsia="宋体" w:cs="宋体"/>
                <w:color w:val="auto"/>
                <w:kern w:val="0"/>
                <w:sz w:val="18"/>
                <w:szCs w:val="18"/>
                <w:highlight w:val="none"/>
                <w:lang w:eastAsia="zh-CN"/>
              </w:rPr>
              <w:t>对</w:t>
            </w:r>
            <w:r>
              <w:rPr>
                <w:rFonts w:hint="eastAsia" w:ascii="宋体" w:hAnsi="宋体" w:cs="宋体"/>
                <w:color w:val="auto"/>
                <w:kern w:val="0"/>
                <w:sz w:val="18"/>
                <w:szCs w:val="18"/>
                <w:highlight w:val="none"/>
                <w:lang w:val="en-US" w:eastAsia="zh-CN"/>
              </w:rPr>
              <w:t>服务</w:t>
            </w:r>
            <w:r>
              <w:rPr>
                <w:rFonts w:hint="eastAsia" w:ascii="宋体" w:hAnsi="宋体" w:eastAsia="宋体" w:cs="宋体"/>
                <w:color w:val="auto"/>
                <w:kern w:val="0"/>
                <w:sz w:val="18"/>
                <w:szCs w:val="18"/>
                <w:highlight w:val="none"/>
                <w:lang w:eastAsia="zh-CN"/>
              </w:rPr>
              <w:t>方案</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售后服务方案、培训等</w:t>
            </w:r>
            <w:r>
              <w:rPr>
                <w:rFonts w:hint="eastAsia" w:ascii="宋体" w:hAnsi="宋体" w:eastAsia="宋体" w:cs="宋体"/>
                <w:color w:val="auto"/>
                <w:kern w:val="0"/>
                <w:sz w:val="18"/>
                <w:szCs w:val="18"/>
                <w:highlight w:val="none"/>
                <w:lang w:eastAsia="zh-CN"/>
              </w:rPr>
              <w:t>进行</w:t>
            </w:r>
            <w:r>
              <w:rPr>
                <w:rFonts w:hint="eastAsia" w:ascii="宋体" w:hAnsi="宋体" w:cs="宋体"/>
                <w:color w:val="auto"/>
                <w:kern w:val="0"/>
                <w:sz w:val="18"/>
                <w:szCs w:val="18"/>
                <w:highlight w:val="none"/>
                <w:lang w:val="en-US" w:eastAsia="zh-CN"/>
              </w:rPr>
              <w:t>评价</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0-30分，最高为30分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w:t>
            </w:r>
          </w:p>
        </w:tc>
        <w:tc>
          <w:tcPr>
            <w:tcW w:w="812"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lang w:val="en-US" w:eastAsia="zh-CN"/>
              </w:rPr>
            </w:pPr>
            <w:r>
              <w:rPr>
                <w:rFonts w:hint="eastAsia" w:ascii="宋体" w:hAnsi="宋体" w:eastAsia="宋体" w:cs="宋体"/>
                <w:color w:val="auto"/>
                <w:kern w:val="0"/>
                <w:sz w:val="18"/>
                <w:szCs w:val="18"/>
                <w:highlight w:val="none"/>
                <w:lang w:val="en-US" w:eastAsia="zh-CN" w:bidi="ar-SA"/>
              </w:rPr>
              <w:t>对整体技术方案评价。具体评分方法见备注第4点。</w:t>
            </w:r>
          </w:p>
        </w:tc>
        <w:tc>
          <w:tcPr>
            <w:tcW w:w="976"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lang w:val="en-US" w:eastAsia="zh-CN"/>
              </w:rPr>
            </w:pPr>
            <w:r>
              <w:rPr>
                <w:rFonts w:hint="eastAsia" w:ascii="宋体" w:hAnsi="宋体" w:eastAsia="宋体" w:cs="宋体"/>
                <w:kern w:val="0"/>
                <w:sz w:val="18"/>
                <w:szCs w:val="18"/>
                <w:lang w:val="en-US" w:eastAsia="zh-CN" w:bidi="ar-SA"/>
              </w:rPr>
              <w:t>采用PaaS平台设计理念，提供灵活的开发工具，允许招标人自主开发相对简单的业务应用功能。由评委对投标人的响应情况进行横向比较，支持：3分，不支持：0分</w:t>
            </w:r>
            <w:r>
              <w:rPr>
                <w:rFonts w:hint="eastAsia" w:ascii="宋体" w:hAnsi="宋体" w:eastAsia="宋体" w:cs="宋体"/>
                <w:color w:val="auto"/>
                <w:kern w:val="0"/>
                <w:sz w:val="18"/>
                <w:szCs w:val="18"/>
                <w:highlight w:val="none"/>
                <w:lang w:val="en-US" w:eastAsia="zh-CN"/>
              </w:rPr>
              <w:t>。</w:t>
            </w:r>
          </w:p>
        </w:tc>
        <w:tc>
          <w:tcPr>
            <w:tcW w:w="1137"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采用分布式数据库和分布式存储技术，有效支撑未来；能支撑大规模数据量，提供证明材料，有：2分，无：0分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default"/>
                <w:lang w:val="en-US" w:eastAsia="zh-CN"/>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投标人的财务系统均基于JAVA开发，符合SOA和J2EE技术服务架构,支持:2分,不支持:0分。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both"/>
              <w:textAlignment w:val="auto"/>
              <w:rPr>
                <w:rFonts w:hint="default"/>
                <w:lang w:val="en-US" w:eastAsia="zh-CN"/>
              </w:rPr>
            </w:pP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具有严格的用户权限划分，系统机制可保证7x24小时连续安全运作，承诺通过三级及以上得信息系统安全等级保护验收，具备安全审计功能。满足等保三级及以上测评要求或承诺通过三级及以上得信息系统安全等级保护验收的得3分，不提供证明材料或不承诺的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p>
        </w:tc>
        <w:tc>
          <w:tcPr>
            <w:tcW w:w="114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防火墙硬件平台采用先进的多核网络专用架构。硬件平台采用多核处理器，使用64位MIPS多核处理器，多核核数≥2个，需提供能证明多核CPU并行处理的命令行截图。提供截图得5分，无则不得分。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p>
        </w:tc>
        <w:tc>
          <w:tcPr>
            <w:tcW w:w="100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防火墙</w:t>
            </w:r>
            <w:r>
              <w:rPr>
                <w:rFonts w:hint="default" w:ascii="宋体" w:hAnsi="宋体" w:eastAsia="宋体" w:cs="宋体"/>
                <w:color w:val="auto"/>
                <w:kern w:val="0"/>
                <w:sz w:val="18"/>
                <w:szCs w:val="18"/>
                <w:highlight w:val="none"/>
                <w:lang w:val="en-US" w:eastAsia="zh-CN" w:bidi="ar-SA"/>
              </w:rPr>
              <w:t>通过国家无线电监测中心检测中心浪涌（冲击）抗扰度（4KV）测试项目，并出具国家无线电监测中心检测中心委托测试报告</w:t>
            </w:r>
            <w:r>
              <w:rPr>
                <w:rFonts w:hint="eastAsia" w:ascii="宋体" w:hAnsi="宋体" w:eastAsia="宋体" w:cs="宋体"/>
                <w:color w:val="auto"/>
                <w:kern w:val="0"/>
                <w:sz w:val="18"/>
                <w:szCs w:val="18"/>
                <w:highlight w:val="none"/>
                <w:lang w:val="en-US" w:eastAsia="zh-CN" w:bidi="ar-SA"/>
              </w:rPr>
              <w:t>。提供检测报告得5分，无则不得分。</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200" w:lineRule="exact"/>
              <w:ind w:leftChars="0"/>
              <w:jc w:val="left"/>
              <w:textAlignment w:val="auto"/>
              <w:rPr>
                <w:rFonts w:hint="default"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SA"/>
              </w:rPr>
              <w:t>防火墙</w:t>
            </w:r>
            <w:r>
              <w:rPr>
                <w:rFonts w:hint="default" w:ascii="宋体" w:hAnsi="宋体" w:eastAsia="宋体" w:cs="宋体"/>
                <w:color w:val="auto"/>
                <w:kern w:val="0"/>
                <w:sz w:val="18"/>
                <w:szCs w:val="18"/>
                <w:highlight w:val="none"/>
                <w:lang w:val="en-US" w:eastAsia="zh-CN" w:bidi="ar-SA"/>
              </w:rPr>
              <w:t>具备入选Gartner发布的Peer Insights 2020年网络防火墙客户选择榜单排名前五</w:t>
            </w:r>
            <w:r>
              <w:rPr>
                <w:rFonts w:hint="eastAsia" w:ascii="宋体" w:hAnsi="宋体" w:eastAsia="宋体" w:cs="宋体"/>
                <w:color w:val="auto"/>
                <w:kern w:val="0"/>
                <w:sz w:val="18"/>
                <w:szCs w:val="18"/>
                <w:highlight w:val="none"/>
                <w:lang w:val="en-US" w:eastAsia="zh-CN" w:bidi="ar-SA"/>
              </w:rPr>
              <w:t>，</w:t>
            </w:r>
            <w:r>
              <w:rPr>
                <w:rFonts w:hint="default" w:ascii="宋体" w:hAnsi="宋体" w:eastAsia="宋体" w:cs="宋体"/>
                <w:color w:val="auto"/>
                <w:kern w:val="0"/>
                <w:sz w:val="18"/>
                <w:szCs w:val="18"/>
                <w:highlight w:val="none"/>
                <w:lang w:val="en-US" w:eastAsia="zh-CN" w:bidi="ar-SA"/>
              </w:rPr>
              <w:t>提供证明材料，要求提供证书文件</w:t>
            </w:r>
            <w:r>
              <w:rPr>
                <w:rFonts w:hint="eastAsia" w:ascii="宋体" w:hAnsi="宋体" w:eastAsia="宋体" w:cs="宋体"/>
                <w:color w:val="auto"/>
                <w:kern w:val="0"/>
                <w:sz w:val="18"/>
                <w:szCs w:val="18"/>
                <w:highlight w:val="none"/>
                <w:lang w:val="en-US" w:eastAsia="zh-CN" w:bidi="ar-SA"/>
              </w:rPr>
              <w:t>。出具证书得5分，无则不得分。</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hint="default" w:ascii="宋体" w:hAnsi="宋体" w:eastAsia="宋体" w:cs="宋体"/>
                <w:kern w:val="0"/>
                <w:sz w:val="18"/>
                <w:szCs w:val="18"/>
                <w:lang w:val="en-US" w:eastAsia="zh-CN"/>
              </w:rPr>
            </w:pPr>
            <w:r>
              <w:rPr>
                <w:rFonts w:hint="eastAsia" w:ascii="宋体" w:hAnsi="宋体"/>
                <w:sz w:val="18"/>
                <w:szCs w:val="18"/>
              </w:rPr>
              <w:t>2018</w:t>
            </w:r>
            <w:r>
              <w:rPr>
                <w:rFonts w:hint="eastAsia" w:ascii="宋体" w:hAnsi="宋体"/>
                <w:sz w:val="18"/>
                <w:szCs w:val="18"/>
                <w:lang w:eastAsia="zh-CN"/>
              </w:rPr>
              <w:t>、</w:t>
            </w:r>
            <w:r>
              <w:rPr>
                <w:rFonts w:hint="eastAsia" w:ascii="宋体" w:hAnsi="宋体"/>
                <w:sz w:val="18"/>
                <w:szCs w:val="18"/>
                <w:lang w:val="en-US" w:eastAsia="zh-CN"/>
              </w:rPr>
              <w:t>2019、</w:t>
            </w:r>
            <w:r>
              <w:rPr>
                <w:rFonts w:hint="eastAsia" w:ascii="宋体" w:hAnsi="宋体"/>
                <w:sz w:val="18"/>
                <w:szCs w:val="18"/>
              </w:rPr>
              <w:t>2020年度财务报表</w:t>
            </w:r>
            <w:r>
              <w:rPr>
                <w:rFonts w:hint="eastAsia" w:ascii="宋体" w:hAnsi="宋体"/>
                <w:sz w:val="18"/>
                <w:szCs w:val="18"/>
                <w:lang w:eastAsia="zh-CN"/>
              </w:rPr>
              <w:t>，</w:t>
            </w:r>
            <w:r>
              <w:rPr>
                <w:rFonts w:hint="eastAsia" w:ascii="宋体" w:hAnsi="宋体"/>
                <w:sz w:val="18"/>
                <w:szCs w:val="18"/>
                <w:lang w:val="en-US" w:eastAsia="zh-CN"/>
              </w:rPr>
              <w:t>提供齐全得2分，否则得0分。</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rPr>
                <w:rFonts w:ascii="宋体" w:hAnsi="宋体" w:cs="宋体"/>
                <w:kern w:val="0"/>
                <w:sz w:val="18"/>
                <w:szCs w:val="18"/>
              </w:rPr>
            </w:pPr>
            <w:r>
              <w:rPr>
                <w:rFonts w:hint="eastAsia" w:ascii="宋体" w:hAnsi="宋体" w:cs="宋体"/>
                <w:kern w:val="0"/>
                <w:sz w:val="18"/>
                <w:szCs w:val="18"/>
                <w:lang w:val="en-US" w:eastAsia="zh-CN"/>
              </w:rPr>
              <w:t>供应</w:t>
            </w:r>
            <w:r>
              <w:rPr>
                <w:rFonts w:hint="eastAsia" w:ascii="宋体" w:hAnsi="宋体" w:cs="宋体"/>
                <w:kern w:val="0"/>
                <w:sz w:val="18"/>
                <w:szCs w:val="18"/>
              </w:rPr>
              <w:t>商获得软硬件厂家针对本项目的授权，每个授权得1.5分。</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rPr>
                <w:rFonts w:hint="default" w:ascii="宋体" w:hAnsi="宋体" w:eastAsia="宋体" w:cs="宋体"/>
                <w:kern w:val="0"/>
                <w:sz w:val="18"/>
                <w:szCs w:val="18"/>
                <w:lang w:val="en-US" w:eastAsia="zh-CN"/>
              </w:rPr>
            </w:pPr>
            <w:r>
              <w:rPr>
                <w:rFonts w:hint="eastAsia" w:ascii="宋体" w:hAnsi="宋体" w:cs="宋体"/>
                <w:kern w:val="0"/>
                <w:sz w:val="18"/>
                <w:szCs w:val="18"/>
              </w:rPr>
              <w:t>2020年以来代理商获得软件开发单位颁发的</w:t>
            </w:r>
            <w:r>
              <w:rPr>
                <w:rFonts w:hint="eastAsia" w:ascii="宋体" w:hAnsi="宋体" w:cs="宋体"/>
                <w:kern w:val="0"/>
                <w:sz w:val="18"/>
                <w:szCs w:val="18"/>
                <w:lang w:eastAsia="zh-CN"/>
              </w:rPr>
              <w:t>“</w:t>
            </w:r>
            <w:r>
              <w:rPr>
                <w:rFonts w:hint="eastAsia" w:ascii="宋体" w:hAnsi="宋体" w:cs="宋体"/>
                <w:kern w:val="0"/>
                <w:sz w:val="18"/>
                <w:szCs w:val="18"/>
              </w:rPr>
              <w:t>卓越贡献奖</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eastAsia="zh-CN"/>
              </w:rPr>
              <w:t>“</w:t>
            </w:r>
            <w:r>
              <w:rPr>
                <w:rFonts w:hint="eastAsia" w:ascii="宋体" w:hAnsi="宋体" w:cs="宋体"/>
                <w:kern w:val="0"/>
                <w:sz w:val="18"/>
                <w:szCs w:val="18"/>
              </w:rPr>
              <w:t>云转型先锋奖</w:t>
            </w:r>
            <w:r>
              <w:rPr>
                <w:rFonts w:hint="eastAsia" w:ascii="宋体" w:hAnsi="宋体" w:cs="宋体"/>
                <w:kern w:val="0"/>
                <w:sz w:val="18"/>
                <w:szCs w:val="18"/>
                <w:lang w:eastAsia="zh-CN"/>
              </w:rPr>
              <w:t>”</w:t>
            </w:r>
            <w:r>
              <w:rPr>
                <w:rFonts w:hint="eastAsia" w:ascii="宋体" w:hAnsi="宋体" w:cs="宋体"/>
                <w:kern w:val="0"/>
                <w:sz w:val="18"/>
                <w:szCs w:val="18"/>
              </w:rPr>
              <w:t>，</w:t>
            </w:r>
            <w:r>
              <w:rPr>
                <w:rFonts w:hint="eastAsia" w:ascii="宋体" w:hAnsi="宋体" w:cs="宋体"/>
                <w:kern w:val="0"/>
                <w:sz w:val="18"/>
                <w:szCs w:val="18"/>
                <w:lang w:val="en-US" w:eastAsia="zh-CN"/>
              </w:rPr>
              <w:t>每个得2.5分</w:t>
            </w:r>
            <w:r>
              <w:rPr>
                <w:rFonts w:hint="eastAsia" w:ascii="宋体" w:hAnsi="宋体" w:cs="宋体"/>
                <w:kern w:val="0"/>
                <w:sz w:val="18"/>
                <w:szCs w:val="18"/>
              </w:rPr>
              <w:t>，无则不得分</w:t>
            </w:r>
            <w:r>
              <w:rPr>
                <w:rFonts w:hint="eastAsia" w:ascii="宋体" w:hAnsi="宋体" w:cs="宋体"/>
                <w:kern w:val="0"/>
                <w:sz w:val="18"/>
                <w:szCs w:val="18"/>
                <w:lang w:val="en-US" w:eastAsia="zh-CN"/>
              </w:rPr>
              <w:t>；若投标单位为软件开发商，则需获得“2020中国企业数字化平台年度创新产品奖”、“2020中国企业服务SaaS年度产品创新奖”，每个得2.5分。证书须在有效期限内。</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1</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2</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3</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4"/>
                <w:kern w:val="0"/>
                <w:sz w:val="18"/>
                <w:szCs w:val="18"/>
              </w:rPr>
            </w:pPr>
            <w:r>
              <w:rPr>
                <w:rFonts w:hint="eastAsia" w:ascii="宋体" w:hAnsi="宋体" w:cs="宋体"/>
                <w:spacing w:val="-14"/>
                <w:kern w:val="0"/>
                <w:sz w:val="18"/>
                <w:szCs w:val="18"/>
              </w:rPr>
              <w:t>4</w:t>
            </w:r>
          </w:p>
        </w:tc>
        <w:tc>
          <w:tcPr>
            <w:tcW w:w="11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8"/>
                <w:kern w:val="0"/>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pacing w:val="-12"/>
                <w:kern w:val="0"/>
                <w:sz w:val="18"/>
                <w:szCs w:val="18"/>
              </w:rPr>
            </w:pPr>
          </w:p>
        </w:tc>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1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1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10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bl>
    <w:p>
      <w:pPr>
        <w:widowControl/>
        <w:ind w:left="810" w:hanging="810" w:hangingChars="450"/>
        <w:jc w:val="left"/>
        <w:rPr>
          <w:rFonts w:cs="宋体"/>
          <w:kern w:val="0"/>
          <w:sz w:val="18"/>
          <w:szCs w:val="18"/>
        </w:rPr>
      </w:pPr>
    </w:p>
    <w:p>
      <w:pPr>
        <w:widowControl/>
        <w:ind w:left="808" w:leftChars="85" w:hanging="630" w:hangingChars="350"/>
        <w:jc w:val="left"/>
        <w:rPr>
          <w:rFonts w:hint="eastAsia" w:cs="宋体"/>
          <w:kern w:val="0"/>
          <w:sz w:val="18"/>
          <w:szCs w:val="18"/>
        </w:rPr>
      </w:pPr>
    </w:p>
    <w:p>
      <w:pPr>
        <w:widowControl/>
        <w:ind w:left="808" w:leftChars="85" w:hanging="630" w:hangingChars="350"/>
        <w:jc w:val="left"/>
        <w:rPr>
          <w:rFonts w:ascii="宋体" w:hAnsi="宋体" w:cs="宋体"/>
          <w:kern w:val="0"/>
          <w:sz w:val="18"/>
          <w:szCs w:val="18"/>
        </w:rPr>
      </w:pPr>
      <w:bookmarkStart w:id="0" w:name="_GoBack"/>
      <w:bookmarkEnd w:id="0"/>
      <w:r>
        <w:rPr>
          <w:rFonts w:hint="eastAsia" w:cs="宋体"/>
          <w:kern w:val="0"/>
          <w:sz w:val="18"/>
          <w:szCs w:val="18"/>
        </w:rPr>
        <w:t>注：</w:t>
      </w:r>
      <w:r>
        <w:rPr>
          <w:rFonts w:hint="eastAsia" w:ascii="宋体" w:hAnsi="宋体" w:cs="宋体"/>
          <w:kern w:val="0"/>
          <w:sz w:val="18"/>
          <w:szCs w:val="18"/>
        </w:rPr>
        <w:t xml:space="preserve">  1、本表所述近三年指2018年1月1日至投标截止日期止；近五年指2016年1月1日至投标截止日期止。</w:t>
      </w:r>
    </w:p>
    <w:p>
      <w:pPr>
        <w:widowControl/>
        <w:ind w:left="804" w:leftChars="340" w:hanging="90" w:hangingChars="50"/>
        <w:jc w:val="left"/>
        <w:rPr>
          <w:rFonts w:ascii="宋体" w:hAnsi="宋体" w:cs="宋体"/>
          <w:kern w:val="0"/>
          <w:sz w:val="18"/>
          <w:szCs w:val="18"/>
        </w:rPr>
      </w:pPr>
      <w:r>
        <w:rPr>
          <w:rFonts w:hint="eastAsia" w:ascii="宋体" w:hAnsi="宋体" w:cs="宋体"/>
          <w:kern w:val="0"/>
          <w:sz w:val="18"/>
          <w:szCs w:val="18"/>
        </w:rPr>
        <w:t>2、</w:t>
      </w:r>
      <w:r>
        <w:rPr>
          <w:rFonts w:hint="eastAsia" w:ascii="宋体" w:hAnsi="宋体"/>
          <w:sz w:val="18"/>
          <w:szCs w:val="18"/>
        </w:rPr>
        <w:t>企业201</w:t>
      </w:r>
      <w:r>
        <w:rPr>
          <w:rFonts w:hint="eastAsia" w:ascii="宋体" w:hAnsi="宋体"/>
          <w:sz w:val="18"/>
          <w:szCs w:val="18"/>
          <w:lang w:val="en-US" w:eastAsia="zh-CN"/>
        </w:rPr>
        <w:t>8</w:t>
      </w:r>
      <w:r>
        <w:rPr>
          <w:rFonts w:hint="eastAsia" w:ascii="宋体" w:hAnsi="宋体"/>
          <w:sz w:val="18"/>
          <w:szCs w:val="18"/>
        </w:rPr>
        <w:t>年1月至今完成过质量合格的相关案例，提供项目合同或中标通知书。</w:t>
      </w:r>
    </w:p>
    <w:p>
      <w:pPr>
        <w:widowControl/>
        <w:ind w:left="804" w:leftChars="340" w:hanging="90" w:hangingChars="50"/>
        <w:jc w:val="left"/>
        <w:rPr>
          <w:rFonts w:hint="eastAsia" w:ascii="宋体" w:hAnsi="宋体" w:cs="宋体"/>
          <w:kern w:val="0"/>
          <w:sz w:val="18"/>
          <w:szCs w:val="18"/>
        </w:rPr>
      </w:pPr>
      <w:r>
        <w:rPr>
          <w:rFonts w:hint="eastAsia" w:ascii="宋体" w:hAnsi="宋体" w:cs="宋体"/>
          <w:kern w:val="0"/>
          <w:sz w:val="18"/>
          <w:szCs w:val="18"/>
        </w:rPr>
        <w:t>3、为防范恶意低价竞标，报价下浮率低于最高限价20%的视为废标。（最低下浮率为20%）</w:t>
      </w:r>
    </w:p>
    <w:p>
      <w:pPr>
        <w:widowControl/>
        <w:ind w:left="804" w:leftChars="340" w:hanging="90" w:hangingChars="50"/>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lang w:eastAsia="zh-CN"/>
        </w:rPr>
        <w:t>对整体技术方案的可行性及对需求的理解程度评价，技术架构、功能和接口等方面对本项目软件开发部分进行合理设计，技术平台可灵活地支撑集团的前端投资业务与总部资源共享及集团管控的应用架构要求。要求体现以下几点。根据标书对需求的响应情况横向比较进行评分</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（1）业务需求理解及综合分析程度，包括对管理现状、系统应用环境、体系结构需求、功能需求等内容，符合招标人业务需求，提升集团战略管控、业务共享能力。</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（2）技术方案完整、先进，功能完善、目标明确、充分利用现有资源并满足用户需求，体现了招标人战略协同的设计思路。</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（3）方案设计合理，可结合招标人的目前现状，体现系统的建立与应用思路，易升级、易扩展，进度计划合理，项目验收标准有依据、明确合理、易于操作。</w:t>
      </w:r>
      <w:r>
        <w:rPr>
          <w:rFonts w:hint="eastAsia" w:ascii="宋体" w:hAnsi="宋体" w:cs="宋体"/>
          <w:kern w:val="0"/>
          <w:sz w:val="18"/>
          <w:szCs w:val="18"/>
          <w:lang w:eastAsia="zh-CN"/>
        </w:rPr>
        <w:br w:type="textWrapping"/>
      </w:r>
      <w:r>
        <w:rPr>
          <w:rFonts w:hint="eastAsia" w:ascii="宋体" w:hAnsi="宋体" w:cs="宋体"/>
          <w:kern w:val="0"/>
          <w:sz w:val="18"/>
          <w:szCs w:val="18"/>
          <w:lang w:eastAsia="zh-CN"/>
        </w:rPr>
        <w:t>评分等次得分；优：8-10分；良：5-7分；中：2-4分；差：0-1分。</w:t>
      </w:r>
    </w:p>
    <w:p>
      <w:pPr>
        <w:pStyle w:val="2"/>
      </w:pPr>
    </w:p>
    <w:p/>
    <w:sectPr>
      <w:pgSz w:w="16838" w:h="11906" w:orient="landscape"/>
      <w:pgMar w:top="567" w:right="1440" w:bottom="56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F038C"/>
    <w:rsid w:val="00515565"/>
    <w:rsid w:val="00566476"/>
    <w:rsid w:val="005A4D93"/>
    <w:rsid w:val="00683C2F"/>
    <w:rsid w:val="006E3156"/>
    <w:rsid w:val="00BC3B7E"/>
    <w:rsid w:val="00E639BC"/>
    <w:rsid w:val="01C1426A"/>
    <w:rsid w:val="02463320"/>
    <w:rsid w:val="02D752A6"/>
    <w:rsid w:val="02DF6598"/>
    <w:rsid w:val="030E74D8"/>
    <w:rsid w:val="04222E9B"/>
    <w:rsid w:val="04F017B4"/>
    <w:rsid w:val="0620502E"/>
    <w:rsid w:val="06304171"/>
    <w:rsid w:val="06791D52"/>
    <w:rsid w:val="068570B0"/>
    <w:rsid w:val="07050C82"/>
    <w:rsid w:val="07152D75"/>
    <w:rsid w:val="072D7FDC"/>
    <w:rsid w:val="07B57F29"/>
    <w:rsid w:val="07E53490"/>
    <w:rsid w:val="08303BAF"/>
    <w:rsid w:val="089D7338"/>
    <w:rsid w:val="08CA123E"/>
    <w:rsid w:val="098E7843"/>
    <w:rsid w:val="0A9025C4"/>
    <w:rsid w:val="0B430155"/>
    <w:rsid w:val="0B935E7B"/>
    <w:rsid w:val="0C125D5A"/>
    <w:rsid w:val="0C224510"/>
    <w:rsid w:val="0C3A1C3C"/>
    <w:rsid w:val="0CA07C59"/>
    <w:rsid w:val="0CE55DDA"/>
    <w:rsid w:val="0D896236"/>
    <w:rsid w:val="0F2D6DAE"/>
    <w:rsid w:val="0FAA7211"/>
    <w:rsid w:val="0FAF6B01"/>
    <w:rsid w:val="0FEA7603"/>
    <w:rsid w:val="114523C2"/>
    <w:rsid w:val="124D374B"/>
    <w:rsid w:val="12882203"/>
    <w:rsid w:val="12CF749F"/>
    <w:rsid w:val="135F4CD5"/>
    <w:rsid w:val="13957840"/>
    <w:rsid w:val="13AF76FC"/>
    <w:rsid w:val="14B02F91"/>
    <w:rsid w:val="14C6417F"/>
    <w:rsid w:val="15737633"/>
    <w:rsid w:val="167749C9"/>
    <w:rsid w:val="17247CC7"/>
    <w:rsid w:val="175B7529"/>
    <w:rsid w:val="1772649A"/>
    <w:rsid w:val="17BF75AA"/>
    <w:rsid w:val="17FB6694"/>
    <w:rsid w:val="18E836DE"/>
    <w:rsid w:val="19E410FA"/>
    <w:rsid w:val="1AE71231"/>
    <w:rsid w:val="1B964120"/>
    <w:rsid w:val="1BA51635"/>
    <w:rsid w:val="1C283652"/>
    <w:rsid w:val="1C702DFF"/>
    <w:rsid w:val="1D4C1139"/>
    <w:rsid w:val="1DF0265C"/>
    <w:rsid w:val="1DF55152"/>
    <w:rsid w:val="1E223981"/>
    <w:rsid w:val="1ED62AC9"/>
    <w:rsid w:val="1F5E536A"/>
    <w:rsid w:val="1F7E3EC6"/>
    <w:rsid w:val="1FED4D5F"/>
    <w:rsid w:val="202D5920"/>
    <w:rsid w:val="203864CC"/>
    <w:rsid w:val="21254871"/>
    <w:rsid w:val="212A6182"/>
    <w:rsid w:val="21503557"/>
    <w:rsid w:val="21906CF4"/>
    <w:rsid w:val="23161B84"/>
    <w:rsid w:val="235C11E8"/>
    <w:rsid w:val="23C63E53"/>
    <w:rsid w:val="23CD3A24"/>
    <w:rsid w:val="23FE1245"/>
    <w:rsid w:val="24A15B23"/>
    <w:rsid w:val="255D607F"/>
    <w:rsid w:val="258A044E"/>
    <w:rsid w:val="278333ED"/>
    <w:rsid w:val="28974344"/>
    <w:rsid w:val="295040ED"/>
    <w:rsid w:val="29DF3C97"/>
    <w:rsid w:val="2A6C0223"/>
    <w:rsid w:val="2B4449AD"/>
    <w:rsid w:val="2BC11458"/>
    <w:rsid w:val="2C2A2B3E"/>
    <w:rsid w:val="2C8B04D7"/>
    <w:rsid w:val="2CFA18E8"/>
    <w:rsid w:val="2D9F45C8"/>
    <w:rsid w:val="2DBF5488"/>
    <w:rsid w:val="2DC66BEE"/>
    <w:rsid w:val="2FAB72F3"/>
    <w:rsid w:val="2FC26E87"/>
    <w:rsid w:val="2FC94C93"/>
    <w:rsid w:val="2FDE2010"/>
    <w:rsid w:val="303514D2"/>
    <w:rsid w:val="31D024D8"/>
    <w:rsid w:val="32394F06"/>
    <w:rsid w:val="327348BC"/>
    <w:rsid w:val="32A41050"/>
    <w:rsid w:val="342E71F3"/>
    <w:rsid w:val="342F432A"/>
    <w:rsid w:val="343159CF"/>
    <w:rsid w:val="3437228D"/>
    <w:rsid w:val="349E0BA3"/>
    <w:rsid w:val="34E443D5"/>
    <w:rsid w:val="35EC3886"/>
    <w:rsid w:val="35F11A3D"/>
    <w:rsid w:val="368D7707"/>
    <w:rsid w:val="38C94E41"/>
    <w:rsid w:val="39516213"/>
    <w:rsid w:val="39965843"/>
    <w:rsid w:val="3A3921D1"/>
    <w:rsid w:val="3B34521D"/>
    <w:rsid w:val="3B5F3EB4"/>
    <w:rsid w:val="3C082C3D"/>
    <w:rsid w:val="3C543C09"/>
    <w:rsid w:val="3CD42B51"/>
    <w:rsid w:val="3D03163C"/>
    <w:rsid w:val="3D15301F"/>
    <w:rsid w:val="3D3A426E"/>
    <w:rsid w:val="3D6A3F5B"/>
    <w:rsid w:val="3E5535F3"/>
    <w:rsid w:val="3E83553D"/>
    <w:rsid w:val="3F053557"/>
    <w:rsid w:val="3F226FB8"/>
    <w:rsid w:val="3F5775FC"/>
    <w:rsid w:val="3F63367C"/>
    <w:rsid w:val="409339FA"/>
    <w:rsid w:val="41156703"/>
    <w:rsid w:val="411F5A82"/>
    <w:rsid w:val="41624EBC"/>
    <w:rsid w:val="41666AA8"/>
    <w:rsid w:val="42457AEE"/>
    <w:rsid w:val="433A0FCC"/>
    <w:rsid w:val="43F946F6"/>
    <w:rsid w:val="44073AF4"/>
    <w:rsid w:val="442F1E00"/>
    <w:rsid w:val="44623B67"/>
    <w:rsid w:val="44946FD0"/>
    <w:rsid w:val="44C56B08"/>
    <w:rsid w:val="451544D0"/>
    <w:rsid w:val="45165DA8"/>
    <w:rsid w:val="455636DD"/>
    <w:rsid w:val="45BA0FA6"/>
    <w:rsid w:val="47B458FF"/>
    <w:rsid w:val="48354213"/>
    <w:rsid w:val="483900B6"/>
    <w:rsid w:val="484E7A9E"/>
    <w:rsid w:val="485C4F2F"/>
    <w:rsid w:val="48CD6413"/>
    <w:rsid w:val="496A6E77"/>
    <w:rsid w:val="49877293"/>
    <w:rsid w:val="4A921E2A"/>
    <w:rsid w:val="4ADF28A3"/>
    <w:rsid w:val="4B2628D9"/>
    <w:rsid w:val="4B610C4C"/>
    <w:rsid w:val="4BEF7602"/>
    <w:rsid w:val="4C730628"/>
    <w:rsid w:val="4CEA55AC"/>
    <w:rsid w:val="4D404339"/>
    <w:rsid w:val="4DC1729E"/>
    <w:rsid w:val="4DD00397"/>
    <w:rsid w:val="4EDB127A"/>
    <w:rsid w:val="4EF429C3"/>
    <w:rsid w:val="4F133E60"/>
    <w:rsid w:val="4F3362F3"/>
    <w:rsid w:val="4FD34F93"/>
    <w:rsid w:val="4FFB5896"/>
    <w:rsid w:val="50554CEE"/>
    <w:rsid w:val="50A6351F"/>
    <w:rsid w:val="51117732"/>
    <w:rsid w:val="52242576"/>
    <w:rsid w:val="53B74FF4"/>
    <w:rsid w:val="53F6397D"/>
    <w:rsid w:val="543F0B23"/>
    <w:rsid w:val="551736F4"/>
    <w:rsid w:val="562D717B"/>
    <w:rsid w:val="573E512A"/>
    <w:rsid w:val="577B1A97"/>
    <w:rsid w:val="57B133F9"/>
    <w:rsid w:val="57F44EF7"/>
    <w:rsid w:val="58FF038C"/>
    <w:rsid w:val="59C628C5"/>
    <w:rsid w:val="59D8026E"/>
    <w:rsid w:val="59EE69B1"/>
    <w:rsid w:val="59F06B5A"/>
    <w:rsid w:val="5A3940D6"/>
    <w:rsid w:val="5A7E7785"/>
    <w:rsid w:val="5A90576E"/>
    <w:rsid w:val="5C087E49"/>
    <w:rsid w:val="5C362BFE"/>
    <w:rsid w:val="5CB60F0E"/>
    <w:rsid w:val="5CC17C04"/>
    <w:rsid w:val="5D2E330E"/>
    <w:rsid w:val="5E702ED2"/>
    <w:rsid w:val="61612C52"/>
    <w:rsid w:val="647B3C93"/>
    <w:rsid w:val="64903E05"/>
    <w:rsid w:val="65B873EF"/>
    <w:rsid w:val="667E0F59"/>
    <w:rsid w:val="66BB1735"/>
    <w:rsid w:val="67E44F67"/>
    <w:rsid w:val="68787D5F"/>
    <w:rsid w:val="68BC7641"/>
    <w:rsid w:val="68D712A8"/>
    <w:rsid w:val="69001728"/>
    <w:rsid w:val="69870D6A"/>
    <w:rsid w:val="6A692F64"/>
    <w:rsid w:val="6AE0178C"/>
    <w:rsid w:val="6B7E44D7"/>
    <w:rsid w:val="6C784F89"/>
    <w:rsid w:val="6C7C1E1F"/>
    <w:rsid w:val="6C8A712D"/>
    <w:rsid w:val="6C91149A"/>
    <w:rsid w:val="6CC464A3"/>
    <w:rsid w:val="6D4B2A81"/>
    <w:rsid w:val="6DAC2E78"/>
    <w:rsid w:val="6E5B50C2"/>
    <w:rsid w:val="6E9A1AD6"/>
    <w:rsid w:val="6EC53DCA"/>
    <w:rsid w:val="6EDB1B92"/>
    <w:rsid w:val="6EE90F6F"/>
    <w:rsid w:val="6F5E306F"/>
    <w:rsid w:val="6F690F5A"/>
    <w:rsid w:val="6F9C0141"/>
    <w:rsid w:val="6FC90A00"/>
    <w:rsid w:val="704E4110"/>
    <w:rsid w:val="70B4434C"/>
    <w:rsid w:val="717957D5"/>
    <w:rsid w:val="72AB2EED"/>
    <w:rsid w:val="72E83A8B"/>
    <w:rsid w:val="739C4E65"/>
    <w:rsid w:val="73EF1123"/>
    <w:rsid w:val="74900E8A"/>
    <w:rsid w:val="74A32890"/>
    <w:rsid w:val="75447E9F"/>
    <w:rsid w:val="75CF7860"/>
    <w:rsid w:val="75FE761F"/>
    <w:rsid w:val="76A361F7"/>
    <w:rsid w:val="7767600F"/>
    <w:rsid w:val="77E063D8"/>
    <w:rsid w:val="787973FC"/>
    <w:rsid w:val="788B463D"/>
    <w:rsid w:val="78EB6461"/>
    <w:rsid w:val="79CC2B0A"/>
    <w:rsid w:val="79DF65C3"/>
    <w:rsid w:val="7AD8052B"/>
    <w:rsid w:val="7AE249C7"/>
    <w:rsid w:val="7B4540EF"/>
    <w:rsid w:val="7BB53F27"/>
    <w:rsid w:val="7C102573"/>
    <w:rsid w:val="7C274A7E"/>
    <w:rsid w:val="7D634331"/>
    <w:rsid w:val="7DD47901"/>
    <w:rsid w:val="7F4E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kern w:val="2"/>
      <w:sz w:val="18"/>
      <w:szCs w:val="18"/>
    </w:rPr>
  </w:style>
  <w:style w:type="character" w:customStyle="1" w:styleId="8">
    <w:name w:val="页脚 字符"/>
    <w:basedOn w:val="6"/>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645</Characters>
  <Lines>5</Lines>
  <Paragraphs>1</Paragraphs>
  <TotalTime>10</TotalTime>
  <ScaleCrop>false</ScaleCrop>
  <LinksUpToDate>false</LinksUpToDate>
  <CharactersWithSpaces>757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2021-06-18T01:41:00Z</dcterms:created>
  <dc:creator>M</dc:creator>
  <cp:lastModifiedBy>admin</cp:lastModifiedBy>
  <dcterms:modified xsi:type="dcterms:W3CDTF">2021-08-31T01:34:11Z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B423086FDB9C499E97052B95E6C03F81</vt:lpwstr>
  </property>
</Properties>
</file>