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0"/>
          <w:tab w:val="left" w:pos="6660"/>
        </w:tabs>
        <w:adjustRightInd w:val="0"/>
        <w:snapToGrid w:val="0"/>
        <w:spacing w:before="72" w:after="72" w:line="1200" w:lineRule="atLeast"/>
        <w:jc w:val="center"/>
        <w:rPr>
          <w:rFonts w:hint="eastAsia" w:ascii="宋体" w:hAnsi="宋体"/>
          <w:b/>
          <w:color w:val="000000"/>
          <w:sz w:val="52"/>
          <w:szCs w:val="52"/>
        </w:rPr>
      </w:pPr>
      <w:r>
        <w:rPr>
          <w:rFonts w:hint="eastAsia" w:ascii="宋体" w:hAnsi="宋体"/>
          <w:b/>
          <w:color w:val="000000"/>
          <w:sz w:val="52"/>
          <w:szCs w:val="52"/>
        </w:rPr>
        <w:t>广州市天河区政府大院大会场舞台灯光设备更换项目</w:t>
      </w:r>
    </w:p>
    <w:p>
      <w:pPr>
        <w:pStyle w:val="73"/>
        <w:rPr>
          <w:rFonts w:ascii="宋体" w:hAnsi="宋体"/>
          <w:color w:val="000000"/>
        </w:rPr>
      </w:pPr>
    </w:p>
    <w:p>
      <w:pPr>
        <w:pStyle w:val="73"/>
        <w:rPr>
          <w:rFonts w:ascii="宋体" w:hAnsi="宋体"/>
          <w:color w:val="000000"/>
        </w:rPr>
      </w:pPr>
    </w:p>
    <w:p>
      <w:pPr>
        <w:pStyle w:val="73"/>
        <w:rPr>
          <w:rFonts w:hint="eastAsia" w:ascii="宋体" w:hAnsi="宋体"/>
          <w:color w:val="000000"/>
        </w:rPr>
      </w:pPr>
    </w:p>
    <w:p>
      <w:pPr>
        <w:tabs>
          <w:tab w:val="left" w:pos="420"/>
          <w:tab w:val="left" w:pos="6660"/>
        </w:tabs>
        <w:spacing w:before="72" w:after="72" w:line="1200" w:lineRule="atLeast"/>
        <w:jc w:val="center"/>
        <w:rPr>
          <w:rFonts w:ascii="黑体" w:hAnsi="黑体" w:eastAsia="黑体"/>
          <w:b/>
          <w:color w:val="000000"/>
          <w:sz w:val="90"/>
          <w:szCs w:val="90"/>
          <w14:shadow w14:blurRad="50800" w14:dist="38100" w14:dir="2700000" w14:sx="100000" w14:sy="100000" w14:kx="0" w14:ky="0" w14:algn="tl">
            <w14:srgbClr w14:val="000000">
              <w14:alpha w14:val="60000"/>
            </w14:srgbClr>
          </w14:shadow>
        </w:rPr>
      </w:pPr>
    </w:p>
    <w:p>
      <w:pPr>
        <w:tabs>
          <w:tab w:val="left" w:pos="420"/>
          <w:tab w:val="left" w:pos="6660"/>
        </w:tabs>
        <w:spacing w:before="72" w:after="72" w:line="1200" w:lineRule="atLeast"/>
        <w:jc w:val="center"/>
        <w:rPr>
          <w:rFonts w:ascii="黑体" w:hAnsi="黑体" w:eastAsia="黑体"/>
          <w:b/>
          <w:color w:val="000000"/>
          <w:sz w:val="90"/>
          <w:szCs w:val="90"/>
          <w14:shadow w14:blurRad="50800" w14:dist="38100" w14:dir="2700000" w14:sx="100000" w14:sy="100000" w14:kx="0" w14:ky="0" w14:algn="tl">
            <w14:srgbClr w14:val="000000">
              <w14:alpha w14:val="60000"/>
            </w14:srgbClr>
          </w14:shadow>
        </w:rPr>
      </w:pPr>
      <w:r>
        <w:rPr>
          <w:rFonts w:hint="eastAsia" w:ascii="黑体" w:hAnsi="黑体" w:eastAsia="黑体"/>
          <w:b/>
          <w:color w:val="000000"/>
          <w:sz w:val="90"/>
          <w:szCs w:val="90"/>
          <w14:shadow w14:blurRad="50800" w14:dist="38100" w14:dir="2700000" w14:sx="100000" w14:sy="100000" w14:kx="0" w14:ky="0" w14:algn="tl">
            <w14:srgbClr w14:val="000000">
              <w14:alpha w14:val="60000"/>
            </w14:srgbClr>
          </w14:shadow>
        </w:rPr>
        <w:t>竞争性磋商文件</w:t>
      </w:r>
    </w:p>
    <w:p>
      <w:pPr>
        <w:pStyle w:val="24"/>
        <w:spacing w:line="360" w:lineRule="auto"/>
        <w:ind w:left="99" w:leftChars="47"/>
        <w:jc w:val="center"/>
        <w:rPr>
          <w:rFonts w:ascii="宋体" w:hAnsi="宋体"/>
          <w:color w:val="000000"/>
          <w:sz w:val="44"/>
          <w:szCs w:val="44"/>
        </w:rPr>
      </w:pPr>
      <w:r>
        <w:rPr>
          <w:rFonts w:hint="eastAsia" w:ascii="宋体" w:hAnsi="宋体"/>
          <w:color w:val="000000"/>
          <w:sz w:val="44"/>
          <w:szCs w:val="44"/>
        </w:rPr>
        <w:t>(项目编号：</w:t>
      </w:r>
      <w:r>
        <w:rPr>
          <w:rFonts w:ascii="宋体" w:hAnsi="宋体"/>
          <w:color w:val="000000"/>
          <w:sz w:val="44"/>
          <w:szCs w:val="44"/>
        </w:rPr>
        <w:t>GDZGJL-CGZB-2021039</w:t>
      </w:r>
      <w:r>
        <w:rPr>
          <w:rFonts w:hint="eastAsia" w:ascii="宋体" w:hAnsi="宋体"/>
          <w:color w:val="000000"/>
          <w:sz w:val="44"/>
          <w:szCs w:val="44"/>
        </w:rPr>
        <w:t>)</w:t>
      </w:r>
    </w:p>
    <w:p>
      <w:pPr>
        <w:rPr>
          <w:rFonts w:ascii="宋体" w:hAnsi="宋体"/>
          <w:color w:val="000000"/>
          <w:sz w:val="36"/>
          <w:szCs w:val="36"/>
        </w:rPr>
      </w:pPr>
    </w:p>
    <w:p>
      <w:pPr>
        <w:rPr>
          <w:rFonts w:ascii="宋体" w:hAnsi="宋体"/>
          <w:color w:val="000000"/>
          <w:sz w:val="36"/>
          <w:szCs w:val="36"/>
        </w:rPr>
      </w:pPr>
    </w:p>
    <w:p>
      <w:pPr>
        <w:rPr>
          <w:rFonts w:hint="eastAsia" w:ascii="宋体" w:hAnsi="宋体"/>
          <w:color w:val="000000"/>
          <w:sz w:val="36"/>
          <w:szCs w:val="36"/>
        </w:rPr>
      </w:pPr>
    </w:p>
    <w:p>
      <w:pPr>
        <w:rPr>
          <w:rFonts w:ascii="宋体" w:hAnsi="宋体"/>
          <w:bCs/>
          <w:color w:val="000000"/>
          <w:sz w:val="32"/>
          <w:szCs w:val="32"/>
        </w:rPr>
      </w:pPr>
    </w:p>
    <w:p>
      <w:pPr>
        <w:rPr>
          <w:rFonts w:hint="eastAsia" w:ascii="宋体" w:hAnsi="宋体"/>
          <w:bCs/>
          <w:color w:val="000000"/>
          <w:sz w:val="32"/>
          <w:szCs w:val="32"/>
        </w:rPr>
      </w:pPr>
    </w:p>
    <w:p>
      <w:pPr>
        <w:rPr>
          <w:rFonts w:ascii="宋体" w:hAnsi="宋体"/>
          <w:bCs/>
          <w:color w:val="000000"/>
          <w:sz w:val="32"/>
          <w:szCs w:val="32"/>
        </w:rPr>
      </w:pPr>
    </w:p>
    <w:p>
      <w:pPr>
        <w:rPr>
          <w:rFonts w:ascii="宋体" w:hAnsi="宋体"/>
          <w:bCs/>
          <w:color w:val="000000"/>
          <w:sz w:val="32"/>
          <w:szCs w:val="32"/>
        </w:rPr>
      </w:pPr>
    </w:p>
    <w:p>
      <w:pPr>
        <w:rPr>
          <w:rFonts w:hint="eastAsia" w:ascii="宋体" w:hAnsi="宋体"/>
          <w:bCs/>
          <w:color w:val="000000"/>
          <w:sz w:val="32"/>
          <w:szCs w:val="32"/>
        </w:rPr>
      </w:pPr>
    </w:p>
    <w:p>
      <w:pPr>
        <w:spacing w:before="72" w:after="72" w:line="360" w:lineRule="auto"/>
        <w:jc w:val="center"/>
        <w:rPr>
          <w:rFonts w:ascii="宋体" w:hAnsi="宋体"/>
          <w:color w:val="000000"/>
          <w:sz w:val="32"/>
          <w:szCs w:val="32"/>
        </w:rPr>
      </w:pPr>
      <w:r>
        <w:rPr>
          <w:rFonts w:hint="eastAsia" w:ascii="宋体" w:hAnsi="宋体"/>
          <w:color w:val="000000"/>
          <w:sz w:val="32"/>
          <w:szCs w:val="32"/>
        </w:rPr>
        <w:t>广东重工建设监理有限公司</w:t>
      </w:r>
    </w:p>
    <w:p>
      <w:pPr>
        <w:jc w:val="center"/>
        <w:rPr>
          <w:rFonts w:ascii="宋体" w:hAnsi="宋体"/>
          <w:color w:val="000000"/>
          <w:sz w:val="32"/>
          <w:szCs w:val="32"/>
        </w:rPr>
      </w:pPr>
      <w:r>
        <w:rPr>
          <w:rFonts w:hint="eastAsia" w:ascii="宋体" w:hAnsi="宋体"/>
          <w:color w:val="000000"/>
          <w:sz w:val="32"/>
          <w:szCs w:val="32"/>
        </w:rPr>
        <w:t>2</w:t>
      </w:r>
      <w:r>
        <w:rPr>
          <w:rFonts w:ascii="宋体" w:hAnsi="宋体"/>
          <w:color w:val="000000"/>
          <w:sz w:val="32"/>
          <w:szCs w:val="32"/>
        </w:rPr>
        <w:t>021</w:t>
      </w:r>
      <w:r>
        <w:rPr>
          <w:rFonts w:hint="eastAsia" w:ascii="宋体" w:hAnsi="宋体"/>
          <w:color w:val="000000"/>
          <w:sz w:val="32"/>
          <w:szCs w:val="32"/>
        </w:rPr>
        <w:t>年1</w:t>
      </w:r>
      <w:r>
        <w:rPr>
          <w:rFonts w:ascii="宋体" w:hAnsi="宋体"/>
          <w:color w:val="000000"/>
          <w:sz w:val="32"/>
          <w:szCs w:val="32"/>
        </w:rPr>
        <w:t>1</w:t>
      </w:r>
      <w:r>
        <w:rPr>
          <w:rFonts w:hint="eastAsia" w:ascii="宋体" w:hAnsi="宋体"/>
          <w:color w:val="000000"/>
          <w:sz w:val="32"/>
          <w:szCs w:val="32"/>
        </w:rPr>
        <w:t>月</w:t>
      </w:r>
    </w:p>
    <w:p>
      <w:pPr>
        <w:rPr>
          <w:color w:val="000000"/>
        </w:rPr>
      </w:pPr>
      <w:bookmarkStart w:id="0" w:name="_Toc423021938"/>
      <w:bookmarkStart w:id="1" w:name="_Toc168288363"/>
      <w:bookmarkStart w:id="2" w:name="_Toc50736465"/>
      <w:bookmarkStart w:id="3" w:name="_Toc183316708"/>
      <w:bookmarkStart w:id="4" w:name="_Toc50737317"/>
      <w:bookmarkStart w:id="5" w:name="_Toc50737285"/>
      <w:bookmarkStart w:id="6" w:name="_Toc50691018"/>
      <w:bookmarkStart w:id="7" w:name="_Toc182886646"/>
      <w:bookmarkStart w:id="8" w:name="_Toc372468299"/>
      <w:r>
        <w:rPr>
          <w:rFonts w:eastAsia="仿宋_GB2312"/>
          <w:b/>
          <w:bCs/>
          <w:color w:val="000000"/>
          <w:sz w:val="32"/>
          <w:szCs w:val="32"/>
        </w:rPr>
        <w:br w:type="page"/>
      </w:r>
    </w:p>
    <w:p>
      <w:pPr>
        <w:pStyle w:val="2"/>
        <w:adjustRightInd w:val="0"/>
        <w:snapToGrid w:val="0"/>
        <w:spacing w:before="0" w:after="0" w:line="360" w:lineRule="auto"/>
        <w:jc w:val="center"/>
        <w:rPr>
          <w:color w:val="000000"/>
          <w:sz w:val="36"/>
          <w:szCs w:val="36"/>
        </w:rPr>
      </w:pPr>
      <w:bookmarkStart w:id="9" w:name="_Toc1802"/>
      <w:bookmarkStart w:id="10" w:name="_Toc5571"/>
      <w:bookmarkStart w:id="11" w:name="_Toc5404"/>
      <w:bookmarkStart w:id="12" w:name="_Toc525056967"/>
      <w:bookmarkStart w:id="13" w:name="_Toc7856"/>
      <w:bookmarkStart w:id="14" w:name="_Toc10876"/>
      <w:bookmarkStart w:id="15" w:name="_Toc27853"/>
      <w:bookmarkStart w:id="16" w:name="_Toc2760"/>
      <w:bookmarkStart w:id="17" w:name="_Toc86851443"/>
      <w:r>
        <w:rPr>
          <w:rFonts w:hint="eastAsia"/>
          <w:color w:val="000000"/>
          <w:sz w:val="36"/>
          <w:szCs w:val="36"/>
        </w:rPr>
        <w:t>温馨提示: 报价供应商投标特别注意事项</w:t>
      </w:r>
      <w:bookmarkEnd w:id="9"/>
      <w:bookmarkEnd w:id="10"/>
      <w:bookmarkEnd w:id="11"/>
      <w:bookmarkEnd w:id="12"/>
      <w:bookmarkEnd w:id="13"/>
      <w:bookmarkEnd w:id="14"/>
      <w:bookmarkEnd w:id="15"/>
      <w:bookmarkEnd w:id="16"/>
      <w:bookmarkEnd w:id="17"/>
    </w:p>
    <w:p>
      <w:pPr>
        <w:rPr>
          <w:color w:val="000000"/>
        </w:rPr>
      </w:pPr>
    </w:p>
    <w:p>
      <w:pPr>
        <w:numPr>
          <w:ilvl w:val="0"/>
          <w:numId w:val="1"/>
        </w:numPr>
        <w:spacing w:line="360" w:lineRule="auto"/>
        <w:rPr>
          <w:color w:val="000000"/>
          <w:sz w:val="24"/>
        </w:rPr>
      </w:pPr>
      <w:r>
        <w:rPr>
          <w:rFonts w:hint="eastAsia"/>
          <w:color w:val="000000"/>
          <w:sz w:val="24"/>
        </w:rPr>
        <w:t>如无另行说明，投标/报价文件/响应文件递交时间为投标/报价文件//响应文件</w:t>
      </w:r>
      <w:r>
        <w:rPr>
          <w:rFonts w:hint="eastAsia"/>
          <w:b/>
          <w:bCs/>
          <w:color w:val="000000"/>
          <w:sz w:val="24"/>
        </w:rPr>
        <w:t>递交截止时间之前30分钟内</w:t>
      </w:r>
      <w:r>
        <w:rPr>
          <w:rFonts w:hint="eastAsia"/>
          <w:color w:val="000000"/>
          <w:sz w:val="24"/>
        </w:rPr>
        <w:t>。</w:t>
      </w:r>
    </w:p>
    <w:p>
      <w:pPr>
        <w:numPr>
          <w:ilvl w:val="0"/>
          <w:numId w:val="1"/>
        </w:numPr>
        <w:spacing w:line="360" w:lineRule="auto"/>
        <w:rPr>
          <w:color w:val="000000"/>
          <w:sz w:val="24"/>
        </w:rPr>
      </w:pPr>
      <w:r>
        <w:rPr>
          <w:rFonts w:hint="eastAsia"/>
          <w:color w:val="000000"/>
          <w:sz w:val="24"/>
        </w:rPr>
        <w:t>请</w:t>
      </w:r>
      <w:r>
        <w:rPr>
          <w:rFonts w:hint="eastAsia" w:ascii="宋体" w:hAnsi="宋体" w:cs="宋体"/>
          <w:color w:val="000000"/>
          <w:sz w:val="24"/>
          <w:lang w:val="zh-CN"/>
        </w:rPr>
        <w:t>报价供应商</w:t>
      </w:r>
      <w:r>
        <w:rPr>
          <w:rFonts w:hint="eastAsia"/>
          <w:color w:val="000000"/>
          <w:sz w:val="24"/>
        </w:rPr>
        <w:t>特别留意磋商文件上注明的磋商截止和磋商时间，逾期送达或邮寄送达的响应文件本公司恕不接收。磋商截止时间一到本公司不再接收任何响应文件。因此，请供应商适当提前到达磋商地点。</w:t>
      </w:r>
    </w:p>
    <w:p>
      <w:pPr>
        <w:numPr>
          <w:ilvl w:val="0"/>
          <w:numId w:val="1"/>
        </w:numPr>
        <w:spacing w:line="360" w:lineRule="auto"/>
        <w:rPr>
          <w:color w:val="000000"/>
          <w:sz w:val="24"/>
        </w:rPr>
      </w:pPr>
      <w:r>
        <w:rPr>
          <w:rFonts w:hint="eastAsia"/>
          <w:color w:val="000000"/>
          <w:sz w:val="24"/>
        </w:rPr>
        <w:t>磋商文件有“★”的地方为实质性的指标要求，必须一一响应。若有一项带“★”的指标要求未响应或不满足，将按报价无效处理。</w:t>
      </w:r>
    </w:p>
    <w:p>
      <w:pPr>
        <w:numPr>
          <w:ilvl w:val="0"/>
          <w:numId w:val="1"/>
        </w:numPr>
        <w:spacing w:line="360" w:lineRule="auto"/>
        <w:rPr>
          <w:color w:val="000000"/>
          <w:sz w:val="24"/>
        </w:rPr>
      </w:pPr>
      <w:r>
        <w:rPr>
          <w:rFonts w:hint="eastAsia"/>
          <w:color w:val="000000"/>
          <w:sz w:val="24"/>
        </w:rPr>
        <w:t>请正确填写《首轮报价一览表》，含有包组的报价项目须分开报价，制作响应文件时须分开装订，须分开密封。</w:t>
      </w:r>
    </w:p>
    <w:p>
      <w:pPr>
        <w:numPr>
          <w:ilvl w:val="0"/>
          <w:numId w:val="1"/>
        </w:numPr>
        <w:spacing w:line="360" w:lineRule="auto"/>
        <w:rPr>
          <w:color w:val="000000"/>
          <w:sz w:val="24"/>
        </w:rPr>
      </w:pPr>
      <w:r>
        <w:rPr>
          <w:rFonts w:hint="eastAsia"/>
          <w:color w:val="000000"/>
          <w:sz w:val="24"/>
        </w:rPr>
        <w:t>请仔细检查《报价函》、《首轮报价一览表》等重要格式文件是否有按要求盖公章或签名。</w:t>
      </w:r>
    </w:p>
    <w:p>
      <w:pPr>
        <w:numPr>
          <w:ilvl w:val="0"/>
          <w:numId w:val="1"/>
        </w:numPr>
        <w:spacing w:line="360" w:lineRule="auto"/>
        <w:rPr>
          <w:color w:val="000000"/>
          <w:sz w:val="24"/>
        </w:rPr>
      </w:pPr>
      <w:r>
        <w:rPr>
          <w:rFonts w:hint="eastAsia"/>
          <w:color w:val="000000"/>
          <w:sz w:val="24"/>
        </w:rPr>
        <w:t>响应文件应按顺序编制页码。</w:t>
      </w:r>
    </w:p>
    <w:p>
      <w:pPr>
        <w:numPr>
          <w:ilvl w:val="0"/>
          <w:numId w:val="1"/>
        </w:numPr>
        <w:spacing w:line="360" w:lineRule="auto"/>
        <w:rPr>
          <w:color w:val="000000"/>
          <w:sz w:val="24"/>
        </w:rPr>
      </w:pPr>
      <w:r>
        <w:rPr>
          <w:rFonts w:hint="eastAsia"/>
          <w:color w:val="000000"/>
          <w:sz w:val="24"/>
        </w:rPr>
        <w:t>磋商文件如允许分公司报价的，须取得具有法人资格的总公司出具给分支机构的授权书，并提供总公司和分支机构的营业执照复印件。已由总公司授权的，总公司取得的相关资质证书对分支机构有效，法律法规或者行业另有规定的除外。</w:t>
      </w:r>
    </w:p>
    <w:p>
      <w:pPr>
        <w:numPr>
          <w:ilvl w:val="0"/>
          <w:numId w:val="1"/>
        </w:numPr>
        <w:spacing w:line="360" w:lineRule="auto"/>
        <w:rPr>
          <w:color w:val="000000"/>
          <w:sz w:val="24"/>
        </w:rPr>
      </w:pPr>
      <w:r>
        <w:rPr>
          <w:rFonts w:hint="eastAsia"/>
          <w:color w:val="000000"/>
          <w:sz w:val="24"/>
        </w:rPr>
        <w:t>我公司为采购代理机构，不对</w:t>
      </w:r>
      <w:r>
        <w:rPr>
          <w:rFonts w:hint="eastAsia" w:ascii="宋体" w:hAnsi="宋体" w:cs="宋体"/>
          <w:color w:val="000000"/>
          <w:sz w:val="24"/>
          <w:lang w:val="zh-CN"/>
        </w:rPr>
        <w:t>报价供应商</w:t>
      </w:r>
      <w:r>
        <w:rPr>
          <w:rFonts w:hint="eastAsia"/>
          <w:color w:val="000000"/>
          <w:sz w:val="24"/>
        </w:rPr>
        <w:t>购买磋商文件时提交的相关资料的真伪做出判断，如</w:t>
      </w:r>
      <w:r>
        <w:rPr>
          <w:rFonts w:hint="eastAsia" w:ascii="宋体" w:hAnsi="宋体" w:cs="宋体"/>
          <w:color w:val="000000"/>
          <w:sz w:val="24"/>
          <w:lang w:val="zh-CN"/>
        </w:rPr>
        <w:t>报价供应商</w:t>
      </w:r>
      <w:r>
        <w:rPr>
          <w:rFonts w:hint="eastAsia"/>
          <w:color w:val="000000"/>
          <w:sz w:val="24"/>
        </w:rPr>
        <w:t>发现相关资料被盗用或复制，建议遵循法律途径解决，追究侵权者责任。对一家</w:t>
      </w:r>
      <w:r>
        <w:rPr>
          <w:rFonts w:hint="eastAsia" w:ascii="宋体" w:hAnsi="宋体" w:cs="宋体"/>
          <w:color w:val="000000"/>
          <w:sz w:val="24"/>
          <w:lang w:val="zh-CN"/>
        </w:rPr>
        <w:t>报价供应商</w:t>
      </w:r>
      <w:r>
        <w:rPr>
          <w:rFonts w:hint="eastAsia"/>
          <w:color w:val="000000"/>
          <w:sz w:val="24"/>
        </w:rPr>
        <w:t>递交两份响应文件的，磋商小组将按磋商文件中有关无效报价的规定处理。</w:t>
      </w:r>
    </w:p>
    <w:p>
      <w:pPr>
        <w:spacing w:line="360" w:lineRule="auto"/>
        <w:jc w:val="center"/>
        <w:rPr>
          <w:b/>
          <w:bCs/>
          <w:color w:val="000000"/>
          <w:sz w:val="18"/>
          <w:szCs w:val="18"/>
        </w:rPr>
      </w:pPr>
      <w:r>
        <w:rPr>
          <w:rFonts w:hint="eastAsia"/>
          <w:b/>
          <w:bCs/>
          <w:color w:val="000000"/>
          <w:sz w:val="18"/>
          <w:szCs w:val="18"/>
        </w:rPr>
        <w:t>（本提示非磋商文件的组成部分，仅作善意提醒。若与磋商文件有不同之处，以磋商文件为准。）</w:t>
      </w:r>
    </w:p>
    <w:p>
      <w:pPr>
        <w:pStyle w:val="2"/>
        <w:adjustRightInd w:val="0"/>
        <w:snapToGrid w:val="0"/>
        <w:spacing w:before="0" w:after="0" w:line="360" w:lineRule="auto"/>
        <w:jc w:val="center"/>
        <w:rPr>
          <w:color w:val="000000"/>
        </w:rPr>
      </w:pPr>
      <w:bookmarkStart w:id="18" w:name="_Toc9585"/>
      <w:bookmarkStart w:id="19" w:name="_Toc525056968"/>
      <w:bookmarkStart w:id="20" w:name="_Toc32276"/>
      <w:bookmarkStart w:id="21" w:name="_Toc29833"/>
      <w:bookmarkStart w:id="22" w:name="_Toc21252"/>
      <w:bookmarkStart w:id="23" w:name="_Toc5711"/>
      <w:bookmarkStart w:id="24" w:name="_Toc3358"/>
      <w:bookmarkStart w:id="25" w:name="_Toc40889859"/>
      <w:bookmarkStart w:id="26" w:name="_Toc25090"/>
      <w:r>
        <w:rPr>
          <w:color w:val="000000"/>
        </w:rPr>
        <w:br w:type="page"/>
      </w:r>
      <w:bookmarkStart w:id="27" w:name="_Toc86851444"/>
      <w:r>
        <w:rPr>
          <w:rFonts w:hint="eastAsia"/>
          <w:color w:val="000000"/>
        </w:rPr>
        <w:t>目  录</w:t>
      </w:r>
      <w:bookmarkEnd w:id="18"/>
      <w:bookmarkEnd w:id="19"/>
      <w:bookmarkEnd w:id="20"/>
      <w:bookmarkEnd w:id="21"/>
      <w:bookmarkEnd w:id="22"/>
      <w:bookmarkEnd w:id="23"/>
      <w:bookmarkEnd w:id="24"/>
      <w:bookmarkEnd w:id="25"/>
      <w:bookmarkEnd w:id="26"/>
      <w:bookmarkEnd w:id="27"/>
    </w:p>
    <w:p>
      <w:pPr>
        <w:pStyle w:val="28"/>
        <w:tabs>
          <w:tab w:val="right" w:leader="dot" w:pos="8296"/>
        </w:tabs>
        <w:spacing w:after="312" w:afterLines="100" w:line="360" w:lineRule="auto"/>
        <w:rPr>
          <w:rFonts w:ascii="等线" w:hAnsi="等线" w:eastAsia="等线" w:cs="Times New Roman"/>
          <w:sz w:val="28"/>
          <w:szCs w:val="28"/>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TOC \o "1-3" \h \u </w:instrText>
      </w:r>
      <w:r>
        <w:rPr>
          <w:rFonts w:hint="eastAsia" w:ascii="宋体" w:hAnsi="宋体" w:cs="宋体"/>
          <w:color w:val="000000"/>
          <w:sz w:val="28"/>
          <w:szCs w:val="28"/>
        </w:rPr>
        <w:fldChar w:fldCharType="separate"/>
      </w:r>
    </w:p>
    <w:p>
      <w:pPr>
        <w:pStyle w:val="28"/>
        <w:tabs>
          <w:tab w:val="right" w:leader="dot" w:pos="8296"/>
        </w:tabs>
        <w:spacing w:after="312" w:afterLines="100" w:line="360" w:lineRule="auto"/>
        <w:rPr>
          <w:rFonts w:ascii="等线" w:hAnsi="等线" w:eastAsia="等线" w:cs="Times New Roman"/>
          <w:sz w:val="28"/>
          <w:szCs w:val="28"/>
        </w:rPr>
      </w:pPr>
      <w:r>
        <w:rPr>
          <w:rStyle w:val="40"/>
          <w:sz w:val="28"/>
          <w:szCs w:val="28"/>
        </w:rPr>
        <w:fldChar w:fldCharType="begin"/>
      </w:r>
      <w:r>
        <w:rPr>
          <w:rStyle w:val="40"/>
          <w:sz w:val="28"/>
          <w:szCs w:val="28"/>
        </w:rPr>
        <w:instrText xml:space="preserve"> </w:instrText>
      </w:r>
      <w:r>
        <w:rPr>
          <w:sz w:val="28"/>
          <w:szCs w:val="28"/>
        </w:rPr>
        <w:instrText xml:space="preserve">HYPERLINK \l "_Toc86851445"</w:instrText>
      </w:r>
      <w:r>
        <w:rPr>
          <w:rStyle w:val="40"/>
          <w:sz w:val="28"/>
          <w:szCs w:val="28"/>
        </w:rPr>
        <w:instrText xml:space="preserve"> </w:instrText>
      </w:r>
      <w:r>
        <w:rPr>
          <w:rStyle w:val="40"/>
          <w:sz w:val="28"/>
          <w:szCs w:val="28"/>
        </w:rPr>
        <w:fldChar w:fldCharType="separate"/>
      </w:r>
      <w:r>
        <w:rPr>
          <w:rStyle w:val="40"/>
          <w:sz w:val="28"/>
          <w:szCs w:val="28"/>
        </w:rPr>
        <w:t>第一章 竞争性磋商公告</w:t>
      </w:r>
      <w:r>
        <w:rPr>
          <w:sz w:val="28"/>
          <w:szCs w:val="28"/>
        </w:rPr>
        <w:tab/>
      </w:r>
      <w:r>
        <w:rPr>
          <w:sz w:val="28"/>
          <w:szCs w:val="28"/>
        </w:rPr>
        <w:fldChar w:fldCharType="begin"/>
      </w:r>
      <w:r>
        <w:rPr>
          <w:sz w:val="28"/>
          <w:szCs w:val="28"/>
        </w:rPr>
        <w:instrText xml:space="preserve"> PAGEREF _Toc86851445 \h </w:instrText>
      </w:r>
      <w:r>
        <w:rPr>
          <w:sz w:val="28"/>
          <w:szCs w:val="28"/>
        </w:rPr>
        <w:fldChar w:fldCharType="separate"/>
      </w:r>
      <w:r>
        <w:rPr>
          <w:sz w:val="28"/>
          <w:szCs w:val="28"/>
        </w:rPr>
        <w:t>6</w:t>
      </w:r>
      <w:r>
        <w:rPr>
          <w:sz w:val="28"/>
          <w:szCs w:val="28"/>
        </w:rPr>
        <w:fldChar w:fldCharType="end"/>
      </w:r>
      <w:r>
        <w:rPr>
          <w:rStyle w:val="40"/>
          <w:sz w:val="28"/>
          <w:szCs w:val="28"/>
        </w:rPr>
        <w:fldChar w:fldCharType="end"/>
      </w:r>
    </w:p>
    <w:p>
      <w:pPr>
        <w:pStyle w:val="28"/>
        <w:tabs>
          <w:tab w:val="right" w:leader="dot" w:pos="8296"/>
        </w:tabs>
        <w:spacing w:after="312" w:afterLines="100" w:line="360" w:lineRule="auto"/>
        <w:rPr>
          <w:rFonts w:ascii="等线" w:hAnsi="等线" w:eastAsia="等线" w:cs="Times New Roman"/>
          <w:sz w:val="28"/>
          <w:szCs w:val="28"/>
        </w:rPr>
      </w:pPr>
      <w:r>
        <w:rPr>
          <w:rStyle w:val="40"/>
          <w:sz w:val="28"/>
          <w:szCs w:val="28"/>
        </w:rPr>
        <w:fldChar w:fldCharType="begin"/>
      </w:r>
      <w:r>
        <w:rPr>
          <w:rStyle w:val="40"/>
          <w:sz w:val="28"/>
          <w:szCs w:val="28"/>
        </w:rPr>
        <w:instrText xml:space="preserve"> </w:instrText>
      </w:r>
      <w:r>
        <w:rPr>
          <w:sz w:val="28"/>
          <w:szCs w:val="28"/>
        </w:rPr>
        <w:instrText xml:space="preserve">HYPERLINK \l "_Toc86851446"</w:instrText>
      </w:r>
      <w:r>
        <w:rPr>
          <w:rStyle w:val="40"/>
          <w:sz w:val="28"/>
          <w:szCs w:val="28"/>
        </w:rPr>
        <w:instrText xml:space="preserve"> </w:instrText>
      </w:r>
      <w:r>
        <w:rPr>
          <w:rStyle w:val="40"/>
          <w:sz w:val="28"/>
          <w:szCs w:val="28"/>
        </w:rPr>
        <w:fldChar w:fldCharType="separate"/>
      </w:r>
      <w:r>
        <w:rPr>
          <w:rStyle w:val="40"/>
          <w:sz w:val="28"/>
          <w:szCs w:val="28"/>
        </w:rPr>
        <w:t>第二章 报价供应商须知</w:t>
      </w:r>
      <w:r>
        <w:rPr>
          <w:sz w:val="28"/>
          <w:szCs w:val="28"/>
        </w:rPr>
        <w:tab/>
      </w:r>
      <w:r>
        <w:rPr>
          <w:sz w:val="28"/>
          <w:szCs w:val="28"/>
        </w:rPr>
        <w:fldChar w:fldCharType="begin"/>
      </w:r>
      <w:r>
        <w:rPr>
          <w:sz w:val="28"/>
          <w:szCs w:val="28"/>
        </w:rPr>
        <w:instrText xml:space="preserve"> PAGEREF _Toc86851446 \h </w:instrText>
      </w:r>
      <w:r>
        <w:rPr>
          <w:sz w:val="28"/>
          <w:szCs w:val="28"/>
        </w:rPr>
        <w:fldChar w:fldCharType="separate"/>
      </w:r>
      <w:r>
        <w:rPr>
          <w:sz w:val="28"/>
          <w:szCs w:val="28"/>
        </w:rPr>
        <w:t>10</w:t>
      </w:r>
      <w:r>
        <w:rPr>
          <w:sz w:val="28"/>
          <w:szCs w:val="28"/>
        </w:rPr>
        <w:fldChar w:fldCharType="end"/>
      </w:r>
      <w:r>
        <w:rPr>
          <w:rStyle w:val="40"/>
          <w:sz w:val="28"/>
          <w:szCs w:val="28"/>
        </w:rPr>
        <w:fldChar w:fldCharType="end"/>
      </w:r>
    </w:p>
    <w:p>
      <w:pPr>
        <w:pStyle w:val="28"/>
        <w:tabs>
          <w:tab w:val="right" w:leader="dot" w:pos="8296"/>
        </w:tabs>
        <w:spacing w:after="312" w:afterLines="100" w:line="360" w:lineRule="auto"/>
        <w:rPr>
          <w:rFonts w:ascii="等线" w:hAnsi="等线" w:eastAsia="等线" w:cs="Times New Roman"/>
          <w:sz w:val="28"/>
          <w:szCs w:val="28"/>
        </w:rPr>
      </w:pPr>
      <w:r>
        <w:rPr>
          <w:rStyle w:val="40"/>
          <w:sz w:val="28"/>
          <w:szCs w:val="28"/>
        </w:rPr>
        <w:fldChar w:fldCharType="begin"/>
      </w:r>
      <w:r>
        <w:rPr>
          <w:rStyle w:val="40"/>
          <w:sz w:val="28"/>
          <w:szCs w:val="28"/>
        </w:rPr>
        <w:instrText xml:space="preserve"> </w:instrText>
      </w:r>
      <w:r>
        <w:rPr>
          <w:sz w:val="28"/>
          <w:szCs w:val="28"/>
        </w:rPr>
        <w:instrText xml:space="preserve">HYPERLINK \l "_Toc86851482"</w:instrText>
      </w:r>
      <w:r>
        <w:rPr>
          <w:rStyle w:val="40"/>
          <w:sz w:val="28"/>
          <w:szCs w:val="28"/>
        </w:rPr>
        <w:instrText xml:space="preserve"> </w:instrText>
      </w:r>
      <w:r>
        <w:rPr>
          <w:rStyle w:val="40"/>
          <w:sz w:val="28"/>
          <w:szCs w:val="28"/>
        </w:rPr>
        <w:fldChar w:fldCharType="separate"/>
      </w:r>
      <w:r>
        <w:rPr>
          <w:rStyle w:val="40"/>
          <w:sz w:val="28"/>
          <w:szCs w:val="28"/>
        </w:rPr>
        <w:t>第三章 用户需求书</w:t>
      </w:r>
      <w:r>
        <w:rPr>
          <w:sz w:val="28"/>
          <w:szCs w:val="28"/>
        </w:rPr>
        <w:tab/>
      </w:r>
      <w:r>
        <w:rPr>
          <w:sz w:val="28"/>
          <w:szCs w:val="28"/>
        </w:rPr>
        <w:fldChar w:fldCharType="begin"/>
      </w:r>
      <w:r>
        <w:rPr>
          <w:sz w:val="28"/>
          <w:szCs w:val="28"/>
        </w:rPr>
        <w:instrText xml:space="preserve"> PAGEREF _Toc86851482 \h </w:instrText>
      </w:r>
      <w:r>
        <w:rPr>
          <w:sz w:val="28"/>
          <w:szCs w:val="28"/>
        </w:rPr>
        <w:fldChar w:fldCharType="separate"/>
      </w:r>
      <w:r>
        <w:rPr>
          <w:sz w:val="28"/>
          <w:szCs w:val="28"/>
        </w:rPr>
        <w:t>26</w:t>
      </w:r>
      <w:r>
        <w:rPr>
          <w:sz w:val="28"/>
          <w:szCs w:val="28"/>
        </w:rPr>
        <w:fldChar w:fldCharType="end"/>
      </w:r>
      <w:r>
        <w:rPr>
          <w:rStyle w:val="40"/>
          <w:sz w:val="28"/>
          <w:szCs w:val="28"/>
        </w:rPr>
        <w:fldChar w:fldCharType="end"/>
      </w:r>
    </w:p>
    <w:p>
      <w:pPr>
        <w:pStyle w:val="28"/>
        <w:tabs>
          <w:tab w:val="right" w:leader="dot" w:pos="8296"/>
        </w:tabs>
        <w:spacing w:after="312" w:afterLines="100" w:line="360" w:lineRule="auto"/>
        <w:rPr>
          <w:rFonts w:ascii="等线" w:hAnsi="等线" w:eastAsia="等线" w:cs="Times New Roman"/>
          <w:sz w:val="28"/>
          <w:szCs w:val="28"/>
        </w:rPr>
      </w:pPr>
      <w:r>
        <w:rPr>
          <w:rStyle w:val="40"/>
          <w:sz w:val="28"/>
          <w:szCs w:val="28"/>
        </w:rPr>
        <w:fldChar w:fldCharType="begin"/>
      </w:r>
      <w:r>
        <w:rPr>
          <w:rStyle w:val="40"/>
          <w:sz w:val="28"/>
          <w:szCs w:val="28"/>
        </w:rPr>
        <w:instrText xml:space="preserve"> </w:instrText>
      </w:r>
      <w:r>
        <w:rPr>
          <w:sz w:val="28"/>
          <w:szCs w:val="28"/>
        </w:rPr>
        <w:instrText xml:space="preserve">HYPERLINK \l "_Toc86851532"</w:instrText>
      </w:r>
      <w:r>
        <w:rPr>
          <w:rStyle w:val="40"/>
          <w:sz w:val="28"/>
          <w:szCs w:val="28"/>
        </w:rPr>
        <w:instrText xml:space="preserve"> </w:instrText>
      </w:r>
      <w:r>
        <w:rPr>
          <w:rStyle w:val="40"/>
          <w:sz w:val="28"/>
          <w:szCs w:val="28"/>
        </w:rPr>
        <w:fldChar w:fldCharType="separate"/>
      </w:r>
      <w:r>
        <w:rPr>
          <w:rStyle w:val="40"/>
          <w:sz w:val="28"/>
          <w:szCs w:val="28"/>
        </w:rPr>
        <w:t>第四章 评分体系与标准</w:t>
      </w:r>
      <w:r>
        <w:rPr>
          <w:sz w:val="28"/>
          <w:szCs w:val="28"/>
        </w:rPr>
        <w:tab/>
      </w:r>
      <w:r>
        <w:rPr>
          <w:sz w:val="28"/>
          <w:szCs w:val="28"/>
        </w:rPr>
        <w:fldChar w:fldCharType="begin"/>
      </w:r>
      <w:r>
        <w:rPr>
          <w:sz w:val="28"/>
          <w:szCs w:val="28"/>
        </w:rPr>
        <w:instrText xml:space="preserve"> PAGEREF _Toc86851532 \h </w:instrText>
      </w:r>
      <w:r>
        <w:rPr>
          <w:sz w:val="28"/>
          <w:szCs w:val="28"/>
        </w:rPr>
        <w:fldChar w:fldCharType="separate"/>
      </w:r>
      <w:r>
        <w:rPr>
          <w:sz w:val="28"/>
          <w:szCs w:val="28"/>
        </w:rPr>
        <w:t>40</w:t>
      </w:r>
      <w:r>
        <w:rPr>
          <w:sz w:val="28"/>
          <w:szCs w:val="28"/>
        </w:rPr>
        <w:fldChar w:fldCharType="end"/>
      </w:r>
      <w:r>
        <w:rPr>
          <w:rStyle w:val="40"/>
          <w:sz w:val="28"/>
          <w:szCs w:val="28"/>
        </w:rPr>
        <w:fldChar w:fldCharType="end"/>
      </w:r>
    </w:p>
    <w:p>
      <w:pPr>
        <w:pStyle w:val="28"/>
        <w:tabs>
          <w:tab w:val="right" w:leader="dot" w:pos="8296"/>
        </w:tabs>
        <w:spacing w:after="312" w:afterLines="100" w:line="360" w:lineRule="auto"/>
        <w:rPr>
          <w:rFonts w:ascii="等线" w:hAnsi="等线" w:eastAsia="等线" w:cs="Times New Roman"/>
          <w:sz w:val="28"/>
          <w:szCs w:val="28"/>
        </w:rPr>
      </w:pPr>
      <w:r>
        <w:rPr>
          <w:rStyle w:val="40"/>
          <w:sz w:val="28"/>
          <w:szCs w:val="28"/>
        </w:rPr>
        <w:fldChar w:fldCharType="begin"/>
      </w:r>
      <w:r>
        <w:rPr>
          <w:rStyle w:val="40"/>
          <w:sz w:val="28"/>
          <w:szCs w:val="28"/>
        </w:rPr>
        <w:instrText xml:space="preserve"> </w:instrText>
      </w:r>
      <w:r>
        <w:rPr>
          <w:sz w:val="28"/>
          <w:szCs w:val="28"/>
        </w:rPr>
        <w:instrText xml:space="preserve">HYPERLINK \l "_Toc86851546"</w:instrText>
      </w:r>
      <w:r>
        <w:rPr>
          <w:rStyle w:val="40"/>
          <w:sz w:val="28"/>
          <w:szCs w:val="28"/>
        </w:rPr>
        <w:instrText xml:space="preserve"> </w:instrText>
      </w:r>
      <w:r>
        <w:rPr>
          <w:rStyle w:val="40"/>
          <w:sz w:val="28"/>
          <w:szCs w:val="28"/>
        </w:rPr>
        <w:fldChar w:fldCharType="separate"/>
      </w:r>
      <w:r>
        <w:rPr>
          <w:rStyle w:val="40"/>
          <w:sz w:val="28"/>
          <w:szCs w:val="28"/>
        </w:rPr>
        <w:t>第五章 合同格式</w:t>
      </w:r>
      <w:r>
        <w:rPr>
          <w:sz w:val="28"/>
          <w:szCs w:val="28"/>
        </w:rPr>
        <w:tab/>
      </w:r>
      <w:r>
        <w:rPr>
          <w:sz w:val="28"/>
          <w:szCs w:val="28"/>
        </w:rPr>
        <w:fldChar w:fldCharType="begin"/>
      </w:r>
      <w:r>
        <w:rPr>
          <w:sz w:val="28"/>
          <w:szCs w:val="28"/>
        </w:rPr>
        <w:instrText xml:space="preserve"> PAGEREF _Toc86851546 \h </w:instrText>
      </w:r>
      <w:r>
        <w:rPr>
          <w:sz w:val="28"/>
          <w:szCs w:val="28"/>
        </w:rPr>
        <w:fldChar w:fldCharType="separate"/>
      </w:r>
      <w:r>
        <w:rPr>
          <w:sz w:val="28"/>
          <w:szCs w:val="28"/>
        </w:rPr>
        <w:t>50</w:t>
      </w:r>
      <w:r>
        <w:rPr>
          <w:sz w:val="28"/>
          <w:szCs w:val="28"/>
        </w:rPr>
        <w:fldChar w:fldCharType="end"/>
      </w:r>
      <w:r>
        <w:rPr>
          <w:rStyle w:val="40"/>
          <w:sz w:val="28"/>
          <w:szCs w:val="28"/>
        </w:rPr>
        <w:fldChar w:fldCharType="end"/>
      </w:r>
    </w:p>
    <w:p>
      <w:pPr>
        <w:pStyle w:val="28"/>
        <w:tabs>
          <w:tab w:val="right" w:leader="dot" w:pos="8296"/>
        </w:tabs>
        <w:spacing w:after="312" w:afterLines="100" w:line="360" w:lineRule="auto"/>
        <w:rPr>
          <w:rFonts w:ascii="等线" w:hAnsi="等线" w:eastAsia="等线" w:cs="Times New Roman"/>
          <w:sz w:val="28"/>
          <w:szCs w:val="28"/>
        </w:rPr>
      </w:pPr>
      <w:r>
        <w:rPr>
          <w:rStyle w:val="40"/>
          <w:sz w:val="28"/>
          <w:szCs w:val="28"/>
        </w:rPr>
        <w:fldChar w:fldCharType="begin"/>
      </w:r>
      <w:r>
        <w:rPr>
          <w:rStyle w:val="40"/>
          <w:sz w:val="28"/>
          <w:szCs w:val="28"/>
        </w:rPr>
        <w:instrText xml:space="preserve"> </w:instrText>
      </w:r>
      <w:r>
        <w:rPr>
          <w:sz w:val="28"/>
          <w:szCs w:val="28"/>
        </w:rPr>
        <w:instrText xml:space="preserve">HYPERLINK \l "_Toc86851547"</w:instrText>
      </w:r>
      <w:r>
        <w:rPr>
          <w:rStyle w:val="40"/>
          <w:sz w:val="28"/>
          <w:szCs w:val="28"/>
        </w:rPr>
        <w:instrText xml:space="preserve"> </w:instrText>
      </w:r>
      <w:r>
        <w:rPr>
          <w:rStyle w:val="40"/>
          <w:sz w:val="28"/>
          <w:szCs w:val="28"/>
        </w:rPr>
        <w:fldChar w:fldCharType="separate"/>
      </w:r>
      <w:r>
        <w:rPr>
          <w:rStyle w:val="40"/>
          <w:sz w:val="28"/>
          <w:szCs w:val="28"/>
        </w:rPr>
        <w:t>第六章 响应文件格式</w:t>
      </w:r>
      <w:r>
        <w:rPr>
          <w:sz w:val="28"/>
          <w:szCs w:val="28"/>
        </w:rPr>
        <w:tab/>
      </w:r>
      <w:r>
        <w:rPr>
          <w:sz w:val="28"/>
          <w:szCs w:val="28"/>
        </w:rPr>
        <w:fldChar w:fldCharType="begin"/>
      </w:r>
      <w:r>
        <w:rPr>
          <w:sz w:val="28"/>
          <w:szCs w:val="28"/>
        </w:rPr>
        <w:instrText xml:space="preserve"> PAGEREF _Toc86851547 \h </w:instrText>
      </w:r>
      <w:r>
        <w:rPr>
          <w:sz w:val="28"/>
          <w:szCs w:val="28"/>
        </w:rPr>
        <w:fldChar w:fldCharType="separate"/>
      </w:r>
      <w:r>
        <w:rPr>
          <w:sz w:val="28"/>
          <w:szCs w:val="28"/>
        </w:rPr>
        <w:t>57</w:t>
      </w:r>
      <w:r>
        <w:rPr>
          <w:sz w:val="28"/>
          <w:szCs w:val="28"/>
        </w:rPr>
        <w:fldChar w:fldCharType="end"/>
      </w:r>
      <w:r>
        <w:rPr>
          <w:rStyle w:val="40"/>
          <w:sz w:val="28"/>
          <w:szCs w:val="28"/>
        </w:rPr>
        <w:fldChar w:fldCharType="end"/>
      </w:r>
    </w:p>
    <w:p>
      <w:pPr>
        <w:adjustRightInd w:val="0"/>
        <w:snapToGrid w:val="0"/>
        <w:spacing w:after="312" w:afterLines="100" w:line="360" w:lineRule="auto"/>
        <w:rPr>
          <w:color w:val="000000"/>
        </w:rPr>
      </w:pPr>
      <w:r>
        <w:rPr>
          <w:rFonts w:hint="eastAsia" w:ascii="宋体" w:hAnsi="宋体" w:cs="宋体"/>
          <w:color w:val="000000"/>
          <w:sz w:val="28"/>
          <w:szCs w:val="28"/>
        </w:rPr>
        <w:fldChar w:fldCharType="end"/>
      </w:r>
      <w:bookmarkStart w:id="28" w:name="_Toc27984"/>
    </w:p>
    <w:p>
      <w:pPr>
        <w:rPr>
          <w:color w:val="000000"/>
        </w:rPr>
      </w:pPr>
    </w:p>
    <w:p>
      <w:pPr>
        <w:pStyle w:val="2"/>
        <w:spacing w:before="156" w:beforeLines="50" w:after="156" w:afterLines="50" w:line="360" w:lineRule="auto"/>
        <w:jc w:val="center"/>
        <w:rPr>
          <w:color w:val="000000"/>
        </w:rPr>
      </w:pPr>
      <w:r>
        <w:rPr>
          <w:color w:val="000000"/>
        </w:rPr>
        <w:br w:type="page"/>
      </w:r>
      <w:bookmarkStart w:id="29" w:name="_Toc86851445"/>
      <w:r>
        <w:rPr>
          <w:rFonts w:hint="eastAsia"/>
          <w:color w:val="000000"/>
        </w:rPr>
        <w:t xml:space="preserve">第一章 </w:t>
      </w:r>
      <w:bookmarkEnd w:id="0"/>
      <w:bookmarkEnd w:id="1"/>
      <w:bookmarkEnd w:id="2"/>
      <w:bookmarkEnd w:id="3"/>
      <w:bookmarkEnd w:id="4"/>
      <w:bookmarkEnd w:id="5"/>
      <w:bookmarkEnd w:id="6"/>
      <w:bookmarkEnd w:id="7"/>
      <w:bookmarkEnd w:id="8"/>
      <w:bookmarkEnd w:id="28"/>
      <w:r>
        <w:rPr>
          <w:rFonts w:hint="eastAsia"/>
          <w:color w:val="000000"/>
        </w:rPr>
        <w:t>竞争性磋商公告</w:t>
      </w:r>
      <w:bookmarkEnd w:id="29"/>
    </w:p>
    <w:p>
      <w:pPr>
        <w:spacing w:line="360" w:lineRule="auto"/>
        <w:ind w:firstLine="480" w:firstLineChars="200"/>
        <w:rPr>
          <w:rFonts w:ascii="宋体" w:hAnsi="宋体" w:cs="宋体"/>
          <w:color w:val="000000"/>
          <w:sz w:val="24"/>
        </w:rPr>
      </w:pPr>
      <w:bookmarkStart w:id="30" w:name="_Hlk54948785"/>
      <w:r>
        <w:rPr>
          <w:rFonts w:hint="eastAsia" w:ascii="宋体" w:hAnsi="宋体" w:cs="宋体"/>
          <w:color w:val="000000"/>
          <w:sz w:val="24"/>
        </w:rPr>
        <w:t>广州市天河区政府大院大会场舞台灯光设备更换项目采购项目的潜在供应商应在广东省广州市黄埔区科学城揽月路101号保利中科广场A座10层招标代理所办公室购买竞争性磋商文件，并于</w:t>
      </w:r>
      <w:r>
        <w:rPr>
          <w:rFonts w:ascii="宋体" w:hAnsi="宋体" w:cs="宋体"/>
          <w:color w:val="000000"/>
          <w:sz w:val="24"/>
          <w:u w:val="single"/>
        </w:rPr>
        <w:t>2021</w:t>
      </w:r>
      <w:r>
        <w:rPr>
          <w:rFonts w:hint="eastAsia" w:ascii="宋体" w:hAnsi="宋体" w:cs="宋体"/>
          <w:color w:val="000000"/>
          <w:sz w:val="24"/>
        </w:rPr>
        <w:t>年</w:t>
      </w:r>
      <w:r>
        <w:rPr>
          <w:rFonts w:ascii="宋体" w:hAnsi="宋体" w:cs="宋体"/>
          <w:color w:val="000000"/>
          <w:sz w:val="24"/>
          <w:u w:val="single"/>
        </w:rPr>
        <w:t>1</w:t>
      </w:r>
      <w:r>
        <w:rPr>
          <w:rFonts w:hint="eastAsia" w:ascii="宋体" w:hAnsi="宋体" w:cs="宋体"/>
          <w:color w:val="000000"/>
          <w:sz w:val="24"/>
          <w:u w:val="single"/>
        </w:rPr>
        <w:t>1</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u w:val="single"/>
        </w:rPr>
        <w:t>15</w:t>
      </w:r>
      <w:r>
        <w:rPr>
          <w:rFonts w:hint="eastAsia" w:ascii="宋体" w:hAnsi="宋体" w:cs="宋体"/>
          <w:color w:val="000000"/>
          <w:sz w:val="24"/>
        </w:rPr>
        <w:t>日</w:t>
      </w:r>
      <w:r>
        <w:rPr>
          <w:rFonts w:ascii="宋体" w:hAnsi="宋体" w:cs="宋体"/>
          <w:color w:val="000000"/>
          <w:sz w:val="24"/>
          <w:u w:val="single"/>
        </w:rPr>
        <w:t>14</w:t>
      </w:r>
      <w:r>
        <w:rPr>
          <w:rFonts w:hint="eastAsia" w:ascii="宋体" w:hAnsi="宋体" w:cs="宋体"/>
          <w:color w:val="000000"/>
          <w:sz w:val="24"/>
        </w:rPr>
        <w:t>时</w:t>
      </w:r>
      <w:r>
        <w:rPr>
          <w:rFonts w:hint="eastAsia" w:ascii="宋体" w:hAnsi="宋体" w:cs="宋体"/>
          <w:color w:val="000000"/>
          <w:sz w:val="24"/>
          <w:u w:val="single"/>
        </w:rPr>
        <w:t>3</w:t>
      </w:r>
      <w:r>
        <w:rPr>
          <w:rFonts w:ascii="宋体" w:hAnsi="宋体" w:cs="宋体"/>
          <w:color w:val="000000"/>
          <w:sz w:val="24"/>
          <w:u w:val="single"/>
        </w:rPr>
        <w:t>0</w:t>
      </w:r>
      <w:r>
        <w:rPr>
          <w:rFonts w:hint="eastAsia" w:ascii="宋体" w:hAnsi="宋体" w:cs="宋体"/>
          <w:color w:val="000000"/>
          <w:sz w:val="24"/>
        </w:rPr>
        <w:t>分（北京时间）前提交响应文件。</w:t>
      </w:r>
    </w:p>
    <w:p>
      <w:pPr>
        <w:numPr>
          <w:ilvl w:val="0"/>
          <w:numId w:val="2"/>
        </w:numPr>
        <w:spacing w:line="360" w:lineRule="auto"/>
        <w:ind w:firstLine="0"/>
        <w:jc w:val="left"/>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项目基本情况</w:t>
      </w:r>
    </w:p>
    <w:p>
      <w:pPr>
        <w:spacing w:line="360" w:lineRule="auto"/>
        <w:ind w:left="420"/>
        <w:rPr>
          <w:rFonts w:ascii="宋体" w:hAnsi="宋体" w:cs="宋体"/>
          <w:color w:val="000000"/>
          <w:sz w:val="24"/>
        </w:rPr>
      </w:pPr>
      <w:r>
        <w:rPr>
          <w:rFonts w:hint="eastAsia" w:ascii="宋体" w:hAnsi="宋体" w:cs="宋体"/>
          <w:color w:val="000000"/>
          <w:sz w:val="24"/>
        </w:rPr>
        <w:t>项目编号：</w:t>
      </w:r>
      <w:r>
        <w:rPr>
          <w:rFonts w:ascii="宋体" w:hAnsi="宋体" w:cs="宋体"/>
          <w:color w:val="000000"/>
          <w:sz w:val="24"/>
        </w:rPr>
        <w:t>GDZGJL-CGZB-2021039</w:t>
      </w:r>
    </w:p>
    <w:p>
      <w:pPr>
        <w:spacing w:line="360" w:lineRule="auto"/>
        <w:ind w:left="420"/>
        <w:rPr>
          <w:rFonts w:ascii="宋体" w:hAnsi="宋体" w:cs="宋体"/>
          <w:color w:val="000000"/>
          <w:sz w:val="24"/>
        </w:rPr>
      </w:pPr>
      <w:r>
        <w:rPr>
          <w:rFonts w:hint="eastAsia" w:ascii="宋体" w:hAnsi="宋体" w:cs="宋体"/>
          <w:color w:val="000000"/>
          <w:sz w:val="24"/>
        </w:rPr>
        <w:t>项目名称：广州市天河区政府大院大会场舞台灯光设备更换项目</w:t>
      </w:r>
    </w:p>
    <w:p>
      <w:pPr>
        <w:spacing w:line="360" w:lineRule="auto"/>
        <w:ind w:left="420"/>
        <w:rPr>
          <w:rFonts w:hint="eastAsia" w:ascii="宋体" w:hAnsi="宋体" w:cs="宋体"/>
          <w:color w:val="000000"/>
          <w:sz w:val="24"/>
        </w:rPr>
      </w:pPr>
      <w:r>
        <w:rPr>
          <w:rFonts w:hint="eastAsia" w:ascii="宋体" w:hAnsi="宋体" w:cs="宋体"/>
          <w:color w:val="000000"/>
          <w:sz w:val="24"/>
        </w:rPr>
        <w:t>采购方式：竞争性磋商</w:t>
      </w:r>
    </w:p>
    <w:p>
      <w:pPr>
        <w:spacing w:line="360" w:lineRule="auto"/>
        <w:ind w:firstLine="360" w:firstLineChars="150"/>
        <w:rPr>
          <w:rFonts w:ascii="宋体" w:hAnsi="宋体" w:cs="宋体"/>
          <w:color w:val="000000"/>
          <w:sz w:val="24"/>
        </w:rPr>
      </w:pPr>
      <w:r>
        <w:rPr>
          <w:rFonts w:hint="eastAsia" w:ascii="宋体" w:hAnsi="宋体" w:cs="宋体"/>
          <w:color w:val="000000"/>
          <w:sz w:val="24"/>
        </w:rPr>
        <w:t>预算金额：人民币</w:t>
      </w:r>
      <w:r>
        <w:rPr>
          <w:rFonts w:ascii="宋体" w:hAnsi="宋体" w:cs="宋体"/>
          <w:color w:val="000000"/>
          <w:sz w:val="24"/>
        </w:rPr>
        <w:t>2</w:t>
      </w:r>
      <w:r>
        <w:rPr>
          <w:rFonts w:hint="eastAsia" w:ascii="宋体" w:hAnsi="宋体" w:cs="宋体"/>
          <w:color w:val="000000"/>
          <w:sz w:val="24"/>
        </w:rPr>
        <w:t>73</w:t>
      </w:r>
      <w:r>
        <w:rPr>
          <w:rFonts w:ascii="宋体" w:hAnsi="宋体" w:cs="宋体"/>
          <w:color w:val="000000"/>
          <w:sz w:val="24"/>
        </w:rPr>
        <w:t>,</w:t>
      </w:r>
      <w:r>
        <w:rPr>
          <w:rFonts w:hint="eastAsia" w:ascii="宋体" w:hAnsi="宋体" w:cs="宋体"/>
          <w:color w:val="000000"/>
          <w:sz w:val="24"/>
        </w:rPr>
        <w:t>0</w:t>
      </w:r>
      <w:r>
        <w:rPr>
          <w:rFonts w:ascii="宋体" w:hAnsi="宋体" w:cs="宋体"/>
          <w:color w:val="000000"/>
          <w:sz w:val="24"/>
        </w:rPr>
        <w:t>00.00</w:t>
      </w:r>
      <w:r>
        <w:rPr>
          <w:rFonts w:hint="eastAsia" w:ascii="宋体" w:hAnsi="宋体" w:cs="宋体"/>
          <w:color w:val="000000"/>
          <w:sz w:val="24"/>
        </w:rPr>
        <w:t>元</w:t>
      </w:r>
    </w:p>
    <w:p>
      <w:pPr>
        <w:spacing w:line="360" w:lineRule="auto"/>
        <w:ind w:firstLine="360" w:firstLineChars="150"/>
        <w:rPr>
          <w:rFonts w:ascii="宋体" w:hAnsi="宋体" w:cs="宋体"/>
          <w:color w:val="000000"/>
          <w:sz w:val="24"/>
        </w:rPr>
      </w:pPr>
      <w:r>
        <w:rPr>
          <w:rFonts w:hint="eastAsia" w:ascii="宋体" w:hAnsi="宋体" w:cs="宋体"/>
          <w:color w:val="000000"/>
          <w:sz w:val="24"/>
        </w:rPr>
        <w:t>采购项目内容及需求：</w:t>
      </w:r>
    </w:p>
    <w:p>
      <w:pPr>
        <w:numPr>
          <w:ilvl w:val="0"/>
          <w:numId w:val="3"/>
        </w:numPr>
        <w:tabs>
          <w:tab w:val="left" w:pos="840"/>
          <w:tab w:val="left" w:pos="1080"/>
        </w:tabs>
        <w:spacing w:line="360" w:lineRule="auto"/>
        <w:rPr>
          <w:rFonts w:ascii="宋体" w:hAnsi="宋体"/>
          <w:color w:val="000000"/>
          <w:sz w:val="24"/>
        </w:rPr>
      </w:pPr>
      <w:r>
        <w:rPr>
          <w:rFonts w:hint="eastAsia" w:ascii="宋体" w:hAnsi="宋体"/>
          <w:color w:val="000000"/>
          <w:sz w:val="24"/>
        </w:rPr>
        <w:t>项目内容：</w:t>
      </w:r>
    </w:p>
    <w:tbl>
      <w:tblPr>
        <w:tblStyle w:val="42"/>
        <w:tblW w:w="905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8"/>
        <w:gridCol w:w="931"/>
        <w:gridCol w:w="2555"/>
        <w:gridCol w:w="1224"/>
        <w:gridCol w:w="1702"/>
        <w:gridCol w:w="18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Header/>
          <w:jc w:val="center"/>
        </w:trPr>
        <w:tc>
          <w:tcPr>
            <w:tcW w:w="8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hint="eastAsia" w:cs="Times New Roman"/>
                <w:b/>
                <w:bCs/>
                <w:sz w:val="24"/>
                <w:szCs w:val="22"/>
              </w:rPr>
            </w:pPr>
            <w:r>
              <w:rPr>
                <w:rFonts w:cs="Times New Roman"/>
                <w:b/>
                <w:bCs/>
                <w:sz w:val="24"/>
                <w:szCs w:val="22"/>
              </w:rPr>
              <w:t>品目号</w:t>
            </w:r>
          </w:p>
        </w:tc>
        <w:tc>
          <w:tcPr>
            <w:tcW w:w="9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b/>
                <w:bCs/>
                <w:sz w:val="24"/>
                <w:szCs w:val="22"/>
              </w:rPr>
            </w:pPr>
            <w:r>
              <w:rPr>
                <w:rFonts w:cs="Times New Roman"/>
                <w:b/>
                <w:bCs/>
                <w:sz w:val="24"/>
                <w:szCs w:val="22"/>
              </w:rPr>
              <w:t>品目名称</w:t>
            </w:r>
          </w:p>
        </w:tc>
        <w:tc>
          <w:tcPr>
            <w:tcW w:w="25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b/>
                <w:bCs/>
                <w:sz w:val="24"/>
                <w:szCs w:val="22"/>
              </w:rPr>
            </w:pPr>
            <w:r>
              <w:rPr>
                <w:rFonts w:cs="Times New Roman"/>
                <w:b/>
                <w:bCs/>
                <w:sz w:val="24"/>
                <w:szCs w:val="22"/>
              </w:rPr>
              <w:t>采购标的</w:t>
            </w:r>
          </w:p>
        </w:tc>
        <w:tc>
          <w:tcPr>
            <w:tcW w:w="122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b/>
                <w:bCs/>
                <w:sz w:val="24"/>
                <w:szCs w:val="22"/>
              </w:rPr>
            </w:pPr>
            <w:r>
              <w:rPr>
                <w:rFonts w:cs="Times New Roman"/>
                <w:b/>
                <w:bCs/>
                <w:sz w:val="24"/>
                <w:szCs w:val="22"/>
              </w:rPr>
              <w:t>数量</w:t>
            </w:r>
          </w:p>
          <w:p>
            <w:pPr>
              <w:jc w:val="center"/>
              <w:rPr>
                <w:rFonts w:cs="Times New Roman"/>
                <w:b/>
                <w:bCs/>
                <w:sz w:val="24"/>
                <w:szCs w:val="22"/>
              </w:rPr>
            </w:pPr>
            <w:r>
              <w:rPr>
                <w:rFonts w:cs="Times New Roman"/>
                <w:b/>
                <w:bCs/>
                <w:sz w:val="24"/>
                <w:szCs w:val="22"/>
              </w:rPr>
              <w:t>（单位）</w:t>
            </w:r>
          </w:p>
        </w:tc>
        <w:tc>
          <w:tcPr>
            <w:tcW w:w="170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b/>
                <w:bCs/>
                <w:sz w:val="24"/>
                <w:szCs w:val="22"/>
              </w:rPr>
            </w:pPr>
            <w:r>
              <w:rPr>
                <w:rFonts w:cs="Times New Roman"/>
                <w:b/>
                <w:bCs/>
                <w:sz w:val="24"/>
                <w:szCs w:val="22"/>
              </w:rPr>
              <w:t>技术规格、参数及要求</w:t>
            </w:r>
          </w:p>
        </w:tc>
        <w:tc>
          <w:tcPr>
            <w:tcW w:w="18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b/>
                <w:bCs/>
                <w:sz w:val="24"/>
                <w:szCs w:val="22"/>
              </w:rPr>
            </w:pPr>
            <w:r>
              <w:rPr>
                <w:rFonts w:cs="Times New Roman"/>
                <w:b/>
                <w:bCs/>
                <w:sz w:val="24"/>
                <w:szCs w:val="22"/>
              </w:rPr>
              <w:t>最高限价</w:t>
            </w:r>
          </w:p>
          <w:p>
            <w:pPr>
              <w:jc w:val="center"/>
              <w:rPr>
                <w:rFonts w:cs="Times New Roman"/>
                <w:b/>
                <w:bCs/>
                <w:sz w:val="24"/>
                <w:szCs w:val="22"/>
              </w:rPr>
            </w:pPr>
            <w:r>
              <w:rPr>
                <w:rFonts w:hint="eastAsia" w:cs="Times New Roman"/>
                <w:b/>
                <w:bCs/>
                <w:sz w:val="24"/>
                <w:szCs w:val="22"/>
              </w:rPr>
              <w:t>（人民币：</w:t>
            </w:r>
            <w:r>
              <w:rPr>
                <w:rFonts w:cs="Times New Roman"/>
                <w:b/>
                <w:bCs/>
                <w:sz w:val="24"/>
                <w:szCs w:val="22"/>
              </w:rPr>
              <w:t>元</w:t>
            </w:r>
            <w:r>
              <w:rPr>
                <w:rFonts w:hint="eastAsia" w:cs="Times New Roman"/>
                <w:b/>
                <w:bCs/>
                <w:sz w:val="24"/>
                <w:szCs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8" w:hRule="atLeast"/>
          <w:jc w:val="center"/>
        </w:trPr>
        <w:tc>
          <w:tcPr>
            <w:tcW w:w="82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sz w:val="24"/>
                <w:szCs w:val="22"/>
              </w:rPr>
            </w:pPr>
            <w:r>
              <w:rPr>
                <w:rFonts w:cs="Times New Roman"/>
                <w:sz w:val="24"/>
                <w:szCs w:val="22"/>
              </w:rPr>
              <w:t>1-1</w:t>
            </w:r>
          </w:p>
        </w:tc>
        <w:tc>
          <w:tcPr>
            <w:tcW w:w="9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sz w:val="24"/>
                <w:szCs w:val="22"/>
              </w:rPr>
            </w:pPr>
            <w:r>
              <w:rPr>
                <w:rFonts w:hint="eastAsia" w:cs="Times New Roman"/>
                <w:sz w:val="24"/>
                <w:szCs w:val="22"/>
              </w:rPr>
              <w:t>其他货物</w:t>
            </w:r>
          </w:p>
        </w:tc>
        <w:tc>
          <w:tcPr>
            <w:tcW w:w="255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left"/>
              <w:rPr>
                <w:rFonts w:cs="Times New Roman"/>
                <w:sz w:val="24"/>
                <w:szCs w:val="22"/>
              </w:rPr>
            </w:pPr>
            <w:r>
              <w:rPr>
                <w:rFonts w:hint="eastAsia" w:ascii="宋体" w:hAnsi="宋体" w:cs="宋体"/>
                <w:color w:val="000000"/>
                <w:sz w:val="24"/>
              </w:rPr>
              <w:t>广州市天河区政府大院大会场舞台灯光设备更换项目</w:t>
            </w:r>
          </w:p>
        </w:tc>
        <w:tc>
          <w:tcPr>
            <w:tcW w:w="122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sz w:val="24"/>
                <w:szCs w:val="22"/>
              </w:rPr>
            </w:pPr>
            <w:r>
              <w:rPr>
                <w:rFonts w:cs="Times New Roman"/>
                <w:sz w:val="24"/>
                <w:szCs w:val="22"/>
              </w:rPr>
              <w:t>1</w:t>
            </w:r>
            <w:r>
              <w:rPr>
                <w:rFonts w:hint="eastAsia" w:cs="Times New Roman"/>
                <w:sz w:val="24"/>
                <w:szCs w:val="22"/>
              </w:rPr>
              <w:t>（</w:t>
            </w:r>
            <w:r>
              <w:rPr>
                <w:rFonts w:cs="Times New Roman"/>
                <w:sz w:val="24"/>
                <w:szCs w:val="22"/>
              </w:rPr>
              <w:t>项</w:t>
            </w:r>
            <w:r>
              <w:rPr>
                <w:rFonts w:hint="eastAsia" w:cs="Times New Roman"/>
                <w:sz w:val="24"/>
                <w:szCs w:val="22"/>
              </w:rPr>
              <w:t>）</w:t>
            </w:r>
          </w:p>
        </w:tc>
        <w:tc>
          <w:tcPr>
            <w:tcW w:w="170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sz w:val="24"/>
                <w:szCs w:val="22"/>
              </w:rPr>
            </w:pPr>
            <w:r>
              <w:rPr>
                <w:rFonts w:hint="eastAsia" w:ascii="宋体" w:hAnsi="宋体" w:cs="宋体"/>
                <w:sz w:val="24"/>
              </w:rPr>
              <w:t>《用户需求书》</w:t>
            </w:r>
          </w:p>
        </w:tc>
        <w:tc>
          <w:tcPr>
            <w:tcW w:w="181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jc w:val="center"/>
              <w:rPr>
                <w:rFonts w:cs="Times New Roman"/>
                <w:sz w:val="24"/>
                <w:szCs w:val="22"/>
              </w:rPr>
            </w:pPr>
            <w:r>
              <w:rPr>
                <w:rFonts w:ascii="宋体" w:hAnsi="宋体" w:cs="宋体"/>
                <w:color w:val="000000"/>
                <w:sz w:val="24"/>
              </w:rPr>
              <w:t>2</w:t>
            </w:r>
            <w:r>
              <w:rPr>
                <w:rFonts w:hint="eastAsia" w:ascii="宋体" w:hAnsi="宋体" w:cs="宋体"/>
                <w:color w:val="000000"/>
                <w:sz w:val="24"/>
              </w:rPr>
              <w:t>73</w:t>
            </w:r>
            <w:r>
              <w:rPr>
                <w:rFonts w:ascii="宋体" w:hAnsi="宋体" w:cs="宋体"/>
                <w:color w:val="000000"/>
                <w:sz w:val="24"/>
              </w:rPr>
              <w:t>,</w:t>
            </w:r>
            <w:r>
              <w:rPr>
                <w:rFonts w:hint="eastAsia" w:ascii="宋体" w:hAnsi="宋体" w:cs="宋体"/>
                <w:color w:val="000000"/>
                <w:sz w:val="24"/>
              </w:rPr>
              <w:t>0</w:t>
            </w:r>
            <w:r>
              <w:rPr>
                <w:rFonts w:ascii="宋体" w:hAnsi="宋体" w:cs="宋体"/>
                <w:color w:val="000000"/>
                <w:sz w:val="24"/>
              </w:rPr>
              <w:t>00.00</w:t>
            </w:r>
          </w:p>
        </w:tc>
      </w:tr>
    </w:tbl>
    <w:p>
      <w:pPr>
        <w:tabs>
          <w:tab w:val="left" w:pos="840"/>
          <w:tab w:val="left" w:pos="1080"/>
        </w:tabs>
        <w:spacing w:line="360" w:lineRule="auto"/>
        <w:ind w:left="420"/>
        <w:rPr>
          <w:rFonts w:hint="eastAsia" w:ascii="宋体" w:hAnsi="宋体"/>
          <w:color w:val="000000"/>
          <w:sz w:val="24"/>
        </w:rPr>
      </w:pPr>
    </w:p>
    <w:p>
      <w:pPr>
        <w:numPr>
          <w:ilvl w:val="0"/>
          <w:numId w:val="3"/>
        </w:numPr>
        <w:tabs>
          <w:tab w:val="left" w:pos="1092"/>
        </w:tabs>
        <w:adjustRightInd w:val="0"/>
        <w:snapToGrid w:val="0"/>
        <w:spacing w:before="156" w:beforeLines="50" w:line="360" w:lineRule="auto"/>
        <w:rPr>
          <w:rFonts w:ascii="宋体" w:hAnsi="宋体" w:cs="宋体"/>
          <w:sz w:val="24"/>
        </w:rPr>
      </w:pPr>
      <w:r>
        <w:rPr>
          <w:rFonts w:hint="eastAsia" w:ascii="宋体" w:hAnsi="宋体" w:cs="宋体"/>
          <w:sz w:val="24"/>
        </w:rPr>
        <w:t>服务期：签</w:t>
      </w:r>
      <w:r>
        <w:rPr>
          <w:rFonts w:hint="eastAsia" w:ascii="宋体" w:hAnsi="宋体" w:cs="宋体"/>
          <w:sz w:val="24"/>
          <w:lang w:eastAsia="zh-CN"/>
        </w:rPr>
        <w:t>订</w:t>
      </w:r>
      <w:r>
        <w:rPr>
          <w:rFonts w:hint="eastAsia" w:ascii="宋体" w:hAnsi="宋体" w:cs="宋体"/>
          <w:sz w:val="24"/>
        </w:rPr>
        <w:t>合同后15自然日内完成设备到货、安装调试、与原系统融合、安装部署、系统测试并交付采购人使用。</w:t>
      </w:r>
    </w:p>
    <w:p>
      <w:pPr>
        <w:numPr>
          <w:ilvl w:val="0"/>
          <w:numId w:val="3"/>
        </w:numPr>
        <w:tabs>
          <w:tab w:val="left" w:pos="1092"/>
        </w:tabs>
        <w:adjustRightInd w:val="0"/>
        <w:snapToGrid w:val="0"/>
        <w:spacing w:before="156" w:beforeLines="50" w:line="360" w:lineRule="auto"/>
        <w:rPr>
          <w:rFonts w:ascii="宋体" w:hAnsi="宋体" w:cs="宋体"/>
          <w:sz w:val="24"/>
        </w:rPr>
      </w:pPr>
      <w:r>
        <w:rPr>
          <w:rFonts w:hint="eastAsia" w:ascii="宋体" w:hAnsi="宋体" w:cs="宋体"/>
          <w:sz w:val="24"/>
        </w:rPr>
        <w:t>本项目为一个整体，报价供应商须对全部内容进行报价，不得分拆。</w:t>
      </w:r>
    </w:p>
    <w:p>
      <w:pPr>
        <w:numPr>
          <w:ilvl w:val="0"/>
          <w:numId w:val="2"/>
        </w:numPr>
        <w:spacing w:line="360" w:lineRule="auto"/>
        <w:ind w:firstLine="0"/>
        <w:jc w:val="left"/>
        <w:rPr>
          <w:rFonts w:ascii="宋体" w:hAnsi="宋体" w:cs="Arial"/>
          <w:b/>
          <w:bCs/>
          <w:color w:val="000000"/>
          <w:sz w:val="28"/>
          <w:szCs w:val="28"/>
          <w:shd w:val="clear" w:color="auto" w:fill="FFFFFF"/>
        </w:rPr>
      </w:pPr>
      <w:bookmarkStart w:id="31" w:name="_Hlk84857208"/>
      <w:r>
        <w:rPr>
          <w:rFonts w:hint="eastAsia" w:ascii="宋体" w:hAnsi="宋体" w:cs="Arial"/>
          <w:b/>
          <w:bCs/>
          <w:color w:val="000000"/>
          <w:sz w:val="28"/>
          <w:szCs w:val="28"/>
          <w:shd w:val="clear" w:color="auto" w:fill="FFFFFF"/>
        </w:rPr>
        <w:t>供应商资格：</w:t>
      </w:r>
    </w:p>
    <w:p>
      <w:pPr>
        <w:numPr>
          <w:ilvl w:val="0"/>
          <w:numId w:val="4"/>
        </w:numPr>
        <w:tabs>
          <w:tab w:val="left" w:pos="1092"/>
        </w:tabs>
        <w:spacing w:line="360" w:lineRule="auto"/>
        <w:rPr>
          <w:rFonts w:ascii="宋体" w:hAnsi="宋体"/>
          <w:iCs/>
          <w:color w:val="000000"/>
          <w:sz w:val="24"/>
        </w:rPr>
      </w:pPr>
      <w:bookmarkStart w:id="32" w:name="_Hlk53414952"/>
      <w:r>
        <w:rPr>
          <w:rFonts w:hint="eastAsia" w:ascii="宋体" w:hAnsi="宋体"/>
          <w:iCs/>
          <w:color w:val="000000"/>
          <w:sz w:val="24"/>
        </w:rPr>
        <w:t>符合《中华人民共和国政府采购法》第二十二条的规定，提供以下资料：</w:t>
      </w:r>
    </w:p>
    <w:p>
      <w:pPr>
        <w:numPr>
          <w:ilvl w:val="0"/>
          <w:numId w:val="5"/>
        </w:numPr>
        <w:spacing w:line="360" w:lineRule="auto"/>
        <w:rPr>
          <w:rFonts w:ascii="宋体" w:hAnsi="宋体" w:cs="宋体"/>
          <w:color w:val="000000"/>
          <w:sz w:val="24"/>
        </w:rPr>
      </w:pPr>
      <w:r>
        <w:rPr>
          <w:rFonts w:hint="eastAsia" w:ascii="宋体" w:hAnsi="宋体" w:cs="宋体"/>
          <w:color w:val="000000"/>
          <w:sz w:val="24"/>
        </w:rPr>
        <w:t>提供营业执照（或事业单位法人证书，或社会团体法人登记证书，或执业许可证）复印件；</w:t>
      </w:r>
    </w:p>
    <w:p>
      <w:pPr>
        <w:numPr>
          <w:ilvl w:val="0"/>
          <w:numId w:val="5"/>
        </w:numPr>
        <w:spacing w:line="360" w:lineRule="auto"/>
        <w:rPr>
          <w:rFonts w:ascii="宋体" w:hAnsi="宋体" w:cs="宋体"/>
          <w:color w:val="000000"/>
          <w:sz w:val="24"/>
        </w:rPr>
      </w:pPr>
      <w:r>
        <w:rPr>
          <w:rFonts w:hint="eastAsia" w:ascii="宋体" w:hAnsi="宋体" w:cs="宋体"/>
          <w:color w:val="000000"/>
          <w:sz w:val="24"/>
        </w:rPr>
        <w:t>有依法缴纳税收和社会保障资金的良好记录：提供近半年任意一个月的依法缴纳税收的证明（纳税凭证）复印件及依法缴纳社会保险的证明（缴费凭证）复印件，如依法免税的或不需要缴纳社会保障资金的，应提供相应文件证明其依法免税或提供相应文件证明其依法不需要缴纳社会保障资金，若已对接“粤省事”“粤商通”“粤信签”等系统的，可提供通过系统提取的相关信息证明文件；无法通过系统提取相关信息的，可提供书面承诺声明函；</w:t>
      </w:r>
    </w:p>
    <w:p>
      <w:pPr>
        <w:numPr>
          <w:ilvl w:val="0"/>
          <w:numId w:val="5"/>
        </w:numPr>
        <w:spacing w:line="360" w:lineRule="auto"/>
        <w:rPr>
          <w:rFonts w:ascii="宋体" w:hAnsi="宋体" w:cs="宋体"/>
          <w:color w:val="000000"/>
          <w:sz w:val="24"/>
        </w:rPr>
      </w:pPr>
      <w:r>
        <w:rPr>
          <w:rFonts w:hint="eastAsia" w:ascii="宋体" w:hAnsi="宋体" w:cs="宋体"/>
          <w:color w:val="000000"/>
          <w:sz w:val="24"/>
        </w:rPr>
        <w:t>具有良好的商业信誉和健全的财务会计制度：提供2020年度财务状况报告复印件（如成立不满一年的企业，提供成立至今的月或季度财务状况报告复印件），或银行出具的资信证明材料复印件；若已对接“粤省事”“粤商通”“粤信签”等系统的，可提供通过系统提取的相关信息证明文件；无法通过系统提取相关信息的，可提供书面承诺声明函（提供《关于资格的声明函》）；</w:t>
      </w:r>
    </w:p>
    <w:p>
      <w:pPr>
        <w:numPr>
          <w:ilvl w:val="0"/>
          <w:numId w:val="5"/>
        </w:numPr>
        <w:spacing w:line="360" w:lineRule="auto"/>
        <w:rPr>
          <w:rFonts w:ascii="宋体" w:hAnsi="宋体" w:cs="宋体"/>
          <w:color w:val="000000"/>
          <w:sz w:val="24"/>
        </w:rPr>
      </w:pPr>
      <w:r>
        <w:rPr>
          <w:rFonts w:hint="eastAsia" w:ascii="宋体" w:hAnsi="宋体" w:cs="宋体"/>
          <w:color w:val="000000"/>
          <w:sz w:val="24"/>
        </w:rPr>
        <w:t>履行合同所必须的设备和专业技术能力：提供履行合同所必需的设备和专业技术能力的书面声明（提供《关于资格的声明函》）；</w:t>
      </w:r>
    </w:p>
    <w:p>
      <w:pPr>
        <w:numPr>
          <w:ilvl w:val="0"/>
          <w:numId w:val="5"/>
        </w:numPr>
        <w:spacing w:line="360" w:lineRule="auto"/>
        <w:rPr>
          <w:rFonts w:ascii="宋体" w:hAnsi="宋体" w:cs="宋体"/>
          <w:color w:val="000000"/>
          <w:sz w:val="24"/>
        </w:rPr>
      </w:pPr>
      <w:r>
        <w:rPr>
          <w:rFonts w:hint="eastAsia" w:ascii="宋体" w:hAnsi="宋体" w:cs="宋体"/>
          <w:color w:val="000000"/>
          <w:sz w:val="24"/>
        </w:rPr>
        <w:t>参加采购活动前3年内，在经营活动中没有重大违法记录：提供参加政府采购活动前3年内在经营活动中没有重大违法记录的书面声明（提供《关于资格的声明函》）；</w:t>
      </w:r>
    </w:p>
    <w:p>
      <w:pPr>
        <w:numPr>
          <w:ilvl w:val="0"/>
          <w:numId w:val="5"/>
        </w:numPr>
        <w:spacing w:line="360" w:lineRule="auto"/>
        <w:rPr>
          <w:rFonts w:ascii="宋体" w:hAnsi="宋体" w:cs="宋体"/>
          <w:color w:val="000000"/>
          <w:sz w:val="24"/>
        </w:rPr>
      </w:pPr>
      <w:r>
        <w:rPr>
          <w:rFonts w:hint="eastAsia" w:ascii="宋体" w:hAnsi="宋体" w:cs="Tahoma"/>
          <w:sz w:val="24"/>
        </w:rPr>
        <w:t>供应商必须符合法律、行政法规规定的其他条件：为采购项目提供整体设计、规范编制或者项目管理、监理、检测等服务的供应商，不得再参加本采购项目投标；单位负责人为同一人或者存在直接控股、管理关系的不同供应商，不得同时参加本采购项目的投标，提供书面声明</w:t>
      </w:r>
      <w:r>
        <w:rPr>
          <w:rFonts w:hint="eastAsia" w:ascii="宋体" w:hAnsi="宋体" w:cs="宋体"/>
          <w:color w:val="000000"/>
          <w:sz w:val="24"/>
        </w:rPr>
        <w:t>（提供《关于资格的声明函》）</w:t>
      </w:r>
      <w:r>
        <w:rPr>
          <w:rFonts w:hint="eastAsia" w:ascii="宋体" w:hAnsi="宋体" w:cs="Tahoma"/>
          <w:sz w:val="24"/>
        </w:rPr>
        <w:t>；</w:t>
      </w:r>
    </w:p>
    <w:p>
      <w:pPr>
        <w:numPr>
          <w:ilvl w:val="0"/>
          <w:numId w:val="4"/>
        </w:numPr>
        <w:tabs>
          <w:tab w:val="left" w:pos="1092"/>
        </w:tabs>
        <w:spacing w:line="360" w:lineRule="auto"/>
        <w:rPr>
          <w:rFonts w:ascii="宋体" w:hAnsi="宋体"/>
          <w:color w:val="000000"/>
          <w:sz w:val="24"/>
        </w:rPr>
      </w:pPr>
      <w:r>
        <w:rPr>
          <w:rFonts w:hint="eastAsia" w:ascii="宋体" w:hAnsi="宋体"/>
          <w:color w:val="000000"/>
          <w:sz w:val="24"/>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供应商需提供相关证明资料）；</w:t>
      </w:r>
    </w:p>
    <w:p>
      <w:pPr>
        <w:numPr>
          <w:ilvl w:val="0"/>
          <w:numId w:val="4"/>
        </w:numPr>
        <w:tabs>
          <w:tab w:val="left" w:pos="1092"/>
        </w:tabs>
        <w:spacing w:line="360" w:lineRule="auto"/>
        <w:rPr>
          <w:rFonts w:ascii="宋体" w:hAnsi="宋体"/>
          <w:color w:val="000000"/>
          <w:sz w:val="24"/>
        </w:rPr>
      </w:pPr>
      <w:r>
        <w:rPr>
          <w:rFonts w:hint="eastAsia" w:ascii="宋体" w:hAnsi="宋体"/>
          <w:color w:val="000000"/>
          <w:sz w:val="24"/>
        </w:rPr>
        <w:t>本项目的特定资格要求：</w:t>
      </w:r>
      <w:r>
        <w:rPr>
          <w:rFonts w:hint="eastAsia" w:ascii="宋体" w:hAnsi="宋体" w:cs="Helvetica"/>
          <w:color w:val="222222"/>
          <w:kern w:val="0"/>
          <w:sz w:val="24"/>
        </w:rPr>
        <w:t>具有建设行政主管部门颁发的</w:t>
      </w:r>
      <w:r>
        <w:rPr>
          <w:rFonts w:hint="eastAsia" w:ascii="宋体" w:hAnsi="宋体" w:cs="宋体"/>
          <w:sz w:val="24"/>
        </w:rPr>
        <w:t>建筑机电安装工程专业承包叁级（或以上）</w:t>
      </w:r>
      <w:r>
        <w:rPr>
          <w:rFonts w:hint="eastAsia" w:ascii="宋体" w:hAnsi="宋体" w:cs="Helvetica"/>
          <w:color w:val="222222"/>
          <w:kern w:val="0"/>
          <w:sz w:val="24"/>
        </w:rPr>
        <w:t>资质证书及安全生产许可证，</w:t>
      </w:r>
      <w:r>
        <w:rPr>
          <w:rFonts w:hint="eastAsia" w:ascii="宋体" w:hAnsi="宋体"/>
          <w:color w:val="000000"/>
          <w:sz w:val="24"/>
        </w:rPr>
        <w:t>提供相关证书证明资料复印件；</w:t>
      </w:r>
    </w:p>
    <w:p>
      <w:pPr>
        <w:numPr>
          <w:ilvl w:val="0"/>
          <w:numId w:val="4"/>
        </w:numPr>
        <w:tabs>
          <w:tab w:val="left" w:pos="1092"/>
        </w:tabs>
        <w:spacing w:line="360" w:lineRule="auto"/>
        <w:rPr>
          <w:rFonts w:ascii="宋体" w:hAnsi="宋体"/>
          <w:color w:val="000000"/>
          <w:sz w:val="24"/>
        </w:rPr>
      </w:pPr>
      <w:r>
        <w:rPr>
          <w:rFonts w:hint="eastAsia" w:ascii="宋体" w:hAnsi="宋体"/>
          <w:color w:val="000000"/>
          <w:sz w:val="24"/>
        </w:rPr>
        <w:t>须</w:t>
      </w:r>
      <w:r>
        <w:rPr>
          <w:rFonts w:ascii="宋体" w:hAnsi="宋体"/>
          <w:color w:val="000000"/>
          <w:sz w:val="24"/>
        </w:rPr>
        <w:t>提供《公平竞争承诺书》原件</w:t>
      </w:r>
      <w:r>
        <w:rPr>
          <w:rFonts w:hint="eastAsia" w:ascii="宋体" w:hAnsi="宋体"/>
          <w:color w:val="000000"/>
          <w:sz w:val="24"/>
        </w:rPr>
        <w:t>；（</w:t>
      </w:r>
      <w:r>
        <w:rPr>
          <w:rFonts w:ascii="宋体" w:hAnsi="宋体"/>
          <w:color w:val="000000"/>
          <w:sz w:val="24"/>
        </w:rPr>
        <w:t>格式详见《公平竞争承诺书》</w:t>
      </w:r>
      <w:r>
        <w:rPr>
          <w:rFonts w:hint="eastAsia" w:ascii="宋体" w:hAnsi="宋体"/>
          <w:color w:val="000000"/>
          <w:sz w:val="24"/>
        </w:rPr>
        <w:t>）；</w:t>
      </w:r>
    </w:p>
    <w:p>
      <w:pPr>
        <w:numPr>
          <w:ilvl w:val="0"/>
          <w:numId w:val="4"/>
        </w:numPr>
        <w:tabs>
          <w:tab w:val="left" w:pos="1092"/>
        </w:tabs>
        <w:wordWrap w:val="0"/>
        <w:spacing w:line="360" w:lineRule="auto"/>
        <w:jc w:val="left"/>
        <w:rPr>
          <w:rFonts w:hint="eastAsia" w:ascii="宋体" w:hAnsi="宋体"/>
          <w:color w:val="000000"/>
          <w:sz w:val="24"/>
        </w:rPr>
      </w:pPr>
      <w:r>
        <w:rPr>
          <w:rFonts w:hint="eastAsia" w:ascii="宋体" w:hAnsi="宋体"/>
          <w:color w:val="000000"/>
          <w:sz w:val="24"/>
        </w:rPr>
        <w:t>本项目不接受联合体报价；</w:t>
      </w:r>
    </w:p>
    <w:p>
      <w:pPr>
        <w:numPr>
          <w:ilvl w:val="0"/>
          <w:numId w:val="4"/>
        </w:numPr>
        <w:tabs>
          <w:tab w:val="left" w:pos="1092"/>
        </w:tabs>
        <w:spacing w:line="360" w:lineRule="auto"/>
        <w:rPr>
          <w:rFonts w:ascii="宋体" w:hAnsi="宋体"/>
          <w:color w:val="000000"/>
          <w:sz w:val="24"/>
        </w:rPr>
      </w:pPr>
      <w:r>
        <w:rPr>
          <w:rFonts w:hint="eastAsia" w:ascii="宋体" w:hAnsi="宋体" w:cs="宋体"/>
          <w:color w:val="000000"/>
          <w:sz w:val="24"/>
        </w:rPr>
        <w:t>已办理投标登记并领购本项目磋商文件</w:t>
      </w:r>
      <w:r>
        <w:rPr>
          <w:rFonts w:hint="eastAsia" w:ascii="宋体" w:hAnsi="宋体"/>
          <w:color w:val="000000"/>
          <w:sz w:val="24"/>
        </w:rPr>
        <w:t>的供应商；</w:t>
      </w:r>
    </w:p>
    <w:bookmarkEnd w:id="31"/>
    <w:bookmarkEnd w:id="32"/>
    <w:p>
      <w:pPr>
        <w:numPr>
          <w:ilvl w:val="0"/>
          <w:numId w:val="2"/>
        </w:numPr>
        <w:spacing w:line="360" w:lineRule="auto"/>
        <w:ind w:firstLine="0"/>
        <w:jc w:val="left"/>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获取招文件</w:t>
      </w:r>
    </w:p>
    <w:p>
      <w:pPr>
        <w:spacing w:line="360" w:lineRule="auto"/>
        <w:ind w:firstLine="487" w:firstLineChars="202"/>
        <w:rPr>
          <w:rFonts w:ascii="宋体" w:hAnsi="宋体"/>
          <w:color w:val="000000"/>
          <w:kern w:val="28"/>
          <w:sz w:val="24"/>
        </w:rPr>
      </w:pPr>
      <w:r>
        <w:rPr>
          <w:rFonts w:hint="eastAsia" w:ascii="宋体" w:hAnsi="宋体"/>
          <w:b/>
          <w:color w:val="000000"/>
          <w:kern w:val="28"/>
          <w:sz w:val="24"/>
        </w:rPr>
        <w:t>时间：</w:t>
      </w:r>
      <w:r>
        <w:rPr>
          <w:rFonts w:ascii="宋体" w:hAnsi="宋体"/>
          <w:color w:val="000000"/>
          <w:sz w:val="24"/>
          <w:u w:val="single"/>
        </w:rPr>
        <w:t>2021</w:t>
      </w:r>
      <w:r>
        <w:rPr>
          <w:rFonts w:hint="eastAsia" w:ascii="宋体" w:hAnsi="宋体"/>
          <w:color w:val="000000"/>
          <w:sz w:val="24"/>
        </w:rPr>
        <w:t>年</w:t>
      </w:r>
      <w:r>
        <w:rPr>
          <w:rFonts w:ascii="宋体" w:hAnsi="宋体"/>
          <w:color w:val="000000"/>
          <w:sz w:val="24"/>
          <w:u w:val="single"/>
        </w:rPr>
        <w:t>1</w:t>
      </w:r>
      <w:r>
        <w:rPr>
          <w:rFonts w:hint="eastAsia" w:ascii="宋体" w:hAnsi="宋体"/>
          <w:color w:val="000000"/>
          <w:sz w:val="24"/>
          <w:u w:val="single"/>
        </w:rPr>
        <w:t>1</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04</w:t>
      </w:r>
      <w:r>
        <w:rPr>
          <w:rFonts w:ascii="宋体" w:hAnsi="宋体"/>
          <w:color w:val="000000"/>
          <w:sz w:val="24"/>
          <w:u w:val="single"/>
        </w:rPr>
        <w:t xml:space="preserve"> </w:t>
      </w:r>
      <w:r>
        <w:rPr>
          <w:rFonts w:hint="eastAsia" w:ascii="宋体" w:hAnsi="宋体"/>
          <w:color w:val="000000"/>
          <w:sz w:val="24"/>
        </w:rPr>
        <w:t>日</w:t>
      </w:r>
      <w:r>
        <w:rPr>
          <w:rFonts w:hint="eastAsia" w:ascii="宋体"/>
          <w:b/>
          <w:color w:val="000000"/>
          <w:kern w:val="28"/>
          <w:sz w:val="24"/>
        </w:rPr>
        <w:t>至</w:t>
      </w:r>
      <w:r>
        <w:rPr>
          <w:rFonts w:ascii="宋体" w:hAnsi="宋体"/>
          <w:color w:val="000000"/>
          <w:sz w:val="24"/>
          <w:u w:val="single"/>
        </w:rPr>
        <w:t>2021</w:t>
      </w:r>
      <w:r>
        <w:rPr>
          <w:rFonts w:hint="eastAsia" w:ascii="宋体" w:hAnsi="宋体"/>
          <w:color w:val="000000"/>
          <w:sz w:val="24"/>
        </w:rPr>
        <w:t>年</w:t>
      </w:r>
      <w:r>
        <w:rPr>
          <w:rFonts w:ascii="宋体" w:hAnsi="宋体"/>
          <w:color w:val="000000"/>
          <w:sz w:val="24"/>
          <w:u w:val="single"/>
        </w:rPr>
        <w:t>1</w:t>
      </w:r>
      <w:r>
        <w:rPr>
          <w:rFonts w:hint="eastAsia" w:ascii="宋体" w:hAnsi="宋体"/>
          <w:color w:val="000000"/>
          <w:sz w:val="24"/>
          <w:u w:val="single"/>
        </w:rPr>
        <w:t>1</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1</w:t>
      </w:r>
      <w:r>
        <w:rPr>
          <w:rFonts w:ascii="宋体" w:hAnsi="宋体"/>
          <w:color w:val="000000"/>
          <w:sz w:val="24"/>
          <w:u w:val="single"/>
        </w:rPr>
        <w:t xml:space="preserve">1 </w:t>
      </w:r>
      <w:r>
        <w:rPr>
          <w:rFonts w:hint="eastAsia" w:ascii="宋体" w:hAnsi="宋体"/>
          <w:color w:val="000000"/>
          <w:sz w:val="24"/>
        </w:rPr>
        <w:t>日</w:t>
      </w:r>
      <w:r>
        <w:rPr>
          <w:rFonts w:hint="eastAsia" w:ascii="宋体" w:hAnsi="宋体"/>
          <w:color w:val="000000"/>
          <w:kern w:val="28"/>
          <w:sz w:val="24"/>
        </w:rPr>
        <w:t xml:space="preserve">（提供期限自本公告发布之日起不得少于5个工作日），每天上午09：00至12:00，下午14:30至17:30（北京时间，法定节假日除外 ） </w:t>
      </w:r>
    </w:p>
    <w:p>
      <w:pPr>
        <w:spacing w:line="360" w:lineRule="auto"/>
        <w:ind w:firstLine="487" w:firstLineChars="202"/>
        <w:rPr>
          <w:rFonts w:ascii="宋体" w:hAnsi="宋体"/>
          <w:b/>
          <w:color w:val="000000"/>
          <w:kern w:val="28"/>
          <w:sz w:val="24"/>
        </w:rPr>
      </w:pPr>
      <w:r>
        <w:rPr>
          <w:rFonts w:hint="eastAsia" w:ascii="宋体" w:hAnsi="宋体"/>
          <w:b/>
          <w:color w:val="000000"/>
          <w:kern w:val="28"/>
          <w:sz w:val="24"/>
        </w:rPr>
        <w:t>地点：</w:t>
      </w:r>
      <w:r>
        <w:rPr>
          <w:rFonts w:hint="eastAsia" w:ascii="宋体" w:hAnsi="宋体"/>
          <w:color w:val="000000"/>
          <w:sz w:val="24"/>
        </w:rPr>
        <w:t>广东重工建设监理有限公司（详细地址：广东省广州市黄埔区科学城揽月路101号保利中科广场A座10层招标代理所办公室）</w:t>
      </w:r>
    </w:p>
    <w:p>
      <w:pPr>
        <w:spacing w:line="360" w:lineRule="auto"/>
        <w:ind w:firstLine="482" w:firstLineChars="200"/>
        <w:rPr>
          <w:rFonts w:ascii="宋体" w:hAnsi="宋体"/>
          <w:bCs/>
          <w:color w:val="000000"/>
          <w:sz w:val="24"/>
        </w:rPr>
      </w:pPr>
      <w:r>
        <w:rPr>
          <w:rFonts w:hint="eastAsia" w:ascii="宋体" w:hAnsi="宋体"/>
          <w:b/>
          <w:color w:val="000000"/>
          <w:kern w:val="28"/>
          <w:sz w:val="24"/>
        </w:rPr>
        <w:t>方式：</w:t>
      </w:r>
      <w:r>
        <w:rPr>
          <w:rFonts w:hint="eastAsia"/>
          <w:color w:val="000000"/>
          <w:sz w:val="24"/>
        </w:rPr>
        <w:t>现场购买</w:t>
      </w:r>
      <w:r>
        <w:rPr>
          <w:rFonts w:hint="eastAsia" w:ascii="宋体" w:hAnsi="宋体"/>
          <w:bCs/>
          <w:color w:val="000000"/>
          <w:sz w:val="24"/>
        </w:rPr>
        <w:t>；</w:t>
      </w:r>
    </w:p>
    <w:p>
      <w:pPr>
        <w:tabs>
          <w:tab w:val="left" w:pos="709"/>
        </w:tabs>
        <w:spacing w:line="440" w:lineRule="exact"/>
        <w:ind w:firstLine="482" w:firstLineChars="200"/>
        <w:rPr>
          <w:b/>
          <w:bCs/>
          <w:color w:val="000000"/>
          <w:sz w:val="24"/>
        </w:rPr>
      </w:pPr>
      <w:r>
        <w:rPr>
          <w:b/>
          <w:bCs/>
          <w:color w:val="000000"/>
          <w:sz w:val="24"/>
        </w:rPr>
        <w:t>供应商需</w:t>
      </w:r>
      <w:r>
        <w:rPr>
          <w:rFonts w:hint="eastAsia"/>
          <w:b/>
          <w:bCs/>
          <w:color w:val="000000"/>
          <w:sz w:val="24"/>
        </w:rPr>
        <w:t>持</w:t>
      </w:r>
      <w:r>
        <w:rPr>
          <w:b/>
          <w:bCs/>
          <w:color w:val="000000"/>
          <w:sz w:val="24"/>
        </w:rPr>
        <w:t>以下资料购买</w:t>
      </w:r>
      <w:r>
        <w:rPr>
          <w:rFonts w:hint="eastAsia"/>
          <w:b/>
          <w:bCs/>
          <w:color w:val="000000"/>
          <w:sz w:val="24"/>
        </w:rPr>
        <w:t>磋商文件</w:t>
      </w:r>
      <w:r>
        <w:rPr>
          <w:b/>
          <w:bCs/>
          <w:color w:val="000000"/>
          <w:sz w:val="24"/>
        </w:rPr>
        <w:t>：</w:t>
      </w:r>
    </w:p>
    <w:p>
      <w:pPr>
        <w:numPr>
          <w:ilvl w:val="1"/>
          <w:numId w:val="6"/>
        </w:numPr>
        <w:tabs>
          <w:tab w:val="left" w:pos="709"/>
        </w:tabs>
        <w:spacing w:line="440" w:lineRule="exact"/>
        <w:ind w:left="748" w:leftChars="200" w:hanging="328" w:hangingChars="137"/>
        <w:rPr>
          <w:color w:val="000000"/>
          <w:sz w:val="24"/>
        </w:rPr>
      </w:pPr>
      <w:r>
        <w:rPr>
          <w:rFonts w:hint="eastAsia"/>
          <w:color w:val="000000"/>
          <w:sz w:val="24"/>
        </w:rPr>
        <w:t>营业执照（或事业单位法人证书，或社会团体法人登记证书，或执业许可证）复印件</w:t>
      </w:r>
      <w:r>
        <w:rPr>
          <w:color w:val="000000"/>
          <w:sz w:val="24"/>
        </w:rPr>
        <w:t>；</w:t>
      </w:r>
    </w:p>
    <w:p>
      <w:pPr>
        <w:numPr>
          <w:ilvl w:val="1"/>
          <w:numId w:val="6"/>
        </w:numPr>
        <w:tabs>
          <w:tab w:val="left" w:pos="709"/>
        </w:tabs>
        <w:spacing w:line="440" w:lineRule="exact"/>
        <w:ind w:left="748" w:leftChars="200" w:hanging="328" w:hangingChars="137"/>
        <w:rPr>
          <w:color w:val="000000"/>
          <w:sz w:val="24"/>
        </w:rPr>
      </w:pPr>
      <w:r>
        <w:rPr>
          <w:color w:val="000000"/>
          <w:sz w:val="24"/>
        </w:rPr>
        <w:t>企业法定代表人证明书原件、法定代表人授权委托书原件（仅限于非法定代表人参加投标</w:t>
      </w:r>
      <w:r>
        <w:rPr>
          <w:rFonts w:hint="eastAsia"/>
          <w:color w:val="000000"/>
          <w:sz w:val="24"/>
        </w:rPr>
        <w:t>登记</w:t>
      </w:r>
      <w:r>
        <w:rPr>
          <w:color w:val="000000"/>
          <w:sz w:val="24"/>
        </w:rPr>
        <w:t>活动时提供）、法定代表人或被授权委托人有效的身份证原件及复印件。</w:t>
      </w:r>
    </w:p>
    <w:p>
      <w:pPr>
        <w:spacing w:line="360" w:lineRule="auto"/>
        <w:ind w:firstLine="480" w:firstLineChars="200"/>
        <w:rPr>
          <w:rFonts w:ascii="宋体" w:hAnsi="宋体"/>
          <w:color w:val="000000"/>
          <w:sz w:val="24"/>
        </w:rPr>
      </w:pPr>
      <w:r>
        <w:rPr>
          <w:color w:val="000000"/>
          <w:sz w:val="24"/>
        </w:rPr>
        <w:t>注：以上资料均需加盖供应商公章</w:t>
      </w:r>
      <w:r>
        <w:rPr>
          <w:rFonts w:hint="eastAsia" w:ascii="宋体" w:hAnsi="宋体"/>
          <w:color w:val="000000"/>
          <w:sz w:val="24"/>
        </w:rPr>
        <w:t>。</w:t>
      </w:r>
    </w:p>
    <w:p>
      <w:pPr>
        <w:spacing w:line="360" w:lineRule="auto"/>
        <w:ind w:firstLine="482" w:firstLineChars="200"/>
        <w:rPr>
          <w:rFonts w:hint="eastAsia" w:ascii="宋体" w:hAnsi="宋体"/>
          <w:color w:val="000000"/>
          <w:kern w:val="28"/>
          <w:sz w:val="24"/>
        </w:rPr>
      </w:pPr>
      <w:r>
        <w:rPr>
          <w:rFonts w:hint="eastAsia" w:ascii="宋体" w:hAnsi="宋体"/>
          <w:b/>
          <w:color w:val="000000"/>
          <w:kern w:val="28"/>
          <w:sz w:val="24"/>
        </w:rPr>
        <w:t>售价（元）：</w:t>
      </w:r>
      <w:r>
        <w:rPr>
          <w:rFonts w:ascii="宋体" w:hAnsi="宋体"/>
          <w:color w:val="000000"/>
          <w:kern w:val="28"/>
          <w:sz w:val="24"/>
        </w:rPr>
        <w:t>3</w:t>
      </w:r>
      <w:r>
        <w:rPr>
          <w:rFonts w:hint="eastAsia" w:ascii="宋体" w:hAnsi="宋体"/>
          <w:color w:val="000000"/>
          <w:kern w:val="28"/>
          <w:sz w:val="24"/>
        </w:rPr>
        <w:t>00.00，</w:t>
      </w:r>
      <w:r>
        <w:rPr>
          <w:rFonts w:hint="eastAsia"/>
          <w:color w:val="000000"/>
          <w:sz w:val="24"/>
        </w:rPr>
        <w:t>售后不退，由招标代理单位收取并开具收款收据。</w:t>
      </w:r>
    </w:p>
    <w:p>
      <w:pPr>
        <w:numPr>
          <w:ilvl w:val="0"/>
          <w:numId w:val="2"/>
        </w:numPr>
        <w:spacing w:line="360" w:lineRule="auto"/>
        <w:ind w:firstLine="0"/>
        <w:jc w:val="left"/>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提交响应文件截止时间、开标时间和地点</w:t>
      </w:r>
    </w:p>
    <w:p>
      <w:pPr>
        <w:spacing w:line="360" w:lineRule="auto"/>
        <w:ind w:firstLine="482" w:firstLineChars="200"/>
        <w:rPr>
          <w:rFonts w:ascii="宋体" w:hAnsi="宋体"/>
          <w:b/>
          <w:bCs/>
          <w:color w:val="000000"/>
          <w:sz w:val="24"/>
        </w:rPr>
      </w:pPr>
      <w:r>
        <w:rPr>
          <w:b/>
          <w:bCs/>
          <w:color w:val="000000"/>
          <w:sz w:val="24"/>
        </w:rPr>
        <w:t>投标截止时间</w:t>
      </w:r>
      <w:r>
        <w:rPr>
          <w:rFonts w:hint="eastAsia"/>
          <w:b/>
          <w:bCs/>
          <w:color w:val="000000"/>
          <w:sz w:val="24"/>
        </w:rPr>
        <w:t>（开标时间）</w:t>
      </w:r>
      <w:r>
        <w:rPr>
          <w:color w:val="000000"/>
          <w:sz w:val="24"/>
        </w:rPr>
        <w:t>：</w:t>
      </w:r>
      <w:r>
        <w:rPr>
          <w:rFonts w:hint="eastAsia" w:ascii="宋体" w:hAnsi="宋体"/>
          <w:b/>
          <w:bCs/>
          <w:color w:val="000000"/>
          <w:sz w:val="24"/>
          <w:u w:val="single"/>
        </w:rPr>
        <w:t>2021</w:t>
      </w:r>
      <w:r>
        <w:rPr>
          <w:rFonts w:hint="eastAsia" w:ascii="宋体" w:hAnsi="宋体"/>
          <w:b/>
          <w:bCs/>
          <w:color w:val="000000"/>
          <w:sz w:val="24"/>
        </w:rPr>
        <w:t>年</w:t>
      </w:r>
      <w:r>
        <w:rPr>
          <w:rFonts w:hint="eastAsia" w:ascii="宋体" w:hAnsi="宋体"/>
          <w:b/>
          <w:bCs/>
          <w:color w:val="000000"/>
          <w:sz w:val="24"/>
          <w:u w:val="single"/>
        </w:rPr>
        <w:t>1</w:t>
      </w:r>
      <w:r>
        <w:rPr>
          <w:rFonts w:hint="eastAsia" w:ascii="宋体" w:hAnsi="宋体"/>
          <w:b/>
          <w:bCs/>
          <w:color w:val="000000"/>
          <w:sz w:val="24"/>
          <w:u w:val="single"/>
          <w:lang w:val="en-US" w:eastAsia="zh-CN"/>
        </w:rPr>
        <w:t>1</w:t>
      </w:r>
      <w:bookmarkStart w:id="542" w:name="_GoBack"/>
      <w:bookmarkEnd w:id="542"/>
      <w:r>
        <w:rPr>
          <w:rFonts w:hint="eastAsia" w:ascii="宋体" w:hAnsi="宋体"/>
          <w:b/>
          <w:bCs/>
          <w:color w:val="000000"/>
          <w:sz w:val="24"/>
        </w:rPr>
        <w:t>月</w:t>
      </w:r>
      <w:r>
        <w:rPr>
          <w:rFonts w:hint="eastAsia" w:ascii="宋体" w:hAnsi="宋体"/>
          <w:b/>
          <w:bCs/>
          <w:color w:val="000000"/>
          <w:sz w:val="24"/>
          <w:u w:val="single"/>
        </w:rPr>
        <w:t xml:space="preserve"> 15 </w:t>
      </w:r>
      <w:r>
        <w:rPr>
          <w:rFonts w:hint="eastAsia" w:ascii="宋体" w:hAnsi="宋体"/>
          <w:b/>
          <w:bCs/>
          <w:color w:val="000000"/>
          <w:sz w:val="24"/>
        </w:rPr>
        <w:t>日</w:t>
      </w:r>
      <w:r>
        <w:rPr>
          <w:rFonts w:ascii="宋体" w:hAnsi="宋体"/>
          <w:b/>
          <w:bCs/>
          <w:color w:val="000000"/>
          <w:sz w:val="24"/>
        </w:rPr>
        <w:t>14</w:t>
      </w:r>
      <w:r>
        <w:rPr>
          <w:rFonts w:hint="eastAsia" w:ascii="宋体" w:hAnsi="宋体"/>
          <w:b/>
          <w:bCs/>
          <w:color w:val="000000"/>
          <w:sz w:val="24"/>
        </w:rPr>
        <w:t>时3</w:t>
      </w:r>
      <w:r>
        <w:rPr>
          <w:rFonts w:ascii="宋体" w:hAnsi="宋体"/>
          <w:b/>
          <w:bCs/>
          <w:color w:val="000000"/>
          <w:sz w:val="24"/>
        </w:rPr>
        <w:t>0</w:t>
      </w:r>
      <w:r>
        <w:rPr>
          <w:rFonts w:hint="eastAsia" w:ascii="宋体" w:hAnsi="宋体"/>
          <w:b/>
          <w:bCs/>
          <w:color w:val="000000"/>
          <w:sz w:val="24"/>
        </w:rPr>
        <w:t>分（北京时间）</w:t>
      </w:r>
    </w:p>
    <w:p>
      <w:pPr>
        <w:spacing w:line="360" w:lineRule="auto"/>
        <w:ind w:firstLine="482" w:firstLineChars="200"/>
        <w:rPr>
          <w:rFonts w:hint="eastAsia"/>
          <w:color w:val="000000"/>
          <w:sz w:val="24"/>
        </w:rPr>
      </w:pPr>
      <w:r>
        <w:rPr>
          <w:rFonts w:hint="eastAsia"/>
          <w:b/>
          <w:bCs/>
          <w:color w:val="000000"/>
          <w:sz w:val="24"/>
        </w:rPr>
        <w:t>地点：</w:t>
      </w:r>
      <w:r>
        <w:rPr>
          <w:rFonts w:hint="eastAsia"/>
          <w:color w:val="000000"/>
          <w:sz w:val="24"/>
        </w:rPr>
        <w:t>广东省广州市黄埔区科学城揽月路101号保利中科广场A座</w:t>
      </w:r>
      <w:r>
        <w:rPr>
          <w:color w:val="000000"/>
          <w:sz w:val="24"/>
        </w:rPr>
        <w:t>10</w:t>
      </w:r>
      <w:r>
        <w:rPr>
          <w:rFonts w:hint="eastAsia"/>
          <w:color w:val="000000"/>
          <w:sz w:val="24"/>
        </w:rPr>
        <w:t>层会议室。</w:t>
      </w:r>
    </w:p>
    <w:p>
      <w:pPr>
        <w:spacing w:line="360" w:lineRule="auto"/>
        <w:ind w:firstLine="480" w:firstLineChars="200"/>
        <w:rPr>
          <w:rFonts w:ascii="宋体" w:hAnsi="宋体"/>
          <w:b/>
          <w:color w:val="000000"/>
          <w:kern w:val="28"/>
          <w:sz w:val="24"/>
        </w:rPr>
      </w:pPr>
      <w:r>
        <w:rPr>
          <w:rFonts w:hint="eastAsia" w:ascii="宋体" w:hAnsi="宋体"/>
          <w:color w:val="000000"/>
          <w:kern w:val="28"/>
          <w:sz w:val="24"/>
        </w:rPr>
        <w:t>（自磋商文件开始发出之日起至</w:t>
      </w:r>
      <w:r>
        <w:rPr>
          <w:color w:val="000000"/>
          <w:sz w:val="24"/>
        </w:rPr>
        <w:t>供应商</w:t>
      </w:r>
      <w:r>
        <w:rPr>
          <w:rFonts w:hint="eastAsia" w:ascii="宋体" w:hAnsi="宋体"/>
          <w:color w:val="000000"/>
          <w:kern w:val="28"/>
          <w:sz w:val="24"/>
        </w:rPr>
        <w:t>提交响应文件截止之日止，不得少于</w:t>
      </w:r>
      <w:r>
        <w:rPr>
          <w:rFonts w:ascii="宋体" w:hAnsi="宋体"/>
          <w:color w:val="000000"/>
          <w:kern w:val="28"/>
          <w:sz w:val="24"/>
        </w:rPr>
        <w:t>1</w:t>
      </w:r>
      <w:r>
        <w:rPr>
          <w:rFonts w:hint="eastAsia" w:ascii="宋体" w:hAnsi="宋体"/>
          <w:color w:val="000000"/>
          <w:kern w:val="28"/>
          <w:sz w:val="24"/>
        </w:rPr>
        <w:t>0日）</w:t>
      </w:r>
      <w:r>
        <w:rPr>
          <w:rFonts w:hint="eastAsia" w:ascii="宋体" w:hAnsi="宋体"/>
          <w:b/>
          <w:color w:val="000000"/>
          <w:kern w:val="28"/>
          <w:sz w:val="24"/>
        </w:rPr>
        <w:t xml:space="preserve"> </w:t>
      </w:r>
    </w:p>
    <w:p>
      <w:pPr>
        <w:numPr>
          <w:ilvl w:val="0"/>
          <w:numId w:val="2"/>
        </w:numPr>
        <w:spacing w:line="360" w:lineRule="auto"/>
        <w:ind w:firstLine="0"/>
        <w:jc w:val="left"/>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公告期限</w:t>
      </w:r>
    </w:p>
    <w:p>
      <w:pPr>
        <w:spacing w:line="360" w:lineRule="auto"/>
        <w:ind w:firstLine="480" w:firstLineChars="200"/>
        <w:rPr>
          <w:rFonts w:ascii="宋体" w:hAnsi="宋体"/>
          <w:color w:val="000000"/>
          <w:kern w:val="28"/>
          <w:sz w:val="24"/>
        </w:rPr>
      </w:pPr>
      <w:r>
        <w:rPr>
          <w:rFonts w:hint="eastAsia" w:ascii="宋体" w:hAnsi="宋体"/>
          <w:color w:val="000000"/>
          <w:kern w:val="28"/>
          <w:sz w:val="24"/>
        </w:rPr>
        <w:t>自本公告发布之日起 5 个工作日。招标公告在中国政府采购网（www.ccgp.gov.cn）、广州市天河区政府网（</w:t>
      </w:r>
      <w:r>
        <w:rPr>
          <w:rFonts w:ascii="宋体" w:hAnsi="宋体"/>
          <w:color w:val="000000"/>
          <w:kern w:val="28"/>
          <w:sz w:val="24"/>
        </w:rPr>
        <w:fldChar w:fldCharType="begin"/>
      </w:r>
      <w:r>
        <w:rPr>
          <w:rFonts w:ascii="宋体" w:hAnsi="宋体"/>
          <w:color w:val="000000"/>
          <w:kern w:val="28"/>
          <w:sz w:val="24"/>
        </w:rPr>
        <w:instrText xml:space="preserve"> HYPERLINK "http://www.ccgp.gov.cn" </w:instrText>
      </w:r>
      <w:r>
        <w:rPr>
          <w:rFonts w:ascii="宋体" w:hAnsi="宋体"/>
          <w:color w:val="000000"/>
          <w:kern w:val="28"/>
          <w:sz w:val="24"/>
        </w:rPr>
        <w:fldChar w:fldCharType="separate"/>
      </w:r>
      <w:r>
        <w:rPr>
          <w:rFonts w:hint="eastAsia"/>
          <w:color w:val="000000"/>
          <w:kern w:val="28"/>
        </w:rPr>
        <w:t>www.thnet.gov.cn</w:t>
      </w:r>
      <w:r>
        <w:rPr>
          <w:rFonts w:ascii="宋体" w:hAnsi="宋体"/>
          <w:color w:val="000000"/>
          <w:kern w:val="28"/>
          <w:sz w:val="24"/>
        </w:rPr>
        <w:fldChar w:fldCharType="end"/>
      </w:r>
      <w:r>
        <w:rPr>
          <w:rFonts w:hint="eastAsia" w:ascii="宋体" w:hAnsi="宋体"/>
          <w:color w:val="000000"/>
          <w:kern w:val="28"/>
          <w:sz w:val="24"/>
        </w:rPr>
        <w:t>）、广东重工建设监理有限公司网</w:t>
      </w:r>
      <w:r>
        <w:rPr>
          <w:rFonts w:ascii="宋体" w:hAnsi="宋体"/>
          <w:color w:val="000000"/>
          <w:kern w:val="28"/>
          <w:sz w:val="24"/>
        </w:rPr>
        <w:t>(www.gdzgjl.com)</w:t>
      </w:r>
      <w:r>
        <w:rPr>
          <w:rFonts w:hint="eastAsia" w:ascii="宋体" w:hAnsi="宋体"/>
          <w:color w:val="000000"/>
          <w:kern w:val="28"/>
          <w:sz w:val="24"/>
        </w:rPr>
        <w:t xml:space="preserve"> 发布。</w:t>
      </w:r>
    </w:p>
    <w:p>
      <w:pPr>
        <w:numPr>
          <w:ilvl w:val="0"/>
          <w:numId w:val="2"/>
        </w:numPr>
        <w:spacing w:line="360" w:lineRule="auto"/>
        <w:ind w:firstLine="0"/>
        <w:jc w:val="left"/>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其他补充事宜</w:t>
      </w:r>
    </w:p>
    <w:p>
      <w:pPr>
        <w:spacing w:line="360" w:lineRule="auto"/>
        <w:ind w:firstLine="480" w:firstLineChars="200"/>
        <w:rPr>
          <w:rFonts w:hint="eastAsia" w:ascii="宋体" w:hAnsi="宋体"/>
          <w:color w:val="000000"/>
          <w:kern w:val="28"/>
          <w:sz w:val="24"/>
        </w:rPr>
      </w:pPr>
      <w:r>
        <w:rPr>
          <w:rFonts w:hint="eastAsia" w:ascii="宋体" w:hAnsi="宋体"/>
          <w:color w:val="000000"/>
          <w:kern w:val="28"/>
          <w:sz w:val="24"/>
        </w:rPr>
        <w:t>无。</w:t>
      </w:r>
    </w:p>
    <w:p>
      <w:pPr>
        <w:spacing w:line="360" w:lineRule="auto"/>
        <w:ind w:firstLine="482" w:firstLineChars="200"/>
        <w:rPr>
          <w:rFonts w:ascii="宋体" w:hAnsi="宋体"/>
          <w:b/>
          <w:color w:val="000000"/>
          <w:kern w:val="28"/>
          <w:sz w:val="24"/>
        </w:rPr>
      </w:pPr>
    </w:p>
    <w:p>
      <w:pPr>
        <w:numPr>
          <w:ilvl w:val="0"/>
          <w:numId w:val="2"/>
        </w:numPr>
        <w:spacing w:line="360" w:lineRule="auto"/>
        <w:ind w:firstLine="0"/>
        <w:jc w:val="left"/>
        <w:rPr>
          <w:rFonts w:ascii="宋体" w:hAnsi="宋体" w:cs="Arial"/>
          <w:b/>
          <w:bCs/>
          <w:color w:val="000000"/>
          <w:sz w:val="28"/>
          <w:szCs w:val="28"/>
          <w:shd w:val="clear" w:color="auto" w:fill="FFFFFF"/>
        </w:rPr>
      </w:pPr>
      <w:r>
        <w:rPr>
          <w:rFonts w:hint="eastAsia" w:ascii="宋体" w:hAnsi="宋体" w:cs="Arial"/>
          <w:b/>
          <w:bCs/>
          <w:color w:val="000000"/>
          <w:sz w:val="28"/>
          <w:szCs w:val="28"/>
          <w:shd w:val="clear" w:color="auto" w:fill="FFFFFF"/>
        </w:rPr>
        <w:t>联系事项</w:t>
      </w:r>
    </w:p>
    <w:p>
      <w:pPr>
        <w:spacing w:line="360" w:lineRule="auto"/>
        <w:ind w:firstLine="480" w:firstLineChars="200"/>
        <w:rPr>
          <w:rFonts w:hint="eastAsia" w:ascii="宋体" w:hAnsi="宋体"/>
          <w:color w:val="000000"/>
          <w:kern w:val="28"/>
          <w:sz w:val="24"/>
        </w:rPr>
      </w:pPr>
      <w:r>
        <w:rPr>
          <w:rFonts w:hint="eastAsia" w:ascii="宋体" w:hAnsi="宋体"/>
          <w:color w:val="000000"/>
          <w:kern w:val="28"/>
          <w:sz w:val="24"/>
        </w:rPr>
        <w:t>采购人：广州市天河区机关事务管理局</w:t>
      </w:r>
    </w:p>
    <w:p>
      <w:pPr>
        <w:spacing w:line="360" w:lineRule="auto"/>
        <w:ind w:firstLine="480" w:firstLineChars="200"/>
        <w:rPr>
          <w:rFonts w:hint="eastAsia" w:ascii="宋体" w:hAnsi="宋体"/>
          <w:color w:val="000000"/>
          <w:kern w:val="28"/>
          <w:sz w:val="24"/>
        </w:rPr>
      </w:pPr>
      <w:r>
        <w:rPr>
          <w:rFonts w:hint="eastAsia" w:ascii="宋体" w:hAnsi="宋体"/>
          <w:color w:val="000000"/>
          <w:kern w:val="28"/>
          <w:sz w:val="24"/>
        </w:rPr>
        <w:t xml:space="preserve">地址：广州市天河区天府路1号 </w:t>
      </w:r>
    </w:p>
    <w:p>
      <w:pPr>
        <w:spacing w:line="360" w:lineRule="auto"/>
        <w:ind w:firstLine="480" w:firstLineChars="200"/>
        <w:rPr>
          <w:rFonts w:hint="eastAsia" w:ascii="宋体" w:hAnsi="宋体"/>
          <w:color w:val="000000"/>
          <w:kern w:val="28"/>
          <w:sz w:val="24"/>
        </w:rPr>
      </w:pPr>
      <w:r>
        <w:rPr>
          <w:rFonts w:hint="eastAsia" w:ascii="宋体" w:hAnsi="宋体"/>
          <w:color w:val="000000"/>
          <w:kern w:val="28"/>
          <w:sz w:val="24"/>
        </w:rPr>
        <w:t>联系人：万先生</w:t>
      </w:r>
    </w:p>
    <w:p>
      <w:pPr>
        <w:spacing w:line="360" w:lineRule="auto"/>
        <w:ind w:firstLine="480" w:firstLineChars="200"/>
        <w:rPr>
          <w:rFonts w:ascii="宋体" w:hAnsi="宋体"/>
          <w:color w:val="000000"/>
          <w:kern w:val="28"/>
          <w:sz w:val="24"/>
        </w:rPr>
      </w:pPr>
      <w:r>
        <w:rPr>
          <w:rFonts w:hint="eastAsia" w:ascii="宋体" w:hAnsi="宋体"/>
          <w:color w:val="000000"/>
          <w:kern w:val="28"/>
          <w:sz w:val="24"/>
        </w:rPr>
        <w:t>联系电话：020-</w:t>
      </w:r>
      <w:r>
        <w:t xml:space="preserve"> </w:t>
      </w:r>
      <w:r>
        <w:rPr>
          <w:rFonts w:ascii="宋体" w:hAnsi="宋体"/>
          <w:color w:val="000000"/>
          <w:kern w:val="28"/>
          <w:sz w:val="24"/>
        </w:rPr>
        <w:t>38622852</w:t>
      </w:r>
      <w:r>
        <w:rPr>
          <w:rFonts w:hint="eastAsia" w:ascii="宋体" w:hAnsi="宋体"/>
          <w:color w:val="000000"/>
          <w:kern w:val="28"/>
          <w:sz w:val="24"/>
        </w:rPr>
        <w:t xml:space="preserve"> </w:t>
      </w:r>
    </w:p>
    <w:p>
      <w:pPr>
        <w:pStyle w:val="73"/>
        <w:jc w:val="left"/>
        <w:rPr>
          <w:rFonts w:hint="eastAsia"/>
          <w:color w:val="000000"/>
        </w:rPr>
      </w:pPr>
    </w:p>
    <w:p>
      <w:pPr>
        <w:spacing w:line="360" w:lineRule="auto"/>
        <w:ind w:firstLine="480" w:firstLineChars="200"/>
        <w:rPr>
          <w:rFonts w:ascii="宋体" w:hAnsi="宋体"/>
          <w:color w:val="000000"/>
          <w:sz w:val="24"/>
        </w:rPr>
      </w:pPr>
      <w:r>
        <w:rPr>
          <w:rFonts w:hint="eastAsia" w:ascii="宋体" w:hAnsi="宋体"/>
          <w:color w:val="000000"/>
          <w:sz w:val="24"/>
        </w:rPr>
        <w:t>采购代理机构：广东重工建设监理有限公司</w:t>
      </w:r>
    </w:p>
    <w:p>
      <w:pPr>
        <w:spacing w:line="360" w:lineRule="auto"/>
        <w:ind w:firstLine="480" w:firstLineChars="200"/>
        <w:rPr>
          <w:rFonts w:ascii="宋体" w:hAnsi="宋体"/>
          <w:color w:val="000000"/>
          <w:sz w:val="24"/>
        </w:rPr>
      </w:pPr>
      <w:r>
        <w:rPr>
          <w:rFonts w:hint="eastAsia" w:ascii="宋体" w:hAnsi="宋体"/>
          <w:color w:val="000000"/>
          <w:sz w:val="24"/>
        </w:rPr>
        <w:t>地址：广州市黄埔区科学城揽月路101号保利中科广场A座</w:t>
      </w:r>
      <w:r>
        <w:rPr>
          <w:rFonts w:ascii="宋体" w:hAnsi="宋体"/>
          <w:color w:val="000000"/>
          <w:sz w:val="24"/>
        </w:rPr>
        <w:t>7</w:t>
      </w:r>
      <w:r>
        <w:rPr>
          <w:rFonts w:hint="eastAsia" w:ascii="宋体" w:hAnsi="宋体"/>
          <w:color w:val="000000"/>
          <w:sz w:val="24"/>
        </w:rPr>
        <w:t xml:space="preserve">层 </w:t>
      </w:r>
    </w:p>
    <w:p>
      <w:pPr>
        <w:spacing w:line="360" w:lineRule="auto"/>
        <w:ind w:firstLine="480" w:firstLineChars="200"/>
        <w:rPr>
          <w:rFonts w:ascii="宋体" w:hAnsi="宋体"/>
          <w:color w:val="000000"/>
          <w:sz w:val="24"/>
        </w:rPr>
      </w:pPr>
      <w:r>
        <w:rPr>
          <w:rFonts w:hint="eastAsia" w:ascii="宋体" w:hAnsi="宋体"/>
          <w:color w:val="000000"/>
          <w:sz w:val="24"/>
        </w:rPr>
        <w:t>联系人：柯小姐</w:t>
      </w:r>
    </w:p>
    <w:p>
      <w:pPr>
        <w:spacing w:line="360" w:lineRule="auto"/>
        <w:ind w:firstLine="480" w:firstLineChars="200"/>
        <w:rPr>
          <w:rFonts w:ascii="宋体" w:hAnsi="宋体"/>
          <w:color w:val="000000"/>
          <w:sz w:val="24"/>
        </w:rPr>
      </w:pPr>
      <w:r>
        <w:rPr>
          <w:rFonts w:hint="eastAsia" w:ascii="宋体" w:hAnsi="宋体"/>
          <w:color w:val="000000"/>
          <w:sz w:val="24"/>
        </w:rPr>
        <w:t>联系电话：020-</w:t>
      </w:r>
      <w:r>
        <w:rPr>
          <w:rFonts w:ascii="宋体" w:hAnsi="宋体"/>
          <w:color w:val="000000"/>
          <w:sz w:val="24"/>
        </w:rPr>
        <w:t>28129688-90848</w:t>
      </w:r>
    </w:p>
    <w:p>
      <w:pPr>
        <w:spacing w:line="360" w:lineRule="auto"/>
        <w:jc w:val="right"/>
        <w:rPr>
          <w:rFonts w:hint="eastAsia" w:ascii="宋体" w:hAnsi="宋体"/>
          <w:color w:val="000000"/>
          <w:sz w:val="24"/>
        </w:rPr>
      </w:pPr>
      <w:r>
        <w:rPr>
          <w:rFonts w:hint="eastAsia" w:ascii="宋体" w:hAnsi="宋体"/>
          <w:color w:val="000000"/>
          <w:sz w:val="24"/>
        </w:rPr>
        <w:t>广东重工建设监理有限公司</w:t>
      </w:r>
    </w:p>
    <w:bookmarkEnd w:id="30"/>
    <w:p>
      <w:pPr>
        <w:spacing w:line="360" w:lineRule="auto"/>
        <w:jc w:val="right"/>
        <w:rPr>
          <w:rFonts w:ascii="宋体" w:hAnsi="宋体"/>
          <w:color w:val="000000"/>
          <w:sz w:val="24"/>
        </w:rPr>
      </w:pPr>
      <w:r>
        <w:rPr>
          <w:rFonts w:hint="eastAsia" w:ascii="宋体" w:hAnsi="宋体"/>
          <w:color w:val="000000"/>
          <w:sz w:val="24"/>
          <w:u w:val="single"/>
        </w:rPr>
        <w:t>2021</w:t>
      </w:r>
      <w:r>
        <w:rPr>
          <w:rFonts w:hint="eastAsia" w:ascii="宋体" w:hAnsi="宋体"/>
          <w:color w:val="000000"/>
          <w:sz w:val="24"/>
        </w:rPr>
        <w:t>年</w:t>
      </w:r>
      <w:r>
        <w:rPr>
          <w:rFonts w:hint="eastAsia" w:ascii="宋体" w:hAnsi="宋体"/>
          <w:color w:val="000000"/>
          <w:sz w:val="24"/>
          <w:u w:val="single"/>
        </w:rPr>
        <w:t>1</w:t>
      </w:r>
      <w:r>
        <w:rPr>
          <w:rFonts w:ascii="宋体" w:hAnsi="宋体"/>
          <w:color w:val="000000"/>
          <w:sz w:val="24"/>
          <w:u w:val="single"/>
        </w:rPr>
        <w:t>1</w:t>
      </w:r>
      <w:r>
        <w:rPr>
          <w:rFonts w:hint="eastAsia" w:ascii="宋体" w:hAnsi="宋体"/>
          <w:color w:val="000000"/>
          <w:sz w:val="24"/>
        </w:rPr>
        <w:t>月</w:t>
      </w:r>
      <w:r>
        <w:rPr>
          <w:rFonts w:ascii="宋体" w:hAnsi="宋体"/>
          <w:color w:val="000000"/>
          <w:sz w:val="24"/>
          <w:u w:val="single"/>
        </w:rPr>
        <w:t>04</w:t>
      </w:r>
      <w:r>
        <w:rPr>
          <w:rFonts w:hint="eastAsia" w:ascii="宋体" w:hAnsi="宋体"/>
          <w:color w:val="000000"/>
          <w:sz w:val="24"/>
        </w:rPr>
        <w:t>日</w:t>
      </w:r>
    </w:p>
    <w:p>
      <w:pPr>
        <w:rPr>
          <w:color w:val="000000"/>
        </w:rPr>
      </w:pPr>
      <w:r>
        <w:rPr>
          <w:rFonts w:ascii="宋体" w:hAnsi="宋体"/>
          <w:color w:val="000000"/>
          <w:sz w:val="24"/>
        </w:rPr>
        <w:br w:type="page"/>
      </w:r>
    </w:p>
    <w:p>
      <w:pPr>
        <w:pStyle w:val="2"/>
        <w:spacing w:before="156" w:beforeLines="50" w:after="156" w:afterLines="50" w:line="360" w:lineRule="auto"/>
        <w:jc w:val="center"/>
        <w:rPr>
          <w:color w:val="000000"/>
        </w:rPr>
      </w:pPr>
      <w:bookmarkStart w:id="33" w:name="_Toc423021939"/>
      <w:bookmarkStart w:id="34" w:name="_Toc23439"/>
      <w:bookmarkStart w:id="35" w:name="_Toc86851446"/>
      <w:r>
        <w:rPr>
          <w:rFonts w:hint="eastAsia"/>
          <w:color w:val="000000"/>
        </w:rPr>
        <w:t>第二章 报价供应商须知</w:t>
      </w:r>
      <w:bookmarkEnd w:id="33"/>
      <w:bookmarkEnd w:id="34"/>
      <w:bookmarkEnd w:id="35"/>
    </w:p>
    <w:p>
      <w:pPr>
        <w:pStyle w:val="3"/>
        <w:jc w:val="center"/>
        <w:rPr>
          <w:color w:val="000000"/>
        </w:rPr>
      </w:pPr>
      <w:bookmarkStart w:id="36" w:name="_Toc22617"/>
      <w:bookmarkStart w:id="37" w:name="_Toc86851447"/>
      <w:r>
        <w:rPr>
          <w:rFonts w:hint="eastAsia"/>
          <w:color w:val="000000"/>
        </w:rPr>
        <w:t>报价供应商须知前附表</w:t>
      </w:r>
      <w:bookmarkEnd w:id="36"/>
      <w:bookmarkEnd w:id="37"/>
    </w:p>
    <w:p>
      <w:pPr>
        <w:spacing w:before="312" w:beforeLines="100" w:line="360" w:lineRule="auto"/>
        <w:ind w:right="-174" w:rightChars="-83" w:firstLine="480" w:firstLineChars="200"/>
        <w:rPr>
          <w:rFonts w:ascii="宋体" w:hAnsi="宋体" w:cs="宋体"/>
          <w:color w:val="000000"/>
          <w:sz w:val="24"/>
        </w:rPr>
      </w:pPr>
      <w:r>
        <w:rPr>
          <w:rFonts w:hint="eastAsia" w:ascii="宋体" w:hAnsi="宋体" w:cs="宋体"/>
          <w:color w:val="000000"/>
          <w:sz w:val="24"/>
        </w:rPr>
        <w:t>本表的条款项号是与本章《报价供应商须知》条款项号对应的，或增加的条款，是对本章的补充、修改和完善，均已在本表中注明。</w:t>
      </w:r>
    </w:p>
    <w:tbl>
      <w:tblPr>
        <w:tblStyle w:val="42"/>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7881"/>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blHeader/>
        </w:trPr>
        <w:tc>
          <w:tcPr>
            <w:tcW w:w="1593" w:type="dxa"/>
            <w:shd w:val="clear" w:color="auto" w:fill="D7D7D7"/>
            <w:vAlign w:val="center"/>
          </w:tcPr>
          <w:p>
            <w:pPr>
              <w:adjustRightInd w:val="0"/>
              <w:snapToGrid w:val="0"/>
              <w:spacing w:line="440" w:lineRule="exact"/>
              <w:jc w:val="center"/>
              <w:rPr>
                <w:rFonts w:ascii="宋体" w:hAnsi="宋体" w:cs="宋体"/>
                <w:b/>
                <w:bCs/>
                <w:color w:val="000000"/>
                <w:sz w:val="24"/>
              </w:rPr>
            </w:pPr>
            <w:r>
              <w:rPr>
                <w:rFonts w:hint="eastAsia" w:ascii="宋体" w:hAnsi="宋体" w:cs="宋体"/>
                <w:b/>
                <w:bCs/>
                <w:color w:val="000000"/>
                <w:sz w:val="24"/>
              </w:rPr>
              <w:t>条款项号</w:t>
            </w:r>
          </w:p>
        </w:tc>
        <w:tc>
          <w:tcPr>
            <w:tcW w:w="7881" w:type="dxa"/>
            <w:shd w:val="clear" w:color="auto" w:fill="D7D7D7"/>
            <w:vAlign w:val="center"/>
          </w:tcPr>
          <w:p>
            <w:pPr>
              <w:adjustRightInd w:val="0"/>
              <w:snapToGrid w:val="0"/>
              <w:spacing w:line="440" w:lineRule="exact"/>
              <w:jc w:val="center"/>
              <w:rPr>
                <w:rFonts w:ascii="宋体" w:hAnsi="宋体" w:cs="宋体"/>
                <w:b/>
                <w:bCs/>
                <w:color w:val="000000"/>
                <w:sz w:val="24"/>
              </w:rPr>
            </w:pPr>
            <w:r>
              <w:rPr>
                <w:rFonts w:hint="eastAsia" w:ascii="宋体" w:hAnsi="宋体" w:cs="宋体"/>
                <w:b/>
                <w:bCs/>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1.1</w:t>
            </w:r>
          </w:p>
        </w:tc>
        <w:tc>
          <w:tcPr>
            <w:tcW w:w="7911" w:type="dxa"/>
            <w:gridSpan w:val="2"/>
            <w:vAlign w:val="center"/>
          </w:tcPr>
          <w:p>
            <w:pPr>
              <w:adjustRightInd w:val="0"/>
              <w:snapToGrid w:val="0"/>
              <w:spacing w:line="440" w:lineRule="exact"/>
              <w:rPr>
                <w:rFonts w:ascii="宋体" w:hAnsi="宋体" w:cs="宋体"/>
                <w:color w:val="000000"/>
                <w:sz w:val="24"/>
                <w:lang w:val="zh-CN"/>
              </w:rPr>
            </w:pPr>
            <w:r>
              <w:rPr>
                <w:rFonts w:hint="eastAsia" w:ascii="宋体" w:hAnsi="宋体" w:cs="宋体"/>
                <w:color w:val="000000"/>
                <w:sz w:val="24"/>
                <w:lang w:val="zh-CN"/>
              </w:rPr>
              <w:t>资金性质：财政资金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1.2</w:t>
            </w:r>
          </w:p>
        </w:tc>
        <w:tc>
          <w:tcPr>
            <w:tcW w:w="7911" w:type="dxa"/>
            <w:gridSpan w:val="2"/>
            <w:vAlign w:val="center"/>
          </w:tcPr>
          <w:p>
            <w:pPr>
              <w:adjustRightInd w:val="0"/>
              <w:snapToGrid w:val="0"/>
              <w:spacing w:line="440" w:lineRule="exact"/>
              <w:rPr>
                <w:rFonts w:hint="eastAsia" w:ascii="宋体" w:hAnsi="宋体" w:cs="宋体"/>
                <w:color w:val="000000"/>
                <w:sz w:val="24"/>
                <w:lang w:val="zh-CN"/>
              </w:rPr>
            </w:pPr>
            <w:r>
              <w:rPr>
                <w:rFonts w:hint="eastAsia" w:ascii="宋体" w:hAnsi="宋体" w:cs="宋体"/>
                <w:color w:val="000000"/>
                <w:sz w:val="24"/>
                <w:lang w:val="zh-CN"/>
              </w:rPr>
              <w:t>采购人：广州市天河区机关事务管理局</w:t>
            </w:r>
          </w:p>
          <w:p>
            <w:pPr>
              <w:adjustRightInd w:val="0"/>
              <w:snapToGrid w:val="0"/>
              <w:spacing w:line="440" w:lineRule="exact"/>
              <w:rPr>
                <w:rFonts w:hint="eastAsia" w:ascii="宋体" w:hAnsi="宋体" w:cs="宋体"/>
                <w:color w:val="000000"/>
                <w:sz w:val="24"/>
                <w:lang w:val="zh-CN"/>
              </w:rPr>
            </w:pPr>
            <w:r>
              <w:rPr>
                <w:rFonts w:hint="eastAsia" w:ascii="宋体" w:hAnsi="宋体" w:cs="宋体"/>
                <w:color w:val="000000"/>
                <w:sz w:val="24"/>
                <w:lang w:val="zh-CN"/>
              </w:rPr>
              <w:t xml:space="preserve">地址：广州市天河区天府路1号 </w:t>
            </w:r>
          </w:p>
          <w:p>
            <w:pPr>
              <w:adjustRightInd w:val="0"/>
              <w:snapToGrid w:val="0"/>
              <w:spacing w:line="440" w:lineRule="exact"/>
              <w:rPr>
                <w:rFonts w:hint="eastAsia" w:ascii="宋体" w:hAnsi="宋体" w:cs="宋体"/>
                <w:color w:val="000000"/>
                <w:sz w:val="24"/>
                <w:lang w:val="zh-CN"/>
              </w:rPr>
            </w:pPr>
            <w:r>
              <w:rPr>
                <w:rFonts w:hint="eastAsia" w:ascii="宋体" w:hAnsi="宋体" w:cs="宋体"/>
                <w:color w:val="000000"/>
                <w:sz w:val="24"/>
                <w:lang w:val="zh-CN"/>
              </w:rPr>
              <w:t>联系人：万先生</w:t>
            </w:r>
          </w:p>
          <w:p>
            <w:pPr>
              <w:adjustRightInd w:val="0"/>
              <w:snapToGrid w:val="0"/>
              <w:spacing w:line="440" w:lineRule="exact"/>
              <w:rPr>
                <w:rFonts w:hint="eastAsia" w:ascii="宋体" w:hAnsi="宋体" w:cs="宋体"/>
                <w:color w:val="000000"/>
                <w:sz w:val="24"/>
                <w:lang w:val="zh-CN"/>
              </w:rPr>
            </w:pPr>
            <w:r>
              <w:rPr>
                <w:rFonts w:hint="eastAsia" w:ascii="宋体" w:hAnsi="宋体" w:cs="宋体"/>
                <w:color w:val="000000"/>
                <w:sz w:val="24"/>
                <w:lang w:val="zh-CN"/>
              </w:rPr>
              <w:t>联系电话：020-</w:t>
            </w:r>
            <w:r>
              <w:rPr>
                <w:rFonts w:ascii="宋体" w:hAnsi="宋体"/>
                <w:color w:val="000000"/>
                <w:kern w:val="28"/>
                <w:sz w:val="24"/>
              </w:rPr>
              <w:t>38622852</w:t>
            </w:r>
          </w:p>
          <w:p>
            <w:pPr>
              <w:adjustRightInd w:val="0"/>
              <w:snapToGrid w:val="0"/>
              <w:spacing w:line="440" w:lineRule="exact"/>
              <w:rPr>
                <w:rFonts w:hint="eastAsia" w:ascii="宋体" w:hAnsi="宋体" w:cs="宋体"/>
                <w:color w:val="000000"/>
                <w:sz w:val="24"/>
                <w:lang w:val="zh-CN"/>
              </w:rPr>
            </w:pPr>
          </w:p>
          <w:p>
            <w:pPr>
              <w:adjustRightInd w:val="0"/>
              <w:snapToGrid w:val="0"/>
              <w:spacing w:line="440" w:lineRule="exact"/>
              <w:rPr>
                <w:rFonts w:hint="eastAsia" w:ascii="宋体" w:hAnsi="宋体" w:cs="宋体"/>
                <w:color w:val="000000"/>
                <w:sz w:val="24"/>
                <w:lang w:val="zh-CN"/>
              </w:rPr>
            </w:pPr>
            <w:r>
              <w:rPr>
                <w:rFonts w:hint="eastAsia" w:ascii="宋体" w:hAnsi="宋体" w:cs="宋体"/>
                <w:color w:val="000000"/>
                <w:sz w:val="24"/>
                <w:lang w:val="zh-CN"/>
              </w:rPr>
              <w:t>采购代理机构：广东重工建设监理有限公司</w:t>
            </w:r>
          </w:p>
          <w:p>
            <w:pPr>
              <w:adjustRightInd w:val="0"/>
              <w:snapToGrid w:val="0"/>
              <w:spacing w:line="440" w:lineRule="exact"/>
              <w:rPr>
                <w:rFonts w:hint="eastAsia" w:ascii="宋体" w:hAnsi="宋体" w:cs="宋体"/>
                <w:color w:val="000000"/>
                <w:sz w:val="24"/>
                <w:lang w:val="zh-CN"/>
              </w:rPr>
            </w:pPr>
            <w:r>
              <w:rPr>
                <w:rFonts w:hint="eastAsia" w:ascii="宋体" w:hAnsi="宋体" w:cs="宋体"/>
                <w:color w:val="000000"/>
                <w:sz w:val="24"/>
                <w:lang w:val="zh-CN"/>
              </w:rPr>
              <w:t xml:space="preserve">地址：广州市黄埔区科学城揽月路101号保利中科广场A座10层 </w:t>
            </w:r>
          </w:p>
          <w:p>
            <w:pPr>
              <w:adjustRightInd w:val="0"/>
              <w:snapToGrid w:val="0"/>
              <w:spacing w:line="440" w:lineRule="exact"/>
              <w:rPr>
                <w:rFonts w:hint="eastAsia" w:ascii="宋体" w:hAnsi="宋体" w:cs="宋体"/>
                <w:color w:val="000000"/>
                <w:sz w:val="24"/>
                <w:lang w:val="zh-CN"/>
              </w:rPr>
            </w:pPr>
            <w:r>
              <w:rPr>
                <w:rFonts w:hint="eastAsia" w:ascii="宋体" w:hAnsi="宋体"/>
                <w:color w:val="000000"/>
                <w:sz w:val="24"/>
              </w:rPr>
              <w:t>联系人：柯小姐</w:t>
            </w:r>
          </w:p>
          <w:p>
            <w:pPr>
              <w:adjustRightInd w:val="0"/>
              <w:snapToGrid w:val="0"/>
              <w:spacing w:line="440" w:lineRule="exact"/>
              <w:rPr>
                <w:rFonts w:ascii="宋体" w:hAnsi="宋体" w:cs="宋体"/>
                <w:color w:val="000000"/>
                <w:sz w:val="24"/>
                <w:lang w:val="zh-CN"/>
              </w:rPr>
            </w:pPr>
            <w:r>
              <w:rPr>
                <w:rFonts w:hint="eastAsia" w:ascii="宋体" w:hAnsi="宋体" w:cs="宋体"/>
                <w:color w:val="000000"/>
                <w:sz w:val="24"/>
                <w:lang w:val="zh-CN"/>
              </w:rPr>
              <w:t>联系电话：020-</w:t>
            </w:r>
            <w:r>
              <w:rPr>
                <w:rFonts w:ascii="宋体" w:hAnsi="宋体" w:cs="宋体"/>
                <w:color w:val="000000"/>
                <w:sz w:val="24"/>
                <w:lang w:val="zh-CN"/>
              </w:rPr>
              <w:t>82129688-90848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cantSplit/>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6.1</w:t>
            </w:r>
          </w:p>
        </w:tc>
        <w:tc>
          <w:tcPr>
            <w:tcW w:w="7881" w:type="dxa"/>
            <w:vAlign w:val="center"/>
          </w:tcPr>
          <w:p>
            <w:pPr>
              <w:adjustRightInd w:val="0"/>
              <w:snapToGrid w:val="0"/>
              <w:spacing w:line="440" w:lineRule="exact"/>
              <w:rPr>
                <w:rFonts w:ascii="宋体" w:hAnsi="宋体" w:cs="宋体"/>
                <w:color w:val="000000"/>
                <w:sz w:val="24"/>
              </w:rPr>
            </w:pPr>
            <w:r>
              <w:rPr>
                <w:rFonts w:hint="eastAsia" w:ascii="宋体" w:hAnsi="宋体" w:cs="宋体"/>
                <w:color w:val="000000"/>
                <w:sz w:val="24"/>
              </w:rPr>
              <w:t>答疑会或踏勘现场：本项目不集中举行答疑会或踏勘现场。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10.1</w:t>
            </w:r>
          </w:p>
        </w:tc>
        <w:tc>
          <w:tcPr>
            <w:tcW w:w="7881" w:type="dxa"/>
            <w:vAlign w:val="center"/>
          </w:tcPr>
          <w:p>
            <w:pPr>
              <w:adjustRightInd w:val="0"/>
              <w:snapToGrid w:val="0"/>
              <w:spacing w:line="440" w:lineRule="exact"/>
              <w:rPr>
                <w:rFonts w:ascii="宋体" w:hAnsi="宋体" w:cs="宋体"/>
                <w:color w:val="000000"/>
                <w:sz w:val="24"/>
              </w:rPr>
            </w:pPr>
            <w:r>
              <w:rPr>
                <w:rFonts w:hint="eastAsia" w:ascii="宋体" w:hAnsi="宋体" w:cs="宋体"/>
                <w:color w:val="000000"/>
                <w:sz w:val="24"/>
              </w:rPr>
              <w:t>响应文件正本</w:t>
            </w:r>
            <w:r>
              <w:rPr>
                <w:rFonts w:hint="eastAsia" w:ascii="宋体" w:hAnsi="宋体" w:cs="宋体"/>
                <w:b/>
                <w:bCs/>
                <w:color w:val="000000"/>
                <w:sz w:val="24"/>
                <w:u w:val="single"/>
              </w:rPr>
              <w:t>1</w:t>
            </w:r>
            <w:r>
              <w:rPr>
                <w:rFonts w:hint="eastAsia" w:ascii="宋体" w:hAnsi="宋体" w:cs="宋体"/>
                <w:color w:val="000000"/>
                <w:sz w:val="24"/>
              </w:rPr>
              <w:t>套，副本</w:t>
            </w:r>
            <w:r>
              <w:rPr>
                <w:rFonts w:hint="eastAsia" w:ascii="宋体" w:hAnsi="宋体" w:cs="宋体"/>
                <w:color w:val="000000"/>
                <w:sz w:val="24"/>
                <w:u w:val="single"/>
              </w:rPr>
              <w:t xml:space="preserve"> </w:t>
            </w:r>
            <w:r>
              <w:rPr>
                <w:rFonts w:ascii="宋体" w:hAnsi="宋体" w:cs="宋体"/>
                <w:b/>
                <w:bCs/>
                <w:color w:val="000000"/>
                <w:sz w:val="24"/>
                <w:u w:val="single"/>
              </w:rPr>
              <w:t xml:space="preserve">2 </w:t>
            </w:r>
            <w:r>
              <w:rPr>
                <w:rFonts w:hint="eastAsia" w:ascii="宋体" w:hAnsi="宋体" w:cs="宋体"/>
                <w:color w:val="000000"/>
                <w:sz w:val="24"/>
              </w:rPr>
              <w:t>套，报价信封</w:t>
            </w:r>
            <w:r>
              <w:rPr>
                <w:rFonts w:hint="eastAsia" w:ascii="宋体" w:hAnsi="宋体" w:cs="宋体"/>
                <w:b/>
                <w:bCs/>
                <w:color w:val="000000"/>
                <w:sz w:val="24"/>
                <w:u w:val="single"/>
              </w:rPr>
              <w:t>1</w:t>
            </w:r>
            <w:r>
              <w:rPr>
                <w:rFonts w:hint="eastAsia" w:ascii="宋体" w:hAnsi="宋体" w:cs="宋体"/>
                <w:color w:val="000000"/>
                <w:sz w:val="24"/>
              </w:rPr>
              <w:t>份，电子文件</w:t>
            </w:r>
            <w:r>
              <w:rPr>
                <w:rFonts w:hint="eastAsia" w:ascii="宋体" w:hAnsi="宋体" w:cs="宋体"/>
                <w:b/>
                <w:bCs/>
                <w:color w:val="000000"/>
                <w:sz w:val="24"/>
                <w:u w:val="single"/>
              </w:rPr>
              <w:t>1</w:t>
            </w:r>
            <w:r>
              <w:rPr>
                <w:rFonts w:hint="eastAsia" w:ascii="宋体" w:hAnsi="宋体" w:cs="宋体"/>
                <w:color w:val="000000"/>
                <w:sz w:val="24"/>
              </w:rPr>
              <w:t>份</w:t>
            </w:r>
            <w:r>
              <w:rPr>
                <w:rFonts w:hint="eastAsia" w:ascii="宋体" w:hAnsi="宋体"/>
                <w:b/>
                <w:color w:val="000000"/>
                <w:sz w:val="24"/>
                <w:lang w:val="zh-CN"/>
              </w:rPr>
              <w:t>（电子文件为光盘介质，采用WORD文档一份，PDF格式一份，PDF内容必须是纸质</w:t>
            </w:r>
            <w:r>
              <w:rPr>
                <w:rFonts w:hint="eastAsia" w:ascii="宋体" w:hAnsi="宋体" w:cs="宋体"/>
                <w:b/>
                <w:color w:val="000000"/>
                <w:sz w:val="24"/>
              </w:rPr>
              <w:t>响应</w:t>
            </w:r>
            <w:r>
              <w:rPr>
                <w:rFonts w:hint="eastAsia" w:ascii="宋体" w:hAnsi="宋体"/>
                <w:b/>
                <w:color w:val="000000"/>
                <w:sz w:val="24"/>
                <w:lang w:val="zh-CN"/>
              </w:rPr>
              <w:t>文件正本扫描件（含盖章、签署）</w:t>
            </w:r>
            <w:r>
              <w:rPr>
                <w:rFonts w:hint="eastAsia" w:ascii="宋体" w:hAnsi="宋体"/>
                <w:b/>
                <w:bCs/>
                <w:color w:val="000000"/>
                <w:sz w:val="24"/>
                <w:lang w:val="zh-CN"/>
              </w:rPr>
              <w:t>，不留密码，无病毒，不压缩。）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1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11.8</w:t>
            </w:r>
          </w:p>
        </w:tc>
        <w:tc>
          <w:tcPr>
            <w:tcW w:w="7881" w:type="dxa"/>
            <w:vAlign w:val="center"/>
          </w:tcPr>
          <w:p>
            <w:pPr>
              <w:adjustRightInd w:val="0"/>
              <w:snapToGrid w:val="0"/>
              <w:spacing w:line="440" w:lineRule="exact"/>
              <w:rPr>
                <w:rFonts w:ascii="宋体" w:hAnsi="宋体" w:cs="宋体"/>
                <w:color w:val="000000"/>
                <w:sz w:val="24"/>
              </w:rPr>
            </w:pPr>
            <w:r>
              <w:rPr>
                <w:rFonts w:hint="eastAsia" w:ascii="宋体" w:hAnsi="宋体" w:cs="宋体"/>
                <w:color w:val="000000"/>
                <w:sz w:val="24"/>
              </w:rPr>
              <w:t>本项目不接受备选方案。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11.9</w:t>
            </w:r>
          </w:p>
        </w:tc>
        <w:tc>
          <w:tcPr>
            <w:tcW w:w="7881" w:type="dxa"/>
            <w:vAlign w:val="center"/>
          </w:tcPr>
          <w:p>
            <w:pPr>
              <w:adjustRightInd w:val="0"/>
              <w:snapToGrid w:val="0"/>
              <w:spacing w:line="440" w:lineRule="exact"/>
              <w:rPr>
                <w:rFonts w:ascii="宋体" w:hAnsi="宋体" w:cs="宋体"/>
                <w:color w:val="000000"/>
                <w:sz w:val="24"/>
              </w:rPr>
            </w:pPr>
            <w:r>
              <w:rPr>
                <w:rFonts w:hint="eastAsia" w:ascii="宋体" w:hAnsi="宋体" w:cs="宋体"/>
                <w:color w:val="000000"/>
                <w:sz w:val="24"/>
              </w:rPr>
              <w:t>本项目不接受具有附加条件的报价。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12.1</w:t>
            </w:r>
          </w:p>
        </w:tc>
        <w:tc>
          <w:tcPr>
            <w:tcW w:w="7881" w:type="dxa"/>
            <w:vAlign w:val="center"/>
          </w:tcPr>
          <w:p>
            <w:pPr>
              <w:adjustRightInd w:val="0"/>
              <w:snapToGrid w:val="0"/>
              <w:spacing w:line="440" w:lineRule="exact"/>
              <w:rPr>
                <w:rFonts w:ascii="宋体" w:hAnsi="宋体" w:cs="宋体"/>
                <w:color w:val="000000"/>
                <w:sz w:val="24"/>
              </w:rPr>
            </w:pPr>
            <w:r>
              <w:rPr>
                <w:rFonts w:hint="eastAsia" w:ascii="宋体" w:hAnsi="宋体" w:cs="宋体"/>
                <w:color w:val="000000"/>
                <w:sz w:val="24"/>
              </w:rPr>
              <w:t>磋商有效期：90天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62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22.1</w:t>
            </w:r>
          </w:p>
        </w:tc>
        <w:tc>
          <w:tcPr>
            <w:tcW w:w="7881" w:type="dxa"/>
            <w:vAlign w:val="center"/>
          </w:tcPr>
          <w:p>
            <w:pPr>
              <w:adjustRightInd w:val="0"/>
              <w:snapToGrid w:val="0"/>
              <w:spacing w:line="440" w:lineRule="exact"/>
              <w:rPr>
                <w:rFonts w:ascii="宋体" w:hAnsi="宋体" w:cs="宋体"/>
                <w:color w:val="000000"/>
                <w:sz w:val="24"/>
              </w:rPr>
            </w:pPr>
            <w:r>
              <w:rPr>
                <w:rFonts w:hint="eastAsia" w:ascii="宋体" w:hAnsi="宋体" w:cs="宋体"/>
                <w:bCs/>
                <w:color w:val="000000"/>
                <w:sz w:val="24"/>
              </w:rPr>
              <w:t>磋商小组由</w:t>
            </w:r>
            <w:r>
              <w:rPr>
                <w:rFonts w:hint="eastAsia" w:ascii="宋体" w:hAnsi="宋体" w:cs="宋体"/>
                <w:bCs/>
                <w:color w:val="000000"/>
                <w:sz w:val="24"/>
                <w:u w:val="single"/>
              </w:rPr>
              <w:t xml:space="preserve"> </w:t>
            </w:r>
            <w:r>
              <w:rPr>
                <w:rFonts w:hint="eastAsia" w:ascii="宋体" w:hAnsi="宋体" w:cs="宋体"/>
                <w:b/>
                <w:color w:val="000000"/>
                <w:sz w:val="24"/>
                <w:u w:val="single"/>
              </w:rPr>
              <w:t>3</w:t>
            </w:r>
            <w:r>
              <w:rPr>
                <w:rFonts w:hint="eastAsia" w:ascii="宋体" w:hAnsi="宋体" w:cs="宋体"/>
                <w:bCs/>
                <w:color w:val="000000"/>
                <w:sz w:val="24"/>
                <w:u w:val="single"/>
              </w:rPr>
              <w:t xml:space="preserve"> </w:t>
            </w:r>
            <w:r>
              <w:rPr>
                <w:rFonts w:hint="eastAsia" w:ascii="宋体" w:hAnsi="宋体" w:cs="宋体"/>
                <w:bCs/>
                <w:color w:val="000000"/>
                <w:sz w:val="24"/>
              </w:rPr>
              <w:t>名单数组成。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22.2</w:t>
            </w:r>
          </w:p>
        </w:tc>
        <w:tc>
          <w:tcPr>
            <w:tcW w:w="7881" w:type="dxa"/>
            <w:vAlign w:val="center"/>
          </w:tcPr>
          <w:p>
            <w:pPr>
              <w:adjustRightInd w:val="0"/>
              <w:snapToGrid w:val="0"/>
              <w:spacing w:line="440" w:lineRule="exact"/>
              <w:rPr>
                <w:rFonts w:hint="eastAsia" w:ascii="宋体" w:hAnsi="宋体" w:cs="宋体"/>
                <w:bCs/>
                <w:color w:val="000000"/>
                <w:sz w:val="24"/>
              </w:rPr>
            </w:pPr>
            <w:r>
              <w:rPr>
                <w:rFonts w:hint="eastAsia" w:ascii="宋体" w:hAnsi="宋体" w:cs="宋体"/>
                <w:bCs/>
                <w:color w:val="000000"/>
                <w:sz w:val="24"/>
              </w:rPr>
              <w:t>评标方法：综合评分法。</w:t>
            </w:r>
          </w:p>
          <w:p>
            <w:pPr>
              <w:adjustRightInd w:val="0"/>
              <w:snapToGrid w:val="0"/>
              <w:spacing w:line="440" w:lineRule="exact"/>
              <w:rPr>
                <w:rFonts w:ascii="宋体" w:hAnsi="宋体" w:cs="宋体"/>
                <w:bCs/>
                <w:color w:val="000000"/>
                <w:sz w:val="24"/>
              </w:rPr>
            </w:pPr>
            <w:r>
              <w:rPr>
                <w:rFonts w:hint="eastAsia" w:ascii="宋体" w:hAnsi="宋体"/>
                <w:color w:val="000000"/>
                <w:sz w:val="24"/>
              </w:rPr>
              <w:t>定标原则：</w:t>
            </w:r>
            <w:r>
              <w:rPr>
                <w:rFonts w:hint="eastAsia" w:ascii="宋体" w:hAnsi="宋体" w:cs="宋体"/>
                <w:bCs/>
                <w:color w:val="000000"/>
                <w:sz w:val="24"/>
              </w:rPr>
              <w:t>原则上推荐综合得分排名第一的报价供应商为第一成交候选人，排名第二的报价供应商为第二成交候选人，排名第三的报价供应商为第三成交候选人</w:t>
            </w:r>
            <w:r>
              <w:rPr>
                <w:rFonts w:hint="eastAsia"/>
                <w:color w:val="00000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29.1</w:t>
            </w:r>
          </w:p>
        </w:tc>
        <w:tc>
          <w:tcPr>
            <w:tcW w:w="7881" w:type="dxa"/>
            <w:vAlign w:val="center"/>
          </w:tcPr>
          <w:p>
            <w:pPr>
              <w:adjustRightInd w:val="0"/>
              <w:snapToGrid w:val="0"/>
              <w:spacing w:line="440" w:lineRule="exact"/>
              <w:rPr>
                <w:rFonts w:ascii="宋体" w:hAnsi="宋体" w:cs="宋体"/>
                <w:color w:val="000000"/>
                <w:sz w:val="24"/>
              </w:rPr>
            </w:pPr>
            <w:r>
              <w:rPr>
                <w:rFonts w:hint="eastAsia" w:ascii="宋体" w:hAnsi="宋体" w:cs="宋体"/>
                <w:color w:val="000000"/>
                <w:sz w:val="24"/>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30.1</w:t>
            </w:r>
          </w:p>
        </w:tc>
        <w:tc>
          <w:tcPr>
            <w:tcW w:w="7881" w:type="dxa"/>
            <w:vAlign w:val="center"/>
          </w:tcPr>
          <w:p>
            <w:pPr>
              <w:adjustRightInd w:val="0"/>
              <w:snapToGrid w:val="0"/>
              <w:spacing w:line="440" w:lineRule="exact"/>
              <w:rPr>
                <w:rFonts w:hint="eastAsia" w:ascii="宋体" w:hAnsi="宋体" w:cs="宋体"/>
                <w:color w:val="000000"/>
                <w:sz w:val="24"/>
              </w:rPr>
            </w:pPr>
            <w:r>
              <w:rPr>
                <w:rFonts w:ascii="宋体" w:hAnsi="宋体" w:cs="宋体"/>
                <w:color w:val="000000"/>
                <w:sz w:val="24"/>
              </w:rPr>
              <w:t>（1）中标人需缴交本次招标的</w:t>
            </w:r>
            <w:r>
              <w:rPr>
                <w:rFonts w:hint="eastAsia" w:ascii="宋体" w:hAnsi="宋体" w:cs="宋体"/>
                <w:color w:val="000000"/>
                <w:sz w:val="24"/>
              </w:rPr>
              <w:t>代理服务费</w:t>
            </w:r>
            <w:r>
              <w:rPr>
                <w:rFonts w:ascii="宋体" w:hAnsi="宋体" w:cs="宋体"/>
                <w:color w:val="000000"/>
                <w:sz w:val="24"/>
              </w:rPr>
              <w:t>。</w:t>
            </w:r>
          </w:p>
          <w:p>
            <w:pPr>
              <w:adjustRightInd w:val="0"/>
              <w:snapToGrid w:val="0"/>
              <w:spacing w:line="440" w:lineRule="exact"/>
              <w:rPr>
                <w:rFonts w:ascii="宋体" w:hAnsi="宋体" w:cs="宋体"/>
                <w:color w:val="000000"/>
                <w:sz w:val="24"/>
              </w:rPr>
            </w:pPr>
            <w:r>
              <w:rPr>
                <w:rFonts w:ascii="宋体" w:hAnsi="宋体" w:cs="宋体"/>
                <w:color w:val="000000"/>
                <w:sz w:val="24"/>
              </w:rPr>
              <w:t>（2）中标人在收到中标通知书前应向采购代理机构交纳招标代理服务费；</w:t>
            </w:r>
          </w:p>
          <w:p>
            <w:pPr>
              <w:adjustRightInd w:val="0"/>
              <w:snapToGrid w:val="0"/>
              <w:spacing w:line="440" w:lineRule="exact"/>
              <w:rPr>
                <w:rFonts w:ascii="宋体" w:hAnsi="宋体" w:cs="宋体"/>
                <w:color w:val="000000"/>
                <w:sz w:val="24"/>
              </w:rPr>
            </w:pPr>
            <w:r>
              <w:rPr>
                <w:rFonts w:ascii="宋体" w:hAnsi="宋体" w:cs="宋体"/>
                <w:color w:val="000000"/>
                <w:sz w:val="24"/>
              </w:rPr>
              <w:t>（3）招标代理服务费</w:t>
            </w:r>
            <w:r>
              <w:rPr>
                <w:rFonts w:hint="eastAsia" w:ascii="宋体" w:hAnsi="宋体" w:cs="宋体"/>
                <w:color w:val="000000"/>
                <w:sz w:val="24"/>
              </w:rPr>
              <w:t>以银行转账（中标人的银行基本账户转出）方式缴纳，转入账户如下：</w:t>
            </w:r>
          </w:p>
          <w:p>
            <w:pPr>
              <w:adjustRightInd w:val="0"/>
              <w:snapToGrid w:val="0"/>
              <w:spacing w:line="440" w:lineRule="exact"/>
              <w:ind w:firstLine="480" w:firstLineChars="200"/>
              <w:rPr>
                <w:rFonts w:ascii="宋体" w:hAnsi="宋体" w:cs="宋体"/>
                <w:color w:val="000000"/>
                <w:sz w:val="24"/>
              </w:rPr>
            </w:pPr>
            <w:r>
              <w:rPr>
                <w:rFonts w:ascii="宋体" w:hAnsi="宋体" w:cs="宋体"/>
                <w:color w:val="000000"/>
                <w:sz w:val="24"/>
              </w:rPr>
              <w:t>账户名称：广东重工建设监理有限公司</w:t>
            </w:r>
          </w:p>
          <w:p>
            <w:pPr>
              <w:adjustRightInd w:val="0"/>
              <w:snapToGrid w:val="0"/>
              <w:spacing w:line="440" w:lineRule="exact"/>
              <w:ind w:firstLine="480" w:firstLineChars="200"/>
              <w:rPr>
                <w:rFonts w:ascii="宋体" w:hAnsi="宋体" w:cs="宋体"/>
                <w:color w:val="000000"/>
                <w:sz w:val="24"/>
              </w:rPr>
            </w:pPr>
            <w:r>
              <w:rPr>
                <w:rFonts w:ascii="宋体" w:hAnsi="宋体" w:cs="宋体"/>
                <w:color w:val="000000"/>
                <w:sz w:val="24"/>
              </w:rPr>
              <w:t>开户银行：中国工商银行股份有限公司广州北京路支行</w:t>
            </w:r>
          </w:p>
          <w:p>
            <w:pPr>
              <w:adjustRightInd w:val="0"/>
              <w:snapToGrid w:val="0"/>
              <w:spacing w:line="440" w:lineRule="exact"/>
              <w:ind w:left="425"/>
              <w:rPr>
                <w:rFonts w:ascii="宋体" w:hAnsi="宋体" w:cs="宋体"/>
                <w:color w:val="000000"/>
                <w:sz w:val="24"/>
              </w:rPr>
            </w:pPr>
            <w:r>
              <w:rPr>
                <w:rFonts w:ascii="宋体" w:hAnsi="宋体" w:cs="宋体"/>
                <w:color w:val="000000"/>
                <w:sz w:val="24"/>
              </w:rPr>
              <w:t>银行账号：3602000919200163190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1170" w:hRule="atLeast"/>
        </w:trPr>
        <w:tc>
          <w:tcPr>
            <w:tcW w:w="1593" w:type="dxa"/>
            <w:vAlign w:val="center"/>
          </w:tcPr>
          <w:p>
            <w:pPr>
              <w:adjustRightInd w:val="0"/>
              <w:snapToGrid w:val="0"/>
              <w:spacing w:line="440" w:lineRule="exact"/>
              <w:jc w:val="center"/>
              <w:rPr>
                <w:rFonts w:ascii="宋体" w:hAnsi="宋体" w:cs="宋体"/>
                <w:color w:val="000000"/>
                <w:sz w:val="24"/>
              </w:rPr>
            </w:pPr>
            <w:r>
              <w:rPr>
                <w:rFonts w:hint="eastAsia" w:ascii="宋体" w:hAnsi="宋体" w:cs="宋体"/>
                <w:bCs/>
                <w:color w:val="000000"/>
                <w:sz w:val="24"/>
              </w:rPr>
              <w:t>信息发布媒体</w:t>
            </w:r>
          </w:p>
        </w:tc>
        <w:tc>
          <w:tcPr>
            <w:tcW w:w="7881" w:type="dxa"/>
            <w:vAlign w:val="center"/>
          </w:tcPr>
          <w:p>
            <w:pPr>
              <w:adjustRightInd w:val="0"/>
              <w:snapToGrid w:val="0"/>
              <w:spacing w:line="440" w:lineRule="exact"/>
              <w:ind w:left="240" w:hanging="240" w:hangingChars="100"/>
              <w:rPr>
                <w:rFonts w:ascii="宋体" w:hAnsi="宋体" w:cs="宋体"/>
                <w:bCs/>
                <w:color w:val="000000"/>
                <w:sz w:val="24"/>
              </w:rPr>
            </w:pPr>
            <w:r>
              <w:rPr>
                <w:rFonts w:hint="eastAsia" w:ascii="宋体" w:hAnsi="宋体" w:cs="宋体"/>
                <w:bCs/>
                <w:color w:val="000000"/>
                <w:sz w:val="24"/>
              </w:rPr>
              <w:t>中国政府采购网、广州市天河区政府网、广东重工建设监理有限公司网站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454" w:hRule="atLeast"/>
        </w:trPr>
        <w:tc>
          <w:tcPr>
            <w:tcW w:w="1593" w:type="dxa"/>
            <w:vAlign w:val="center"/>
          </w:tcPr>
          <w:p>
            <w:pPr>
              <w:adjustRightInd w:val="0"/>
              <w:snapToGrid w:val="0"/>
              <w:spacing w:line="440" w:lineRule="exact"/>
              <w:jc w:val="center"/>
              <w:rPr>
                <w:rFonts w:ascii="宋体" w:hAnsi="宋体" w:cs="宋体"/>
                <w:bCs/>
                <w:color w:val="000000"/>
                <w:sz w:val="24"/>
              </w:rPr>
            </w:pPr>
            <w:r>
              <w:rPr>
                <w:rFonts w:hint="eastAsia" w:ascii="宋体" w:hAnsi="宋体" w:cs="宋体"/>
                <w:bCs/>
                <w:color w:val="000000"/>
                <w:sz w:val="24"/>
              </w:rPr>
              <w:t>报价信封</w:t>
            </w:r>
          </w:p>
        </w:tc>
        <w:tc>
          <w:tcPr>
            <w:tcW w:w="7881" w:type="dxa"/>
            <w:vAlign w:val="center"/>
          </w:tcPr>
          <w:p>
            <w:pPr>
              <w:tabs>
                <w:tab w:val="left" w:pos="1180"/>
              </w:tabs>
              <w:spacing w:line="440" w:lineRule="exact"/>
              <w:rPr>
                <w:rFonts w:hint="eastAsia" w:ascii="宋体" w:hAnsi="宋体" w:eastAsia="PMingLiU" w:cs="宋体"/>
                <w:color w:val="000000"/>
                <w:sz w:val="24"/>
                <w:lang w:val="zh-CN" w:eastAsia="zh-TW"/>
              </w:rPr>
            </w:pPr>
            <w:r>
              <w:rPr>
                <w:rFonts w:hint="eastAsia" w:ascii="宋体" w:hAnsi="宋体" w:cs="宋体"/>
                <w:color w:val="000000"/>
                <w:sz w:val="24"/>
                <w:lang w:val="zh-CN" w:eastAsia="zh-TW"/>
              </w:rPr>
              <w:t>为方便统计，供应商应将</w:t>
            </w:r>
            <w:r>
              <w:rPr>
                <w:rFonts w:hint="eastAsia" w:ascii="宋体" w:hAnsi="宋体" w:cs="宋体"/>
                <w:b/>
                <w:bCs/>
                <w:color w:val="000000"/>
                <w:sz w:val="24"/>
                <w:u w:val="single"/>
                <w:lang w:val="zh-CN" w:eastAsia="zh-TW"/>
              </w:rPr>
              <w:t>报价函、首轮报价一览表</w:t>
            </w:r>
            <w:r>
              <w:rPr>
                <w:rFonts w:hint="eastAsia" w:ascii="宋体" w:hAnsi="宋体" w:cs="宋体"/>
                <w:color w:val="000000"/>
                <w:sz w:val="24"/>
                <w:lang w:val="zh-CN" w:eastAsia="zh-TW"/>
              </w:rPr>
              <w:t>单独密封提交，并在封套上标明“报价信封”字样。“报价信封”份数及签章等要求与响应文件正本相同。</w:t>
            </w:r>
          </w:p>
        </w:tc>
      </w:tr>
    </w:tbl>
    <w:p>
      <w:pPr>
        <w:pStyle w:val="3"/>
        <w:ind w:left="420"/>
        <w:rPr>
          <w:color w:val="000000"/>
        </w:rPr>
      </w:pPr>
      <w:bookmarkStart w:id="38" w:name="_Toc7064"/>
      <w:bookmarkStart w:id="39" w:name="_Toc423021940"/>
      <w:r>
        <w:rPr>
          <w:color w:val="000000"/>
        </w:rPr>
        <w:br w:type="page"/>
      </w:r>
      <w:bookmarkEnd w:id="38"/>
      <w:bookmarkEnd w:id="39"/>
      <w:bookmarkStart w:id="40" w:name="_Toc86851448"/>
      <w:bookmarkStart w:id="41" w:name="_Toc16036"/>
      <w:bookmarkStart w:id="42" w:name="_Toc17659"/>
      <w:bookmarkStart w:id="43" w:name="_Toc12319"/>
      <w:bookmarkStart w:id="44" w:name="_Toc31641"/>
      <w:bookmarkStart w:id="45" w:name="_Toc14242"/>
      <w:r>
        <w:rPr>
          <w:rFonts w:hint="eastAsia"/>
          <w:color w:val="000000"/>
        </w:rPr>
        <w:t>总则</w:t>
      </w:r>
      <w:bookmarkEnd w:id="40"/>
      <w:bookmarkEnd w:id="41"/>
      <w:bookmarkEnd w:id="42"/>
      <w:bookmarkEnd w:id="43"/>
      <w:bookmarkEnd w:id="44"/>
      <w:bookmarkEnd w:id="45"/>
    </w:p>
    <w:p>
      <w:pPr>
        <w:pStyle w:val="4"/>
        <w:numPr>
          <w:ilvl w:val="0"/>
          <w:numId w:val="7"/>
        </w:numPr>
        <w:ind w:hanging="5"/>
        <w:rPr>
          <w:color w:val="000000"/>
          <w:sz w:val="28"/>
          <w:szCs w:val="28"/>
          <w:lang w:val="zh-CN"/>
        </w:rPr>
      </w:pPr>
      <w:bookmarkStart w:id="46" w:name="_Toc86851449"/>
      <w:bookmarkStart w:id="47" w:name="_Toc30529"/>
      <w:bookmarkStart w:id="48" w:name="_Toc13429"/>
      <w:bookmarkStart w:id="49" w:name="_Toc5207"/>
      <w:bookmarkStart w:id="50" w:name="_Toc20311"/>
      <w:bookmarkStart w:id="51" w:name="_Toc24557"/>
      <w:bookmarkStart w:id="52" w:name="_Toc16676"/>
      <w:r>
        <w:rPr>
          <w:rFonts w:hint="eastAsia"/>
          <w:color w:val="000000"/>
          <w:sz w:val="28"/>
          <w:szCs w:val="28"/>
          <w:lang w:val="zh-CN"/>
        </w:rPr>
        <w:t>采购项目与采购当事人</w:t>
      </w:r>
      <w:bookmarkEnd w:id="46"/>
      <w:bookmarkEnd w:id="47"/>
      <w:bookmarkEnd w:id="48"/>
      <w:bookmarkEnd w:id="49"/>
      <w:bookmarkEnd w:id="50"/>
      <w:bookmarkEnd w:id="51"/>
      <w:bookmarkEnd w:id="52"/>
    </w:p>
    <w:p>
      <w:pPr>
        <w:numPr>
          <w:ilvl w:val="1"/>
          <w:numId w:val="8"/>
        </w:numPr>
        <w:tabs>
          <w:tab w:val="left" w:pos="1020"/>
          <w:tab w:val="left" w:pos="1260"/>
          <w:tab w:val="clear" w:pos="907"/>
        </w:tabs>
        <w:spacing w:line="360" w:lineRule="auto"/>
        <w:ind w:left="1007" w:hanging="587"/>
        <w:rPr>
          <w:rFonts w:ascii="宋体" w:cs="宋体"/>
          <w:color w:val="000000"/>
          <w:sz w:val="24"/>
          <w:lang w:val="zh-CN"/>
        </w:rPr>
      </w:pPr>
      <w:r>
        <w:rPr>
          <w:rFonts w:hint="eastAsia" w:ascii="宋体" w:hAnsi="宋体" w:cs="宋体"/>
          <w:color w:val="000000"/>
          <w:sz w:val="24"/>
          <w:lang w:val="zh-CN"/>
        </w:rPr>
        <w:t>本磋商文件</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中所述的采购人已经获得足以支付本次采购后所签订的合同项下的款项。</w:t>
      </w:r>
    </w:p>
    <w:p>
      <w:pPr>
        <w:numPr>
          <w:ilvl w:val="1"/>
          <w:numId w:val="8"/>
        </w:numPr>
        <w:tabs>
          <w:tab w:val="left" w:pos="1020"/>
          <w:tab w:val="left" w:pos="1260"/>
          <w:tab w:val="clear" w:pos="907"/>
        </w:tabs>
        <w:spacing w:line="360" w:lineRule="auto"/>
        <w:ind w:left="1007" w:hanging="587"/>
        <w:rPr>
          <w:rFonts w:ascii="宋体" w:cs="宋体"/>
          <w:color w:val="000000"/>
          <w:sz w:val="24"/>
          <w:lang w:val="zh-CN"/>
        </w:rPr>
      </w:pPr>
      <w:r>
        <w:rPr>
          <w:rFonts w:hint="eastAsia" w:ascii="宋体" w:hAnsi="宋体" w:cs="宋体"/>
          <w:color w:val="000000"/>
          <w:sz w:val="24"/>
          <w:lang w:val="zh-CN"/>
        </w:rPr>
        <w:t>本次采购的采购人和采购代理机构（以下简称采购代理机构）的名称、地址、联系人、电话、传真和电子邮箱见</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w:t>
      </w:r>
    </w:p>
    <w:p>
      <w:pPr>
        <w:pStyle w:val="4"/>
        <w:numPr>
          <w:ilvl w:val="0"/>
          <w:numId w:val="7"/>
        </w:numPr>
        <w:ind w:hanging="5"/>
        <w:rPr>
          <w:color w:val="000000"/>
          <w:sz w:val="28"/>
          <w:szCs w:val="28"/>
          <w:lang w:val="zh-CN"/>
        </w:rPr>
      </w:pPr>
      <w:bookmarkStart w:id="53" w:name="_Toc21444"/>
      <w:bookmarkStart w:id="54" w:name="_Toc9327"/>
      <w:bookmarkStart w:id="55" w:name="_Toc6189"/>
      <w:bookmarkStart w:id="56" w:name="_Toc15868"/>
      <w:bookmarkStart w:id="57" w:name="_Toc8204"/>
      <w:bookmarkStart w:id="58" w:name="_Toc3642"/>
      <w:bookmarkStart w:id="59" w:name="_Toc86851450"/>
      <w:r>
        <w:rPr>
          <w:rFonts w:hint="eastAsia"/>
          <w:color w:val="000000"/>
          <w:sz w:val="28"/>
          <w:szCs w:val="28"/>
          <w:lang w:val="zh-CN"/>
        </w:rPr>
        <w:t>合格的</w:t>
      </w:r>
      <w:bookmarkEnd w:id="53"/>
      <w:r>
        <w:rPr>
          <w:rFonts w:hint="eastAsia"/>
          <w:color w:val="000000"/>
          <w:sz w:val="28"/>
          <w:szCs w:val="28"/>
          <w:lang w:val="zh-CN"/>
        </w:rPr>
        <w:t>报价供应商</w:t>
      </w:r>
      <w:bookmarkEnd w:id="54"/>
      <w:bookmarkEnd w:id="55"/>
      <w:bookmarkEnd w:id="56"/>
      <w:bookmarkEnd w:id="57"/>
      <w:bookmarkEnd w:id="58"/>
      <w:bookmarkEnd w:id="59"/>
    </w:p>
    <w:p>
      <w:pPr>
        <w:numPr>
          <w:ilvl w:val="1"/>
          <w:numId w:val="9"/>
        </w:numPr>
        <w:tabs>
          <w:tab w:val="left" w:pos="1040"/>
          <w:tab w:val="left" w:pos="1260"/>
          <w:tab w:val="clear" w:pos="907"/>
        </w:tabs>
        <w:spacing w:line="360" w:lineRule="auto"/>
        <w:ind w:left="1007" w:hanging="587"/>
        <w:rPr>
          <w:rFonts w:ascii="宋体" w:cs="宋体"/>
          <w:color w:val="000000"/>
          <w:sz w:val="24"/>
          <w:lang w:val="zh-CN"/>
        </w:rPr>
      </w:pPr>
      <w:r>
        <w:rPr>
          <w:rFonts w:hint="eastAsia" w:ascii="宋体" w:hAnsi="宋体" w:cs="宋体"/>
          <w:color w:val="000000"/>
          <w:sz w:val="24"/>
          <w:lang w:val="zh-CN"/>
        </w:rPr>
        <w:t>详见第一章《</w:t>
      </w:r>
      <w:r>
        <w:rPr>
          <w:rFonts w:hint="eastAsia" w:ascii="宋体" w:hAnsi="宋体" w:cs="宋体"/>
          <w:color w:val="000000"/>
          <w:sz w:val="24"/>
        </w:rPr>
        <w:t>竞争性磋商公告</w:t>
      </w:r>
      <w:r>
        <w:rPr>
          <w:rFonts w:hint="eastAsia" w:ascii="宋体" w:hAnsi="宋体" w:cs="宋体"/>
          <w:color w:val="000000"/>
          <w:sz w:val="24"/>
          <w:lang w:val="zh-CN"/>
        </w:rPr>
        <w:t>》“供应商资格”。</w:t>
      </w:r>
    </w:p>
    <w:p>
      <w:pPr>
        <w:pStyle w:val="4"/>
        <w:numPr>
          <w:ilvl w:val="0"/>
          <w:numId w:val="7"/>
        </w:numPr>
        <w:ind w:hanging="5"/>
        <w:rPr>
          <w:color w:val="000000"/>
          <w:sz w:val="28"/>
          <w:szCs w:val="28"/>
          <w:lang w:val="zh-CN"/>
        </w:rPr>
      </w:pPr>
      <w:bookmarkStart w:id="60" w:name="_Toc15409"/>
      <w:bookmarkStart w:id="61" w:name="_Toc17391"/>
      <w:bookmarkStart w:id="62" w:name="_Toc17172"/>
      <w:bookmarkStart w:id="63" w:name="_Toc7791"/>
      <w:bookmarkStart w:id="64" w:name="_Toc11544"/>
      <w:bookmarkStart w:id="65" w:name="_Toc14100"/>
      <w:bookmarkStart w:id="66" w:name="_Toc86851451"/>
      <w:r>
        <w:rPr>
          <w:rFonts w:hint="eastAsia"/>
          <w:color w:val="000000"/>
          <w:sz w:val="28"/>
          <w:szCs w:val="28"/>
          <w:lang w:val="zh-CN"/>
        </w:rPr>
        <w:t>合格的</w:t>
      </w:r>
      <w:bookmarkEnd w:id="60"/>
      <w:bookmarkEnd w:id="61"/>
      <w:bookmarkEnd w:id="62"/>
      <w:bookmarkEnd w:id="63"/>
      <w:bookmarkEnd w:id="64"/>
      <w:bookmarkEnd w:id="65"/>
      <w:r>
        <w:rPr>
          <w:rFonts w:hint="eastAsia"/>
          <w:color w:val="000000"/>
          <w:sz w:val="28"/>
          <w:szCs w:val="28"/>
          <w:lang w:val="zh-CN"/>
        </w:rPr>
        <w:t>货物、服务</w:t>
      </w:r>
      <w:bookmarkEnd w:id="66"/>
    </w:p>
    <w:p>
      <w:pPr>
        <w:numPr>
          <w:ilvl w:val="1"/>
          <w:numId w:val="10"/>
        </w:numPr>
        <w:tabs>
          <w:tab w:val="left" w:pos="1040"/>
          <w:tab w:val="left" w:pos="1260"/>
          <w:tab w:val="clear" w:pos="907"/>
        </w:tabs>
        <w:spacing w:line="360" w:lineRule="auto"/>
        <w:ind w:left="1027" w:hanging="607"/>
        <w:rPr>
          <w:rFonts w:ascii="宋体" w:cs="宋体"/>
          <w:color w:val="000000"/>
          <w:sz w:val="24"/>
          <w:lang w:val="zh-CN"/>
        </w:rPr>
      </w:pPr>
      <w:r>
        <w:rPr>
          <w:rFonts w:hint="eastAsia" w:ascii="宋体" w:hAnsi="宋体" w:cs="宋体"/>
          <w:color w:val="000000"/>
          <w:sz w:val="24"/>
          <w:lang w:val="zh-CN"/>
        </w:rPr>
        <w:t>货物、服务是指报价供应商按磋商文件的规定完成的全部采购标的内容，包括完成采购标的所需的货物，及须承担的技术支持服务、培训和其它伴随服务。</w:t>
      </w:r>
    </w:p>
    <w:p>
      <w:pPr>
        <w:numPr>
          <w:ilvl w:val="1"/>
          <w:numId w:val="10"/>
        </w:numPr>
        <w:tabs>
          <w:tab w:val="left" w:pos="1040"/>
          <w:tab w:val="left" w:pos="1260"/>
          <w:tab w:val="clear" w:pos="907"/>
        </w:tabs>
        <w:spacing w:line="360" w:lineRule="auto"/>
        <w:ind w:left="1027" w:hanging="607"/>
        <w:rPr>
          <w:rFonts w:ascii="宋体" w:cs="宋体"/>
          <w:color w:val="000000"/>
          <w:sz w:val="24"/>
          <w:lang w:val="zh-CN"/>
        </w:rPr>
      </w:pPr>
      <w:r>
        <w:rPr>
          <w:rFonts w:hint="eastAsia" w:ascii="宋体" w:hAnsi="宋体" w:cs="宋体"/>
          <w:color w:val="000000"/>
          <w:sz w:val="24"/>
          <w:lang w:val="zh-CN"/>
        </w:rPr>
        <w:t>报价供应商提供的所有货物，其质量、技术等必须符合国家、行业现行法律、法规的相关标准和《中华人民共和国政府采购法》的有关规定及用户需求。</w:t>
      </w:r>
    </w:p>
    <w:p>
      <w:pPr>
        <w:numPr>
          <w:ilvl w:val="1"/>
          <w:numId w:val="10"/>
        </w:numPr>
        <w:tabs>
          <w:tab w:val="left" w:pos="1040"/>
          <w:tab w:val="left" w:pos="1260"/>
          <w:tab w:val="clear" w:pos="907"/>
        </w:tabs>
        <w:spacing w:line="360" w:lineRule="auto"/>
        <w:ind w:left="1027" w:hanging="607"/>
        <w:rPr>
          <w:rFonts w:ascii="宋体" w:cs="宋体"/>
          <w:color w:val="000000"/>
          <w:sz w:val="24"/>
          <w:lang w:val="zh-CN"/>
        </w:rPr>
      </w:pPr>
      <w:r>
        <w:rPr>
          <w:rFonts w:hint="eastAsia" w:ascii="宋体" w:hAnsi="宋体" w:cs="宋体"/>
          <w:color w:val="000000"/>
          <w:sz w:val="24"/>
          <w:lang w:val="zh-CN"/>
        </w:rPr>
        <w:t>采购人有权拒绝接受任何不合格的货物，由此产生的费用及相关后果均由供应商自行承担。</w:t>
      </w:r>
    </w:p>
    <w:p>
      <w:pPr>
        <w:numPr>
          <w:ilvl w:val="1"/>
          <w:numId w:val="10"/>
        </w:numPr>
        <w:tabs>
          <w:tab w:val="left" w:pos="1040"/>
          <w:tab w:val="left" w:pos="1260"/>
          <w:tab w:val="clear" w:pos="907"/>
        </w:tabs>
        <w:spacing w:line="360" w:lineRule="auto"/>
        <w:ind w:left="1027" w:hanging="607"/>
        <w:rPr>
          <w:rFonts w:ascii="宋体" w:cs="宋体"/>
          <w:color w:val="000000"/>
          <w:sz w:val="24"/>
          <w:lang w:val="zh-CN"/>
        </w:rPr>
      </w:pPr>
      <w:r>
        <w:rPr>
          <w:rFonts w:hint="eastAsia" w:ascii="宋体" w:hAnsi="宋体" w:cs="宋体"/>
          <w:color w:val="000000"/>
          <w:sz w:val="24"/>
          <w:lang w:val="zh-CN"/>
        </w:rPr>
        <w:t>报价供应商应保证本项目的货物、技术服务或其任何一部分不会产生因第三方提出侵犯其专利权、商标权或其他知识产权而引起的法律和经济纠纷。如果报价供应商不拥有相应的知识产权，则须在报价中包含合法获取该知识产权的相关费用，并在响应文件中附有相关证明文件。如因第三方提出其专利权、商标权或其他知识产权的侵权之诉，则一切法律责任由报价供应商承担。</w:t>
      </w:r>
    </w:p>
    <w:p>
      <w:pPr>
        <w:pStyle w:val="4"/>
        <w:numPr>
          <w:ilvl w:val="0"/>
          <w:numId w:val="7"/>
        </w:numPr>
        <w:ind w:hanging="5"/>
        <w:rPr>
          <w:color w:val="000000"/>
          <w:sz w:val="28"/>
          <w:szCs w:val="28"/>
          <w:lang w:val="zh-CN"/>
        </w:rPr>
      </w:pPr>
      <w:bookmarkStart w:id="67" w:name="_Toc4639"/>
      <w:bookmarkStart w:id="68" w:name="_Toc26858"/>
      <w:bookmarkStart w:id="69" w:name="_Toc21576"/>
      <w:bookmarkStart w:id="70" w:name="_Toc6731"/>
      <w:bookmarkStart w:id="71" w:name="_Toc30395"/>
      <w:bookmarkStart w:id="72" w:name="_Toc24380"/>
      <w:bookmarkStart w:id="73" w:name="_Toc86851452"/>
      <w:r>
        <w:rPr>
          <w:rFonts w:hint="eastAsia"/>
          <w:color w:val="000000"/>
          <w:sz w:val="28"/>
          <w:szCs w:val="28"/>
          <w:lang w:val="zh-CN"/>
        </w:rPr>
        <w:t>磋商文件的编制依据和组成</w:t>
      </w:r>
      <w:bookmarkEnd w:id="67"/>
      <w:bookmarkEnd w:id="68"/>
      <w:bookmarkEnd w:id="69"/>
      <w:bookmarkEnd w:id="70"/>
      <w:bookmarkEnd w:id="71"/>
      <w:bookmarkEnd w:id="72"/>
      <w:bookmarkEnd w:id="73"/>
    </w:p>
    <w:p>
      <w:pPr>
        <w:numPr>
          <w:ilvl w:val="1"/>
          <w:numId w:val="11"/>
        </w:numPr>
        <w:tabs>
          <w:tab w:val="left" w:pos="1040"/>
          <w:tab w:val="left" w:pos="1260"/>
        </w:tabs>
        <w:spacing w:line="360" w:lineRule="auto"/>
        <w:ind w:hanging="481"/>
        <w:rPr>
          <w:rFonts w:ascii="宋体" w:cs="宋体"/>
          <w:color w:val="000000"/>
          <w:sz w:val="24"/>
          <w:lang w:val="zh-CN"/>
        </w:rPr>
      </w:pPr>
      <w:bookmarkStart w:id="74" w:name="_Toc413372447"/>
      <w:bookmarkStart w:id="75" w:name="_Toc413373035"/>
      <w:bookmarkStart w:id="76" w:name="_Toc413372889"/>
      <w:r>
        <w:rPr>
          <w:rFonts w:hint="eastAsia" w:ascii="宋体" w:hAnsi="宋体" w:cs="宋体"/>
          <w:color w:val="000000"/>
          <w:sz w:val="24"/>
          <w:lang w:val="zh-CN"/>
        </w:rPr>
        <w:t>本磋商文件的编制依据是《中华人民共和国政府采购法》、《中华人民共和国政府采购法实施条例》及其配套的法规、规章、规范性文件等。</w:t>
      </w:r>
      <w:bookmarkEnd w:id="74"/>
      <w:bookmarkEnd w:id="75"/>
      <w:bookmarkEnd w:id="76"/>
      <w:r>
        <w:rPr>
          <w:rFonts w:ascii="宋体" w:hAnsi="宋体" w:cs="宋体"/>
          <w:color w:val="000000"/>
          <w:sz w:val="24"/>
          <w:lang w:val="zh-CN"/>
        </w:rPr>
        <w:t xml:space="preserve"> </w:t>
      </w:r>
    </w:p>
    <w:p>
      <w:pPr>
        <w:numPr>
          <w:ilvl w:val="1"/>
          <w:numId w:val="11"/>
        </w:numPr>
        <w:tabs>
          <w:tab w:val="left" w:pos="1040"/>
          <w:tab w:val="left" w:pos="1260"/>
        </w:tabs>
        <w:spacing w:line="360" w:lineRule="auto"/>
        <w:ind w:hanging="481"/>
        <w:rPr>
          <w:rFonts w:ascii="宋体" w:hAnsi="宋体" w:cs="宋体"/>
          <w:color w:val="000000"/>
          <w:sz w:val="24"/>
          <w:lang w:val="zh-CN"/>
        </w:rPr>
      </w:pPr>
      <w:r>
        <w:rPr>
          <w:rFonts w:hint="eastAsia" w:ascii="宋体" w:hAnsi="宋体" w:cs="宋体"/>
          <w:color w:val="000000"/>
          <w:sz w:val="24"/>
          <w:lang w:val="zh-CN"/>
        </w:rPr>
        <w:t>磋商文件由下列文件以及在招标过程中发出的澄清、修改和补充文件组成，共六章：</w:t>
      </w:r>
    </w:p>
    <w:p>
      <w:pPr>
        <w:adjustRightInd w:val="0"/>
        <w:snapToGrid w:val="0"/>
        <w:spacing w:line="360" w:lineRule="auto"/>
        <w:ind w:firstLine="1260" w:firstLineChars="525"/>
        <w:rPr>
          <w:rFonts w:ascii="宋体" w:cs="宋体"/>
          <w:color w:val="000000"/>
          <w:sz w:val="24"/>
        </w:rPr>
      </w:pPr>
      <w:r>
        <w:rPr>
          <w:rFonts w:hint="eastAsia" w:ascii="宋体" w:hAnsi="宋体" w:cs="宋体"/>
          <w:color w:val="000000"/>
          <w:sz w:val="24"/>
        </w:rPr>
        <w:t>第一章</w:t>
      </w:r>
      <w:r>
        <w:rPr>
          <w:rFonts w:ascii="宋体" w:hAnsi="宋体" w:cs="宋体"/>
          <w:color w:val="000000"/>
          <w:sz w:val="24"/>
        </w:rPr>
        <w:t xml:space="preserve"> </w:t>
      </w:r>
      <w:r>
        <w:rPr>
          <w:rFonts w:hint="eastAsia" w:ascii="宋体" w:hAnsi="宋体" w:cs="宋体"/>
          <w:color w:val="000000"/>
          <w:sz w:val="24"/>
        </w:rPr>
        <w:t>竞争性磋商公告</w:t>
      </w:r>
    </w:p>
    <w:p>
      <w:pPr>
        <w:adjustRightInd w:val="0"/>
        <w:snapToGrid w:val="0"/>
        <w:spacing w:line="360" w:lineRule="auto"/>
        <w:ind w:firstLine="1260" w:firstLineChars="525"/>
        <w:rPr>
          <w:rFonts w:ascii="宋体" w:cs="宋体"/>
          <w:color w:val="000000"/>
          <w:sz w:val="24"/>
        </w:rPr>
      </w:pPr>
      <w:r>
        <w:rPr>
          <w:rFonts w:hint="eastAsia" w:ascii="宋体" w:hAnsi="宋体" w:cs="宋体"/>
          <w:color w:val="000000"/>
          <w:sz w:val="24"/>
        </w:rPr>
        <w:t>第二章</w:t>
      </w:r>
      <w:r>
        <w:rPr>
          <w:rFonts w:ascii="宋体" w:hAnsi="宋体" w:cs="宋体"/>
          <w:color w:val="000000"/>
          <w:sz w:val="24"/>
        </w:rPr>
        <w:t xml:space="preserve"> </w:t>
      </w:r>
      <w:r>
        <w:rPr>
          <w:rFonts w:hint="eastAsia" w:ascii="宋体" w:hAnsi="宋体" w:cs="宋体"/>
          <w:color w:val="000000"/>
          <w:sz w:val="24"/>
        </w:rPr>
        <w:t>报价供应商须知</w:t>
      </w:r>
    </w:p>
    <w:p>
      <w:pPr>
        <w:adjustRightInd w:val="0"/>
        <w:snapToGrid w:val="0"/>
        <w:spacing w:line="360" w:lineRule="auto"/>
        <w:ind w:firstLine="1260" w:firstLineChars="525"/>
        <w:rPr>
          <w:rFonts w:ascii="宋体" w:cs="宋体"/>
          <w:color w:val="000000"/>
          <w:sz w:val="24"/>
        </w:rPr>
      </w:pPr>
      <w:r>
        <w:rPr>
          <w:rFonts w:hint="eastAsia" w:ascii="宋体" w:hAnsi="宋体" w:cs="宋体"/>
          <w:color w:val="000000"/>
          <w:sz w:val="24"/>
        </w:rPr>
        <w:t>第三章</w:t>
      </w:r>
      <w:r>
        <w:rPr>
          <w:rFonts w:ascii="宋体" w:hAnsi="宋体" w:cs="宋体"/>
          <w:color w:val="000000"/>
          <w:sz w:val="24"/>
        </w:rPr>
        <w:t xml:space="preserve"> </w:t>
      </w:r>
      <w:r>
        <w:rPr>
          <w:rFonts w:hint="eastAsia" w:ascii="宋体" w:hAnsi="宋体" w:cs="宋体"/>
          <w:color w:val="000000"/>
          <w:sz w:val="24"/>
        </w:rPr>
        <w:t>用户需求书</w:t>
      </w:r>
    </w:p>
    <w:p>
      <w:pPr>
        <w:adjustRightInd w:val="0"/>
        <w:snapToGrid w:val="0"/>
        <w:spacing w:line="360" w:lineRule="auto"/>
        <w:ind w:firstLine="1260" w:firstLineChars="525"/>
        <w:rPr>
          <w:rFonts w:ascii="宋体" w:cs="宋体"/>
          <w:color w:val="000000"/>
          <w:sz w:val="24"/>
        </w:rPr>
      </w:pPr>
      <w:r>
        <w:rPr>
          <w:rFonts w:hint="eastAsia" w:ascii="宋体" w:hAnsi="宋体" w:cs="宋体"/>
          <w:color w:val="000000"/>
          <w:sz w:val="24"/>
        </w:rPr>
        <w:t>第四章</w:t>
      </w:r>
      <w:r>
        <w:rPr>
          <w:rFonts w:ascii="宋体" w:hAnsi="宋体" w:cs="宋体"/>
          <w:color w:val="000000"/>
          <w:sz w:val="24"/>
        </w:rPr>
        <w:t xml:space="preserve"> </w:t>
      </w:r>
      <w:r>
        <w:rPr>
          <w:rFonts w:hint="eastAsia" w:ascii="宋体" w:hAnsi="宋体" w:cs="宋体"/>
          <w:color w:val="000000"/>
          <w:sz w:val="24"/>
        </w:rPr>
        <w:t>评分体系与标准</w:t>
      </w:r>
    </w:p>
    <w:p>
      <w:pPr>
        <w:adjustRightInd w:val="0"/>
        <w:snapToGrid w:val="0"/>
        <w:spacing w:line="360" w:lineRule="auto"/>
        <w:ind w:firstLine="1260" w:firstLineChars="525"/>
        <w:rPr>
          <w:rFonts w:ascii="宋体" w:cs="宋体"/>
          <w:color w:val="000000"/>
          <w:sz w:val="24"/>
        </w:rPr>
      </w:pPr>
      <w:r>
        <w:rPr>
          <w:rFonts w:hint="eastAsia" w:ascii="宋体" w:hAnsi="宋体" w:cs="宋体"/>
          <w:color w:val="000000"/>
          <w:sz w:val="24"/>
        </w:rPr>
        <w:t>第五章</w:t>
      </w:r>
      <w:r>
        <w:rPr>
          <w:rFonts w:ascii="宋体" w:hAnsi="宋体" w:cs="宋体"/>
          <w:color w:val="000000"/>
          <w:sz w:val="24"/>
        </w:rPr>
        <w:t xml:space="preserve"> </w:t>
      </w:r>
      <w:r>
        <w:rPr>
          <w:rFonts w:hint="eastAsia" w:ascii="宋体" w:hAnsi="宋体" w:cs="宋体"/>
          <w:color w:val="000000"/>
          <w:sz w:val="24"/>
        </w:rPr>
        <w:t>合同格式</w:t>
      </w:r>
    </w:p>
    <w:p>
      <w:pPr>
        <w:adjustRightInd w:val="0"/>
        <w:snapToGrid w:val="0"/>
        <w:spacing w:line="360" w:lineRule="auto"/>
        <w:ind w:firstLine="1260" w:firstLineChars="525"/>
        <w:rPr>
          <w:rFonts w:ascii="宋体" w:cs="宋体"/>
          <w:color w:val="000000"/>
          <w:sz w:val="24"/>
          <w:lang w:val="zh-CN"/>
        </w:rPr>
      </w:pPr>
      <w:r>
        <w:rPr>
          <w:rFonts w:hint="eastAsia" w:ascii="宋体" w:hAnsi="宋体" w:cs="宋体"/>
          <w:color w:val="000000"/>
          <w:sz w:val="24"/>
        </w:rPr>
        <w:t>第六章</w:t>
      </w:r>
      <w:r>
        <w:rPr>
          <w:rFonts w:ascii="宋体" w:hAnsi="宋体" w:cs="宋体"/>
          <w:color w:val="000000"/>
          <w:sz w:val="24"/>
        </w:rPr>
        <w:t xml:space="preserve"> </w:t>
      </w:r>
      <w:r>
        <w:rPr>
          <w:rFonts w:hint="eastAsia" w:ascii="宋体" w:hAnsi="宋体" w:cs="宋体"/>
          <w:color w:val="000000"/>
          <w:sz w:val="24"/>
        </w:rPr>
        <w:t>响应文件格式</w:t>
      </w:r>
    </w:p>
    <w:p>
      <w:pPr>
        <w:numPr>
          <w:ilvl w:val="1"/>
          <w:numId w:val="11"/>
        </w:numPr>
        <w:tabs>
          <w:tab w:val="left" w:pos="1040"/>
          <w:tab w:val="left" w:pos="1260"/>
        </w:tabs>
        <w:spacing w:line="360" w:lineRule="auto"/>
        <w:ind w:hanging="481"/>
        <w:rPr>
          <w:rFonts w:ascii="宋体" w:hAnsi="宋体" w:cs="宋体"/>
          <w:color w:val="000000"/>
          <w:sz w:val="24"/>
          <w:lang w:val="zh-CN"/>
        </w:rPr>
      </w:pPr>
      <w:r>
        <w:rPr>
          <w:rFonts w:hint="eastAsia" w:ascii="宋体" w:hAnsi="宋体" w:cs="宋体"/>
          <w:color w:val="000000"/>
          <w:sz w:val="24"/>
          <w:lang w:val="zh-CN"/>
        </w:rPr>
        <w:t>报价供应商应认真阅读磋商文件中所有的事项、格式、条款和规范等要求。如果报价供应商没有按照磋商文件的要求提交全部资料，或者响应文件没有对磋商文件在各方面做出实质性响应，可能导致其报价被拒绝，或被认定为报价无效。</w:t>
      </w:r>
    </w:p>
    <w:p>
      <w:pPr>
        <w:pStyle w:val="4"/>
        <w:numPr>
          <w:ilvl w:val="0"/>
          <w:numId w:val="7"/>
        </w:numPr>
        <w:ind w:hanging="5"/>
        <w:rPr>
          <w:color w:val="000000"/>
          <w:sz w:val="28"/>
          <w:szCs w:val="28"/>
          <w:lang w:val="zh-CN"/>
        </w:rPr>
      </w:pPr>
      <w:bookmarkStart w:id="77" w:name="_Toc30273"/>
      <w:bookmarkStart w:id="78" w:name="_Toc25578"/>
      <w:bookmarkStart w:id="79" w:name="_Toc5348"/>
      <w:bookmarkStart w:id="80" w:name="_Toc10350"/>
      <w:bookmarkStart w:id="81" w:name="_Toc20094"/>
      <w:bookmarkStart w:id="82" w:name="_Toc22148"/>
      <w:bookmarkStart w:id="83" w:name="_Toc86851453"/>
      <w:r>
        <w:rPr>
          <w:rFonts w:hint="eastAsia"/>
          <w:color w:val="000000"/>
          <w:sz w:val="28"/>
          <w:szCs w:val="28"/>
          <w:lang w:val="zh-CN"/>
        </w:rPr>
        <w:t>磋商文件的澄清和修改</w:t>
      </w:r>
      <w:bookmarkEnd w:id="77"/>
      <w:bookmarkEnd w:id="78"/>
      <w:bookmarkEnd w:id="79"/>
      <w:bookmarkEnd w:id="80"/>
      <w:bookmarkEnd w:id="81"/>
      <w:bookmarkEnd w:id="82"/>
      <w:bookmarkEnd w:id="83"/>
    </w:p>
    <w:p>
      <w:pPr>
        <w:numPr>
          <w:ilvl w:val="1"/>
          <w:numId w:val="12"/>
        </w:numPr>
        <w:tabs>
          <w:tab w:val="left" w:pos="1080"/>
          <w:tab w:val="left" w:pos="1260"/>
        </w:tabs>
        <w:spacing w:line="360" w:lineRule="auto"/>
        <w:ind w:hanging="481"/>
        <w:rPr>
          <w:rFonts w:ascii="宋体" w:cs="宋体"/>
          <w:color w:val="000000"/>
          <w:sz w:val="24"/>
          <w:lang w:val="zh-CN"/>
        </w:rPr>
      </w:pPr>
      <w:r>
        <w:rPr>
          <w:rFonts w:hint="eastAsia" w:ascii="宋体" w:hAnsi="宋体" w:cs="宋体"/>
          <w:color w:val="000000"/>
          <w:sz w:val="24"/>
          <w:lang w:val="zh-CN"/>
        </w:rPr>
        <w:t>报价供应商对磋商文件有疑问的，可向采购人或采购代理机构依法提出询问，采购人或采购代理机构在三个工作日内对报价供应商询问的内容作出答复。</w:t>
      </w:r>
    </w:p>
    <w:p>
      <w:pPr>
        <w:numPr>
          <w:ilvl w:val="1"/>
          <w:numId w:val="12"/>
        </w:numPr>
        <w:tabs>
          <w:tab w:val="left" w:pos="1080"/>
          <w:tab w:val="left" w:pos="1260"/>
        </w:tabs>
        <w:spacing w:line="360" w:lineRule="auto"/>
        <w:ind w:hanging="481"/>
        <w:rPr>
          <w:rFonts w:ascii="宋体" w:hAnsi="宋体" w:cs="宋体"/>
          <w:color w:val="000000"/>
          <w:sz w:val="24"/>
          <w:lang w:val="zh-CN"/>
        </w:rPr>
      </w:pPr>
      <w:r>
        <w:rPr>
          <w:rFonts w:hint="eastAsia" w:ascii="宋体" w:hAnsi="宋体" w:cs="宋体"/>
          <w:color w:val="000000"/>
          <w:sz w:val="24"/>
          <w:lang w:val="zh-CN"/>
        </w:rPr>
        <w:t>提交首次响应文件截止之日前，采购人或采购代理机构可以对已发出的磋商文件进行必要的澄清或修改，澄清或修改的内容作为磋商文件的组成部分。澄清或修改的内容可能影响响应文件编制的，采购人或采购代理机构应当在提交首次响应文件截止时间至少</w:t>
      </w:r>
      <w:r>
        <w:rPr>
          <w:rFonts w:ascii="宋体" w:hAnsi="宋体" w:cs="宋体"/>
          <w:color w:val="000000"/>
          <w:sz w:val="24"/>
          <w:lang w:val="zh-CN"/>
        </w:rPr>
        <w:t>5</w:t>
      </w:r>
      <w:r>
        <w:rPr>
          <w:rFonts w:hint="eastAsia" w:ascii="宋体" w:hAnsi="宋体" w:cs="宋体"/>
          <w:color w:val="000000"/>
          <w:sz w:val="24"/>
          <w:lang w:val="zh-CN"/>
        </w:rPr>
        <w:t>日前，以书面形式通知所有获取磋商文件的报价供应商；不足</w:t>
      </w:r>
      <w:r>
        <w:rPr>
          <w:rFonts w:ascii="宋体" w:hAnsi="宋体" w:cs="宋体"/>
          <w:color w:val="000000"/>
          <w:sz w:val="24"/>
          <w:lang w:val="zh-CN"/>
        </w:rPr>
        <w:t>5</w:t>
      </w:r>
      <w:r>
        <w:rPr>
          <w:rFonts w:hint="eastAsia" w:ascii="宋体" w:hAnsi="宋体" w:cs="宋体"/>
          <w:color w:val="000000"/>
          <w:sz w:val="24"/>
          <w:lang w:val="zh-CN"/>
        </w:rPr>
        <w:t>日的，采购人或采购代理机构应当顺延提交首次响应文件截止时间。</w:t>
      </w:r>
    </w:p>
    <w:p>
      <w:pPr>
        <w:numPr>
          <w:ilvl w:val="1"/>
          <w:numId w:val="12"/>
        </w:numPr>
        <w:tabs>
          <w:tab w:val="left" w:pos="1080"/>
          <w:tab w:val="left" w:pos="1260"/>
        </w:tabs>
        <w:spacing w:line="360" w:lineRule="auto"/>
        <w:ind w:hanging="482"/>
        <w:rPr>
          <w:rFonts w:ascii="宋体" w:cs="宋体"/>
          <w:color w:val="000000"/>
          <w:sz w:val="24"/>
          <w:lang w:val="zh-CN"/>
        </w:rPr>
      </w:pPr>
      <w:r>
        <w:rPr>
          <w:rFonts w:hint="eastAsia" w:ascii="宋体" w:hAnsi="宋体" w:cs="宋体"/>
          <w:color w:val="000000"/>
          <w:sz w:val="24"/>
          <w:lang w:val="zh-CN"/>
        </w:rPr>
        <w:t>磋商文件的修改内容是磋商文件的组成部分。</w:t>
      </w:r>
    </w:p>
    <w:p>
      <w:pPr>
        <w:numPr>
          <w:ilvl w:val="1"/>
          <w:numId w:val="12"/>
        </w:numPr>
        <w:tabs>
          <w:tab w:val="left" w:pos="1080"/>
          <w:tab w:val="left" w:pos="1260"/>
        </w:tabs>
        <w:spacing w:line="360" w:lineRule="auto"/>
        <w:ind w:hanging="482"/>
        <w:rPr>
          <w:rFonts w:ascii="宋体" w:hAnsi="宋体" w:cs="宋体"/>
          <w:color w:val="000000"/>
          <w:sz w:val="24"/>
          <w:lang w:val="zh-CN"/>
        </w:rPr>
      </w:pPr>
      <w:r>
        <w:rPr>
          <w:rFonts w:hint="eastAsia" w:ascii="宋体" w:hAnsi="宋体" w:cs="宋体"/>
          <w:color w:val="000000"/>
          <w:sz w:val="24"/>
          <w:lang w:val="zh-CN"/>
        </w:rPr>
        <w:t>为使报价供应商准备报价时有充分时间对磋商文件的修改部分进行研究，采购人或采购代理机构可顺延磋商截止时间，但至少应当在磋商文件要求提交响应文件的截止时间三日前，将变更时间书面通知所有磋商文件收受人，并在财政部门指定的政府采购信息发布媒体上发布变更公告。</w:t>
      </w:r>
    </w:p>
    <w:p>
      <w:pPr>
        <w:numPr>
          <w:ilvl w:val="1"/>
          <w:numId w:val="12"/>
        </w:numPr>
        <w:tabs>
          <w:tab w:val="left" w:pos="1080"/>
          <w:tab w:val="left" w:pos="1260"/>
        </w:tabs>
        <w:spacing w:line="360" w:lineRule="auto"/>
        <w:ind w:hanging="482"/>
        <w:rPr>
          <w:rFonts w:ascii="宋体" w:hAnsi="宋体" w:cs="宋体"/>
          <w:color w:val="000000"/>
          <w:sz w:val="24"/>
          <w:lang w:val="zh-CN"/>
        </w:rPr>
      </w:pPr>
      <w:r>
        <w:rPr>
          <w:rFonts w:hint="eastAsia" w:ascii="宋体" w:hAnsi="宋体" w:cs="宋体"/>
          <w:color w:val="000000"/>
          <w:sz w:val="24"/>
          <w:lang w:val="zh-CN"/>
        </w:rPr>
        <w:t>报价供应商在规定的时间内未对磋商文件提出澄清或疑问的，采购人或采购代理机构将视为对磋商文件无异议。</w:t>
      </w:r>
      <w:r>
        <w:rPr>
          <w:rFonts w:ascii="宋体" w:hAnsi="宋体" w:cs="宋体"/>
          <w:color w:val="000000"/>
          <w:sz w:val="24"/>
          <w:lang w:val="zh-CN"/>
        </w:rPr>
        <w:t xml:space="preserve"> </w:t>
      </w:r>
    </w:p>
    <w:p>
      <w:pPr>
        <w:pStyle w:val="4"/>
        <w:numPr>
          <w:ilvl w:val="0"/>
          <w:numId w:val="7"/>
        </w:numPr>
        <w:ind w:hanging="5"/>
        <w:rPr>
          <w:color w:val="000000"/>
          <w:sz w:val="28"/>
          <w:szCs w:val="28"/>
          <w:lang w:val="zh-CN"/>
        </w:rPr>
      </w:pPr>
      <w:bookmarkStart w:id="84" w:name="_Toc18032"/>
      <w:bookmarkStart w:id="85" w:name="_Toc10617"/>
      <w:bookmarkStart w:id="86" w:name="_Toc22473"/>
      <w:bookmarkStart w:id="87" w:name="_Toc25617"/>
      <w:bookmarkStart w:id="88" w:name="_Toc10441"/>
      <w:bookmarkStart w:id="89" w:name="_Toc86851454"/>
      <w:r>
        <w:rPr>
          <w:rFonts w:hint="eastAsia"/>
          <w:color w:val="000000"/>
          <w:sz w:val="28"/>
          <w:szCs w:val="28"/>
          <w:lang w:val="zh-CN"/>
        </w:rPr>
        <w:t>答疑会或踏勘现场</w:t>
      </w:r>
      <w:bookmarkEnd w:id="84"/>
      <w:bookmarkEnd w:id="85"/>
      <w:bookmarkEnd w:id="86"/>
      <w:bookmarkEnd w:id="87"/>
      <w:bookmarkEnd w:id="88"/>
      <w:bookmarkEnd w:id="89"/>
    </w:p>
    <w:p>
      <w:pPr>
        <w:numPr>
          <w:ilvl w:val="1"/>
          <w:numId w:val="12"/>
        </w:numPr>
        <w:tabs>
          <w:tab w:val="left" w:pos="1080"/>
          <w:tab w:val="left" w:pos="1260"/>
        </w:tabs>
        <w:spacing w:line="360" w:lineRule="auto"/>
        <w:ind w:hanging="482"/>
        <w:rPr>
          <w:rFonts w:ascii="宋体" w:hAnsi="宋体" w:cs="宋体"/>
          <w:color w:val="000000"/>
          <w:sz w:val="24"/>
          <w:lang w:val="zh-CN"/>
        </w:rPr>
      </w:pPr>
      <w:r>
        <w:rPr>
          <w:rFonts w:hint="eastAsia" w:ascii="宋体" w:hAnsi="宋体" w:cs="宋体"/>
          <w:color w:val="000000"/>
          <w:sz w:val="24"/>
          <w:lang w:val="zh-CN"/>
        </w:rPr>
        <w:t>除非报价供应商须知前附表中另有规定，本项目不举行集中答疑会或统一组织踏勘现场。</w:t>
      </w:r>
    </w:p>
    <w:p>
      <w:pPr>
        <w:pStyle w:val="4"/>
        <w:numPr>
          <w:ilvl w:val="0"/>
          <w:numId w:val="7"/>
        </w:numPr>
        <w:ind w:hanging="5"/>
        <w:rPr>
          <w:color w:val="000000"/>
          <w:sz w:val="28"/>
          <w:szCs w:val="28"/>
          <w:lang w:val="zh-CN"/>
        </w:rPr>
      </w:pPr>
      <w:bookmarkStart w:id="90" w:name="_Toc14163"/>
      <w:bookmarkStart w:id="91" w:name="_Toc28364"/>
      <w:bookmarkStart w:id="92" w:name="_Toc31877"/>
      <w:bookmarkStart w:id="93" w:name="_Toc32130"/>
      <w:bookmarkStart w:id="94" w:name="_Toc3238"/>
      <w:bookmarkStart w:id="95" w:name="_Toc86851455"/>
      <w:r>
        <w:rPr>
          <w:rFonts w:hint="eastAsia"/>
          <w:color w:val="000000"/>
          <w:sz w:val="28"/>
          <w:szCs w:val="28"/>
          <w:lang w:val="zh-CN"/>
        </w:rPr>
        <w:t>报价语言和计量单位</w:t>
      </w:r>
      <w:bookmarkEnd w:id="90"/>
      <w:bookmarkEnd w:id="91"/>
      <w:bookmarkEnd w:id="92"/>
      <w:bookmarkEnd w:id="93"/>
      <w:bookmarkEnd w:id="94"/>
      <w:bookmarkEnd w:id="95"/>
    </w:p>
    <w:p>
      <w:pPr>
        <w:numPr>
          <w:ilvl w:val="1"/>
          <w:numId w:val="13"/>
        </w:numPr>
        <w:tabs>
          <w:tab w:val="left" w:pos="11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提交的响应文件以及报价供应商与采购人或采购代理机构就有关投标的来往函件均应使用简体中文书写。报价供应商提供的支持文件、技术资料和印刷的文献可以用其它语言，但相应内容应附有第三方的中文翻译本，在解释响应文件时以中文翻译本为准。</w:t>
      </w:r>
    </w:p>
    <w:p>
      <w:pPr>
        <w:numPr>
          <w:ilvl w:val="1"/>
          <w:numId w:val="13"/>
        </w:numPr>
        <w:tabs>
          <w:tab w:val="left" w:pos="1120"/>
        </w:tabs>
        <w:spacing w:line="360" w:lineRule="auto"/>
        <w:ind w:hanging="482"/>
        <w:rPr>
          <w:rFonts w:ascii="宋体" w:cs="宋体"/>
          <w:color w:val="000000"/>
          <w:sz w:val="24"/>
          <w:lang w:val="zh-CN"/>
        </w:rPr>
      </w:pPr>
      <w:r>
        <w:rPr>
          <w:rFonts w:hint="eastAsia" w:ascii="宋体" w:hAnsi="宋体" w:cs="宋体"/>
          <w:color w:val="000000"/>
          <w:sz w:val="24"/>
          <w:lang w:val="zh-CN"/>
        </w:rPr>
        <w:t>除非磋商文件中有特殊要求，响应文件中的计量单位应采用中华人民共和国法定计量单位。</w:t>
      </w:r>
    </w:p>
    <w:p>
      <w:pPr>
        <w:numPr>
          <w:ilvl w:val="1"/>
          <w:numId w:val="13"/>
        </w:numPr>
        <w:tabs>
          <w:tab w:val="left" w:pos="1120"/>
        </w:tabs>
        <w:spacing w:line="360" w:lineRule="auto"/>
        <w:ind w:hanging="482"/>
        <w:rPr>
          <w:rFonts w:ascii="宋体" w:cs="宋体"/>
          <w:color w:val="000000"/>
          <w:sz w:val="24"/>
          <w:lang w:val="zh-CN"/>
        </w:rPr>
      </w:pPr>
      <w:r>
        <w:rPr>
          <w:rFonts w:hint="eastAsia" w:ascii="宋体" w:hAnsi="宋体" w:cs="宋体"/>
          <w:color w:val="000000"/>
          <w:sz w:val="24"/>
          <w:lang w:val="zh-CN"/>
        </w:rPr>
        <w:t>除非另有说明，本磋商文件中所称“日”均指日历日，响应文件中需以日历日对磋商文件作出响应。评审时，对响应文件中出现的“工作日”按五个工作日折合七个日历日计算，且磋商小组可能会就日期作出对该报价供应商不利的折算和量化，报价供应商须自行承担此风险。</w:t>
      </w:r>
    </w:p>
    <w:p>
      <w:pPr>
        <w:pStyle w:val="4"/>
        <w:numPr>
          <w:ilvl w:val="0"/>
          <w:numId w:val="7"/>
        </w:numPr>
        <w:ind w:hanging="5"/>
        <w:rPr>
          <w:color w:val="000000"/>
          <w:sz w:val="28"/>
          <w:szCs w:val="28"/>
          <w:lang w:val="zh-CN"/>
        </w:rPr>
      </w:pPr>
      <w:bookmarkStart w:id="96" w:name="_Toc16372"/>
      <w:bookmarkStart w:id="97" w:name="_Toc11148"/>
      <w:bookmarkStart w:id="98" w:name="_Toc8218"/>
      <w:bookmarkStart w:id="99" w:name="_Toc6128"/>
      <w:bookmarkStart w:id="100" w:name="_Toc18843"/>
      <w:bookmarkStart w:id="101" w:name="_Toc8592"/>
      <w:bookmarkStart w:id="102" w:name="_Toc86851456"/>
      <w:r>
        <w:rPr>
          <w:rFonts w:hint="eastAsia"/>
          <w:color w:val="000000"/>
          <w:sz w:val="28"/>
          <w:szCs w:val="28"/>
          <w:lang w:val="zh-CN"/>
        </w:rPr>
        <w:t>响应文件的构成</w:t>
      </w:r>
      <w:bookmarkEnd w:id="96"/>
      <w:bookmarkEnd w:id="97"/>
      <w:bookmarkEnd w:id="98"/>
      <w:bookmarkEnd w:id="99"/>
      <w:bookmarkEnd w:id="100"/>
      <w:bookmarkEnd w:id="101"/>
      <w:bookmarkEnd w:id="102"/>
    </w:p>
    <w:p>
      <w:pPr>
        <w:numPr>
          <w:ilvl w:val="1"/>
          <w:numId w:val="14"/>
        </w:numPr>
        <w:tabs>
          <w:tab w:val="left" w:pos="1060"/>
        </w:tabs>
        <w:spacing w:line="360" w:lineRule="auto"/>
        <w:ind w:hanging="482"/>
        <w:rPr>
          <w:rFonts w:ascii="宋体" w:cs="宋体"/>
          <w:color w:val="000000"/>
          <w:sz w:val="24"/>
          <w:lang w:val="zh-CN"/>
        </w:rPr>
      </w:pPr>
      <w:r>
        <w:rPr>
          <w:rFonts w:hint="eastAsia" w:ascii="宋体" w:hAnsi="宋体" w:cs="宋体"/>
          <w:color w:val="000000"/>
          <w:sz w:val="24"/>
          <w:lang w:val="zh-CN"/>
        </w:rPr>
        <w:t>报价供应商编写的响应文件应包括自查表、初审文件、商务文件、技术文件、报价文件，包括但不限于其中所列表格、文件及证明资料。</w:t>
      </w:r>
    </w:p>
    <w:p>
      <w:pPr>
        <w:numPr>
          <w:ilvl w:val="1"/>
          <w:numId w:val="14"/>
        </w:numPr>
        <w:tabs>
          <w:tab w:val="left" w:pos="1060"/>
        </w:tabs>
        <w:spacing w:line="360" w:lineRule="auto"/>
        <w:ind w:hanging="482"/>
        <w:rPr>
          <w:rFonts w:ascii="宋体" w:cs="宋体"/>
          <w:color w:val="000000"/>
          <w:sz w:val="24"/>
          <w:lang w:val="zh-CN"/>
        </w:rPr>
      </w:pPr>
      <w:r>
        <w:rPr>
          <w:rFonts w:hint="eastAsia" w:ascii="宋体" w:hAnsi="宋体" w:cs="宋体"/>
          <w:color w:val="000000"/>
          <w:sz w:val="24"/>
          <w:lang w:val="zh-CN"/>
        </w:rPr>
        <w:t>响应文件的构成应符合法律法规及磋商文件的要求。</w:t>
      </w:r>
    </w:p>
    <w:p>
      <w:pPr>
        <w:pStyle w:val="4"/>
        <w:numPr>
          <w:ilvl w:val="0"/>
          <w:numId w:val="7"/>
        </w:numPr>
        <w:ind w:hanging="5"/>
        <w:rPr>
          <w:color w:val="000000"/>
          <w:sz w:val="28"/>
          <w:szCs w:val="28"/>
          <w:lang w:val="zh-CN"/>
        </w:rPr>
      </w:pPr>
      <w:bookmarkStart w:id="103" w:name="_Toc18734"/>
      <w:bookmarkStart w:id="104" w:name="_Toc27381"/>
      <w:bookmarkStart w:id="105" w:name="_Toc3365"/>
      <w:bookmarkStart w:id="106" w:name="_Toc31760"/>
      <w:bookmarkStart w:id="107" w:name="_Toc3284"/>
      <w:bookmarkStart w:id="108" w:name="_Toc7428"/>
      <w:bookmarkStart w:id="109" w:name="_Toc86851457"/>
      <w:r>
        <w:rPr>
          <w:rFonts w:hint="eastAsia"/>
          <w:color w:val="000000"/>
          <w:sz w:val="28"/>
          <w:szCs w:val="28"/>
          <w:lang w:val="zh-CN"/>
        </w:rPr>
        <w:t>响应文件编制注意事项</w:t>
      </w:r>
      <w:bookmarkEnd w:id="103"/>
      <w:bookmarkEnd w:id="104"/>
      <w:bookmarkEnd w:id="105"/>
      <w:bookmarkEnd w:id="106"/>
      <w:bookmarkEnd w:id="107"/>
      <w:bookmarkEnd w:id="108"/>
      <w:bookmarkEnd w:id="109"/>
    </w:p>
    <w:p>
      <w:pPr>
        <w:numPr>
          <w:ilvl w:val="1"/>
          <w:numId w:val="15"/>
        </w:numPr>
        <w:tabs>
          <w:tab w:val="left" w:pos="1060"/>
        </w:tabs>
        <w:spacing w:line="360" w:lineRule="auto"/>
        <w:ind w:hanging="482"/>
        <w:rPr>
          <w:rFonts w:ascii="宋体" w:cs="宋体"/>
          <w:color w:val="000000"/>
          <w:sz w:val="24"/>
          <w:lang w:val="zh-CN"/>
        </w:rPr>
      </w:pPr>
      <w:r>
        <w:rPr>
          <w:rFonts w:hint="eastAsia" w:ascii="宋体" w:hAnsi="宋体" w:cs="宋体"/>
          <w:color w:val="000000"/>
          <w:sz w:val="24"/>
          <w:lang w:val="zh-CN"/>
        </w:rPr>
        <w:t>报价供应商应完整、真实、准确地填写磋商文件中提供的报价函、首轮报价一览表、报价明细表以及磋商文件中规定的其它所有内容。</w:t>
      </w:r>
    </w:p>
    <w:p>
      <w:pPr>
        <w:numPr>
          <w:ilvl w:val="1"/>
          <w:numId w:val="15"/>
        </w:numPr>
        <w:tabs>
          <w:tab w:val="left" w:pos="1100"/>
          <w:tab w:val="left" w:pos="1220"/>
        </w:tabs>
        <w:spacing w:line="360" w:lineRule="auto"/>
        <w:ind w:hanging="482"/>
        <w:rPr>
          <w:rFonts w:ascii="宋体" w:cs="宋体"/>
          <w:b/>
          <w:bCs/>
          <w:color w:val="000000"/>
          <w:sz w:val="24"/>
          <w:u w:val="single"/>
          <w:lang w:val="zh-CN"/>
        </w:rPr>
      </w:pPr>
      <w:r>
        <w:rPr>
          <w:rFonts w:hint="eastAsia" w:ascii="宋体" w:hAnsi="宋体" w:cs="宋体"/>
          <w:color w:val="000000"/>
          <w:sz w:val="24"/>
          <w:lang w:val="zh-CN"/>
        </w:rPr>
        <w:t>如磋商文件没有分包组，报价供应商须对磋商文件中“用户需求书”中所要求的所有内容、责任范围进行报价；如磋商文件中有多个包组，报价供应商可对其中一个包组或多个包组进行报价，但不得只对一个包组中的内容拆分报价。</w:t>
      </w:r>
    </w:p>
    <w:p>
      <w:pPr>
        <w:numPr>
          <w:ilvl w:val="1"/>
          <w:numId w:val="15"/>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报价供应商对磋商文件中多个包组进行报价的，其响应文件的编制须按每个包组的要求分别装订和封装。对未经装订的响应文件可能发生的文件散落或缺损，由此造成的后果和责任由报价供应商承担。</w:t>
      </w:r>
      <w:r>
        <w:rPr>
          <w:rFonts w:ascii="宋体" w:hAnsi="宋体" w:cs="宋体"/>
          <w:color w:val="000000"/>
          <w:sz w:val="24"/>
          <w:lang w:val="zh-CN"/>
        </w:rPr>
        <w:t xml:space="preserve"> </w:t>
      </w:r>
    </w:p>
    <w:p>
      <w:pPr>
        <w:numPr>
          <w:ilvl w:val="1"/>
          <w:numId w:val="15"/>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报价供应商必须对响应文件所提供的全部资料的真实性承担法律责任，并无条件接受采购人或采购代理机构及政府采购监督管理部门等对其中任何资料进行核实的要求。</w:t>
      </w:r>
    </w:p>
    <w:p>
      <w:pPr>
        <w:numPr>
          <w:ilvl w:val="1"/>
          <w:numId w:val="15"/>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报价供应商的响应文件只填写和提供了本磋商文件要求的部分内容和附件，或没有提供磋商文件中所要求的全部资料及数据，由此造成的后果和责任由报价供应商承担。</w:t>
      </w:r>
    </w:p>
    <w:p>
      <w:pPr>
        <w:pStyle w:val="4"/>
        <w:numPr>
          <w:ilvl w:val="0"/>
          <w:numId w:val="7"/>
        </w:numPr>
        <w:ind w:hanging="5"/>
        <w:rPr>
          <w:color w:val="000000"/>
          <w:sz w:val="28"/>
          <w:szCs w:val="28"/>
          <w:lang w:val="zh-CN"/>
        </w:rPr>
      </w:pPr>
      <w:bookmarkStart w:id="110" w:name="_Toc23339"/>
      <w:bookmarkStart w:id="111" w:name="_Toc12485"/>
      <w:bookmarkStart w:id="112" w:name="_Toc21020"/>
      <w:bookmarkStart w:id="113" w:name="_Toc27898"/>
      <w:bookmarkStart w:id="114" w:name="_Toc31650"/>
      <w:bookmarkStart w:id="115" w:name="_Toc16769"/>
      <w:bookmarkStart w:id="116" w:name="_Toc86851458"/>
      <w:r>
        <w:rPr>
          <w:rFonts w:hint="eastAsia"/>
          <w:color w:val="000000"/>
          <w:sz w:val="28"/>
          <w:szCs w:val="28"/>
          <w:lang w:val="zh-CN"/>
        </w:rPr>
        <w:t>响应文件的式样和签署</w:t>
      </w:r>
      <w:bookmarkEnd w:id="110"/>
      <w:bookmarkEnd w:id="111"/>
      <w:bookmarkEnd w:id="112"/>
      <w:bookmarkEnd w:id="113"/>
      <w:bookmarkEnd w:id="114"/>
      <w:bookmarkEnd w:id="115"/>
      <w:bookmarkEnd w:id="116"/>
    </w:p>
    <w:p>
      <w:pPr>
        <w:numPr>
          <w:ilvl w:val="1"/>
          <w:numId w:val="16"/>
        </w:numPr>
        <w:tabs>
          <w:tab w:val="left" w:pos="108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报价供应商应制作响应文件正本一本、电子文件</w:t>
      </w:r>
      <w:r>
        <w:rPr>
          <w:rFonts w:hint="eastAsia" w:ascii="宋体" w:hAnsi="宋体" w:cs="宋体"/>
          <w:b/>
          <w:bCs/>
          <w:color w:val="000000"/>
          <w:sz w:val="24"/>
        </w:rPr>
        <w:t>（电子文件为</w:t>
      </w:r>
      <w:r>
        <w:rPr>
          <w:rFonts w:ascii="宋体" w:hAnsi="宋体" w:cs="宋体"/>
          <w:b/>
          <w:bCs/>
          <w:color w:val="000000"/>
          <w:sz w:val="24"/>
        </w:rPr>
        <w:t>U</w:t>
      </w:r>
      <w:r>
        <w:rPr>
          <w:rFonts w:hint="eastAsia" w:ascii="宋体" w:hAnsi="宋体" w:cs="宋体"/>
          <w:b/>
          <w:bCs/>
          <w:color w:val="000000"/>
          <w:sz w:val="24"/>
        </w:rPr>
        <w:t>盘介质，采用</w:t>
      </w:r>
      <w:r>
        <w:rPr>
          <w:rFonts w:ascii="宋体" w:hAnsi="宋体" w:cs="宋体"/>
          <w:b/>
          <w:bCs/>
          <w:color w:val="000000"/>
          <w:sz w:val="24"/>
        </w:rPr>
        <w:t>PDF</w:t>
      </w:r>
      <w:r>
        <w:rPr>
          <w:rFonts w:hint="eastAsia" w:ascii="宋体" w:hAnsi="宋体" w:cs="宋体"/>
          <w:b/>
          <w:bCs/>
          <w:color w:val="000000"/>
          <w:sz w:val="24"/>
        </w:rPr>
        <w:t>格式，其内容应与报价供应商打印产生的纸质响应文件内容一致，不留密码，无病毒，不压缩。）</w:t>
      </w:r>
      <w:r>
        <w:rPr>
          <w:rFonts w:hint="eastAsia" w:ascii="宋体" w:hAnsi="宋体" w:cs="宋体"/>
          <w:color w:val="000000"/>
          <w:sz w:val="24"/>
          <w:lang w:val="zh-CN"/>
        </w:rPr>
        <w:t>和</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中规定数目的副本，响应文件副本可采用正本的复印件。每套响应文件须清楚地标明“正本”或“副本”，若副本与正本不符，以正本为准。纸质响应文件与电子介质响应文件具有同等法律效力，除另有约定外，两者出现不一致时，以纸质响应文件正本为准。</w:t>
      </w:r>
    </w:p>
    <w:p>
      <w:pPr>
        <w:numPr>
          <w:ilvl w:val="1"/>
          <w:numId w:val="16"/>
        </w:numPr>
        <w:tabs>
          <w:tab w:val="left" w:pos="108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响应文件的正本须用A4纸打印或用不退色墨水书写，磋商文件要求签名的由法定代表人或经其正式授权的代表签字，响应文件要求盖章处须加盖报价供应商公章；响应文件的副本可采用正本的复印件。</w:t>
      </w:r>
    </w:p>
    <w:p>
      <w:pPr>
        <w:numPr>
          <w:ilvl w:val="1"/>
          <w:numId w:val="16"/>
        </w:numPr>
        <w:tabs>
          <w:tab w:val="left" w:pos="1080"/>
          <w:tab w:val="left" w:pos="1220"/>
        </w:tabs>
        <w:spacing w:line="360" w:lineRule="auto"/>
        <w:ind w:hanging="482"/>
        <w:rPr>
          <w:rFonts w:ascii="宋体" w:hAnsi="宋体" w:cs="宋体"/>
          <w:color w:val="000000"/>
          <w:sz w:val="24"/>
          <w:lang w:val="zh-CN"/>
        </w:rPr>
      </w:pPr>
      <w:r>
        <w:rPr>
          <w:rFonts w:hint="eastAsia" w:ascii="宋体" w:hAnsi="宋体" w:cs="宋体"/>
          <w:color w:val="000000"/>
          <w:sz w:val="24"/>
          <w:lang w:val="zh-CN"/>
        </w:rPr>
        <w:t>除对差错处做必要修改外，响应文件一般不得行间插字、涂改或增删，如有上述改动，必须由法定代表人或经其授权的代表在修改处旁边签字或加盖报价供应商公章。</w:t>
      </w:r>
    </w:p>
    <w:p>
      <w:pPr>
        <w:pStyle w:val="4"/>
        <w:numPr>
          <w:ilvl w:val="0"/>
          <w:numId w:val="7"/>
        </w:numPr>
        <w:ind w:hanging="5"/>
        <w:rPr>
          <w:color w:val="000000"/>
          <w:sz w:val="28"/>
          <w:szCs w:val="28"/>
          <w:lang w:val="zh-CN"/>
        </w:rPr>
      </w:pPr>
      <w:bookmarkStart w:id="117" w:name="_Toc7295"/>
      <w:bookmarkStart w:id="118" w:name="_Toc27197"/>
      <w:bookmarkStart w:id="119" w:name="_Toc5942"/>
      <w:bookmarkStart w:id="120" w:name="_Toc10319"/>
      <w:bookmarkStart w:id="121" w:name="_Toc25642"/>
      <w:bookmarkStart w:id="122" w:name="_Toc32561"/>
      <w:bookmarkStart w:id="123" w:name="_Toc86851459"/>
      <w:r>
        <w:rPr>
          <w:rFonts w:hint="eastAsia"/>
          <w:color w:val="000000"/>
          <w:sz w:val="28"/>
          <w:szCs w:val="28"/>
          <w:lang w:val="zh-CN"/>
        </w:rPr>
        <w:t>总报价</w:t>
      </w:r>
      <w:bookmarkEnd w:id="117"/>
      <w:bookmarkEnd w:id="118"/>
      <w:bookmarkEnd w:id="119"/>
      <w:bookmarkEnd w:id="120"/>
      <w:bookmarkEnd w:id="121"/>
      <w:bookmarkEnd w:id="122"/>
      <w:bookmarkEnd w:id="123"/>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报价供应商应按照“第三章　用户需求书”中规定的内容、责任范围进行报价。并按《首轮报价一览表》及《报价明细表》的要求报出总价和分项价格。总报价中不得包含磋商文件要求以外的内容，否则，在评标时不予核减。总报价中也不得缺漏磋商文件所要求的内容，否则，将被视为包含在总报价中。</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总报价是在报价供应商可以独立完成本项目，并满足预期实施效果和符合自身合法利益的前提下，通过准确核算后所报出的全部内容、责任范围所需的包干费用，包括履行合同所有内容、责任范围所需的费用、保险费、各种税费、其他一切隐含及不可预见的费用等。</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报价明细表内容应包含：</w:t>
      </w:r>
    </w:p>
    <w:p>
      <w:pPr>
        <w:numPr>
          <w:ilvl w:val="2"/>
          <w:numId w:val="18"/>
        </w:numPr>
        <w:spacing w:line="360" w:lineRule="auto"/>
        <w:ind w:hanging="482"/>
        <w:rPr>
          <w:rFonts w:ascii="宋体" w:cs="宋体"/>
          <w:color w:val="000000"/>
          <w:sz w:val="24"/>
          <w:lang w:val="zh-CN"/>
        </w:rPr>
      </w:pPr>
      <w:r>
        <w:rPr>
          <w:rFonts w:hint="eastAsia" w:ascii="宋体" w:hAnsi="宋体" w:cs="宋体"/>
          <w:color w:val="000000"/>
          <w:sz w:val="24"/>
          <w:lang w:val="zh-CN"/>
        </w:rPr>
        <w:t>磋商文件要求的全部内容、责任范围所需的费用；</w:t>
      </w:r>
    </w:p>
    <w:p>
      <w:pPr>
        <w:numPr>
          <w:ilvl w:val="2"/>
          <w:numId w:val="18"/>
        </w:numPr>
        <w:spacing w:line="360" w:lineRule="auto"/>
        <w:ind w:hanging="482"/>
        <w:rPr>
          <w:rFonts w:ascii="宋体" w:cs="宋体"/>
          <w:color w:val="000000"/>
          <w:sz w:val="24"/>
          <w:lang w:val="zh-CN"/>
        </w:rPr>
      </w:pPr>
      <w:r>
        <w:rPr>
          <w:rFonts w:hint="eastAsia" w:ascii="宋体" w:hAnsi="宋体" w:cs="宋体"/>
          <w:color w:val="000000"/>
          <w:sz w:val="24"/>
          <w:lang w:val="zh-CN"/>
        </w:rPr>
        <w:t>总报价均应包含所有的税费；</w:t>
      </w:r>
    </w:p>
    <w:p>
      <w:pPr>
        <w:numPr>
          <w:ilvl w:val="2"/>
          <w:numId w:val="18"/>
        </w:numPr>
        <w:spacing w:line="360" w:lineRule="auto"/>
        <w:ind w:hanging="482"/>
        <w:rPr>
          <w:rFonts w:ascii="宋体" w:cs="宋体"/>
          <w:color w:val="000000"/>
          <w:sz w:val="24"/>
          <w:lang w:val="zh-CN"/>
        </w:rPr>
      </w:pPr>
      <w:r>
        <w:rPr>
          <w:rFonts w:hint="eastAsia" w:ascii="宋体" w:hAnsi="宋体" w:cs="宋体"/>
          <w:color w:val="000000"/>
          <w:sz w:val="24"/>
          <w:lang w:val="zh-CN"/>
        </w:rPr>
        <w:t>其他一切隐含及不可预见的费用。</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本项目采用总价包干，总报价即为合同价，成交人不得在成交后提出任何增加费用要求，报价供应商在报价时应充分考虑相关风险性因素。</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对于报价免费的内容须标明“免费”。</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报价供应商根据本须知第</w:t>
      </w:r>
      <w:r>
        <w:rPr>
          <w:rFonts w:ascii="宋体" w:hAnsi="宋体" w:cs="宋体"/>
          <w:color w:val="000000"/>
          <w:sz w:val="24"/>
          <w:lang w:val="zh-CN"/>
        </w:rPr>
        <w:t>1</w:t>
      </w:r>
      <w:r>
        <w:rPr>
          <w:rFonts w:ascii="宋体" w:hAnsi="宋体" w:cs="宋体"/>
          <w:color w:val="000000"/>
          <w:sz w:val="24"/>
        </w:rPr>
        <w:t>2</w:t>
      </w:r>
      <w:r>
        <w:rPr>
          <w:rFonts w:ascii="宋体" w:hAnsi="宋体" w:cs="宋体"/>
          <w:color w:val="000000"/>
          <w:sz w:val="24"/>
          <w:lang w:val="zh-CN"/>
        </w:rPr>
        <w:t>.2</w:t>
      </w:r>
      <w:r>
        <w:rPr>
          <w:rFonts w:hint="eastAsia" w:ascii="宋体" w:hAnsi="宋体" w:cs="宋体"/>
          <w:color w:val="000000"/>
          <w:sz w:val="24"/>
          <w:lang w:val="zh-CN"/>
        </w:rPr>
        <w:t>条的规定将总报价分成几部分，只是为了方便磋商小组对响应文件进行比较，并不限制采购人以上述任何条件订立合同的权力。</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报价供应商所报的总报价在合同执行过程中是固定不变的，报价供应商不得以任何理由予以变更。任何包含价格调整要求的报价将被认为是非实质性响应报价而被拒绝。</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除</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中另有规定外，本次招标不接受选择性报价，否则将被视为无效报价。</w:t>
      </w:r>
    </w:p>
    <w:p>
      <w:pPr>
        <w:numPr>
          <w:ilvl w:val="1"/>
          <w:numId w:val="17"/>
        </w:numPr>
        <w:tabs>
          <w:tab w:val="left" w:pos="1100"/>
          <w:tab w:val="left" w:pos="1220"/>
        </w:tabs>
        <w:spacing w:line="360" w:lineRule="auto"/>
        <w:ind w:hanging="482"/>
        <w:rPr>
          <w:rFonts w:ascii="宋体" w:cs="宋体"/>
          <w:color w:val="000000"/>
          <w:sz w:val="24"/>
          <w:lang w:val="zh-CN"/>
        </w:rPr>
      </w:pPr>
      <w:r>
        <w:rPr>
          <w:rFonts w:hint="eastAsia" w:ascii="宋体" w:hAnsi="宋体" w:cs="宋体"/>
          <w:color w:val="000000"/>
          <w:sz w:val="24"/>
          <w:lang w:val="zh-CN"/>
        </w:rPr>
        <w:t>除</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中另有规定外，本次招标不接受具有附加条件的报价，否则将被视为无效报价。</w:t>
      </w:r>
    </w:p>
    <w:p>
      <w:pPr>
        <w:pStyle w:val="4"/>
        <w:numPr>
          <w:ilvl w:val="0"/>
          <w:numId w:val="7"/>
        </w:numPr>
        <w:ind w:hanging="5"/>
        <w:rPr>
          <w:color w:val="000000"/>
          <w:sz w:val="28"/>
          <w:szCs w:val="28"/>
          <w:lang w:val="zh-CN"/>
        </w:rPr>
      </w:pPr>
      <w:bookmarkStart w:id="124" w:name="_Toc18803"/>
      <w:bookmarkStart w:id="125" w:name="_Toc26330"/>
      <w:bookmarkStart w:id="126" w:name="_Toc23113"/>
      <w:bookmarkStart w:id="127" w:name="_Toc29737"/>
      <w:bookmarkStart w:id="128" w:name="_Toc4"/>
      <w:bookmarkStart w:id="129" w:name="_Toc13723"/>
      <w:bookmarkStart w:id="130" w:name="_Toc86851460"/>
      <w:r>
        <w:rPr>
          <w:rFonts w:hint="eastAsia"/>
          <w:color w:val="000000"/>
          <w:sz w:val="28"/>
          <w:szCs w:val="28"/>
          <w:lang w:val="zh-CN"/>
        </w:rPr>
        <w:t>磋商有效期</w:t>
      </w:r>
      <w:bookmarkEnd w:id="124"/>
      <w:bookmarkEnd w:id="125"/>
      <w:bookmarkEnd w:id="126"/>
      <w:bookmarkEnd w:id="127"/>
      <w:bookmarkEnd w:id="128"/>
      <w:bookmarkEnd w:id="129"/>
      <w:bookmarkEnd w:id="130"/>
    </w:p>
    <w:p>
      <w:pPr>
        <w:numPr>
          <w:ilvl w:val="1"/>
          <w:numId w:val="19"/>
        </w:numPr>
        <w:tabs>
          <w:tab w:val="left" w:pos="1180"/>
        </w:tabs>
        <w:spacing w:line="360" w:lineRule="auto"/>
        <w:ind w:hanging="482"/>
        <w:rPr>
          <w:rFonts w:ascii="宋体" w:cs="宋体"/>
          <w:color w:val="000000"/>
          <w:sz w:val="24"/>
          <w:lang w:val="zh-CN"/>
        </w:rPr>
      </w:pPr>
      <w:r>
        <w:rPr>
          <w:rFonts w:hint="eastAsia" w:ascii="宋体" w:hAnsi="宋体" w:cs="宋体"/>
          <w:color w:val="000000"/>
          <w:sz w:val="24"/>
          <w:lang w:val="zh-CN" w:eastAsia="zh-TW"/>
        </w:rPr>
        <w:t>磋商有效期自磋商文件规定的响应文件递交截止时间起算，并在</w:t>
      </w:r>
      <w:r>
        <w:rPr>
          <w:rFonts w:hint="eastAsia" w:ascii="黑体" w:hAnsi="黑体" w:eastAsia="黑体"/>
          <w:b/>
          <w:bCs/>
          <w:color w:val="000000"/>
          <w:sz w:val="24"/>
          <w:lang w:val="zh-CN" w:eastAsia="zh-TW"/>
        </w:rPr>
        <w:t>报价供应商须知前附表</w:t>
      </w:r>
      <w:r>
        <w:rPr>
          <w:rFonts w:hint="eastAsia" w:ascii="宋体" w:hAnsi="宋体" w:cs="宋体"/>
          <w:color w:val="000000"/>
          <w:sz w:val="24"/>
          <w:lang w:val="zh-CN" w:eastAsia="zh-TW"/>
        </w:rPr>
        <w:t>中所述期限内有效。磋商有效期比规定时间短的报价将被认定为非实质性响应，视为无效报价。</w:t>
      </w:r>
    </w:p>
    <w:p>
      <w:pPr>
        <w:pStyle w:val="4"/>
        <w:numPr>
          <w:ilvl w:val="0"/>
          <w:numId w:val="7"/>
        </w:numPr>
        <w:ind w:hanging="5"/>
        <w:rPr>
          <w:color w:val="000000"/>
          <w:sz w:val="28"/>
          <w:szCs w:val="28"/>
          <w:lang w:val="zh-CN"/>
        </w:rPr>
      </w:pPr>
      <w:bookmarkStart w:id="131" w:name="_Toc28304"/>
      <w:bookmarkStart w:id="132" w:name="_Toc31520"/>
      <w:bookmarkStart w:id="133" w:name="_Toc16945"/>
      <w:bookmarkStart w:id="134" w:name="_Toc23447"/>
      <w:bookmarkStart w:id="135" w:name="_Toc27443"/>
      <w:bookmarkStart w:id="136" w:name="_Toc12574"/>
      <w:bookmarkStart w:id="137" w:name="_Toc86851461"/>
      <w:r>
        <w:rPr>
          <w:rFonts w:hint="eastAsia"/>
          <w:color w:val="000000"/>
          <w:sz w:val="28"/>
          <w:szCs w:val="28"/>
          <w:lang w:val="zh-CN"/>
        </w:rPr>
        <w:t>联合体</w:t>
      </w:r>
      <w:bookmarkEnd w:id="131"/>
      <w:r>
        <w:rPr>
          <w:rFonts w:hint="eastAsia"/>
          <w:color w:val="000000"/>
          <w:sz w:val="28"/>
          <w:szCs w:val="28"/>
          <w:lang w:val="zh-CN"/>
        </w:rPr>
        <w:t>报价</w:t>
      </w:r>
      <w:bookmarkEnd w:id="132"/>
      <w:bookmarkEnd w:id="133"/>
      <w:bookmarkEnd w:id="134"/>
      <w:bookmarkEnd w:id="135"/>
      <w:bookmarkEnd w:id="136"/>
      <w:bookmarkEnd w:id="137"/>
    </w:p>
    <w:p>
      <w:pPr>
        <w:numPr>
          <w:ilvl w:val="1"/>
          <w:numId w:val="20"/>
        </w:numPr>
        <w:tabs>
          <w:tab w:val="left" w:pos="1180"/>
        </w:tabs>
        <w:spacing w:line="360" w:lineRule="auto"/>
        <w:ind w:left="1276" w:hanging="851"/>
        <w:rPr>
          <w:rFonts w:ascii="宋体" w:cs="宋体"/>
          <w:color w:val="000000"/>
          <w:sz w:val="24"/>
          <w:lang w:val="zh-CN" w:eastAsia="zh-TW"/>
        </w:rPr>
      </w:pPr>
      <w:r>
        <w:rPr>
          <w:rFonts w:hint="eastAsia" w:ascii="宋体" w:hAnsi="宋体" w:cs="宋体"/>
          <w:color w:val="000000"/>
          <w:sz w:val="24"/>
          <w:lang w:val="zh-CN" w:eastAsia="zh-TW"/>
        </w:rPr>
        <w:t>本项目</w:t>
      </w:r>
      <w:r>
        <w:rPr>
          <w:rFonts w:hint="eastAsia" w:ascii="宋体" w:hAnsi="宋体" w:cs="宋体"/>
          <w:color w:val="000000"/>
          <w:sz w:val="24"/>
          <w:lang w:val="zh-CN"/>
        </w:rPr>
        <w:t>不</w:t>
      </w:r>
      <w:r>
        <w:rPr>
          <w:rFonts w:hint="eastAsia" w:ascii="宋体" w:hAnsi="宋体" w:cs="宋体"/>
          <w:color w:val="000000"/>
          <w:sz w:val="24"/>
          <w:lang w:val="zh-CN" w:eastAsia="zh-TW"/>
        </w:rPr>
        <w:t>接受联合体报价。</w:t>
      </w:r>
    </w:p>
    <w:p>
      <w:pPr>
        <w:pStyle w:val="4"/>
        <w:numPr>
          <w:ilvl w:val="0"/>
          <w:numId w:val="7"/>
        </w:numPr>
        <w:ind w:hanging="5"/>
        <w:rPr>
          <w:color w:val="000000"/>
          <w:sz w:val="28"/>
          <w:szCs w:val="28"/>
          <w:lang w:val="zh-CN"/>
        </w:rPr>
      </w:pPr>
      <w:bookmarkStart w:id="138" w:name="_Toc23870"/>
      <w:bookmarkStart w:id="139" w:name="_Toc4634"/>
      <w:bookmarkStart w:id="140" w:name="_Toc3131"/>
      <w:bookmarkStart w:id="141" w:name="_Toc21518"/>
      <w:bookmarkStart w:id="142" w:name="_Toc11621"/>
      <w:bookmarkStart w:id="143" w:name="_Toc18435"/>
      <w:bookmarkStart w:id="144" w:name="_Toc23227"/>
      <w:bookmarkStart w:id="145" w:name="_Toc86851462"/>
      <w:r>
        <w:rPr>
          <w:rFonts w:hint="eastAsia"/>
          <w:color w:val="000000"/>
          <w:sz w:val="28"/>
          <w:szCs w:val="28"/>
          <w:lang w:val="zh-CN"/>
        </w:rPr>
        <w:t>证明报价供应商合格和资格的文件</w:t>
      </w:r>
      <w:bookmarkEnd w:id="138"/>
      <w:bookmarkEnd w:id="139"/>
      <w:bookmarkEnd w:id="140"/>
      <w:bookmarkEnd w:id="141"/>
      <w:bookmarkEnd w:id="142"/>
      <w:bookmarkEnd w:id="143"/>
      <w:bookmarkEnd w:id="144"/>
      <w:bookmarkEnd w:id="145"/>
    </w:p>
    <w:p>
      <w:pPr>
        <w:numPr>
          <w:ilvl w:val="1"/>
          <w:numId w:val="21"/>
        </w:numPr>
        <w:tabs>
          <w:tab w:val="left" w:pos="1180"/>
        </w:tabs>
        <w:spacing w:line="360" w:lineRule="auto"/>
        <w:ind w:hanging="482"/>
        <w:rPr>
          <w:rFonts w:ascii="宋体" w:cs="宋体"/>
          <w:color w:val="000000"/>
          <w:sz w:val="24"/>
          <w:lang w:val="zh-CN" w:eastAsia="zh-TW"/>
        </w:rPr>
      </w:pPr>
      <w:r>
        <w:rPr>
          <w:rFonts w:hint="eastAsia" w:ascii="宋体" w:hAnsi="宋体" w:cs="宋体"/>
          <w:color w:val="000000"/>
          <w:sz w:val="24"/>
          <w:lang w:val="zh-CN" w:eastAsia="zh-TW"/>
        </w:rPr>
        <w:t>报价供应商应提交证明其有资格参加报价和成交后有能力履行合同的文件，并作为其响应文件的一部分。</w:t>
      </w:r>
    </w:p>
    <w:p>
      <w:pPr>
        <w:numPr>
          <w:ilvl w:val="1"/>
          <w:numId w:val="21"/>
        </w:numPr>
        <w:tabs>
          <w:tab w:val="left" w:pos="1180"/>
        </w:tabs>
        <w:spacing w:line="360" w:lineRule="auto"/>
        <w:ind w:hanging="482"/>
        <w:rPr>
          <w:rFonts w:ascii="宋体" w:cs="宋体"/>
          <w:color w:val="000000"/>
          <w:sz w:val="24"/>
          <w:lang w:val="zh-CN" w:eastAsia="zh-TW"/>
        </w:rPr>
      </w:pPr>
      <w:r>
        <w:rPr>
          <w:rFonts w:hint="eastAsia" w:ascii="宋体" w:hAnsi="宋体" w:cs="宋体"/>
          <w:color w:val="000000"/>
          <w:sz w:val="24"/>
          <w:lang w:val="zh-CN" w:eastAsia="zh-TW"/>
        </w:rPr>
        <w:t>报价供应商提交的证明其成交后能履行合同的资格证明文件应包括下列文件：</w:t>
      </w:r>
    </w:p>
    <w:p>
      <w:pPr>
        <w:numPr>
          <w:ilvl w:val="2"/>
          <w:numId w:val="22"/>
        </w:numPr>
        <w:spacing w:line="360" w:lineRule="auto"/>
        <w:ind w:hanging="482"/>
        <w:rPr>
          <w:rFonts w:ascii="宋体" w:cs="宋体"/>
          <w:color w:val="000000"/>
          <w:sz w:val="24"/>
          <w:lang w:val="zh-CN"/>
        </w:rPr>
      </w:pPr>
      <w:r>
        <w:rPr>
          <w:rFonts w:hint="eastAsia" w:ascii="宋体" w:hAnsi="宋体" w:cs="宋体"/>
          <w:color w:val="000000"/>
          <w:sz w:val="24"/>
          <w:lang w:val="zh-CN"/>
        </w:rPr>
        <w:t>证明报价供应商已具备履行合同所需的财务、技术和生产能力的文件。</w:t>
      </w:r>
    </w:p>
    <w:p>
      <w:pPr>
        <w:numPr>
          <w:ilvl w:val="2"/>
          <w:numId w:val="22"/>
        </w:numPr>
        <w:spacing w:line="360" w:lineRule="auto"/>
        <w:ind w:hanging="482"/>
        <w:rPr>
          <w:rFonts w:ascii="宋体" w:cs="宋体"/>
          <w:color w:val="000000"/>
          <w:sz w:val="24"/>
          <w:lang w:val="zh-CN"/>
        </w:rPr>
      </w:pPr>
      <w:r>
        <w:rPr>
          <w:rFonts w:hint="eastAsia" w:ascii="宋体" w:hAnsi="宋体" w:cs="宋体"/>
          <w:color w:val="000000"/>
          <w:sz w:val="24"/>
          <w:lang w:val="zh-CN"/>
        </w:rPr>
        <w:t>证明报价供应商满足磋商文件其他要求的文件。</w:t>
      </w:r>
    </w:p>
    <w:p>
      <w:pPr>
        <w:pStyle w:val="4"/>
        <w:numPr>
          <w:ilvl w:val="0"/>
          <w:numId w:val="7"/>
        </w:numPr>
        <w:ind w:hanging="5"/>
        <w:rPr>
          <w:color w:val="000000"/>
          <w:sz w:val="28"/>
          <w:szCs w:val="28"/>
          <w:lang w:val="zh-CN"/>
        </w:rPr>
      </w:pPr>
      <w:bookmarkStart w:id="146" w:name="_Toc30264"/>
      <w:bookmarkStart w:id="147" w:name="_Toc19069"/>
      <w:bookmarkStart w:id="148" w:name="_Toc24754"/>
      <w:bookmarkStart w:id="149" w:name="_Toc15333"/>
      <w:bookmarkStart w:id="150" w:name="_Toc2341"/>
      <w:bookmarkStart w:id="151" w:name="_Toc30179"/>
      <w:bookmarkStart w:id="152" w:name="_Toc24611"/>
      <w:bookmarkStart w:id="153" w:name="_Toc86851463"/>
      <w:r>
        <w:rPr>
          <w:rFonts w:hint="eastAsia"/>
          <w:color w:val="000000"/>
          <w:sz w:val="28"/>
          <w:szCs w:val="28"/>
          <w:lang w:val="zh-CN"/>
        </w:rPr>
        <w:t>证明报价的合格性和符合磋商文件规定的文件</w:t>
      </w:r>
      <w:bookmarkEnd w:id="146"/>
      <w:bookmarkEnd w:id="147"/>
      <w:bookmarkEnd w:id="148"/>
      <w:bookmarkEnd w:id="149"/>
      <w:bookmarkEnd w:id="150"/>
      <w:bookmarkEnd w:id="151"/>
      <w:bookmarkEnd w:id="152"/>
      <w:bookmarkEnd w:id="153"/>
    </w:p>
    <w:p>
      <w:pPr>
        <w:numPr>
          <w:ilvl w:val="1"/>
          <w:numId w:val="23"/>
        </w:numPr>
        <w:tabs>
          <w:tab w:val="left" w:pos="1180"/>
        </w:tabs>
        <w:spacing w:line="360" w:lineRule="auto"/>
        <w:ind w:hanging="482"/>
        <w:rPr>
          <w:rFonts w:ascii="宋体" w:cs="宋体"/>
          <w:color w:val="000000"/>
          <w:sz w:val="24"/>
          <w:lang w:val="zh-CN" w:eastAsia="zh-TW"/>
        </w:rPr>
      </w:pPr>
      <w:r>
        <w:rPr>
          <w:rFonts w:hint="eastAsia" w:ascii="宋体" w:hAnsi="宋体" w:cs="宋体"/>
          <w:color w:val="000000"/>
          <w:sz w:val="24"/>
          <w:lang w:val="zh-CN" w:eastAsia="zh-TW"/>
        </w:rPr>
        <w:t>报价供应商应提交证明文件，证明其拟报价的</w:t>
      </w:r>
      <w:r>
        <w:rPr>
          <w:rFonts w:hint="eastAsia" w:ascii="宋体" w:hAnsi="宋体" w:cs="宋体"/>
          <w:color w:val="000000"/>
          <w:sz w:val="24"/>
          <w:lang w:val="zh-CN"/>
        </w:rPr>
        <w:t>货物及服务</w:t>
      </w:r>
      <w:r>
        <w:rPr>
          <w:rFonts w:hint="eastAsia" w:ascii="宋体" w:hAnsi="宋体" w:cs="宋体"/>
          <w:color w:val="000000"/>
          <w:sz w:val="24"/>
          <w:lang w:val="zh-CN" w:eastAsia="zh-TW"/>
        </w:rPr>
        <w:t>的合格性符合磋商文件规定。该证明文件作为响应文件的一部分。</w:t>
      </w:r>
    </w:p>
    <w:p>
      <w:pPr>
        <w:numPr>
          <w:ilvl w:val="1"/>
          <w:numId w:val="23"/>
        </w:numPr>
        <w:tabs>
          <w:tab w:val="left" w:pos="1180"/>
        </w:tabs>
        <w:spacing w:line="360" w:lineRule="auto"/>
        <w:ind w:hanging="482"/>
        <w:rPr>
          <w:rFonts w:ascii="宋体" w:cs="宋体"/>
          <w:color w:val="000000"/>
          <w:sz w:val="24"/>
          <w:lang w:val="zh-CN" w:eastAsia="zh-TW"/>
        </w:rPr>
      </w:pPr>
      <w:r>
        <w:rPr>
          <w:rFonts w:hint="eastAsia" w:ascii="宋体" w:hAnsi="宋体" w:cs="宋体"/>
          <w:color w:val="000000"/>
          <w:sz w:val="24"/>
          <w:lang w:val="zh-CN" w:eastAsia="zh-TW"/>
        </w:rPr>
        <w:t>证明</w:t>
      </w:r>
      <w:r>
        <w:rPr>
          <w:rFonts w:hint="eastAsia" w:ascii="宋体" w:hAnsi="宋体" w:cs="宋体"/>
          <w:color w:val="000000"/>
          <w:sz w:val="24"/>
          <w:lang w:val="zh-CN"/>
        </w:rPr>
        <w:t>货物及服务</w:t>
      </w:r>
      <w:r>
        <w:rPr>
          <w:rFonts w:hint="eastAsia" w:ascii="宋体" w:hAnsi="宋体" w:cs="宋体"/>
          <w:color w:val="000000"/>
          <w:sz w:val="24"/>
          <w:lang w:val="zh-CN" w:eastAsia="zh-TW"/>
        </w:rPr>
        <w:t>与磋商文件的要求相一致的文件，可以是文字资料、图纸和数据，它包括：</w:t>
      </w:r>
    </w:p>
    <w:p>
      <w:pPr>
        <w:numPr>
          <w:ilvl w:val="2"/>
          <w:numId w:val="24"/>
        </w:numPr>
        <w:tabs>
          <w:tab w:val="left" w:pos="426"/>
          <w:tab w:val="clear" w:pos="907"/>
        </w:tabs>
        <w:spacing w:line="360" w:lineRule="auto"/>
        <w:ind w:left="482" w:hanging="482"/>
        <w:rPr>
          <w:rFonts w:ascii="宋体" w:cs="宋体"/>
          <w:color w:val="000000"/>
          <w:sz w:val="24"/>
          <w:lang w:val="zh-CN"/>
        </w:rPr>
      </w:pPr>
      <w:r>
        <w:rPr>
          <w:rFonts w:hint="eastAsia" w:ascii="宋体" w:hAnsi="宋体" w:cs="宋体"/>
          <w:color w:val="000000"/>
          <w:sz w:val="24"/>
          <w:lang w:val="zh-CN"/>
        </w:rPr>
        <w:t>货物及服务</w:t>
      </w:r>
      <w:r>
        <w:rPr>
          <w:rFonts w:hint="eastAsia" w:ascii="宋体" w:hAnsi="宋体" w:cs="宋体"/>
          <w:color w:val="000000"/>
          <w:sz w:val="24"/>
          <w:lang w:val="zh-CN" w:eastAsia="zh-TW"/>
        </w:rPr>
        <w:t>的主要内容、方案、质量、标准等。</w:t>
      </w:r>
    </w:p>
    <w:p>
      <w:pPr>
        <w:numPr>
          <w:ilvl w:val="2"/>
          <w:numId w:val="24"/>
        </w:numPr>
        <w:spacing w:line="360" w:lineRule="auto"/>
        <w:ind w:left="482" w:hanging="482"/>
        <w:rPr>
          <w:rFonts w:ascii="宋体" w:cs="宋体"/>
          <w:color w:val="000000"/>
          <w:sz w:val="24"/>
          <w:lang w:val="zh-CN"/>
        </w:rPr>
      </w:pPr>
      <w:r>
        <w:rPr>
          <w:rFonts w:hint="eastAsia" w:ascii="宋体" w:hAnsi="宋体" w:cs="宋体"/>
          <w:color w:val="000000"/>
          <w:sz w:val="24"/>
          <w:lang w:val="zh-CN" w:eastAsia="zh-TW"/>
        </w:rPr>
        <w:t>对照</w:t>
      </w:r>
      <w:r>
        <w:rPr>
          <w:rFonts w:hint="eastAsia" w:ascii="宋体" w:hAnsi="宋体" w:cs="宋体"/>
          <w:color w:val="000000"/>
          <w:sz w:val="24"/>
          <w:lang w:val="zh-CN"/>
        </w:rPr>
        <w:t>磋商文件的货物及服务内容与要求，逐条说明所提供货物及服务已对磋商文件的货物及服务内容与要求作出了实质性响应，并申明与货物及服务内容与要求的偏差和例外。特别是对有具体参数要求的指标，报价供应商须提供所投货物及服务的具体参数值。</w:t>
      </w:r>
    </w:p>
    <w:p>
      <w:pPr>
        <w:pStyle w:val="4"/>
        <w:numPr>
          <w:ilvl w:val="0"/>
          <w:numId w:val="7"/>
        </w:numPr>
        <w:ind w:hanging="5"/>
        <w:rPr>
          <w:color w:val="000000"/>
          <w:sz w:val="28"/>
          <w:szCs w:val="28"/>
          <w:lang w:val="zh-CN"/>
        </w:rPr>
      </w:pPr>
      <w:bookmarkStart w:id="154" w:name="_Toc5144"/>
      <w:bookmarkStart w:id="155" w:name="_Toc5494"/>
      <w:bookmarkStart w:id="156" w:name="_Toc15798"/>
      <w:bookmarkStart w:id="157" w:name="_Toc5425"/>
      <w:bookmarkStart w:id="158" w:name="_Toc6801"/>
      <w:bookmarkStart w:id="159" w:name="_Toc2093"/>
      <w:bookmarkStart w:id="160" w:name="_Toc699"/>
      <w:bookmarkStart w:id="161" w:name="_Toc86851464"/>
      <w:r>
        <w:rPr>
          <w:rFonts w:hint="eastAsia"/>
          <w:color w:val="000000"/>
          <w:sz w:val="28"/>
          <w:szCs w:val="28"/>
          <w:lang w:val="zh-CN"/>
        </w:rPr>
        <w:t>响应文件的密封和标记</w:t>
      </w:r>
      <w:bookmarkEnd w:id="154"/>
      <w:bookmarkEnd w:id="155"/>
      <w:bookmarkEnd w:id="156"/>
      <w:bookmarkEnd w:id="157"/>
      <w:bookmarkEnd w:id="158"/>
      <w:bookmarkEnd w:id="159"/>
      <w:bookmarkEnd w:id="160"/>
      <w:bookmarkEnd w:id="161"/>
    </w:p>
    <w:p>
      <w:pPr>
        <w:numPr>
          <w:ilvl w:val="1"/>
          <w:numId w:val="25"/>
        </w:numPr>
        <w:tabs>
          <w:tab w:val="left" w:pos="1100"/>
        </w:tabs>
        <w:spacing w:line="360" w:lineRule="auto"/>
        <w:ind w:hanging="482"/>
        <w:rPr>
          <w:rFonts w:hint="eastAsia" w:ascii="宋体" w:hAnsi="宋体" w:cs="宋体"/>
          <w:color w:val="000000"/>
          <w:sz w:val="24"/>
          <w:lang w:val="zh-CN" w:eastAsia="zh-TW"/>
        </w:rPr>
      </w:pPr>
      <w:r>
        <w:rPr>
          <w:rFonts w:hint="eastAsia" w:ascii="宋体" w:hAnsi="宋体" w:cs="宋体"/>
          <w:color w:val="000000"/>
          <w:sz w:val="24"/>
          <w:lang w:val="zh-CN" w:eastAsia="zh-TW"/>
        </w:rPr>
        <w:t>报价供应商应将响应文件正本和所有副本分开密封，且在封套上标明“正本”“副本”字样。密封外套须清楚注明</w:t>
      </w:r>
      <w:r>
        <w:rPr>
          <w:rFonts w:hint="eastAsia" w:ascii="宋体" w:hAnsi="宋体" w:cs="宋体"/>
          <w:b/>
          <w:bCs/>
          <w:color w:val="000000"/>
          <w:sz w:val="24"/>
          <w:lang w:val="zh-CN" w:eastAsia="zh-TW"/>
        </w:rPr>
        <w:t>项目名称、项目编号、包组号（如有）和“在(磋商文件中规定的开标日期和时间)之前不得启封”的字样。</w:t>
      </w:r>
    </w:p>
    <w:p>
      <w:pPr>
        <w:numPr>
          <w:ilvl w:val="1"/>
          <w:numId w:val="25"/>
        </w:numPr>
        <w:tabs>
          <w:tab w:val="left" w:pos="1100"/>
        </w:tabs>
        <w:spacing w:line="360" w:lineRule="auto"/>
        <w:ind w:hanging="482"/>
        <w:rPr>
          <w:rFonts w:hint="eastAsia" w:ascii="宋体" w:hAnsi="宋体" w:cs="宋体"/>
          <w:color w:val="000000"/>
          <w:sz w:val="24"/>
          <w:lang w:val="zh-CN" w:eastAsia="zh-TW"/>
        </w:rPr>
      </w:pPr>
      <w:r>
        <w:rPr>
          <w:rFonts w:hint="eastAsia" w:ascii="宋体" w:hAnsi="宋体" w:cs="宋体"/>
          <w:color w:val="000000"/>
          <w:sz w:val="24"/>
          <w:lang w:val="zh-CN" w:eastAsia="zh-TW"/>
        </w:rPr>
        <w:t>响应文件及密封外套须清楚标明报价供应商名称和地址并加盖单位公章。</w:t>
      </w:r>
    </w:p>
    <w:p>
      <w:pPr>
        <w:numPr>
          <w:ilvl w:val="1"/>
          <w:numId w:val="25"/>
        </w:numPr>
        <w:tabs>
          <w:tab w:val="left" w:pos="1100"/>
        </w:tabs>
        <w:spacing w:line="360" w:lineRule="auto"/>
        <w:ind w:hanging="482"/>
        <w:rPr>
          <w:rFonts w:ascii="宋体" w:cs="宋体"/>
          <w:b/>
          <w:bCs/>
          <w:color w:val="000000"/>
          <w:sz w:val="24"/>
          <w:u w:val="single"/>
          <w:lang w:val="zh-CN" w:eastAsia="zh-TW"/>
        </w:rPr>
      </w:pPr>
      <w:r>
        <w:rPr>
          <w:rFonts w:hint="eastAsia" w:ascii="宋体" w:hAnsi="宋体" w:cs="宋体"/>
          <w:color w:val="000000"/>
          <w:sz w:val="24"/>
          <w:lang w:val="zh-CN" w:eastAsia="zh-TW"/>
        </w:rPr>
        <w:t>如果报价供应商未按本须知要求加写标记和密封，采购代理机构对误投或提前启封概不负责。</w:t>
      </w:r>
    </w:p>
    <w:p>
      <w:pPr>
        <w:pStyle w:val="4"/>
        <w:numPr>
          <w:ilvl w:val="0"/>
          <w:numId w:val="7"/>
        </w:numPr>
        <w:ind w:hanging="5"/>
        <w:rPr>
          <w:color w:val="000000"/>
          <w:sz w:val="28"/>
          <w:szCs w:val="28"/>
          <w:lang w:val="zh-CN"/>
        </w:rPr>
      </w:pPr>
      <w:bookmarkStart w:id="162" w:name="_Toc23641"/>
      <w:bookmarkStart w:id="163" w:name="_Toc6784"/>
      <w:bookmarkStart w:id="164" w:name="_Toc27060"/>
      <w:bookmarkStart w:id="165" w:name="_Toc27599"/>
      <w:bookmarkStart w:id="166" w:name="_Toc21339"/>
      <w:bookmarkStart w:id="167" w:name="_Toc8378"/>
      <w:bookmarkStart w:id="168" w:name="_Toc24489"/>
      <w:bookmarkStart w:id="169" w:name="_Toc86851465"/>
      <w:r>
        <w:rPr>
          <w:rFonts w:hint="eastAsia"/>
          <w:color w:val="000000"/>
          <w:sz w:val="28"/>
          <w:szCs w:val="28"/>
          <w:lang w:val="zh-CN"/>
        </w:rPr>
        <w:t>响应文件递交要求</w:t>
      </w:r>
      <w:bookmarkEnd w:id="162"/>
      <w:bookmarkEnd w:id="163"/>
      <w:bookmarkEnd w:id="164"/>
      <w:bookmarkEnd w:id="165"/>
      <w:bookmarkEnd w:id="166"/>
      <w:bookmarkEnd w:id="167"/>
      <w:bookmarkEnd w:id="168"/>
      <w:bookmarkEnd w:id="169"/>
    </w:p>
    <w:p>
      <w:pPr>
        <w:numPr>
          <w:ilvl w:val="1"/>
          <w:numId w:val="26"/>
        </w:numPr>
        <w:tabs>
          <w:tab w:val="left" w:pos="1180"/>
        </w:tabs>
        <w:spacing w:line="360" w:lineRule="auto"/>
        <w:ind w:left="1134" w:hanging="567"/>
        <w:rPr>
          <w:rFonts w:hint="eastAsia" w:ascii="宋体" w:hAnsi="宋体" w:cs="宋体"/>
          <w:color w:val="000000"/>
          <w:sz w:val="24"/>
          <w:lang w:val="zh-CN" w:eastAsia="zh-TW"/>
        </w:rPr>
      </w:pPr>
      <w:r>
        <w:rPr>
          <w:rFonts w:hint="eastAsia" w:ascii="宋体" w:hAnsi="宋体" w:cs="宋体"/>
          <w:color w:val="000000"/>
          <w:sz w:val="24"/>
          <w:lang w:val="zh-CN" w:eastAsia="zh-TW"/>
        </w:rPr>
        <w:t>响应文件应严格按</w:t>
      </w:r>
      <w:r>
        <w:rPr>
          <w:rFonts w:hint="eastAsia" w:ascii="黑体" w:hAnsi="黑体" w:eastAsia="黑体"/>
          <w:b/>
          <w:bCs/>
          <w:color w:val="000000"/>
          <w:sz w:val="24"/>
          <w:lang w:val="zh-CN" w:eastAsia="zh-TW"/>
        </w:rPr>
        <w:t>竞争性磋商</w:t>
      </w:r>
      <w:r>
        <w:rPr>
          <w:rFonts w:hint="eastAsia" w:ascii="黑体" w:hAnsi="黑体" w:eastAsia="黑体"/>
          <w:b/>
          <w:bCs/>
          <w:color w:val="000000"/>
          <w:sz w:val="24"/>
          <w:lang w:val="zh-CN"/>
        </w:rPr>
        <w:t>公告</w:t>
      </w:r>
      <w:r>
        <w:rPr>
          <w:rFonts w:hint="eastAsia" w:ascii="宋体" w:hAnsi="宋体"/>
          <w:color w:val="000000"/>
          <w:sz w:val="24"/>
          <w:lang w:val="zh-CN" w:eastAsia="zh-TW"/>
        </w:rPr>
        <w:t>中规定的截止日期和时间</w:t>
      </w:r>
      <w:r>
        <w:rPr>
          <w:rFonts w:hint="eastAsia" w:ascii="宋体" w:hAnsi="宋体" w:cs="宋体"/>
          <w:color w:val="000000"/>
          <w:sz w:val="24"/>
          <w:lang w:val="zh-CN" w:eastAsia="zh-TW"/>
        </w:rPr>
        <w:t>递交，采购代理机构对逾期递交的响应文件不予接收。</w:t>
      </w:r>
    </w:p>
    <w:p>
      <w:pPr>
        <w:pStyle w:val="4"/>
        <w:numPr>
          <w:ilvl w:val="0"/>
          <w:numId w:val="7"/>
        </w:numPr>
        <w:ind w:hanging="5"/>
        <w:rPr>
          <w:color w:val="000000"/>
          <w:sz w:val="28"/>
          <w:szCs w:val="28"/>
          <w:lang w:val="zh-CN"/>
        </w:rPr>
      </w:pPr>
      <w:bookmarkStart w:id="170" w:name="_Toc16713"/>
      <w:bookmarkStart w:id="171" w:name="_Toc32092"/>
      <w:bookmarkStart w:id="172" w:name="_Toc22077"/>
      <w:bookmarkStart w:id="173" w:name="_Toc24724"/>
      <w:bookmarkStart w:id="174" w:name="_Toc6168"/>
      <w:bookmarkStart w:id="175" w:name="_Toc5625"/>
      <w:bookmarkStart w:id="176" w:name="_Toc13648"/>
      <w:bookmarkStart w:id="177" w:name="_Toc86851466"/>
      <w:r>
        <w:rPr>
          <w:rFonts w:hint="eastAsia"/>
          <w:color w:val="000000"/>
          <w:sz w:val="28"/>
          <w:szCs w:val="28"/>
          <w:lang w:val="zh-CN"/>
        </w:rPr>
        <w:t>磋商截止</w:t>
      </w:r>
      <w:bookmarkEnd w:id="170"/>
      <w:bookmarkEnd w:id="171"/>
      <w:bookmarkEnd w:id="172"/>
      <w:bookmarkEnd w:id="173"/>
      <w:bookmarkEnd w:id="174"/>
      <w:bookmarkEnd w:id="175"/>
      <w:bookmarkEnd w:id="176"/>
      <w:bookmarkEnd w:id="177"/>
    </w:p>
    <w:p>
      <w:pPr>
        <w:numPr>
          <w:ilvl w:val="1"/>
          <w:numId w:val="27"/>
        </w:numPr>
        <w:tabs>
          <w:tab w:val="left" w:pos="1180"/>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报价供应商应在不迟于</w:t>
      </w:r>
      <w:r>
        <w:rPr>
          <w:rFonts w:hint="eastAsia" w:ascii="黑体" w:hAnsi="黑体" w:eastAsia="黑体"/>
          <w:b/>
          <w:bCs/>
          <w:color w:val="000000"/>
          <w:sz w:val="24"/>
          <w:lang w:val="zh-CN" w:eastAsia="zh-TW"/>
        </w:rPr>
        <w:t>竞争性磋商</w:t>
      </w:r>
      <w:r>
        <w:rPr>
          <w:rFonts w:hint="eastAsia" w:ascii="黑体" w:hAnsi="黑体" w:eastAsia="黑体"/>
          <w:b/>
          <w:bCs/>
          <w:color w:val="000000"/>
          <w:sz w:val="24"/>
          <w:lang w:val="zh-CN"/>
        </w:rPr>
        <w:t>公告</w:t>
      </w:r>
      <w:r>
        <w:rPr>
          <w:rFonts w:hint="eastAsia" w:ascii="宋体" w:hAnsi="宋体" w:cs="宋体"/>
          <w:color w:val="000000"/>
          <w:sz w:val="24"/>
          <w:lang w:val="zh-CN" w:eastAsia="zh-TW"/>
        </w:rPr>
        <w:t>中规定的截止日期和时间将响应文件递交至采购代理机构，递交地点应是</w:t>
      </w:r>
      <w:r>
        <w:rPr>
          <w:rFonts w:hint="eastAsia" w:ascii="黑体" w:hAnsi="黑体" w:eastAsia="黑体"/>
          <w:b/>
          <w:bCs/>
          <w:color w:val="000000"/>
          <w:sz w:val="24"/>
          <w:lang w:val="zh-CN" w:eastAsia="zh-TW"/>
        </w:rPr>
        <w:t>竞争性磋商</w:t>
      </w:r>
      <w:r>
        <w:rPr>
          <w:rFonts w:hint="eastAsia" w:ascii="黑体" w:hAnsi="黑体" w:eastAsia="黑体"/>
          <w:b/>
          <w:bCs/>
          <w:color w:val="000000"/>
          <w:sz w:val="24"/>
          <w:lang w:val="zh-CN"/>
        </w:rPr>
        <w:t>公告</w:t>
      </w:r>
      <w:r>
        <w:rPr>
          <w:rFonts w:hint="eastAsia" w:ascii="宋体" w:hAnsi="宋体" w:cs="宋体"/>
          <w:color w:val="000000"/>
          <w:sz w:val="24"/>
          <w:lang w:val="zh-CN" w:eastAsia="zh-TW"/>
        </w:rPr>
        <w:t>中指明的地址。</w:t>
      </w:r>
    </w:p>
    <w:p>
      <w:pPr>
        <w:numPr>
          <w:ilvl w:val="1"/>
          <w:numId w:val="27"/>
        </w:numPr>
        <w:tabs>
          <w:tab w:val="left" w:pos="1180"/>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采购人或采购代理机构因修改磋商文件，可酌情延长磋商截止时间，但应发布公告并书面通知所有购买磋商文件的潜在报价供应商。在此情况下，采购人或采购代理机构和报价供应商受磋商截止时间制约的所有权利和义务均延长至新的磋商截止时间。</w:t>
      </w:r>
    </w:p>
    <w:p>
      <w:pPr>
        <w:numPr>
          <w:ilvl w:val="1"/>
          <w:numId w:val="27"/>
        </w:numPr>
        <w:tabs>
          <w:tab w:val="left" w:pos="1180"/>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采购代理机构将拒绝接收在磋商文件规定的磋商截止时间之后收到的任何响应文件。</w:t>
      </w:r>
    </w:p>
    <w:p>
      <w:pPr>
        <w:pStyle w:val="4"/>
        <w:numPr>
          <w:ilvl w:val="0"/>
          <w:numId w:val="7"/>
        </w:numPr>
        <w:ind w:left="6" w:hanging="6"/>
        <w:rPr>
          <w:color w:val="000000"/>
          <w:sz w:val="28"/>
          <w:szCs w:val="28"/>
          <w:lang w:val="zh-CN"/>
        </w:rPr>
      </w:pPr>
      <w:bookmarkStart w:id="178" w:name="_Toc12850"/>
      <w:bookmarkStart w:id="179" w:name="_Toc24884"/>
      <w:bookmarkStart w:id="180" w:name="_Toc5608"/>
      <w:bookmarkStart w:id="181" w:name="_Toc1816"/>
      <w:bookmarkStart w:id="182" w:name="_Toc13701"/>
      <w:bookmarkStart w:id="183" w:name="_Toc20537"/>
      <w:bookmarkStart w:id="184" w:name="_Toc26104"/>
      <w:bookmarkStart w:id="185" w:name="_Toc86851467"/>
      <w:r>
        <w:rPr>
          <w:rFonts w:hint="eastAsia"/>
          <w:color w:val="000000"/>
          <w:sz w:val="28"/>
          <w:szCs w:val="28"/>
          <w:lang w:val="zh-CN"/>
        </w:rPr>
        <w:t>响应文件的修改和撤回</w:t>
      </w:r>
      <w:bookmarkEnd w:id="178"/>
      <w:bookmarkEnd w:id="179"/>
      <w:bookmarkEnd w:id="180"/>
      <w:bookmarkEnd w:id="181"/>
      <w:bookmarkEnd w:id="182"/>
      <w:bookmarkEnd w:id="183"/>
      <w:bookmarkEnd w:id="184"/>
      <w:bookmarkEnd w:id="185"/>
    </w:p>
    <w:p>
      <w:pPr>
        <w:numPr>
          <w:ilvl w:val="1"/>
          <w:numId w:val="28"/>
        </w:numPr>
        <w:tabs>
          <w:tab w:val="left" w:pos="709"/>
          <w:tab w:val="clear" w:pos="907"/>
        </w:tabs>
        <w:spacing w:line="360" w:lineRule="auto"/>
        <w:ind w:left="720" w:hanging="720" w:hangingChars="300"/>
        <w:rPr>
          <w:rFonts w:hint="eastAsia" w:ascii="宋体" w:hAnsi="宋体" w:cs="宋体"/>
          <w:color w:val="000000"/>
          <w:sz w:val="24"/>
          <w:lang w:val="zh-CN" w:eastAsia="zh-TW"/>
        </w:rPr>
      </w:pPr>
      <w:r>
        <w:rPr>
          <w:rFonts w:hint="eastAsia" w:ascii="宋体" w:hAnsi="宋体" w:cs="宋体"/>
          <w:color w:val="000000"/>
          <w:sz w:val="24"/>
          <w:lang w:val="zh-CN" w:eastAsia="zh-TW"/>
        </w:rPr>
        <w:t>报价供应商在磋商截止时间前，可以对其递交的响应文件进行补充、修改或撤回，但应书面通知采购代理机构。补充、修改的内容应当按磋商文件的要求签署、盖章，并作为响应文件的组成部分。</w:t>
      </w:r>
    </w:p>
    <w:p>
      <w:pPr>
        <w:numPr>
          <w:ilvl w:val="1"/>
          <w:numId w:val="28"/>
        </w:numPr>
        <w:tabs>
          <w:tab w:val="left" w:pos="709"/>
          <w:tab w:val="clear" w:pos="907"/>
        </w:tabs>
        <w:spacing w:line="360" w:lineRule="auto"/>
        <w:ind w:left="720" w:hanging="720" w:hangingChars="300"/>
        <w:rPr>
          <w:rFonts w:hint="eastAsia" w:ascii="宋体" w:hAnsi="宋体" w:cs="宋体"/>
          <w:color w:val="000000"/>
          <w:sz w:val="24"/>
          <w:lang w:val="zh-CN" w:eastAsia="zh-TW"/>
        </w:rPr>
      </w:pPr>
      <w:r>
        <w:rPr>
          <w:rFonts w:hint="eastAsia" w:ascii="宋体" w:hAnsi="宋体" w:cs="宋体"/>
          <w:color w:val="000000"/>
          <w:sz w:val="24"/>
          <w:lang w:val="zh-CN" w:eastAsia="zh-TW"/>
        </w:rPr>
        <w:t>在磋商截止时间之后，报价供应商不得对其响应文件做任何修改。</w:t>
      </w:r>
    </w:p>
    <w:p>
      <w:pPr>
        <w:numPr>
          <w:ilvl w:val="1"/>
          <w:numId w:val="28"/>
        </w:numPr>
        <w:tabs>
          <w:tab w:val="left" w:pos="709"/>
          <w:tab w:val="clear" w:pos="907"/>
        </w:tabs>
        <w:spacing w:line="360" w:lineRule="auto"/>
        <w:ind w:left="720" w:hanging="720" w:hangingChars="300"/>
        <w:rPr>
          <w:rFonts w:ascii="宋体" w:hAnsi="宋体" w:cs="宋体"/>
          <w:color w:val="000000"/>
          <w:sz w:val="24"/>
          <w:lang w:val="zh-CN" w:eastAsia="zh-TW"/>
        </w:rPr>
      </w:pPr>
      <w:r>
        <w:rPr>
          <w:rFonts w:hint="eastAsia" w:ascii="宋体" w:hAnsi="宋体" w:cs="宋体"/>
          <w:color w:val="000000"/>
          <w:sz w:val="24"/>
          <w:lang w:val="zh-CN" w:eastAsia="zh-TW"/>
        </w:rPr>
        <w:t>从磋商截止期至磋商文件规定的磋商有效期期满的这段时间内，报价供应商不得撤回其报价。</w:t>
      </w:r>
    </w:p>
    <w:p>
      <w:pPr>
        <w:numPr>
          <w:ilvl w:val="1"/>
          <w:numId w:val="28"/>
        </w:numPr>
        <w:tabs>
          <w:tab w:val="left" w:pos="709"/>
          <w:tab w:val="clear" w:pos="907"/>
        </w:tabs>
        <w:spacing w:line="360" w:lineRule="auto"/>
        <w:ind w:left="720" w:hanging="720" w:hangingChars="300"/>
        <w:rPr>
          <w:rFonts w:ascii="宋体" w:hAnsi="宋体" w:cs="宋体"/>
          <w:color w:val="000000"/>
          <w:sz w:val="24"/>
          <w:lang w:val="zh-CN" w:eastAsia="zh-TW"/>
        </w:rPr>
      </w:pPr>
      <w:r>
        <w:rPr>
          <w:rFonts w:hint="eastAsia" w:ascii="宋体" w:hAnsi="宋体" w:cs="宋体"/>
          <w:color w:val="000000"/>
          <w:sz w:val="24"/>
          <w:lang w:val="zh-CN" w:eastAsia="zh-TW"/>
        </w:rPr>
        <w:t>除非磋商文件另有规定或说明，响应文件一律不予退还。</w:t>
      </w:r>
    </w:p>
    <w:p>
      <w:pPr>
        <w:pStyle w:val="4"/>
        <w:numPr>
          <w:ilvl w:val="0"/>
          <w:numId w:val="7"/>
        </w:numPr>
        <w:ind w:left="6" w:hanging="6"/>
        <w:rPr>
          <w:color w:val="000000"/>
          <w:sz w:val="28"/>
          <w:szCs w:val="28"/>
          <w:lang w:val="zh-CN"/>
        </w:rPr>
      </w:pPr>
      <w:bookmarkStart w:id="186" w:name="_Toc19516"/>
      <w:bookmarkStart w:id="187" w:name="_Toc18470"/>
      <w:bookmarkStart w:id="188" w:name="_Toc19097"/>
      <w:bookmarkStart w:id="189" w:name="_Toc18542"/>
      <w:bookmarkStart w:id="190" w:name="_Toc19245"/>
      <w:bookmarkStart w:id="191" w:name="_Toc5147"/>
      <w:bookmarkStart w:id="192" w:name="_Toc22688"/>
      <w:bookmarkStart w:id="193" w:name="_Toc86851468"/>
      <w:r>
        <w:rPr>
          <w:rFonts w:hint="eastAsia"/>
          <w:color w:val="000000"/>
          <w:sz w:val="28"/>
          <w:szCs w:val="28"/>
          <w:lang w:val="zh-CN"/>
        </w:rPr>
        <w:t>磋商</w:t>
      </w:r>
      <w:bookmarkEnd w:id="186"/>
      <w:bookmarkEnd w:id="187"/>
      <w:bookmarkEnd w:id="188"/>
      <w:bookmarkEnd w:id="189"/>
      <w:bookmarkEnd w:id="190"/>
      <w:bookmarkEnd w:id="191"/>
      <w:bookmarkEnd w:id="192"/>
      <w:bookmarkEnd w:id="193"/>
    </w:p>
    <w:p>
      <w:pPr>
        <w:numPr>
          <w:ilvl w:val="1"/>
          <w:numId w:val="29"/>
        </w:numPr>
        <w:tabs>
          <w:tab w:val="left" w:pos="1200"/>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采购代理机构按</w:t>
      </w:r>
      <w:r>
        <w:rPr>
          <w:rFonts w:hint="eastAsia" w:ascii="黑体" w:hAnsi="黑体" w:eastAsia="黑体"/>
          <w:b/>
          <w:bCs/>
          <w:color w:val="000000"/>
          <w:sz w:val="24"/>
          <w:lang w:val="zh-CN" w:eastAsia="zh-TW"/>
        </w:rPr>
        <w:t>竞争性磋商</w:t>
      </w:r>
      <w:r>
        <w:rPr>
          <w:rFonts w:hint="eastAsia" w:ascii="黑体" w:hAnsi="黑体" w:eastAsia="黑体"/>
          <w:b/>
          <w:bCs/>
          <w:color w:val="000000"/>
          <w:sz w:val="24"/>
          <w:lang w:val="zh-CN"/>
        </w:rPr>
        <w:t>公告</w:t>
      </w:r>
      <w:r>
        <w:rPr>
          <w:rFonts w:hint="eastAsia" w:ascii="宋体" w:hAnsi="宋体" w:cs="宋体"/>
          <w:color w:val="000000"/>
          <w:sz w:val="24"/>
          <w:lang w:val="zh-CN" w:eastAsia="zh-TW"/>
        </w:rPr>
        <w:t>中规定的日期、时间和地点组织磋商会议。磋商时邀请所有报价供应商代表参加。报价供应商法定代表人或其授权代表必须持本人身份证准时参加磋商会，并签到证明其出席磋商会议，否则视为该报价供应商自动退出报价。</w:t>
      </w:r>
    </w:p>
    <w:p>
      <w:pPr>
        <w:numPr>
          <w:ilvl w:val="1"/>
          <w:numId w:val="29"/>
        </w:numPr>
        <w:tabs>
          <w:tab w:val="left" w:pos="1200"/>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磋商小组邀请所有供应商参加磋商，以随机抽签的形式确定报价供应商磋商排序。</w:t>
      </w:r>
    </w:p>
    <w:p>
      <w:pPr>
        <w:numPr>
          <w:ilvl w:val="1"/>
          <w:numId w:val="29"/>
        </w:numPr>
        <w:tabs>
          <w:tab w:val="left" w:pos="1200"/>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磋商小组与报价供应商应围绕资格条件、技术、商务、合同条款等内容分别进行一轮或多轮磋商。在磋商过程中，磋商小组应当严格遵循保密原则，未经报价供应商同意不得向任何人透露当事人技术、价格和其他重要信息。本项目如无特殊情况，磋商小组要求报价供应商进行第二轮报价，磋商后的第二次报价即为最后报价。</w:t>
      </w:r>
    </w:p>
    <w:p>
      <w:pPr>
        <w:numPr>
          <w:ilvl w:val="1"/>
          <w:numId w:val="29"/>
        </w:numPr>
        <w:tabs>
          <w:tab w:val="left" w:pos="1200"/>
        </w:tabs>
        <w:spacing w:line="360" w:lineRule="auto"/>
        <w:ind w:left="1191" w:hanging="624"/>
        <w:rPr>
          <w:rFonts w:ascii="宋体" w:cs="宋体"/>
          <w:bCs/>
          <w:color w:val="000000"/>
          <w:sz w:val="24"/>
          <w:lang w:val="zh-CN"/>
        </w:rPr>
      </w:pPr>
      <w:r>
        <w:rPr>
          <w:rFonts w:hint="eastAsia" w:ascii="宋体" w:hAnsi="宋体" w:cs="宋体"/>
          <w:color w:val="000000"/>
          <w:sz w:val="24"/>
          <w:lang w:val="zh-CN" w:eastAsia="zh-TW"/>
        </w:rPr>
        <w:t>磋商文件的修正：磋商小组调整或修改采购需求内容时，应取得磋商小组成员的一致同意，并以书面形式通知所有参加磋商的供应商。但任何形式的决定须以符合公平、公正原则和有利于项目的顺利实施为前提。</w:t>
      </w:r>
    </w:p>
    <w:p>
      <w:pPr>
        <w:pStyle w:val="4"/>
        <w:numPr>
          <w:ilvl w:val="0"/>
          <w:numId w:val="7"/>
        </w:numPr>
        <w:ind w:left="6" w:hanging="6"/>
        <w:rPr>
          <w:color w:val="000000"/>
          <w:sz w:val="28"/>
          <w:szCs w:val="28"/>
          <w:lang w:val="zh-CN"/>
        </w:rPr>
      </w:pPr>
      <w:bookmarkStart w:id="194" w:name="_Toc31826"/>
      <w:bookmarkStart w:id="195" w:name="_Toc26561"/>
      <w:bookmarkStart w:id="196" w:name="_Toc2550"/>
      <w:bookmarkStart w:id="197" w:name="_Toc21267"/>
      <w:bookmarkStart w:id="198" w:name="_Toc6651"/>
      <w:bookmarkStart w:id="199" w:name="_Toc23191"/>
      <w:bookmarkStart w:id="200" w:name="_Toc16453"/>
      <w:bookmarkStart w:id="201" w:name="_Toc86851469"/>
      <w:r>
        <w:rPr>
          <w:rFonts w:hint="eastAsia"/>
          <w:color w:val="000000"/>
          <w:sz w:val="28"/>
          <w:szCs w:val="28"/>
          <w:lang w:val="zh-CN"/>
        </w:rPr>
        <w:t>评</w:t>
      </w:r>
      <w:bookmarkEnd w:id="194"/>
      <w:r>
        <w:rPr>
          <w:rFonts w:hint="eastAsia"/>
          <w:color w:val="000000"/>
          <w:sz w:val="28"/>
          <w:szCs w:val="28"/>
          <w:lang w:val="zh-CN"/>
        </w:rPr>
        <w:t>审</w:t>
      </w:r>
      <w:bookmarkEnd w:id="195"/>
      <w:bookmarkEnd w:id="196"/>
      <w:bookmarkEnd w:id="197"/>
      <w:bookmarkEnd w:id="198"/>
      <w:bookmarkEnd w:id="199"/>
      <w:bookmarkEnd w:id="200"/>
      <w:bookmarkEnd w:id="201"/>
    </w:p>
    <w:p>
      <w:pPr>
        <w:numPr>
          <w:ilvl w:val="1"/>
          <w:numId w:val="30"/>
        </w:numPr>
        <w:tabs>
          <w:tab w:val="left" w:pos="1220"/>
        </w:tabs>
        <w:spacing w:line="360" w:lineRule="auto"/>
        <w:ind w:left="1191" w:hanging="624"/>
        <w:rPr>
          <w:rFonts w:ascii="宋体" w:cs="宋体"/>
          <w:b/>
          <w:bCs/>
          <w:color w:val="000000"/>
          <w:sz w:val="24"/>
          <w:lang w:val="zh-CN"/>
        </w:rPr>
      </w:pPr>
      <w:r>
        <w:rPr>
          <w:rFonts w:hint="eastAsia" w:ascii="宋体" w:hAnsi="宋体" w:cs="宋体"/>
          <w:b/>
          <w:bCs/>
          <w:color w:val="000000"/>
          <w:sz w:val="24"/>
          <w:lang w:val="zh-CN"/>
        </w:rPr>
        <w:t>磋商小组</w:t>
      </w:r>
    </w:p>
    <w:p>
      <w:pPr>
        <w:numPr>
          <w:ilvl w:val="2"/>
          <w:numId w:val="31"/>
        </w:numPr>
        <w:tabs>
          <w:tab w:val="left" w:pos="907"/>
          <w:tab w:val="left" w:pos="1300"/>
        </w:tabs>
        <w:spacing w:line="360" w:lineRule="auto"/>
        <w:ind w:left="1191" w:hanging="624"/>
        <w:rPr>
          <w:rFonts w:ascii="宋体" w:cs="宋体"/>
          <w:color w:val="000000"/>
          <w:sz w:val="24"/>
          <w:lang w:val="zh-CN"/>
        </w:rPr>
      </w:pPr>
      <w:r>
        <w:rPr>
          <w:rFonts w:hint="eastAsia" w:ascii="宋体" w:hAnsi="宋体" w:cs="宋体"/>
          <w:color w:val="000000"/>
          <w:sz w:val="24"/>
          <w:lang w:val="zh-CN"/>
        </w:rPr>
        <w:t>本项目评审由依照政府采购法律、法规、规章、规范性文件规定组建的磋商小组负责。磋商小组成员由采购人代表和技术、经济等方面的专家组成。采购人代表人数、专家人数及专业构成按照</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的规定确定。</w:t>
      </w:r>
    </w:p>
    <w:p>
      <w:pPr>
        <w:numPr>
          <w:ilvl w:val="2"/>
          <w:numId w:val="31"/>
        </w:numPr>
        <w:tabs>
          <w:tab w:val="left" w:pos="907"/>
          <w:tab w:val="left" w:pos="1300"/>
        </w:tabs>
        <w:spacing w:line="360" w:lineRule="auto"/>
        <w:ind w:left="1191" w:hanging="624"/>
        <w:rPr>
          <w:rFonts w:ascii="宋体" w:cs="宋体"/>
          <w:color w:val="000000"/>
          <w:sz w:val="24"/>
          <w:lang w:val="zh-CN"/>
        </w:rPr>
      </w:pPr>
      <w:r>
        <w:rPr>
          <w:rFonts w:hint="eastAsia" w:ascii="宋体" w:hAnsi="宋体" w:cs="宋体"/>
          <w:color w:val="000000"/>
          <w:sz w:val="24"/>
          <w:lang w:val="zh-CN"/>
        </w:rPr>
        <w:t>磋商小组名单在评审结果确定前严格保密。评审专家有下列情形之一的，受到邀请应主动提出回避，采购当事人也可以要求该评审专家回避：</w:t>
      </w:r>
    </w:p>
    <w:p>
      <w:pPr>
        <w:numPr>
          <w:ilvl w:val="0"/>
          <w:numId w:val="32"/>
        </w:numPr>
        <w:tabs>
          <w:tab w:val="left" w:pos="851"/>
          <w:tab w:val="left" w:pos="993"/>
          <w:tab w:val="left" w:pos="1134"/>
        </w:tabs>
        <w:spacing w:line="360" w:lineRule="auto"/>
        <w:ind w:left="1191" w:hanging="624"/>
        <w:rPr>
          <w:rFonts w:ascii="宋体" w:cs="宋体"/>
          <w:color w:val="000000"/>
          <w:sz w:val="24"/>
        </w:rPr>
      </w:pPr>
      <w:r>
        <w:rPr>
          <w:rFonts w:hint="eastAsia" w:ascii="宋体" w:hAnsi="宋体" w:cs="宋体"/>
          <w:color w:val="000000"/>
          <w:sz w:val="24"/>
        </w:rPr>
        <w:t>三年内曾在参加该采购项目供应商中任职或担任顾问的；</w:t>
      </w:r>
    </w:p>
    <w:p>
      <w:pPr>
        <w:numPr>
          <w:ilvl w:val="0"/>
          <w:numId w:val="32"/>
        </w:numPr>
        <w:tabs>
          <w:tab w:val="left" w:pos="851"/>
          <w:tab w:val="left" w:pos="993"/>
          <w:tab w:val="left" w:pos="1134"/>
        </w:tabs>
        <w:spacing w:line="360" w:lineRule="auto"/>
        <w:ind w:left="1191" w:hanging="624"/>
        <w:rPr>
          <w:rFonts w:ascii="宋体" w:cs="宋体"/>
          <w:color w:val="000000"/>
          <w:sz w:val="24"/>
        </w:rPr>
      </w:pPr>
      <w:r>
        <w:rPr>
          <w:rFonts w:hint="eastAsia" w:ascii="宋体" w:hAnsi="宋体" w:cs="宋体"/>
          <w:color w:val="000000"/>
          <w:sz w:val="24"/>
        </w:rPr>
        <w:t>配偶或直系亲属在参加该采购项目的供应商中任职或担任顾问的；</w:t>
      </w:r>
    </w:p>
    <w:p>
      <w:pPr>
        <w:numPr>
          <w:ilvl w:val="0"/>
          <w:numId w:val="32"/>
        </w:numPr>
        <w:tabs>
          <w:tab w:val="left" w:pos="851"/>
          <w:tab w:val="left" w:pos="993"/>
          <w:tab w:val="left" w:pos="1134"/>
        </w:tabs>
        <w:spacing w:line="360" w:lineRule="auto"/>
        <w:ind w:left="1191" w:hanging="624"/>
        <w:rPr>
          <w:rFonts w:ascii="宋体" w:cs="宋体"/>
          <w:color w:val="000000"/>
          <w:sz w:val="24"/>
        </w:rPr>
      </w:pPr>
      <w:r>
        <w:rPr>
          <w:rFonts w:hint="eastAsia" w:ascii="宋体" w:hAnsi="宋体" w:cs="宋体"/>
          <w:color w:val="000000"/>
          <w:sz w:val="24"/>
        </w:rPr>
        <w:t>与参加该采购项目供应商发生过法律纠纷的；</w:t>
      </w:r>
    </w:p>
    <w:p>
      <w:pPr>
        <w:numPr>
          <w:ilvl w:val="0"/>
          <w:numId w:val="32"/>
        </w:numPr>
        <w:tabs>
          <w:tab w:val="left" w:pos="851"/>
          <w:tab w:val="left" w:pos="993"/>
          <w:tab w:val="left" w:pos="1134"/>
        </w:tabs>
        <w:spacing w:line="360" w:lineRule="auto"/>
        <w:ind w:left="1191" w:hanging="624"/>
        <w:rPr>
          <w:rFonts w:ascii="宋体" w:cs="宋体"/>
          <w:color w:val="000000"/>
          <w:sz w:val="24"/>
        </w:rPr>
      </w:pPr>
      <w:r>
        <w:rPr>
          <w:rFonts w:hint="eastAsia" w:ascii="宋体" w:hAnsi="宋体" w:cs="宋体"/>
          <w:color w:val="000000"/>
          <w:sz w:val="24"/>
        </w:rPr>
        <w:t>磋商小组中，同一任职单位评审专家超过二名的；</w:t>
      </w:r>
    </w:p>
    <w:p>
      <w:pPr>
        <w:numPr>
          <w:ilvl w:val="0"/>
          <w:numId w:val="32"/>
        </w:numPr>
        <w:tabs>
          <w:tab w:val="left" w:pos="851"/>
          <w:tab w:val="left" w:pos="993"/>
          <w:tab w:val="left" w:pos="1134"/>
        </w:tabs>
        <w:spacing w:line="360" w:lineRule="auto"/>
        <w:ind w:left="1191" w:hanging="624"/>
        <w:rPr>
          <w:rFonts w:ascii="宋体" w:cs="宋体"/>
          <w:color w:val="000000"/>
          <w:sz w:val="24"/>
        </w:rPr>
      </w:pPr>
      <w:r>
        <w:rPr>
          <w:rFonts w:hint="eastAsia" w:ascii="宋体" w:hAnsi="宋体" w:cs="宋体"/>
          <w:color w:val="000000"/>
          <w:sz w:val="24"/>
        </w:rPr>
        <w:t>任职单位与采购人或参与该采购项目供应商存在行政隶属关系的；</w:t>
      </w:r>
    </w:p>
    <w:p>
      <w:pPr>
        <w:numPr>
          <w:ilvl w:val="0"/>
          <w:numId w:val="32"/>
        </w:numPr>
        <w:tabs>
          <w:tab w:val="left" w:pos="851"/>
          <w:tab w:val="left" w:pos="993"/>
          <w:tab w:val="left" w:pos="1134"/>
        </w:tabs>
        <w:spacing w:line="360" w:lineRule="auto"/>
        <w:ind w:left="1191" w:hanging="624"/>
        <w:rPr>
          <w:rFonts w:ascii="宋体" w:cs="宋体"/>
          <w:color w:val="000000"/>
          <w:sz w:val="24"/>
        </w:rPr>
      </w:pPr>
      <w:r>
        <w:rPr>
          <w:rFonts w:hint="eastAsia" w:ascii="宋体" w:hAnsi="宋体" w:cs="宋体"/>
          <w:color w:val="000000"/>
          <w:sz w:val="24"/>
        </w:rPr>
        <w:t>参与磋商文件论证或进口产品论证的；</w:t>
      </w:r>
    </w:p>
    <w:p>
      <w:pPr>
        <w:numPr>
          <w:ilvl w:val="0"/>
          <w:numId w:val="32"/>
        </w:numPr>
        <w:tabs>
          <w:tab w:val="left" w:pos="851"/>
          <w:tab w:val="left" w:pos="993"/>
          <w:tab w:val="left" w:pos="1134"/>
        </w:tabs>
        <w:spacing w:line="360" w:lineRule="auto"/>
        <w:ind w:left="1191" w:hanging="624"/>
        <w:rPr>
          <w:rFonts w:ascii="宋体" w:cs="宋体"/>
          <w:color w:val="000000"/>
          <w:sz w:val="24"/>
        </w:rPr>
      </w:pPr>
      <w:r>
        <w:rPr>
          <w:rFonts w:hint="eastAsia" w:ascii="宋体" w:hAnsi="宋体" w:cs="宋体"/>
          <w:color w:val="000000"/>
          <w:sz w:val="24"/>
        </w:rPr>
        <w:t>法律、法规、规章规定应当回避以及其他可能影响公正评审的。</w:t>
      </w:r>
    </w:p>
    <w:p>
      <w:pPr>
        <w:numPr>
          <w:ilvl w:val="2"/>
          <w:numId w:val="31"/>
        </w:numPr>
        <w:tabs>
          <w:tab w:val="left" w:pos="907"/>
          <w:tab w:val="left" w:pos="1300"/>
        </w:tabs>
        <w:spacing w:line="360" w:lineRule="auto"/>
        <w:ind w:left="1191" w:hanging="624"/>
        <w:rPr>
          <w:rFonts w:ascii="宋体" w:cs="宋体"/>
          <w:color w:val="000000"/>
          <w:sz w:val="24"/>
          <w:lang w:val="zh-CN"/>
        </w:rPr>
      </w:pPr>
      <w:r>
        <w:rPr>
          <w:rFonts w:hint="eastAsia" w:ascii="宋体" w:hAnsi="宋体" w:cs="宋体"/>
          <w:color w:val="000000"/>
          <w:sz w:val="24"/>
          <w:lang w:val="zh-CN"/>
        </w:rPr>
        <w:t>磋商小组将按照</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中确定的评标方法和本磋商文件第三章规定的评分体系与标准进行评审。</w:t>
      </w:r>
    </w:p>
    <w:p>
      <w:pPr>
        <w:numPr>
          <w:ilvl w:val="1"/>
          <w:numId w:val="30"/>
        </w:numPr>
        <w:tabs>
          <w:tab w:val="left" w:pos="1220"/>
        </w:tabs>
        <w:spacing w:line="360" w:lineRule="auto"/>
        <w:ind w:left="1191" w:hanging="624"/>
        <w:rPr>
          <w:rFonts w:ascii="宋体" w:cs="宋体"/>
          <w:color w:val="000000"/>
          <w:sz w:val="24"/>
          <w:lang w:val="zh-CN"/>
        </w:rPr>
      </w:pPr>
      <w:r>
        <w:rPr>
          <w:rFonts w:hint="eastAsia" w:ascii="宋体" w:hAnsi="宋体" w:cs="宋体"/>
          <w:b/>
          <w:bCs/>
          <w:color w:val="000000"/>
          <w:sz w:val="24"/>
          <w:lang w:val="zh-CN"/>
        </w:rPr>
        <w:t>评标</w:t>
      </w:r>
      <w:r>
        <w:rPr>
          <w:rFonts w:hint="eastAsia" w:ascii="宋体" w:hAnsi="宋体" w:cs="宋体"/>
          <w:color w:val="000000"/>
          <w:sz w:val="24"/>
          <w:lang w:val="zh-CN"/>
        </w:rPr>
        <w:t>细则：详见本磋商文件“第三章</w:t>
      </w:r>
      <w:r>
        <w:rPr>
          <w:rFonts w:ascii="宋体" w:hAnsi="宋体" w:cs="宋体"/>
          <w:color w:val="000000"/>
          <w:sz w:val="24"/>
        </w:rPr>
        <w:t xml:space="preserve"> </w:t>
      </w:r>
      <w:r>
        <w:rPr>
          <w:rFonts w:hint="eastAsia" w:ascii="宋体" w:hAnsi="宋体" w:cs="宋体"/>
          <w:color w:val="000000"/>
          <w:sz w:val="24"/>
          <w:lang w:val="zh-CN"/>
        </w:rPr>
        <w:t>评分体系与标准”。</w:t>
      </w:r>
    </w:p>
    <w:p>
      <w:pPr>
        <w:pStyle w:val="4"/>
        <w:numPr>
          <w:ilvl w:val="0"/>
          <w:numId w:val="7"/>
        </w:numPr>
        <w:ind w:left="6" w:hanging="6"/>
        <w:rPr>
          <w:color w:val="000000"/>
          <w:sz w:val="28"/>
          <w:szCs w:val="28"/>
          <w:lang w:val="zh-CN"/>
        </w:rPr>
      </w:pPr>
      <w:bookmarkStart w:id="202" w:name="_Toc24123"/>
      <w:bookmarkStart w:id="203" w:name="_Toc10244"/>
      <w:bookmarkStart w:id="204" w:name="_Toc3001"/>
      <w:bookmarkStart w:id="205" w:name="_Toc14991"/>
      <w:bookmarkStart w:id="206" w:name="_Toc19472"/>
      <w:bookmarkStart w:id="207" w:name="_Toc30548"/>
      <w:bookmarkStart w:id="208" w:name="_Toc17350"/>
      <w:bookmarkStart w:id="209" w:name="_Toc86851470"/>
      <w:r>
        <w:rPr>
          <w:rFonts w:hint="eastAsia"/>
          <w:color w:val="000000"/>
          <w:sz w:val="28"/>
          <w:szCs w:val="28"/>
          <w:lang w:val="zh-CN"/>
        </w:rPr>
        <w:t>定标原则和授标</w:t>
      </w:r>
      <w:bookmarkEnd w:id="202"/>
      <w:bookmarkEnd w:id="203"/>
      <w:bookmarkEnd w:id="204"/>
      <w:bookmarkEnd w:id="205"/>
      <w:bookmarkEnd w:id="206"/>
      <w:bookmarkEnd w:id="207"/>
      <w:bookmarkEnd w:id="208"/>
      <w:bookmarkEnd w:id="209"/>
    </w:p>
    <w:p>
      <w:pPr>
        <w:numPr>
          <w:ilvl w:val="1"/>
          <w:numId w:val="33"/>
        </w:numPr>
        <w:tabs>
          <w:tab w:val="left" w:pos="1220"/>
          <w:tab w:val="left" w:pos="1276"/>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磋商小组按照磋商文件确定的评标方法、步骤、标准，对响应文件进行评审，提出书面评标报告。</w:t>
      </w:r>
    </w:p>
    <w:p>
      <w:pPr>
        <w:numPr>
          <w:ilvl w:val="1"/>
          <w:numId w:val="33"/>
        </w:numPr>
        <w:tabs>
          <w:tab w:val="left" w:pos="1220"/>
          <w:tab w:val="left" w:pos="1276"/>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采用综合评分法的，按评审后报价供应商得分由高到低顺序排列。得分相同的，按最后报价由低到高顺序排列。得分且最后报价相同的，按技术指标优劣顺序排列。综合评分相同，且评标价和技术评分均相同的，名次由磋商小组</w:t>
      </w:r>
      <w:r>
        <w:rPr>
          <w:rFonts w:hint="eastAsia" w:ascii="宋体" w:hAnsi="宋体" w:cs="宋体"/>
          <w:color w:val="000000"/>
          <w:sz w:val="24"/>
          <w:lang w:val="zh-CN"/>
        </w:rPr>
        <w:t>投票</w:t>
      </w:r>
      <w:r>
        <w:rPr>
          <w:rFonts w:hint="eastAsia" w:ascii="宋体" w:hAnsi="宋体" w:cs="宋体"/>
          <w:color w:val="000000"/>
          <w:sz w:val="24"/>
          <w:lang w:val="zh-CN" w:eastAsia="zh-TW"/>
        </w:rPr>
        <w:t>决定。除报价供应商须知前附表另有规定，本项目推荐综合得分排名第一名的报价供应商为第一成交候选人，排名第二的报价供应商为第二成交候选人，排名第三的报价供应商为第三成交候选人。</w:t>
      </w:r>
    </w:p>
    <w:p>
      <w:pPr>
        <w:numPr>
          <w:ilvl w:val="1"/>
          <w:numId w:val="33"/>
        </w:numPr>
        <w:tabs>
          <w:tab w:val="left" w:pos="1220"/>
          <w:tab w:val="left" w:pos="1276"/>
        </w:tabs>
        <w:spacing w:line="360" w:lineRule="auto"/>
        <w:ind w:left="1191" w:hanging="624"/>
        <w:rPr>
          <w:rFonts w:hint="eastAsia" w:ascii="宋体" w:hAnsi="宋体" w:cs="宋体"/>
          <w:color w:val="000000"/>
          <w:sz w:val="24"/>
          <w:lang w:val="zh-CN" w:eastAsia="zh-TW"/>
        </w:rPr>
      </w:pPr>
      <w:r>
        <w:rPr>
          <w:rFonts w:hint="eastAsia" w:ascii="宋体" w:hAnsi="宋体" w:cs="宋体"/>
          <w:color w:val="000000"/>
          <w:sz w:val="24"/>
          <w:lang w:val="zh-CN" w:eastAsia="zh-TW"/>
        </w:rPr>
        <w:t>磋商小组提交评标报告和推荐成交意见报采购人确认，采购人在收到评标报告后的法定时间内，按照评标报告中推荐的成交候选人顺序确定成交人，也可以事先授权磋商小组直接确定成交人。确认后采购代理机构将在刊登本项目磋商公告的法定媒体上发布成交公告。不在成交名单之列者即为未成交人，采购代理机构不再以其他方式另行通知。</w:t>
      </w:r>
    </w:p>
    <w:p>
      <w:pPr>
        <w:numPr>
          <w:ilvl w:val="1"/>
          <w:numId w:val="33"/>
        </w:numPr>
        <w:tabs>
          <w:tab w:val="left" w:pos="1220"/>
          <w:tab w:val="left" w:pos="1276"/>
        </w:tabs>
        <w:spacing w:line="360" w:lineRule="auto"/>
        <w:ind w:left="1191" w:hanging="624"/>
        <w:rPr>
          <w:rFonts w:ascii="宋体" w:hAnsi="宋体" w:cs="宋体"/>
          <w:color w:val="000000"/>
          <w:sz w:val="24"/>
          <w:lang w:val="zh-CN" w:eastAsia="zh-TW"/>
        </w:rPr>
      </w:pPr>
      <w:r>
        <w:rPr>
          <w:rFonts w:hint="eastAsia" w:ascii="宋体" w:hAnsi="宋体" w:cs="宋体"/>
          <w:color w:val="000000"/>
          <w:sz w:val="24"/>
          <w:lang w:val="zh-CN" w:eastAsia="zh-TW"/>
        </w:rPr>
        <w:t>因不可抗力或自身原因不能履行政府采购合同、不按要求与采购人签订政府采购合同、成交人放弃成交、成交资格被依法确认无效的，应经采购人同级的财政监管部门批准后，采购人可以与排位在成交人之后第一位的成交候选人签订政府采购合同，也可重新组织政府采购活动。</w:t>
      </w:r>
    </w:p>
    <w:p>
      <w:pPr>
        <w:pStyle w:val="4"/>
        <w:numPr>
          <w:ilvl w:val="0"/>
          <w:numId w:val="7"/>
        </w:numPr>
        <w:ind w:left="6" w:hanging="6"/>
        <w:rPr>
          <w:color w:val="000000"/>
          <w:sz w:val="28"/>
          <w:szCs w:val="28"/>
          <w:lang w:val="zh-CN"/>
        </w:rPr>
      </w:pPr>
      <w:bookmarkStart w:id="210" w:name="_Toc19865"/>
      <w:bookmarkStart w:id="211" w:name="_Toc18935"/>
      <w:bookmarkStart w:id="212" w:name="_Toc12150"/>
      <w:bookmarkStart w:id="213" w:name="_Toc3715"/>
      <w:bookmarkStart w:id="214" w:name="_Toc18298"/>
      <w:bookmarkStart w:id="215" w:name="_Toc25634"/>
      <w:bookmarkStart w:id="216" w:name="_Toc86851471"/>
      <w:r>
        <w:rPr>
          <w:rFonts w:hint="eastAsia"/>
          <w:color w:val="000000"/>
          <w:sz w:val="28"/>
          <w:szCs w:val="28"/>
          <w:lang w:val="zh-CN"/>
        </w:rPr>
        <w:t>成交通知书</w:t>
      </w:r>
      <w:bookmarkEnd w:id="210"/>
      <w:bookmarkEnd w:id="211"/>
      <w:bookmarkEnd w:id="212"/>
      <w:bookmarkEnd w:id="213"/>
      <w:bookmarkEnd w:id="214"/>
      <w:bookmarkEnd w:id="215"/>
      <w:bookmarkEnd w:id="216"/>
    </w:p>
    <w:p>
      <w:pPr>
        <w:numPr>
          <w:ilvl w:val="1"/>
          <w:numId w:val="34"/>
        </w:numPr>
        <w:tabs>
          <w:tab w:val="left" w:pos="851"/>
          <w:tab w:val="left" w:pos="1220"/>
          <w:tab w:val="left" w:pos="1276"/>
          <w:tab w:val="clear" w:pos="907"/>
        </w:tabs>
        <w:spacing w:line="360" w:lineRule="auto"/>
        <w:ind w:left="1191" w:hanging="624"/>
        <w:rPr>
          <w:rFonts w:hint="eastAsia" w:ascii="宋体" w:hAnsi="宋体" w:cs="宋体"/>
          <w:color w:val="000000"/>
          <w:sz w:val="24"/>
          <w:lang w:val="zh-CN"/>
        </w:rPr>
      </w:pPr>
      <w:r>
        <w:rPr>
          <w:rFonts w:hint="eastAsia" w:ascii="宋体" w:hAnsi="宋体" w:cs="宋体"/>
          <w:color w:val="000000"/>
          <w:sz w:val="24"/>
          <w:lang w:val="zh-CN"/>
        </w:rPr>
        <w:t>成交人确定后，采购代理机构将在法定媒体上发布成交公告，同时向成交人发出《成交通知书》。《成交通知书》对成交人和采购人具有同等法律效力。</w:t>
      </w:r>
    </w:p>
    <w:p>
      <w:pPr>
        <w:numPr>
          <w:ilvl w:val="1"/>
          <w:numId w:val="34"/>
        </w:numPr>
        <w:tabs>
          <w:tab w:val="left" w:pos="1220"/>
          <w:tab w:val="left" w:pos="1276"/>
        </w:tabs>
        <w:spacing w:line="360" w:lineRule="auto"/>
        <w:ind w:left="1191" w:hanging="624"/>
        <w:rPr>
          <w:rFonts w:ascii="宋体" w:cs="宋体"/>
          <w:color w:val="000000"/>
          <w:sz w:val="24"/>
          <w:lang w:val="zh-CN"/>
        </w:rPr>
      </w:pPr>
      <w:r>
        <w:rPr>
          <w:rFonts w:hint="eastAsia" w:ascii="宋体" w:hAnsi="宋体" w:cs="宋体"/>
          <w:color w:val="000000"/>
          <w:sz w:val="24"/>
          <w:lang w:val="zh-CN"/>
        </w:rPr>
        <w:t>《成交通知书》将作为授予合同资格的合法依据，是合同的一个组成部分。</w:t>
      </w:r>
    </w:p>
    <w:p>
      <w:pPr>
        <w:pStyle w:val="4"/>
        <w:numPr>
          <w:ilvl w:val="0"/>
          <w:numId w:val="7"/>
        </w:numPr>
        <w:ind w:left="6" w:hanging="6"/>
        <w:rPr>
          <w:color w:val="000000"/>
          <w:sz w:val="28"/>
          <w:szCs w:val="28"/>
          <w:lang w:val="zh-CN"/>
        </w:rPr>
      </w:pPr>
      <w:bookmarkStart w:id="217" w:name="_Toc20364"/>
      <w:bookmarkStart w:id="218" w:name="_Toc9137"/>
      <w:bookmarkStart w:id="219" w:name="_Toc3120"/>
      <w:bookmarkStart w:id="220" w:name="_Toc23436"/>
      <w:bookmarkStart w:id="221" w:name="_Toc29735"/>
      <w:bookmarkStart w:id="222" w:name="_Toc20051"/>
      <w:bookmarkStart w:id="223" w:name="_Toc24007"/>
      <w:bookmarkStart w:id="224" w:name="_Toc86851472"/>
      <w:r>
        <w:rPr>
          <w:rFonts w:hint="eastAsia"/>
          <w:color w:val="000000"/>
          <w:sz w:val="28"/>
          <w:szCs w:val="28"/>
          <w:lang w:val="zh-CN"/>
        </w:rPr>
        <w:t>询问</w:t>
      </w:r>
      <w:bookmarkEnd w:id="217"/>
      <w:bookmarkEnd w:id="218"/>
      <w:bookmarkEnd w:id="219"/>
      <w:bookmarkEnd w:id="220"/>
      <w:bookmarkEnd w:id="221"/>
      <w:bookmarkEnd w:id="222"/>
      <w:bookmarkEnd w:id="223"/>
      <w:bookmarkEnd w:id="224"/>
    </w:p>
    <w:p>
      <w:pPr>
        <w:numPr>
          <w:ilvl w:val="1"/>
          <w:numId w:val="35"/>
        </w:numPr>
        <w:tabs>
          <w:tab w:val="left" w:pos="1220"/>
        </w:tabs>
        <w:spacing w:line="360" w:lineRule="auto"/>
        <w:ind w:left="1191" w:hanging="624"/>
        <w:rPr>
          <w:rFonts w:ascii="宋体" w:cs="宋体"/>
          <w:color w:val="000000"/>
          <w:sz w:val="24"/>
        </w:rPr>
      </w:pPr>
      <w:r>
        <w:rPr>
          <w:rFonts w:hint="eastAsia" w:ascii="宋体" w:hAnsi="宋体" w:cs="宋体"/>
          <w:color w:val="000000"/>
          <w:sz w:val="24"/>
        </w:rPr>
        <w:t>报价供应商对招标活动事项（磋商文件、招标过程和成交结果）有疑问的，可以向采购代理机构或采购人提出询问，采购代理机构或采购人在</w:t>
      </w:r>
      <w:r>
        <w:rPr>
          <w:rFonts w:ascii="宋体" w:hAnsi="宋体" w:cs="宋体"/>
          <w:color w:val="000000"/>
          <w:sz w:val="24"/>
        </w:rPr>
        <w:t>3</w:t>
      </w:r>
      <w:r>
        <w:rPr>
          <w:rFonts w:hint="eastAsia" w:ascii="宋体" w:hAnsi="宋体" w:cs="宋体"/>
          <w:color w:val="000000"/>
          <w:sz w:val="24"/>
        </w:rPr>
        <w:t>个工作日内作出答复，但答复的内容不涉及商业秘密。询问可以口头方式提出，也可以书面方式提出，书面方式包括但不限于传真、信函、电子邮件。</w:t>
      </w:r>
    </w:p>
    <w:p>
      <w:pPr>
        <w:pStyle w:val="4"/>
        <w:numPr>
          <w:ilvl w:val="0"/>
          <w:numId w:val="7"/>
        </w:numPr>
        <w:ind w:left="6" w:hanging="6"/>
        <w:rPr>
          <w:color w:val="000000"/>
          <w:sz w:val="28"/>
          <w:szCs w:val="28"/>
          <w:lang w:val="zh-CN"/>
        </w:rPr>
      </w:pPr>
      <w:bookmarkStart w:id="225" w:name="_Toc19326"/>
      <w:bookmarkStart w:id="226" w:name="_Toc20067"/>
      <w:bookmarkStart w:id="227" w:name="_Toc26928"/>
      <w:bookmarkStart w:id="228" w:name="_Toc9380"/>
      <w:bookmarkStart w:id="229" w:name="_Toc29084"/>
      <w:bookmarkStart w:id="230" w:name="_Toc23362"/>
      <w:bookmarkStart w:id="231" w:name="_Toc29437"/>
      <w:bookmarkStart w:id="232" w:name="_Toc20882"/>
      <w:bookmarkStart w:id="233" w:name="_Toc86851473"/>
      <w:r>
        <w:rPr>
          <w:rFonts w:hint="eastAsia"/>
          <w:color w:val="000000"/>
          <w:sz w:val="28"/>
          <w:szCs w:val="28"/>
          <w:lang w:val="zh-CN"/>
        </w:rPr>
        <w:t>质疑</w:t>
      </w:r>
      <w:bookmarkEnd w:id="225"/>
      <w:bookmarkEnd w:id="226"/>
      <w:bookmarkEnd w:id="227"/>
      <w:bookmarkEnd w:id="228"/>
      <w:bookmarkEnd w:id="229"/>
      <w:bookmarkEnd w:id="230"/>
      <w:bookmarkEnd w:id="231"/>
      <w:bookmarkEnd w:id="232"/>
      <w:bookmarkEnd w:id="233"/>
    </w:p>
    <w:p>
      <w:pPr>
        <w:numPr>
          <w:ilvl w:val="1"/>
          <w:numId w:val="36"/>
        </w:numPr>
        <w:tabs>
          <w:tab w:val="left" w:pos="1220"/>
        </w:tabs>
        <w:spacing w:line="360" w:lineRule="auto"/>
        <w:ind w:left="1191" w:hanging="624"/>
        <w:rPr>
          <w:rFonts w:ascii="宋体" w:cs="宋体"/>
          <w:color w:val="000000"/>
          <w:sz w:val="24"/>
        </w:rPr>
      </w:pPr>
      <w:r>
        <w:rPr>
          <w:rFonts w:hint="eastAsia" w:ascii="宋体" w:hAnsi="宋体" w:cs="宋体"/>
          <w:color w:val="000000"/>
          <w:sz w:val="24"/>
        </w:rPr>
        <w:t>报价供应商认为磋商文件的内容损害其权益的，可以在收到磋商文件之日或者磋商文件公告期限届满之日起</w:t>
      </w:r>
      <w:r>
        <w:rPr>
          <w:rFonts w:ascii="宋体" w:hAnsi="宋体" w:cs="宋体"/>
          <w:color w:val="000000"/>
          <w:sz w:val="24"/>
        </w:rPr>
        <w:t>7</w:t>
      </w:r>
      <w:r>
        <w:rPr>
          <w:rFonts w:hint="eastAsia" w:ascii="宋体" w:hAnsi="宋体" w:cs="宋体"/>
          <w:color w:val="000000"/>
          <w:sz w:val="24"/>
        </w:rPr>
        <w:t>个工作日内以书面形式向采购人或采购代理机构提出质疑。采购人或采购代理机构应在收到报价供应商书面质疑后</w:t>
      </w:r>
      <w:r>
        <w:rPr>
          <w:rFonts w:ascii="宋体" w:hAnsi="宋体" w:cs="宋体"/>
          <w:color w:val="000000"/>
          <w:sz w:val="24"/>
        </w:rPr>
        <w:t>7</w:t>
      </w:r>
      <w:r>
        <w:rPr>
          <w:rFonts w:hint="eastAsia" w:ascii="宋体" w:hAnsi="宋体" w:cs="宋体"/>
          <w:color w:val="000000"/>
          <w:sz w:val="24"/>
        </w:rPr>
        <w:t>个工作日内，对质疑内容作出答复。</w:t>
      </w:r>
    </w:p>
    <w:p>
      <w:pPr>
        <w:spacing w:line="360" w:lineRule="auto"/>
        <w:ind w:left="1253" w:leftChars="542" w:hanging="115" w:hangingChars="48"/>
        <w:rPr>
          <w:rFonts w:ascii="宋体" w:cs="宋体"/>
          <w:color w:val="000000"/>
          <w:sz w:val="24"/>
        </w:rPr>
      </w:pPr>
      <w:r>
        <w:rPr>
          <w:rFonts w:hint="eastAsia" w:ascii="宋体" w:hAnsi="宋体" w:cs="宋体"/>
          <w:color w:val="000000"/>
          <w:sz w:val="24"/>
        </w:rPr>
        <w:t>采购代理机构：广东重工建设监理有限公司</w:t>
      </w:r>
      <w:r>
        <w:rPr>
          <w:rFonts w:ascii="宋体" w:hAnsi="宋体" w:cs="宋体"/>
          <w:color w:val="000000"/>
          <w:sz w:val="24"/>
        </w:rPr>
        <w:t xml:space="preserve">   </w:t>
      </w:r>
    </w:p>
    <w:p>
      <w:pPr>
        <w:spacing w:line="360" w:lineRule="auto"/>
        <w:ind w:left="1253" w:leftChars="542" w:hanging="115" w:hangingChars="48"/>
        <w:rPr>
          <w:rFonts w:ascii="宋体" w:cs="宋体"/>
          <w:color w:val="000000"/>
          <w:sz w:val="24"/>
        </w:rPr>
      </w:pPr>
      <w:r>
        <w:rPr>
          <w:rFonts w:hint="eastAsia" w:ascii="宋体" w:hAnsi="宋体" w:cs="宋体"/>
          <w:color w:val="000000"/>
          <w:sz w:val="24"/>
        </w:rPr>
        <w:t>地址：广州市黄埔区科学城揽月路101号保利中科广场A座10层</w:t>
      </w:r>
      <w:r>
        <w:rPr>
          <w:rFonts w:ascii="宋体" w:hAnsi="宋体" w:cs="宋体"/>
          <w:color w:val="000000"/>
          <w:sz w:val="24"/>
        </w:rPr>
        <w:t xml:space="preserve">    </w:t>
      </w:r>
    </w:p>
    <w:p>
      <w:pPr>
        <w:spacing w:line="360" w:lineRule="auto"/>
        <w:ind w:left="1253" w:leftChars="542" w:hanging="115" w:hangingChars="48"/>
        <w:rPr>
          <w:rFonts w:ascii="宋体" w:cs="宋体"/>
          <w:color w:val="000000"/>
          <w:sz w:val="24"/>
        </w:rPr>
      </w:pPr>
      <w:r>
        <w:rPr>
          <w:rFonts w:hint="eastAsia" w:ascii="宋体" w:hAnsi="宋体" w:cs="宋体"/>
          <w:color w:val="000000"/>
          <w:sz w:val="24"/>
        </w:rPr>
        <w:t>联系人：柯小姐</w:t>
      </w:r>
    </w:p>
    <w:p>
      <w:pPr>
        <w:spacing w:line="360" w:lineRule="auto"/>
        <w:ind w:left="1253" w:leftChars="542" w:hanging="115" w:hangingChars="48"/>
        <w:rPr>
          <w:rFonts w:ascii="宋体" w:cs="宋体"/>
          <w:color w:val="000000"/>
          <w:sz w:val="24"/>
        </w:rPr>
      </w:pPr>
      <w:r>
        <w:rPr>
          <w:rFonts w:hint="eastAsia" w:ascii="宋体" w:hAnsi="宋体" w:cs="宋体"/>
          <w:color w:val="000000"/>
          <w:sz w:val="24"/>
        </w:rPr>
        <w:t>电话：</w:t>
      </w:r>
      <w:r>
        <w:rPr>
          <w:rFonts w:ascii="宋体" w:hAnsi="宋体" w:cs="宋体"/>
          <w:color w:val="000000"/>
          <w:sz w:val="24"/>
        </w:rPr>
        <w:t xml:space="preserve">020-28129688-90848  </w:t>
      </w:r>
    </w:p>
    <w:p>
      <w:pPr>
        <w:spacing w:line="360" w:lineRule="auto"/>
        <w:ind w:left="1253" w:leftChars="542" w:hanging="115" w:hangingChars="48"/>
        <w:rPr>
          <w:rFonts w:ascii="宋体" w:hAnsi="宋体" w:cs="宋体"/>
          <w:color w:val="000000"/>
          <w:sz w:val="24"/>
        </w:rPr>
      </w:pPr>
      <w:r>
        <w:rPr>
          <w:rFonts w:hint="eastAsia" w:ascii="宋体" w:hAnsi="宋体" w:cs="宋体"/>
          <w:color w:val="000000"/>
          <w:sz w:val="24"/>
        </w:rPr>
        <w:t>传真：</w:t>
      </w:r>
      <w:r>
        <w:rPr>
          <w:rFonts w:ascii="宋体" w:hAnsi="宋体" w:cs="宋体"/>
          <w:color w:val="000000"/>
          <w:sz w:val="24"/>
        </w:rPr>
        <w:t>020-</w:t>
      </w:r>
      <w:r>
        <w:rPr>
          <w:rFonts w:hint="eastAsia" w:ascii="宋体" w:hAnsi="宋体" w:cs="宋体"/>
          <w:color w:val="000000"/>
          <w:sz w:val="24"/>
        </w:rPr>
        <w:t>83359467</w:t>
      </w:r>
      <w:r>
        <w:rPr>
          <w:rFonts w:ascii="宋体" w:hAnsi="宋体" w:cs="宋体"/>
          <w:color w:val="000000"/>
          <w:sz w:val="24"/>
        </w:rPr>
        <w:t xml:space="preserve">   </w:t>
      </w:r>
    </w:p>
    <w:p>
      <w:pPr>
        <w:numPr>
          <w:ilvl w:val="1"/>
          <w:numId w:val="36"/>
        </w:numPr>
        <w:tabs>
          <w:tab w:val="left" w:pos="1220"/>
        </w:tabs>
        <w:spacing w:line="360" w:lineRule="auto"/>
        <w:ind w:left="1191" w:hanging="624"/>
        <w:rPr>
          <w:rFonts w:hint="eastAsia" w:ascii="宋体" w:hAnsi="宋体" w:cs="宋体"/>
          <w:color w:val="000000"/>
          <w:sz w:val="24"/>
        </w:rPr>
      </w:pPr>
      <w:r>
        <w:rPr>
          <w:rFonts w:hint="eastAsia" w:ascii="宋体" w:hAnsi="宋体" w:cs="宋体"/>
          <w:color w:val="000000"/>
          <w:sz w:val="24"/>
        </w:rPr>
        <w:t>报价供应商认为成交结果使自己的权益受到损害的，可以在成交结果公告期限届满之日起7个工作日内以书面形式向采购人或采购代理机构提出质疑，逾期质疑无效。</w:t>
      </w:r>
    </w:p>
    <w:p>
      <w:pPr>
        <w:numPr>
          <w:ilvl w:val="1"/>
          <w:numId w:val="36"/>
        </w:numPr>
        <w:tabs>
          <w:tab w:val="left" w:pos="1220"/>
        </w:tabs>
        <w:spacing w:line="360" w:lineRule="auto"/>
        <w:ind w:left="1191" w:hanging="624"/>
        <w:rPr>
          <w:rFonts w:ascii="宋体" w:cs="宋体"/>
          <w:color w:val="000000"/>
          <w:sz w:val="24"/>
        </w:rPr>
      </w:pPr>
      <w:r>
        <w:rPr>
          <w:rFonts w:hint="eastAsia" w:ascii="宋体" w:hAnsi="宋体" w:cs="宋体"/>
          <w:color w:val="000000"/>
          <w:sz w:val="24"/>
        </w:rPr>
        <w:t>质疑函应当署名。质疑供应商为自然人的，应当由本人签字；质疑供应商为法人或者其他组织的，应当由法定代表人或者主要负责人签字并加盖公章。质疑内容不得含有虚伪、恶意成份。依照“谁主张、谁举证”的原则，提出质疑者必须同时提交相关确凿的证据材料和注明证据的确切来源，证据来源必须合法。采购代理机构有权将质疑函转发给质疑事项相关关联方，请其作出解释说明，并对质疑内容的真实性承担责任。对捏造事实、滥用维权扰乱采购秩序的恶意质疑者，将上报政府采购监督管理部门依法处理。</w:t>
      </w:r>
      <w:r>
        <w:rPr>
          <w:rFonts w:ascii="宋体" w:hAnsi="宋体" w:cs="宋体"/>
          <w:color w:val="000000"/>
          <w:sz w:val="24"/>
        </w:rPr>
        <w:t xml:space="preserve">  </w:t>
      </w:r>
    </w:p>
    <w:p>
      <w:pPr>
        <w:numPr>
          <w:ilvl w:val="1"/>
          <w:numId w:val="36"/>
        </w:numPr>
        <w:tabs>
          <w:tab w:val="left" w:pos="1220"/>
        </w:tabs>
        <w:spacing w:line="360" w:lineRule="auto"/>
        <w:ind w:left="1191" w:hanging="624"/>
        <w:rPr>
          <w:rFonts w:ascii="宋体" w:cs="宋体"/>
          <w:color w:val="000000"/>
          <w:sz w:val="24"/>
        </w:rPr>
      </w:pPr>
      <w:r>
        <w:rPr>
          <w:rFonts w:hint="eastAsia" w:ascii="宋体" w:hAnsi="宋体" w:cs="宋体"/>
          <w:color w:val="000000"/>
          <w:sz w:val="24"/>
        </w:rPr>
        <w:t>质疑内容必须以书面形式向采购人或采购代理机构提出，报价供应商以电话、传真或电邮形式提交的质疑属于无效质疑。</w:t>
      </w:r>
    </w:p>
    <w:p>
      <w:pPr>
        <w:pStyle w:val="4"/>
        <w:numPr>
          <w:ilvl w:val="0"/>
          <w:numId w:val="7"/>
        </w:numPr>
        <w:ind w:left="6" w:hanging="6"/>
        <w:rPr>
          <w:color w:val="000000"/>
          <w:sz w:val="28"/>
          <w:szCs w:val="28"/>
          <w:lang w:val="zh-CN"/>
        </w:rPr>
      </w:pPr>
      <w:bookmarkStart w:id="234" w:name="_Toc13945"/>
      <w:bookmarkStart w:id="235" w:name="_Toc20615"/>
      <w:bookmarkStart w:id="236" w:name="_Toc27632"/>
      <w:bookmarkStart w:id="237" w:name="_Toc21937"/>
      <w:bookmarkStart w:id="238" w:name="_Toc18304"/>
      <w:bookmarkStart w:id="239" w:name="_Toc17163"/>
      <w:bookmarkStart w:id="240" w:name="_Toc12334"/>
      <w:bookmarkStart w:id="241" w:name="_Toc11022"/>
      <w:bookmarkStart w:id="242" w:name="_Toc86851474"/>
      <w:r>
        <w:rPr>
          <w:rFonts w:hint="eastAsia"/>
          <w:color w:val="000000"/>
          <w:sz w:val="28"/>
          <w:szCs w:val="28"/>
          <w:lang w:val="zh-CN"/>
        </w:rPr>
        <w:t>投诉</w:t>
      </w:r>
      <w:bookmarkEnd w:id="234"/>
      <w:bookmarkEnd w:id="235"/>
      <w:bookmarkEnd w:id="236"/>
      <w:bookmarkEnd w:id="237"/>
      <w:bookmarkEnd w:id="238"/>
      <w:bookmarkEnd w:id="239"/>
      <w:bookmarkEnd w:id="240"/>
      <w:bookmarkEnd w:id="241"/>
      <w:bookmarkEnd w:id="242"/>
    </w:p>
    <w:p>
      <w:pPr>
        <w:numPr>
          <w:ilvl w:val="1"/>
          <w:numId w:val="37"/>
        </w:numPr>
        <w:tabs>
          <w:tab w:val="left" w:pos="1160"/>
        </w:tabs>
        <w:spacing w:line="360" w:lineRule="auto"/>
        <w:ind w:left="1191" w:hanging="624"/>
        <w:rPr>
          <w:rFonts w:hint="eastAsia" w:ascii="宋体" w:hAnsi="宋体" w:cs="宋体"/>
          <w:color w:val="000000"/>
          <w:sz w:val="24"/>
        </w:rPr>
      </w:pPr>
      <w:r>
        <w:rPr>
          <w:rFonts w:hint="eastAsia" w:ascii="宋体" w:hAnsi="宋体" w:cs="宋体"/>
          <w:color w:val="000000"/>
          <w:sz w:val="24"/>
        </w:rPr>
        <w:t>质疑供应商对采购人、采购代理机构的质疑答复不满意，或者采购人、采购代理机构未在规定期限内作出答复的，可以在答复期满后15个工作日内向采购人的同级政府采购监督管理部门提起投诉。</w:t>
      </w:r>
    </w:p>
    <w:p>
      <w:pPr>
        <w:numPr>
          <w:ilvl w:val="1"/>
          <w:numId w:val="37"/>
        </w:numPr>
        <w:tabs>
          <w:tab w:val="left" w:pos="1160"/>
        </w:tabs>
        <w:spacing w:line="360" w:lineRule="auto"/>
        <w:ind w:left="1191" w:hanging="624"/>
        <w:rPr>
          <w:rFonts w:ascii="宋体" w:cs="宋体"/>
          <w:color w:val="000000"/>
          <w:sz w:val="24"/>
        </w:rPr>
      </w:pPr>
      <w:r>
        <w:rPr>
          <w:rFonts w:hint="eastAsia" w:ascii="宋体" w:hAnsi="宋体" w:cs="宋体"/>
          <w:color w:val="000000"/>
          <w:sz w:val="24"/>
        </w:rPr>
        <w:t>在供应商质疑受理调查期间，相关信息或材料文件的传递，采购代理机构、质疑人、被质疑人以及相关当事人应当采用书面形式，并办理有关签收手续。</w:t>
      </w:r>
    </w:p>
    <w:p>
      <w:pPr>
        <w:pStyle w:val="4"/>
        <w:numPr>
          <w:ilvl w:val="0"/>
          <w:numId w:val="7"/>
        </w:numPr>
        <w:ind w:left="6" w:hanging="6"/>
        <w:rPr>
          <w:color w:val="000000"/>
          <w:sz w:val="28"/>
          <w:szCs w:val="28"/>
          <w:lang w:val="zh-CN"/>
        </w:rPr>
      </w:pPr>
      <w:bookmarkStart w:id="243" w:name="_Toc28338"/>
      <w:bookmarkStart w:id="244" w:name="_Toc12419"/>
      <w:bookmarkStart w:id="245" w:name="_Toc30723"/>
      <w:bookmarkStart w:id="246" w:name="_Toc25866"/>
      <w:bookmarkStart w:id="247" w:name="_Toc29393"/>
      <w:bookmarkStart w:id="248" w:name="_Toc5552"/>
      <w:bookmarkStart w:id="249" w:name="_Toc31100"/>
      <w:bookmarkStart w:id="250" w:name="_Toc86851475"/>
      <w:r>
        <w:rPr>
          <w:rFonts w:hint="eastAsia"/>
          <w:color w:val="000000"/>
          <w:sz w:val="28"/>
          <w:szCs w:val="28"/>
          <w:lang w:val="zh-CN"/>
        </w:rPr>
        <w:t>合同的订立</w:t>
      </w:r>
      <w:bookmarkEnd w:id="243"/>
      <w:bookmarkEnd w:id="244"/>
      <w:bookmarkEnd w:id="245"/>
      <w:bookmarkEnd w:id="246"/>
      <w:bookmarkEnd w:id="247"/>
      <w:bookmarkEnd w:id="248"/>
      <w:bookmarkEnd w:id="249"/>
      <w:bookmarkEnd w:id="250"/>
    </w:p>
    <w:p>
      <w:pPr>
        <w:numPr>
          <w:ilvl w:val="1"/>
          <w:numId w:val="38"/>
        </w:numPr>
        <w:tabs>
          <w:tab w:val="left" w:pos="1200"/>
        </w:tabs>
        <w:spacing w:line="360" w:lineRule="auto"/>
        <w:ind w:left="1191" w:hanging="624"/>
        <w:rPr>
          <w:rFonts w:hint="eastAsia" w:ascii="宋体" w:hAnsi="宋体" w:cs="宋体"/>
          <w:color w:val="000000"/>
          <w:sz w:val="24"/>
          <w:lang w:val="zh-CN"/>
        </w:rPr>
      </w:pPr>
      <w:r>
        <w:rPr>
          <w:rFonts w:hint="eastAsia" w:ascii="宋体" w:hAnsi="宋体" w:cs="宋体"/>
          <w:color w:val="000000"/>
          <w:sz w:val="24"/>
          <w:lang w:val="zh-CN"/>
        </w:rPr>
        <w:t>采购人与成交</w:t>
      </w:r>
      <w:r>
        <w:rPr>
          <w:rFonts w:hint="eastAsia" w:ascii="宋体" w:hAnsi="宋体" w:cs="宋体"/>
          <w:color w:val="000000"/>
          <w:sz w:val="24"/>
        </w:rPr>
        <w:t>供应商</w:t>
      </w:r>
      <w:r>
        <w:rPr>
          <w:rFonts w:hint="eastAsia" w:ascii="宋体" w:hAnsi="宋体" w:cs="宋体"/>
          <w:color w:val="000000"/>
          <w:sz w:val="24"/>
          <w:lang w:val="zh-CN"/>
        </w:rPr>
        <w:t>自成交通知书发出之日起三十日内，按磋商文件要求和成交</w:t>
      </w:r>
      <w:r>
        <w:rPr>
          <w:rFonts w:hint="eastAsia" w:ascii="宋体" w:hAnsi="宋体" w:cs="宋体"/>
          <w:color w:val="000000"/>
          <w:sz w:val="24"/>
        </w:rPr>
        <w:t>供应商</w:t>
      </w:r>
      <w:r>
        <w:rPr>
          <w:rFonts w:hint="eastAsia" w:ascii="宋体" w:hAnsi="宋体" w:cs="宋体"/>
          <w:color w:val="000000"/>
          <w:sz w:val="24"/>
          <w:lang w:val="zh-CN"/>
        </w:rPr>
        <w:t>响应文件承诺签订政府采购合同，但不得超出磋商文件和成交</w:t>
      </w:r>
      <w:r>
        <w:rPr>
          <w:rFonts w:hint="eastAsia" w:ascii="宋体" w:hAnsi="宋体" w:cs="宋体"/>
          <w:color w:val="000000"/>
          <w:sz w:val="24"/>
        </w:rPr>
        <w:t>供应商</w:t>
      </w:r>
      <w:r>
        <w:rPr>
          <w:rFonts w:hint="eastAsia" w:ascii="宋体" w:hAnsi="宋体" w:cs="宋体"/>
          <w:color w:val="000000"/>
          <w:sz w:val="24"/>
          <w:lang w:val="zh-CN"/>
        </w:rPr>
        <w:t>响应文件的范围、也不得再行订立背离合同实质性内容的其他协议。</w:t>
      </w:r>
    </w:p>
    <w:p>
      <w:pPr>
        <w:numPr>
          <w:ilvl w:val="1"/>
          <w:numId w:val="38"/>
        </w:numPr>
        <w:tabs>
          <w:tab w:val="left" w:pos="1200"/>
        </w:tabs>
        <w:spacing w:line="360" w:lineRule="auto"/>
        <w:ind w:left="1191" w:hanging="624"/>
        <w:rPr>
          <w:rFonts w:ascii="宋体" w:cs="宋体"/>
          <w:color w:val="000000"/>
          <w:sz w:val="24"/>
          <w:lang w:val="zh-CN"/>
        </w:rPr>
      </w:pPr>
      <w:r>
        <w:rPr>
          <w:rFonts w:hint="eastAsia" w:ascii="宋体" w:hAnsi="宋体" w:cs="宋体"/>
          <w:color w:val="000000"/>
          <w:sz w:val="24"/>
          <w:lang w:val="zh-CN"/>
        </w:rPr>
        <w:t>磋商文件、成交人的响应文件及其澄清文件等，均为签订合同的依据。</w:t>
      </w:r>
    </w:p>
    <w:p>
      <w:pPr>
        <w:pStyle w:val="4"/>
        <w:numPr>
          <w:ilvl w:val="0"/>
          <w:numId w:val="7"/>
        </w:numPr>
        <w:ind w:left="6" w:hanging="6"/>
        <w:rPr>
          <w:color w:val="000000"/>
          <w:sz w:val="28"/>
          <w:szCs w:val="28"/>
          <w:lang w:val="zh-CN"/>
        </w:rPr>
      </w:pPr>
      <w:bookmarkStart w:id="251" w:name="_Toc2902"/>
      <w:bookmarkStart w:id="252" w:name="_Toc12285"/>
      <w:bookmarkStart w:id="253" w:name="_Toc2094"/>
      <w:bookmarkStart w:id="254" w:name="_Toc6932"/>
      <w:bookmarkStart w:id="255" w:name="_Toc18123"/>
      <w:bookmarkStart w:id="256" w:name="_Toc32054"/>
      <w:bookmarkStart w:id="257" w:name="_Toc32436"/>
      <w:bookmarkStart w:id="258" w:name="_Toc86851476"/>
      <w:r>
        <w:rPr>
          <w:rFonts w:hint="eastAsia"/>
          <w:color w:val="000000"/>
          <w:sz w:val="28"/>
          <w:szCs w:val="28"/>
          <w:lang w:val="zh-CN"/>
        </w:rPr>
        <w:t>合同的履行</w:t>
      </w:r>
      <w:bookmarkEnd w:id="251"/>
      <w:bookmarkEnd w:id="252"/>
      <w:bookmarkEnd w:id="253"/>
      <w:bookmarkEnd w:id="254"/>
      <w:bookmarkEnd w:id="255"/>
      <w:bookmarkEnd w:id="256"/>
      <w:bookmarkEnd w:id="257"/>
      <w:bookmarkEnd w:id="258"/>
    </w:p>
    <w:p>
      <w:pPr>
        <w:numPr>
          <w:ilvl w:val="1"/>
          <w:numId w:val="39"/>
        </w:numPr>
        <w:tabs>
          <w:tab w:val="left" w:pos="1134"/>
        </w:tabs>
        <w:spacing w:line="360" w:lineRule="auto"/>
        <w:ind w:left="1191" w:hanging="624"/>
        <w:rPr>
          <w:rFonts w:hint="eastAsia" w:ascii="宋体" w:hAnsi="宋体" w:cs="宋体"/>
          <w:color w:val="000000"/>
          <w:sz w:val="24"/>
          <w:lang w:val="zh-CN"/>
        </w:rPr>
      </w:pPr>
      <w:r>
        <w:rPr>
          <w:rFonts w:hint="eastAsia" w:ascii="宋体" w:hAnsi="宋体" w:cs="宋体"/>
          <w:color w:val="000000"/>
          <w:sz w:val="24"/>
          <w:lang w:val="zh-CN"/>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采取的相应措施，以书面形式报政府采购监督管理部门备案。</w:t>
      </w:r>
    </w:p>
    <w:p>
      <w:pPr>
        <w:numPr>
          <w:ilvl w:val="1"/>
          <w:numId w:val="39"/>
        </w:numPr>
        <w:tabs>
          <w:tab w:val="left" w:pos="1134"/>
        </w:tabs>
        <w:spacing w:line="360" w:lineRule="auto"/>
        <w:ind w:left="1191" w:hanging="624"/>
        <w:rPr>
          <w:rFonts w:ascii="宋体" w:cs="宋体"/>
          <w:color w:val="000000"/>
          <w:sz w:val="24"/>
          <w:lang w:val="zh-CN"/>
        </w:rPr>
      </w:pPr>
      <w:r>
        <w:rPr>
          <w:rFonts w:hint="eastAsia" w:ascii="宋体" w:hAnsi="宋体" w:cs="宋体"/>
          <w:color w:val="000000"/>
          <w:sz w:val="24"/>
          <w:lang w:val="zh-CN"/>
        </w:rPr>
        <w:t>政府采购合同履行中，采购人需追加与合同标的相同的货物、工程或者服务的，在不改变合同其他条款的前提下，可以与成交人签订补充合同，但所签补充合同的采购金额不得超过原合同采购金额的百分之十。签订补充合同的必须按规定备案。</w:t>
      </w:r>
    </w:p>
    <w:p>
      <w:pPr>
        <w:pStyle w:val="4"/>
        <w:numPr>
          <w:ilvl w:val="0"/>
          <w:numId w:val="7"/>
        </w:numPr>
        <w:ind w:left="6" w:hanging="6"/>
        <w:rPr>
          <w:color w:val="000000"/>
          <w:sz w:val="28"/>
          <w:szCs w:val="28"/>
          <w:lang w:val="zh-CN"/>
        </w:rPr>
      </w:pPr>
      <w:bookmarkStart w:id="259" w:name="_Toc15587"/>
      <w:bookmarkStart w:id="260" w:name="_Toc12849"/>
      <w:bookmarkStart w:id="261" w:name="_Toc21559"/>
      <w:bookmarkStart w:id="262" w:name="_Toc16513"/>
      <w:bookmarkStart w:id="263" w:name="_Toc2333"/>
      <w:bookmarkStart w:id="264" w:name="_Toc25813"/>
      <w:bookmarkStart w:id="265" w:name="_Toc18982"/>
      <w:bookmarkStart w:id="266" w:name="_Toc86851477"/>
      <w:r>
        <w:rPr>
          <w:rFonts w:hint="eastAsia"/>
          <w:color w:val="000000"/>
          <w:sz w:val="28"/>
          <w:szCs w:val="28"/>
          <w:lang w:val="zh-CN"/>
        </w:rPr>
        <w:t>履约保证金</w:t>
      </w:r>
      <w:bookmarkEnd w:id="259"/>
      <w:bookmarkEnd w:id="260"/>
      <w:bookmarkEnd w:id="261"/>
      <w:bookmarkEnd w:id="262"/>
      <w:bookmarkEnd w:id="263"/>
      <w:bookmarkEnd w:id="264"/>
      <w:bookmarkEnd w:id="265"/>
      <w:bookmarkEnd w:id="266"/>
    </w:p>
    <w:p>
      <w:pPr>
        <w:numPr>
          <w:ilvl w:val="1"/>
          <w:numId w:val="40"/>
        </w:numPr>
        <w:tabs>
          <w:tab w:val="left" w:pos="1134"/>
        </w:tabs>
        <w:spacing w:line="360" w:lineRule="auto"/>
        <w:ind w:left="1191" w:hanging="624"/>
        <w:rPr>
          <w:rFonts w:ascii="宋体" w:cs="宋体"/>
          <w:color w:val="000000"/>
          <w:sz w:val="24"/>
          <w:lang w:val="zh-CN"/>
        </w:rPr>
      </w:pPr>
      <w:r>
        <w:rPr>
          <w:rFonts w:hint="eastAsia" w:ascii="宋体" w:hAnsi="宋体" w:cs="宋体"/>
          <w:color w:val="000000"/>
          <w:sz w:val="24"/>
          <w:lang w:val="zh-CN"/>
        </w:rPr>
        <w:t>磋商文件要求成交人提交履约保证金的，成交人应按照</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规定的金额，以支票、汇票、本票或者金融机构、担保机构出具的保函等非现金形式向采购人提交。</w:t>
      </w:r>
    </w:p>
    <w:p>
      <w:pPr>
        <w:pStyle w:val="4"/>
        <w:numPr>
          <w:ilvl w:val="0"/>
          <w:numId w:val="7"/>
        </w:numPr>
        <w:ind w:left="6" w:hanging="6"/>
        <w:rPr>
          <w:color w:val="000000"/>
          <w:sz w:val="28"/>
          <w:szCs w:val="28"/>
          <w:lang w:val="zh-CN"/>
        </w:rPr>
      </w:pPr>
      <w:bookmarkStart w:id="267" w:name="_Toc2399"/>
      <w:bookmarkStart w:id="268" w:name="_Toc22073"/>
      <w:bookmarkStart w:id="269" w:name="_Toc22564"/>
      <w:bookmarkStart w:id="270" w:name="_Toc10914"/>
      <w:bookmarkStart w:id="271" w:name="_Toc16601"/>
      <w:bookmarkStart w:id="272" w:name="_Toc23702"/>
      <w:bookmarkStart w:id="273" w:name="_Toc24047"/>
      <w:bookmarkStart w:id="274" w:name="_Toc86851478"/>
      <w:r>
        <w:rPr>
          <w:rFonts w:hint="eastAsia"/>
          <w:color w:val="000000"/>
          <w:sz w:val="28"/>
          <w:szCs w:val="28"/>
          <w:lang w:val="zh-CN"/>
        </w:rPr>
        <w:t>招标代理服务费</w:t>
      </w:r>
      <w:bookmarkEnd w:id="267"/>
      <w:bookmarkEnd w:id="268"/>
      <w:bookmarkEnd w:id="269"/>
      <w:bookmarkEnd w:id="270"/>
      <w:bookmarkEnd w:id="271"/>
      <w:bookmarkEnd w:id="272"/>
      <w:bookmarkEnd w:id="273"/>
      <w:bookmarkEnd w:id="274"/>
    </w:p>
    <w:p>
      <w:pPr>
        <w:numPr>
          <w:ilvl w:val="1"/>
          <w:numId w:val="41"/>
        </w:numPr>
        <w:tabs>
          <w:tab w:val="left" w:pos="1160"/>
        </w:tabs>
        <w:spacing w:line="360" w:lineRule="auto"/>
        <w:ind w:left="1191" w:hanging="624"/>
        <w:rPr>
          <w:rFonts w:ascii="宋体" w:cs="宋体"/>
          <w:color w:val="000000"/>
          <w:sz w:val="24"/>
          <w:lang w:val="zh-CN"/>
        </w:rPr>
      </w:pPr>
      <w:r>
        <w:rPr>
          <w:rFonts w:hint="eastAsia" w:ascii="宋体" w:hAnsi="宋体" w:cs="宋体"/>
          <w:color w:val="000000"/>
          <w:sz w:val="24"/>
          <w:lang w:val="zh-CN"/>
        </w:rPr>
        <w:t>成交人应按照</w:t>
      </w:r>
      <w:r>
        <w:rPr>
          <w:rFonts w:hint="eastAsia" w:ascii="黑体" w:hAnsi="黑体" w:eastAsia="黑体"/>
          <w:b/>
          <w:bCs/>
          <w:color w:val="000000"/>
          <w:sz w:val="24"/>
          <w:lang w:val="zh-CN"/>
        </w:rPr>
        <w:t>报价供应商须知前附表</w:t>
      </w:r>
      <w:r>
        <w:rPr>
          <w:rFonts w:hint="eastAsia" w:ascii="宋体" w:hAnsi="宋体" w:cs="宋体"/>
          <w:color w:val="000000"/>
          <w:sz w:val="24"/>
          <w:lang w:val="zh-CN"/>
        </w:rPr>
        <w:t>中的规定交纳招标代理服务费。</w:t>
      </w:r>
    </w:p>
    <w:p>
      <w:pPr>
        <w:pStyle w:val="4"/>
        <w:numPr>
          <w:ilvl w:val="0"/>
          <w:numId w:val="7"/>
        </w:numPr>
        <w:ind w:left="6" w:hanging="6"/>
        <w:rPr>
          <w:color w:val="000000"/>
          <w:sz w:val="28"/>
          <w:szCs w:val="28"/>
          <w:lang w:val="zh-CN"/>
        </w:rPr>
      </w:pPr>
      <w:bookmarkStart w:id="275" w:name="_Toc20741"/>
      <w:bookmarkStart w:id="276" w:name="_Toc14326"/>
      <w:bookmarkStart w:id="277" w:name="_Toc30811"/>
      <w:bookmarkStart w:id="278" w:name="_Toc12157"/>
      <w:bookmarkStart w:id="279" w:name="_Toc13044"/>
      <w:bookmarkStart w:id="280" w:name="_Toc86851479"/>
      <w:r>
        <w:rPr>
          <w:rFonts w:hint="eastAsia"/>
          <w:color w:val="000000"/>
          <w:sz w:val="28"/>
          <w:szCs w:val="28"/>
          <w:lang w:val="zh-CN"/>
        </w:rPr>
        <w:t>促进中小企业发展政策</w:t>
      </w:r>
      <w:bookmarkEnd w:id="275"/>
      <w:bookmarkEnd w:id="276"/>
      <w:bookmarkEnd w:id="277"/>
      <w:bookmarkEnd w:id="278"/>
      <w:bookmarkEnd w:id="279"/>
      <w:bookmarkEnd w:id="280"/>
    </w:p>
    <w:p>
      <w:pPr>
        <w:numPr>
          <w:ilvl w:val="1"/>
          <w:numId w:val="42"/>
        </w:numPr>
        <w:tabs>
          <w:tab w:val="left" w:pos="1160"/>
          <w:tab w:val="clear" w:pos="907"/>
        </w:tabs>
        <w:spacing w:line="360" w:lineRule="auto"/>
        <w:ind w:left="1127" w:hanging="707"/>
        <w:rPr>
          <w:rFonts w:ascii="宋体" w:cs="宋体"/>
          <w:color w:val="000000"/>
          <w:sz w:val="24"/>
          <w:lang w:val="zh-CN"/>
        </w:rPr>
      </w:pPr>
      <w:r>
        <w:rPr>
          <w:rFonts w:hint="eastAsia" w:ascii="宋体" w:hAnsi="宋体" w:cs="宋体"/>
          <w:color w:val="000000"/>
          <w:sz w:val="24"/>
          <w:lang w:val="zh-CN"/>
        </w:rPr>
        <w:t>为发挥政府采购促进中小企业发展的政策功能，根据财务部、工业和信息化部印发的《政府采购促进中小企业发展管理办法》的通知【财库〔2020〕46号】的规定，报价供应商为小型、微型企业的，享受一定比例的价格扣除优惠，用扣除后的价格作为其参与评审的价格。</w:t>
      </w:r>
    </w:p>
    <w:p>
      <w:pPr>
        <w:numPr>
          <w:ilvl w:val="1"/>
          <w:numId w:val="42"/>
        </w:numPr>
        <w:tabs>
          <w:tab w:val="left" w:pos="1160"/>
          <w:tab w:val="clear" w:pos="907"/>
        </w:tabs>
        <w:spacing w:line="360" w:lineRule="auto"/>
        <w:ind w:left="1127" w:hanging="707"/>
        <w:rPr>
          <w:rFonts w:ascii="宋体" w:cs="宋体"/>
          <w:color w:val="000000"/>
          <w:sz w:val="24"/>
          <w:lang w:val="zh-CN"/>
        </w:rPr>
      </w:pPr>
      <w:r>
        <w:rPr>
          <w:rFonts w:hint="eastAsia" w:ascii="宋体" w:hAnsi="宋体" w:cs="宋体"/>
          <w:color w:val="000000"/>
          <w:sz w:val="24"/>
          <w:lang w:val="zh-CN"/>
        </w:rPr>
        <w:t>享受价格扣除政策的小型、微型企业必须同时满足以下两个条件：</w:t>
      </w:r>
    </w:p>
    <w:p>
      <w:pPr>
        <w:numPr>
          <w:ilvl w:val="0"/>
          <w:numId w:val="43"/>
        </w:numPr>
        <w:tabs>
          <w:tab w:val="left" w:pos="1280"/>
        </w:tabs>
        <w:spacing w:before="72" w:after="72" w:line="360" w:lineRule="auto"/>
        <w:rPr>
          <w:rFonts w:ascii="宋体" w:cs="宋体"/>
          <w:color w:val="000000"/>
          <w:sz w:val="24"/>
          <w:lang w:val="zh-CN"/>
        </w:rPr>
      </w:pPr>
      <w:r>
        <w:rPr>
          <w:rFonts w:hint="eastAsia" w:ascii="宋体" w:hAnsi="宋体" w:cs="宋体"/>
          <w:color w:val="000000"/>
          <w:sz w:val="24"/>
          <w:lang w:val="zh-CN"/>
        </w:rPr>
        <w:t>符合小型、微型企业划分标准（按照《中小企业划型标准规定》（工信部联企业</w:t>
      </w:r>
      <w:r>
        <w:rPr>
          <w:rFonts w:ascii="宋体" w:hAnsi="宋体" w:cs="宋体"/>
          <w:color w:val="000000"/>
          <w:sz w:val="24"/>
          <w:lang w:val="zh-CN"/>
        </w:rPr>
        <w:t>[2011]300</w:t>
      </w:r>
      <w:r>
        <w:rPr>
          <w:rFonts w:hint="eastAsia" w:ascii="宋体" w:hAnsi="宋体" w:cs="宋体"/>
          <w:color w:val="000000"/>
          <w:sz w:val="24"/>
          <w:lang w:val="zh-CN"/>
        </w:rPr>
        <w:t>号）的规定划分）；</w:t>
      </w:r>
    </w:p>
    <w:p>
      <w:pPr>
        <w:numPr>
          <w:ilvl w:val="0"/>
          <w:numId w:val="43"/>
        </w:numPr>
        <w:tabs>
          <w:tab w:val="left" w:pos="1280"/>
        </w:tabs>
        <w:spacing w:before="72" w:after="72" w:line="360" w:lineRule="auto"/>
        <w:rPr>
          <w:rFonts w:ascii="宋体" w:cs="宋体"/>
          <w:color w:val="000000"/>
          <w:sz w:val="24"/>
          <w:lang w:val="zh-CN"/>
        </w:rPr>
      </w:pPr>
      <w:r>
        <w:rPr>
          <w:rFonts w:hint="eastAsia" w:ascii="宋体" w:hAnsi="宋体" w:cs="宋体"/>
          <w:color w:val="000000"/>
          <w:sz w:val="24"/>
          <w:lang w:val="zh-CN"/>
        </w:rPr>
        <w:t>提供本企业生产的产品或者提供其他小型、微型企业生产的产品。</w:t>
      </w:r>
    </w:p>
    <w:p>
      <w:pPr>
        <w:numPr>
          <w:ilvl w:val="1"/>
          <w:numId w:val="42"/>
        </w:numPr>
        <w:tabs>
          <w:tab w:val="left" w:pos="1160"/>
          <w:tab w:val="clear" w:pos="907"/>
        </w:tabs>
        <w:spacing w:line="360" w:lineRule="auto"/>
        <w:ind w:left="1127" w:hanging="707"/>
        <w:rPr>
          <w:rFonts w:ascii="宋体" w:cs="宋体"/>
          <w:color w:val="000000"/>
          <w:sz w:val="24"/>
          <w:lang w:val="zh-CN"/>
        </w:rPr>
      </w:pPr>
      <w:r>
        <w:rPr>
          <w:rFonts w:hint="eastAsia" w:ascii="宋体" w:hAnsi="宋体" w:cs="宋体"/>
          <w:color w:val="000000"/>
          <w:sz w:val="24"/>
          <w:lang w:val="zh-CN"/>
        </w:rPr>
        <w:t>参加政府采购活动的小型、微型企业应当提供《中小企业声明函》（见磋商文件格式），否则不予认可。报价供应商对其承诺的企业规模真实性自行负责。报价供应商在《中小企业声明函》中的承诺如有虚假，其中标资格将被取消。</w:t>
      </w:r>
    </w:p>
    <w:p>
      <w:pPr>
        <w:numPr>
          <w:ilvl w:val="1"/>
          <w:numId w:val="42"/>
        </w:numPr>
        <w:tabs>
          <w:tab w:val="left" w:pos="1160"/>
          <w:tab w:val="clear" w:pos="907"/>
        </w:tabs>
        <w:spacing w:line="360" w:lineRule="auto"/>
        <w:ind w:left="1127" w:hanging="707"/>
        <w:rPr>
          <w:rFonts w:ascii="宋体" w:cs="宋体"/>
          <w:color w:val="000000"/>
          <w:sz w:val="24"/>
          <w:lang w:val="zh-CN"/>
        </w:rPr>
      </w:pPr>
      <w:r>
        <w:rPr>
          <w:rFonts w:hint="eastAsia" w:ascii="宋体" w:hAnsi="宋体" w:cs="宋体"/>
          <w:color w:val="000000"/>
          <w:sz w:val="24"/>
          <w:lang w:val="zh-CN"/>
        </w:rPr>
        <w:t>参加政府采购活动的小型、微型企业，若其投标产品仅部分符合优惠评审要求，应提供满足要求的货物的名称和分项报价（详见投标明细报价表），否则不予认可。</w:t>
      </w:r>
    </w:p>
    <w:p>
      <w:pPr>
        <w:pStyle w:val="4"/>
        <w:numPr>
          <w:ilvl w:val="0"/>
          <w:numId w:val="7"/>
        </w:numPr>
        <w:ind w:left="6" w:hanging="6"/>
        <w:rPr>
          <w:color w:val="000000"/>
          <w:sz w:val="28"/>
          <w:szCs w:val="28"/>
          <w:lang w:val="zh-CN"/>
        </w:rPr>
      </w:pPr>
      <w:bookmarkStart w:id="281" w:name="_Toc27081"/>
      <w:bookmarkStart w:id="282" w:name="_Toc28142"/>
      <w:bookmarkStart w:id="283" w:name="_Toc2847"/>
      <w:bookmarkStart w:id="284" w:name="_Toc18307"/>
      <w:bookmarkStart w:id="285" w:name="_Toc2081"/>
      <w:bookmarkStart w:id="286" w:name="_Toc86851480"/>
      <w:r>
        <w:rPr>
          <w:rFonts w:hint="eastAsia"/>
          <w:color w:val="000000"/>
          <w:sz w:val="28"/>
          <w:szCs w:val="28"/>
          <w:lang w:val="zh-CN"/>
        </w:rPr>
        <w:t>支持监狱企业发展政策</w:t>
      </w:r>
      <w:bookmarkEnd w:id="281"/>
      <w:bookmarkEnd w:id="282"/>
      <w:bookmarkEnd w:id="283"/>
      <w:bookmarkEnd w:id="284"/>
      <w:bookmarkEnd w:id="285"/>
      <w:bookmarkEnd w:id="286"/>
    </w:p>
    <w:p>
      <w:pPr>
        <w:numPr>
          <w:ilvl w:val="1"/>
          <w:numId w:val="44"/>
        </w:numPr>
        <w:tabs>
          <w:tab w:val="left" w:pos="1220"/>
          <w:tab w:val="clear" w:pos="907"/>
        </w:tabs>
        <w:spacing w:line="360" w:lineRule="auto"/>
        <w:ind w:left="1087" w:hanging="667"/>
        <w:rPr>
          <w:rFonts w:hint="eastAsia" w:ascii="宋体" w:hAnsi="宋体" w:cs="宋体"/>
          <w:color w:val="000000"/>
          <w:sz w:val="24"/>
          <w:lang w:val="zh-CN"/>
        </w:rPr>
      </w:pPr>
      <w:r>
        <w:rPr>
          <w:rFonts w:hint="eastAsia" w:ascii="宋体" w:hAnsi="宋体" w:cs="宋体"/>
          <w:color w:val="000000"/>
          <w:sz w:val="24"/>
          <w:lang w:val="zh-CN"/>
        </w:rPr>
        <w:t>发挥政府采购支持监狱企业发展的作用，根据财务部、工业和信息化部印发的《政府采购促进中小企业发展管理办法》的通知【财库〔2020〕46号】的规定，在政府采购活动中，监狱企业视同小型、微型企业，享受一定比例价格扣除优惠，用扣除后的价格作为其参与评审的价格。</w:t>
      </w:r>
    </w:p>
    <w:p>
      <w:pPr>
        <w:numPr>
          <w:ilvl w:val="1"/>
          <w:numId w:val="44"/>
        </w:numPr>
        <w:tabs>
          <w:tab w:val="left" w:pos="1220"/>
          <w:tab w:val="clear" w:pos="907"/>
        </w:tabs>
        <w:spacing w:line="360" w:lineRule="auto"/>
        <w:ind w:left="1087" w:hanging="667"/>
        <w:rPr>
          <w:rFonts w:ascii="宋体" w:cs="宋体"/>
          <w:color w:val="000000"/>
          <w:sz w:val="24"/>
          <w:lang w:val="zh-CN"/>
        </w:rPr>
      </w:pPr>
      <w:r>
        <w:rPr>
          <w:rFonts w:hint="eastAsia" w:ascii="宋体" w:hAnsi="宋体" w:cs="宋体"/>
          <w:color w:val="000000"/>
          <w:sz w:val="24"/>
          <w:lang w:val="zh-CN"/>
        </w:rPr>
        <w:t>监狱企业参加政府采购活动时，应当提供由省级以上监狱管理局、戒毒管理局（含新疆生产建设兵团）出具的属于监狱企业的证明文件，否则不予认可。</w:t>
      </w:r>
    </w:p>
    <w:p>
      <w:pPr>
        <w:pStyle w:val="4"/>
        <w:numPr>
          <w:ilvl w:val="0"/>
          <w:numId w:val="7"/>
        </w:numPr>
        <w:ind w:left="6" w:hanging="6"/>
        <w:rPr>
          <w:color w:val="000000"/>
          <w:sz w:val="28"/>
          <w:szCs w:val="28"/>
          <w:lang w:val="zh-CN"/>
        </w:rPr>
      </w:pPr>
      <w:bookmarkStart w:id="287" w:name="_Toc27331"/>
      <w:bookmarkStart w:id="288" w:name="_Toc13466"/>
      <w:bookmarkStart w:id="289" w:name="_Toc30047"/>
      <w:bookmarkStart w:id="290" w:name="_Toc496776270"/>
      <w:bookmarkStart w:id="291" w:name="_Toc24921"/>
      <w:bookmarkStart w:id="292" w:name="_Toc18663"/>
      <w:bookmarkStart w:id="293" w:name="_Toc21006"/>
      <w:bookmarkStart w:id="294" w:name="_Toc86851481"/>
      <w:r>
        <w:rPr>
          <w:rFonts w:hint="eastAsia"/>
          <w:color w:val="000000"/>
          <w:sz w:val="28"/>
          <w:szCs w:val="28"/>
          <w:lang w:val="zh-CN"/>
        </w:rPr>
        <w:t>支持残疾人福利性单位发展政策</w:t>
      </w:r>
      <w:bookmarkEnd w:id="287"/>
      <w:bookmarkEnd w:id="288"/>
      <w:bookmarkEnd w:id="289"/>
      <w:bookmarkEnd w:id="290"/>
      <w:bookmarkEnd w:id="291"/>
      <w:bookmarkEnd w:id="292"/>
      <w:bookmarkEnd w:id="293"/>
      <w:bookmarkEnd w:id="294"/>
    </w:p>
    <w:p>
      <w:pPr>
        <w:numPr>
          <w:ilvl w:val="1"/>
          <w:numId w:val="45"/>
        </w:numPr>
        <w:tabs>
          <w:tab w:val="left" w:pos="1080"/>
          <w:tab w:val="left" w:pos="1220"/>
          <w:tab w:val="clear" w:pos="907"/>
        </w:tabs>
        <w:spacing w:line="360" w:lineRule="auto"/>
        <w:ind w:left="1087" w:hanging="667"/>
        <w:rPr>
          <w:rFonts w:hint="eastAsia" w:ascii="宋体" w:hAnsi="宋体" w:cs="宋体"/>
          <w:color w:val="000000"/>
          <w:sz w:val="24"/>
          <w:lang w:val="zh-CN"/>
        </w:rPr>
      </w:pPr>
      <w:r>
        <w:rPr>
          <w:rFonts w:hint="eastAsia" w:ascii="宋体" w:hAnsi="宋体" w:cs="宋体"/>
          <w:color w:val="000000"/>
          <w:sz w:val="24"/>
          <w:lang w:val="zh-CN"/>
        </w:rPr>
        <w:t>为发挥政府采购支持残疾人福利性单位发展的作用，根据《财政部 民政部 中国残疾人联合会关于促进残疾人就业政府采购政策的通知》（财库[2018]141号）的规定，在政府采购活动中，残疾人福利性单位视同小型、微型企业，享受一定比例的价格扣除优惠，用扣除后的价格作为其参与评审的价格。</w:t>
      </w:r>
    </w:p>
    <w:p>
      <w:pPr>
        <w:numPr>
          <w:ilvl w:val="1"/>
          <w:numId w:val="45"/>
        </w:numPr>
        <w:tabs>
          <w:tab w:val="left" w:pos="1080"/>
          <w:tab w:val="left" w:pos="1220"/>
          <w:tab w:val="clear" w:pos="907"/>
        </w:tabs>
        <w:spacing w:line="360" w:lineRule="auto"/>
        <w:ind w:left="1087" w:hanging="667"/>
        <w:rPr>
          <w:rFonts w:ascii="宋体" w:cs="宋体"/>
          <w:color w:val="000000"/>
          <w:sz w:val="24"/>
          <w:lang w:val="zh-CN"/>
        </w:rPr>
      </w:pPr>
      <w:r>
        <w:rPr>
          <w:rFonts w:hint="eastAsia" w:ascii="宋体" w:hAnsi="宋体" w:cs="宋体"/>
          <w:color w:val="000000"/>
          <w:sz w:val="24"/>
          <w:lang w:val="zh-CN"/>
        </w:rPr>
        <w:t>残疾人福利性单位参加政府采购活动时，应当提供《残疾人福利性单位声明函》，并对声明的真实性负责，否则不予认可。</w:t>
      </w:r>
    </w:p>
    <w:p>
      <w:pPr>
        <w:pStyle w:val="2"/>
        <w:spacing w:line="360" w:lineRule="auto"/>
        <w:jc w:val="center"/>
        <w:rPr>
          <w:color w:val="000000"/>
        </w:rPr>
      </w:pPr>
      <w:bookmarkStart w:id="295" w:name="_Toc14045"/>
      <w:bookmarkStart w:id="296" w:name="_Toc372468300"/>
      <w:bookmarkStart w:id="297" w:name="_Toc182886647"/>
      <w:bookmarkStart w:id="298" w:name="_Toc183316709"/>
      <w:r>
        <w:rPr>
          <w:b w:val="0"/>
          <w:bCs w:val="0"/>
          <w:color w:val="000000"/>
          <w:kern w:val="2"/>
          <w:sz w:val="21"/>
          <w:szCs w:val="24"/>
        </w:rPr>
        <w:br w:type="page"/>
      </w:r>
      <w:bookmarkStart w:id="299" w:name="_Toc86851482"/>
      <w:r>
        <w:rPr>
          <w:rFonts w:hint="eastAsia"/>
          <w:color w:val="000000"/>
        </w:rPr>
        <w:t>第三章 用户需求书</w:t>
      </w:r>
      <w:bookmarkEnd w:id="295"/>
      <w:bookmarkEnd w:id="299"/>
    </w:p>
    <w:p>
      <w:pPr>
        <w:snapToGrid w:val="0"/>
        <w:spacing w:line="360" w:lineRule="auto"/>
        <w:rPr>
          <w:rFonts w:hint="eastAsia" w:ascii="宋体" w:cs="Times New Roman"/>
          <w:b/>
          <w:bCs/>
          <w:sz w:val="24"/>
        </w:rPr>
      </w:pPr>
      <w:r>
        <w:rPr>
          <w:rFonts w:hint="eastAsia" w:ascii="宋体" w:cs="Times New Roman"/>
          <w:b/>
          <w:bCs/>
          <w:sz w:val="24"/>
        </w:rPr>
        <w:t>说明：</w:t>
      </w:r>
    </w:p>
    <w:p>
      <w:pPr>
        <w:snapToGrid w:val="0"/>
        <w:spacing w:line="360" w:lineRule="auto"/>
        <w:ind w:firstLine="482" w:firstLineChars="200"/>
        <w:rPr>
          <w:rFonts w:hint="eastAsia" w:ascii="宋体" w:cs="Times New Roman"/>
          <w:b/>
          <w:bCs/>
          <w:sz w:val="24"/>
        </w:rPr>
      </w:pPr>
      <w:r>
        <w:rPr>
          <w:rFonts w:hint="eastAsia" w:ascii="宋体" w:cs="Times New Roman"/>
          <w:b/>
          <w:bCs/>
          <w:sz w:val="24"/>
        </w:rPr>
        <w:t>1.投标人应对项目内容进行整体投标，不允许仅对项目内其中部分内容进行投标。</w:t>
      </w:r>
    </w:p>
    <w:p>
      <w:pPr>
        <w:snapToGrid w:val="0"/>
        <w:spacing w:line="360" w:lineRule="auto"/>
        <w:ind w:firstLine="482" w:firstLineChars="200"/>
        <w:rPr>
          <w:rFonts w:ascii="宋体" w:cs="Times New Roman"/>
          <w:b/>
          <w:bCs/>
          <w:sz w:val="24"/>
        </w:rPr>
      </w:pPr>
      <w:r>
        <w:rPr>
          <w:rFonts w:hint="eastAsia" w:ascii="宋体" w:cs="Times New Roman"/>
          <w:b/>
          <w:bCs/>
          <w:sz w:val="24"/>
        </w:rPr>
        <w:t>2.采购人需求中打“★”号条款为实质性响应条款，投标人如有任何一条负偏离或不响应则导致投标无效；“</w:t>
      </w:r>
      <w:r>
        <w:rPr>
          <w:rFonts w:hint="eastAsia" w:ascii="宋体" w:hAnsi="宋体" w:cs="宋体"/>
          <w:kern w:val="0"/>
          <w:sz w:val="24"/>
        </w:rPr>
        <w:t>▲</w:t>
      </w:r>
      <w:r>
        <w:rPr>
          <w:rFonts w:hint="eastAsia" w:ascii="宋体" w:cs="Times New Roman"/>
          <w:b/>
          <w:bCs/>
          <w:sz w:val="24"/>
        </w:rPr>
        <w:t>”号条款为重要技术要求，响应程度将影响技术得分，但不作为无效投标（响应）条款。</w:t>
      </w:r>
    </w:p>
    <w:p>
      <w:pPr>
        <w:ind w:firstLine="480" w:firstLineChars="200"/>
        <w:rPr>
          <w:rFonts w:cs="Times New Roman"/>
          <w:sz w:val="24"/>
        </w:rPr>
      </w:pPr>
    </w:p>
    <w:p>
      <w:pPr>
        <w:keepNext/>
        <w:keepLines/>
        <w:spacing w:line="360" w:lineRule="auto"/>
        <w:outlineLvl w:val="2"/>
        <w:rPr>
          <w:rFonts w:hint="eastAsia" w:ascii="宋体" w:hAnsi="宋体" w:cs="Times New Roman"/>
          <w:b/>
          <w:sz w:val="24"/>
        </w:rPr>
      </w:pPr>
      <w:bookmarkStart w:id="300" w:name="_Toc86851483"/>
      <w:bookmarkStart w:id="301" w:name="_Toc83832415"/>
      <w:r>
        <w:rPr>
          <w:rFonts w:hint="eastAsia" w:ascii="宋体" w:hAnsi="宋体" w:cs="Times New Roman"/>
          <w:b/>
          <w:sz w:val="24"/>
        </w:rPr>
        <w:t>1.项目概述</w:t>
      </w:r>
      <w:bookmarkEnd w:id="300"/>
      <w:bookmarkEnd w:id="301"/>
    </w:p>
    <w:p>
      <w:pPr>
        <w:spacing w:line="360" w:lineRule="auto"/>
        <w:ind w:firstLine="480" w:firstLineChars="200"/>
        <w:rPr>
          <w:rFonts w:ascii="宋体" w:hAnsi="宋体" w:cs="Times New Roman"/>
          <w:sz w:val="24"/>
        </w:rPr>
      </w:pPr>
      <w:r>
        <w:rPr>
          <w:rFonts w:hint="eastAsia" w:ascii="宋体" w:hAnsi="宋体" w:cs="Times New Roman"/>
          <w:sz w:val="24"/>
        </w:rPr>
        <w:t>项目名称：广州市天河区政府大院大会场舞台灯光设备更换项目</w:t>
      </w:r>
    </w:p>
    <w:p>
      <w:pPr>
        <w:spacing w:line="360" w:lineRule="auto"/>
        <w:ind w:firstLine="480" w:firstLineChars="200"/>
        <w:rPr>
          <w:rFonts w:ascii="宋体" w:hAnsi="宋体" w:cs="Times New Roman"/>
          <w:sz w:val="24"/>
        </w:rPr>
      </w:pPr>
      <w:bookmarkStart w:id="302" w:name="EB52e5ed007d5c4a7d86859174708c827a"/>
      <w:r>
        <w:rPr>
          <w:rFonts w:ascii="宋体" w:hAnsi="宋体" w:cs="Times New Roman"/>
          <w:sz w:val="24"/>
        </w:rPr>
        <w:t>最高限价：人民币273000.00元</w:t>
      </w:r>
      <w:bookmarkEnd w:id="302"/>
    </w:p>
    <w:p>
      <w:pPr>
        <w:spacing w:line="360" w:lineRule="auto"/>
        <w:ind w:firstLine="480" w:firstLineChars="200"/>
        <w:rPr>
          <w:rFonts w:hint="eastAsia" w:ascii="宋体" w:hAnsi="宋体" w:cs="Times New Roman"/>
          <w:sz w:val="24"/>
        </w:rPr>
      </w:pPr>
      <w:r>
        <w:rPr>
          <w:rFonts w:hint="eastAsia" w:ascii="宋体" w:hAnsi="宋体" w:cs="Times New Roman"/>
          <w:sz w:val="24"/>
        </w:rPr>
        <w:t>采购方式：竞争性磋商</w:t>
      </w:r>
    </w:p>
    <w:p>
      <w:pPr>
        <w:spacing w:line="480" w:lineRule="auto"/>
        <w:ind w:firstLine="480" w:firstLineChars="200"/>
        <w:rPr>
          <w:rFonts w:ascii="Calibri" w:hAnsi="Calibri" w:cs="Times New Roman"/>
          <w:bCs/>
          <w:sz w:val="24"/>
        </w:rPr>
      </w:pPr>
      <w:r>
        <w:rPr>
          <w:rFonts w:hint="eastAsia" w:ascii="宋体" w:hAnsi="宋体" w:cs="Times New Roman"/>
          <w:sz w:val="24"/>
        </w:rPr>
        <w:t>项目概况：广州市天河区政府大院大会场</w:t>
      </w:r>
      <w:r>
        <w:rPr>
          <w:rFonts w:hint="eastAsia" w:ascii="Calibri" w:hAnsi="Calibri" w:cs="Times New Roman"/>
          <w:bCs/>
          <w:sz w:val="24"/>
        </w:rPr>
        <w:t xml:space="preserve"> “舞台灯光系统”的设备更换配置，需要将新灯具融入原来舞台灯具系统（包含强电系统与信号系统），重新规划线路及控制系统，重新调试整个舞台灯具系统；依据技术先进、安全适用、经济合理、节约能源和保护环境的目标设计，并满足以下要求：</w:t>
      </w:r>
    </w:p>
    <w:p>
      <w:pPr>
        <w:spacing w:line="480" w:lineRule="auto"/>
        <w:ind w:firstLine="480" w:firstLineChars="200"/>
        <w:rPr>
          <w:rFonts w:ascii="Calibri" w:hAnsi="Calibri" w:cs="Times New Roman"/>
          <w:bCs/>
          <w:sz w:val="24"/>
        </w:rPr>
      </w:pPr>
      <w:r>
        <w:rPr>
          <w:rFonts w:hint="eastAsia" w:ascii="Calibri" w:hAnsi="Calibri" w:cs="Times New Roman"/>
          <w:bCs/>
          <w:sz w:val="24"/>
        </w:rPr>
        <w:t>主要能够满足会议召开、学术报告等的使用功能；</w:t>
      </w:r>
    </w:p>
    <w:p>
      <w:pPr>
        <w:spacing w:line="480" w:lineRule="auto"/>
        <w:ind w:firstLine="480" w:firstLineChars="200"/>
        <w:rPr>
          <w:rFonts w:ascii="Calibri" w:hAnsi="Calibri" w:cs="Times New Roman"/>
          <w:bCs/>
          <w:sz w:val="24"/>
        </w:rPr>
      </w:pPr>
      <w:r>
        <w:rPr>
          <w:rFonts w:hint="eastAsia" w:ascii="Calibri" w:hAnsi="Calibri" w:cs="Times New Roman"/>
          <w:bCs/>
          <w:sz w:val="24"/>
        </w:rPr>
        <w:t>能够满足专业摄影摄像的要求；</w:t>
      </w:r>
    </w:p>
    <w:p>
      <w:pPr>
        <w:spacing w:line="480" w:lineRule="auto"/>
        <w:ind w:firstLine="480" w:firstLineChars="200"/>
        <w:rPr>
          <w:rFonts w:ascii="Calibri" w:hAnsi="Calibri" w:cs="Times New Roman"/>
          <w:bCs/>
          <w:sz w:val="24"/>
        </w:rPr>
      </w:pPr>
      <w:r>
        <w:rPr>
          <w:rFonts w:hint="eastAsia" w:ascii="Calibri" w:hAnsi="Calibri" w:cs="Times New Roman"/>
          <w:bCs/>
          <w:sz w:val="24"/>
        </w:rPr>
        <w:t>系统及设备体现现代先进水平；</w:t>
      </w:r>
    </w:p>
    <w:p>
      <w:pPr>
        <w:spacing w:line="480" w:lineRule="auto"/>
        <w:ind w:firstLine="480" w:firstLineChars="200"/>
        <w:rPr>
          <w:rFonts w:ascii="Calibri" w:hAnsi="Calibri" w:cs="Times New Roman"/>
          <w:bCs/>
          <w:sz w:val="24"/>
        </w:rPr>
      </w:pPr>
      <w:r>
        <w:rPr>
          <w:rFonts w:hint="eastAsia" w:ascii="Calibri" w:hAnsi="Calibri" w:cs="Times New Roman"/>
          <w:bCs/>
          <w:sz w:val="24"/>
        </w:rPr>
        <w:t>设备运行实施智能化管理，体现快捷、低耗、低成本的特点。</w:t>
      </w:r>
    </w:p>
    <w:p>
      <w:pPr>
        <w:keepNext/>
        <w:keepLines/>
        <w:spacing w:line="360" w:lineRule="auto"/>
        <w:outlineLvl w:val="2"/>
        <w:rPr>
          <w:rFonts w:hint="eastAsia" w:ascii="宋体" w:hAnsi="宋体" w:cs="Times New Roman"/>
          <w:b/>
          <w:sz w:val="24"/>
        </w:rPr>
      </w:pPr>
      <w:bookmarkStart w:id="303" w:name="_Toc83832416"/>
      <w:bookmarkStart w:id="304" w:name="_Toc86851484"/>
      <w:r>
        <w:rPr>
          <w:rFonts w:ascii="宋体" w:hAnsi="宋体" w:cs="Times New Roman"/>
          <w:b/>
          <w:sz w:val="24"/>
        </w:rPr>
        <w:t>2</w:t>
      </w:r>
      <w:r>
        <w:rPr>
          <w:rFonts w:hint="eastAsia" w:ascii="宋体" w:hAnsi="宋体" w:cs="Times New Roman"/>
          <w:b/>
          <w:sz w:val="24"/>
        </w:rPr>
        <w:t>.项目目标</w:t>
      </w:r>
      <w:bookmarkEnd w:id="303"/>
      <w:bookmarkEnd w:id="304"/>
    </w:p>
    <w:p>
      <w:pPr>
        <w:spacing w:line="360" w:lineRule="auto"/>
        <w:ind w:firstLine="480" w:firstLineChars="200"/>
        <w:rPr>
          <w:rFonts w:ascii="宋体" w:hAnsi="宋体" w:cs="Times New Roman"/>
          <w:sz w:val="24"/>
        </w:rPr>
      </w:pPr>
      <w:r>
        <w:rPr>
          <w:rFonts w:hint="eastAsia" w:ascii="宋体" w:hAnsi="宋体" w:cs="Times New Roman"/>
          <w:sz w:val="24"/>
        </w:rPr>
        <w:t>通过对天河区政府大院大会场</w:t>
      </w:r>
      <w:r>
        <w:rPr>
          <w:rFonts w:hint="eastAsia" w:ascii="Calibri" w:hAnsi="Calibri" w:cs="Times New Roman"/>
          <w:bCs/>
          <w:sz w:val="24"/>
        </w:rPr>
        <w:t>“舞台灯光系统”</w:t>
      </w:r>
      <w:r>
        <w:rPr>
          <w:rFonts w:hint="eastAsia" w:ascii="宋体" w:hAnsi="宋体" w:cs="Times New Roman"/>
          <w:sz w:val="24"/>
        </w:rPr>
        <w:t>改造，使</w:t>
      </w:r>
      <w:r>
        <w:rPr>
          <w:rFonts w:hint="eastAsia" w:ascii="Calibri" w:hAnsi="Calibri" w:cs="Times New Roman"/>
          <w:bCs/>
          <w:sz w:val="24"/>
        </w:rPr>
        <w:t>“舞台灯光系统”更加合理与</w:t>
      </w:r>
      <w:r>
        <w:rPr>
          <w:rFonts w:hint="eastAsia" w:ascii="宋体" w:hAnsi="宋体" w:cs="Times New Roman"/>
          <w:sz w:val="24"/>
        </w:rPr>
        <w:t>满足会场使用要求，系统稳定运行有利于保障区相关会议活动的正常开展。</w:t>
      </w:r>
    </w:p>
    <w:p>
      <w:pPr>
        <w:ind w:firstLine="480" w:firstLineChars="200"/>
        <w:rPr>
          <w:rFonts w:cs="Times New Roman"/>
          <w:sz w:val="24"/>
        </w:rPr>
      </w:pPr>
    </w:p>
    <w:p>
      <w:pPr>
        <w:keepNext/>
        <w:keepLines/>
        <w:spacing w:line="360" w:lineRule="auto"/>
        <w:outlineLvl w:val="2"/>
        <w:rPr>
          <w:rFonts w:hint="eastAsia" w:ascii="宋体" w:hAnsi="宋体" w:cs="Times New Roman"/>
          <w:b/>
          <w:sz w:val="24"/>
        </w:rPr>
      </w:pPr>
      <w:bookmarkStart w:id="305" w:name="_Toc83832417"/>
      <w:bookmarkStart w:id="306" w:name="_Toc86851485"/>
      <w:r>
        <w:rPr>
          <w:rFonts w:ascii="宋体" w:hAnsi="宋体" w:cs="Times New Roman"/>
          <w:b/>
          <w:sz w:val="24"/>
        </w:rPr>
        <w:t>3</w:t>
      </w:r>
      <w:r>
        <w:rPr>
          <w:rFonts w:hint="eastAsia" w:ascii="宋体" w:hAnsi="宋体" w:cs="Times New Roman"/>
          <w:b/>
          <w:sz w:val="24"/>
        </w:rPr>
        <w:t>.项目工期要求</w:t>
      </w:r>
      <w:bookmarkEnd w:id="305"/>
      <w:bookmarkEnd w:id="306"/>
    </w:p>
    <w:p>
      <w:pPr>
        <w:spacing w:line="360" w:lineRule="auto"/>
        <w:ind w:firstLine="480" w:firstLineChars="200"/>
        <w:rPr>
          <w:rFonts w:ascii="宋体" w:hAnsi="宋体" w:cs="宋体"/>
          <w:kern w:val="0"/>
          <w:sz w:val="24"/>
        </w:rPr>
      </w:pPr>
      <w:r>
        <w:rPr>
          <w:rFonts w:hint="eastAsia" w:ascii="宋体" w:hAnsi="宋体" w:cs="Times New Roman"/>
          <w:sz w:val="24"/>
        </w:rPr>
        <w:t>★签</w:t>
      </w:r>
      <w:r>
        <w:rPr>
          <w:rFonts w:hint="eastAsia" w:ascii="宋体" w:hAnsi="宋体" w:cs="Times New Roman"/>
          <w:sz w:val="24"/>
          <w:lang w:eastAsia="zh-CN"/>
        </w:rPr>
        <w:t>订</w:t>
      </w:r>
      <w:r>
        <w:rPr>
          <w:rFonts w:ascii="宋体" w:hAnsi="宋体" w:cs="Times New Roman"/>
          <w:sz w:val="24"/>
        </w:rPr>
        <w:t>合同后1</w:t>
      </w:r>
      <w:r>
        <w:rPr>
          <w:rFonts w:hint="eastAsia" w:ascii="宋体" w:hAnsi="宋体" w:cs="Times New Roman"/>
          <w:sz w:val="24"/>
        </w:rPr>
        <w:t>5自然日</w:t>
      </w:r>
      <w:r>
        <w:rPr>
          <w:rFonts w:ascii="宋体" w:hAnsi="宋体" w:cs="Times New Roman"/>
          <w:sz w:val="24"/>
        </w:rPr>
        <w:t>内完成设备到货</w:t>
      </w:r>
      <w:r>
        <w:rPr>
          <w:rFonts w:hint="eastAsia" w:ascii="宋体" w:hAnsi="宋体" w:cs="Times New Roman"/>
          <w:sz w:val="24"/>
        </w:rPr>
        <w:t>、安装调试、与原系统融合、</w:t>
      </w:r>
      <w:r>
        <w:rPr>
          <w:rFonts w:ascii="宋体" w:hAnsi="宋体" w:cs="Times New Roman"/>
          <w:sz w:val="24"/>
        </w:rPr>
        <w:t>安装部署、系统测试</w:t>
      </w:r>
      <w:r>
        <w:rPr>
          <w:rFonts w:hint="eastAsia" w:ascii="宋体" w:hAnsi="宋体" w:cs="Times New Roman"/>
          <w:sz w:val="24"/>
        </w:rPr>
        <w:t>并交付采购人使用。</w:t>
      </w:r>
    </w:p>
    <w:p>
      <w:pPr>
        <w:rPr>
          <w:rFonts w:hint="eastAsia" w:ascii="宋体" w:hAnsi="宋体"/>
          <w:color w:val="000000"/>
          <w:sz w:val="24"/>
        </w:rPr>
      </w:pPr>
    </w:p>
    <w:p>
      <w:pPr>
        <w:keepNext/>
        <w:keepLines/>
        <w:numPr>
          <w:ilvl w:val="0"/>
          <w:numId w:val="46"/>
        </w:numPr>
        <w:spacing w:line="360" w:lineRule="auto"/>
        <w:outlineLvl w:val="2"/>
        <w:rPr>
          <w:rFonts w:hint="eastAsia" w:ascii="宋体" w:hAnsi="宋体" w:cs="Times New Roman"/>
          <w:b/>
          <w:sz w:val="24"/>
        </w:rPr>
      </w:pPr>
      <w:bookmarkStart w:id="307" w:name="_Toc86851486"/>
      <w:r>
        <w:rPr>
          <w:rFonts w:hint="eastAsia" w:ascii="宋体" w:hAnsi="宋体" w:cs="Times New Roman"/>
          <w:b/>
          <w:sz w:val="24"/>
        </w:rPr>
        <w:t>技术规格、参数与要求</w:t>
      </w:r>
      <w:bookmarkEnd w:id="307"/>
    </w:p>
    <w:p>
      <w:pPr>
        <w:keepNext/>
        <w:keepLines/>
        <w:spacing w:line="360" w:lineRule="auto"/>
        <w:jc w:val="left"/>
        <w:outlineLvl w:val="2"/>
        <w:rPr>
          <w:rFonts w:hint="eastAsia" w:ascii="宋体" w:hAnsi="宋体" w:cs="Times New Roman"/>
          <w:b/>
          <w:sz w:val="24"/>
        </w:rPr>
      </w:pPr>
      <w:bookmarkStart w:id="308" w:name="_Toc86851487"/>
      <w:r>
        <w:rPr>
          <w:rFonts w:hint="eastAsia" w:cs="Times New Roman"/>
          <w:szCs w:val="22"/>
        </w:rPr>
        <w:t>4.1、通用技术规范与要求</w:t>
      </w:r>
      <w:bookmarkEnd w:id="308"/>
    </w:p>
    <w:p>
      <w:pPr>
        <w:spacing w:before="200" w:after="180"/>
        <w:outlineLvl w:val="0"/>
        <w:rPr>
          <w:rFonts w:ascii="宋体" w:hAnsi="宋体" w:cs="Times New Roman"/>
          <w:kern w:val="44"/>
          <w:szCs w:val="22"/>
        </w:rPr>
      </w:pPr>
      <w:bookmarkStart w:id="309" w:name="_Toc289505950"/>
      <w:bookmarkStart w:id="310" w:name="_Toc86851488"/>
      <w:r>
        <w:rPr>
          <w:rFonts w:hint="eastAsia" w:ascii="宋体" w:hAnsi="宋体" w:cs="Times New Roman"/>
          <w:kern w:val="44"/>
          <w:szCs w:val="22"/>
        </w:rPr>
        <w:t>采用标准</w:t>
      </w:r>
      <w:bookmarkEnd w:id="309"/>
      <w:r>
        <w:rPr>
          <w:rFonts w:hint="eastAsia" w:ascii="宋体" w:hAnsi="宋体" w:cs="Times New Roman"/>
          <w:kern w:val="44"/>
          <w:szCs w:val="22"/>
        </w:rPr>
        <w:t>：</w:t>
      </w:r>
      <w:bookmarkEnd w:id="310"/>
    </w:p>
    <w:p>
      <w:pPr>
        <w:tabs>
          <w:tab w:val="left" w:pos="945"/>
        </w:tabs>
        <w:autoSpaceDE w:val="0"/>
        <w:autoSpaceDN w:val="0"/>
        <w:spacing w:line="300" w:lineRule="auto"/>
        <w:rPr>
          <w:rFonts w:ascii="宋体" w:hAnsi="宋体" w:cs="Arial"/>
          <w:szCs w:val="21"/>
        </w:rPr>
      </w:pPr>
      <w:r>
        <w:rPr>
          <w:rFonts w:hint="eastAsia" w:ascii="宋体" w:hAnsi="宋体" w:cs="Arial"/>
          <w:szCs w:val="21"/>
        </w:rPr>
        <w:t>JGJ 57-2016 剧场建筑设计规范</w:t>
      </w:r>
    </w:p>
    <w:p>
      <w:pPr>
        <w:tabs>
          <w:tab w:val="left" w:pos="945"/>
        </w:tabs>
        <w:autoSpaceDE w:val="0"/>
        <w:autoSpaceDN w:val="0"/>
        <w:spacing w:line="300" w:lineRule="auto"/>
        <w:rPr>
          <w:rFonts w:ascii="宋体" w:hAnsi="宋体" w:cs="Arial"/>
          <w:szCs w:val="21"/>
        </w:rPr>
      </w:pPr>
      <w:r>
        <w:rPr>
          <w:rFonts w:hint="eastAsia" w:ascii="宋体" w:hAnsi="宋体" w:cs="Arial"/>
          <w:szCs w:val="21"/>
        </w:rPr>
        <w:t>GB 7000.217-2008 《灯具 第2-17部分：特殊要求 舞台灯光、电视、电影及摄影场所（室内外）用灯具》</w:t>
      </w:r>
    </w:p>
    <w:p>
      <w:pPr>
        <w:tabs>
          <w:tab w:val="left" w:pos="945"/>
        </w:tabs>
        <w:autoSpaceDE w:val="0"/>
        <w:autoSpaceDN w:val="0"/>
        <w:spacing w:line="300" w:lineRule="auto"/>
        <w:rPr>
          <w:rFonts w:ascii="宋体" w:hAnsi="宋体" w:cs="Arial"/>
          <w:szCs w:val="21"/>
        </w:rPr>
      </w:pPr>
      <w:r>
        <w:rPr>
          <w:rFonts w:ascii="宋体" w:hAnsi="宋体" w:cs="Arial"/>
          <w:szCs w:val="21"/>
        </w:rPr>
        <w:t>GBJ16—87</w:t>
      </w:r>
      <w:r>
        <w:rPr>
          <w:rFonts w:hint="eastAsia" w:ascii="宋体" w:hAnsi="宋体" w:cs="宋体"/>
          <w:szCs w:val="21"/>
          <w:lang w:val="zh-CN"/>
        </w:rPr>
        <w:t>（</w:t>
      </w:r>
      <w:r>
        <w:rPr>
          <w:rFonts w:ascii="宋体" w:hAnsi="宋体" w:cs="Arial"/>
          <w:szCs w:val="21"/>
        </w:rPr>
        <w:t>2001</w:t>
      </w:r>
      <w:r>
        <w:rPr>
          <w:rFonts w:hint="eastAsia" w:ascii="宋体" w:hAnsi="宋体" w:cs="宋体"/>
          <w:szCs w:val="21"/>
          <w:lang w:val="zh-CN"/>
        </w:rPr>
        <w:t>修订版）《建筑设计防火规范》</w:t>
      </w:r>
    </w:p>
    <w:p>
      <w:pPr>
        <w:tabs>
          <w:tab w:val="left" w:pos="945"/>
        </w:tabs>
        <w:autoSpaceDE w:val="0"/>
        <w:autoSpaceDN w:val="0"/>
        <w:spacing w:line="300" w:lineRule="auto"/>
        <w:rPr>
          <w:rFonts w:ascii="宋体" w:hAnsi="宋体" w:cs="Arial"/>
          <w:szCs w:val="21"/>
        </w:rPr>
      </w:pPr>
      <w:r>
        <w:rPr>
          <w:rFonts w:ascii="宋体" w:hAnsi="宋体" w:cs="Arial"/>
          <w:szCs w:val="21"/>
        </w:rPr>
        <w:t>GB</w:t>
      </w:r>
      <w:r>
        <w:rPr>
          <w:rFonts w:hint="eastAsia" w:ascii="宋体" w:hAnsi="宋体" w:cs="Arial"/>
          <w:szCs w:val="21"/>
        </w:rPr>
        <w:t>50217/94电缆设计规范</w:t>
      </w:r>
    </w:p>
    <w:p>
      <w:pPr>
        <w:tabs>
          <w:tab w:val="left" w:pos="945"/>
        </w:tabs>
        <w:autoSpaceDE w:val="0"/>
        <w:autoSpaceDN w:val="0"/>
        <w:spacing w:line="300" w:lineRule="auto"/>
        <w:rPr>
          <w:rFonts w:ascii="宋体" w:hAnsi="宋体" w:cs="Arial"/>
          <w:szCs w:val="21"/>
        </w:rPr>
      </w:pPr>
      <w:r>
        <w:rPr>
          <w:rFonts w:ascii="宋体" w:hAnsi="宋体" w:cs="Arial"/>
          <w:szCs w:val="21"/>
        </w:rPr>
        <w:t>GB50259-96</w:t>
      </w:r>
      <w:r>
        <w:rPr>
          <w:rFonts w:hint="eastAsia" w:ascii="宋体" w:hAnsi="宋体" w:cs="宋体"/>
          <w:szCs w:val="21"/>
          <w:lang w:val="zh-CN"/>
        </w:rPr>
        <w:t>《电气装置安装工程电气照明装置施工及验收规范》</w:t>
      </w:r>
    </w:p>
    <w:p>
      <w:pPr>
        <w:spacing w:line="360" w:lineRule="auto"/>
        <w:jc w:val="left"/>
        <w:rPr>
          <w:rFonts w:ascii="宋体" w:hAnsi="宋体" w:cs="Arial"/>
          <w:szCs w:val="21"/>
        </w:rPr>
      </w:pPr>
      <w:r>
        <w:rPr>
          <w:rFonts w:hint="eastAsia" w:ascii="宋体" w:hAnsi="宋体" w:cs="Arial"/>
          <w:szCs w:val="21"/>
        </w:rPr>
        <w:t>GB/T 11918-2001</w:t>
      </w:r>
      <w:r>
        <w:rPr>
          <w:rFonts w:hint="eastAsia" w:ascii="宋体" w:hAnsi="宋体" w:cs="Arial"/>
          <w:szCs w:val="21"/>
        </w:rPr>
        <w:tab/>
      </w:r>
      <w:r>
        <w:rPr>
          <w:rFonts w:hint="eastAsia" w:ascii="宋体" w:hAnsi="宋体" w:cs="Arial"/>
          <w:szCs w:val="21"/>
        </w:rPr>
        <w:t>工业用插头插座和耦合器  第1部分：通用要求</w:t>
      </w:r>
    </w:p>
    <w:p>
      <w:pPr>
        <w:spacing w:line="360" w:lineRule="auto"/>
        <w:jc w:val="left"/>
        <w:rPr>
          <w:rFonts w:ascii="宋体" w:hAnsi="宋体" w:cs="Arial"/>
          <w:szCs w:val="21"/>
        </w:rPr>
      </w:pPr>
      <w:r>
        <w:rPr>
          <w:rFonts w:hint="eastAsia" w:ascii="宋体" w:hAnsi="宋体" w:cs="Arial"/>
          <w:szCs w:val="21"/>
        </w:rPr>
        <w:t>GB/T 11919-2001工业用插头插座和耦合器  第2部分：带插销和插套的电器附件的尺寸互换性要求</w:t>
      </w:r>
    </w:p>
    <w:p>
      <w:pPr>
        <w:tabs>
          <w:tab w:val="left" w:pos="945"/>
        </w:tabs>
        <w:autoSpaceDE w:val="0"/>
        <w:autoSpaceDN w:val="0"/>
        <w:spacing w:line="300" w:lineRule="auto"/>
        <w:rPr>
          <w:rFonts w:ascii="宋体" w:hAnsi="宋体" w:cs="Arial"/>
          <w:szCs w:val="21"/>
        </w:rPr>
      </w:pPr>
      <w:r>
        <w:rPr>
          <w:rFonts w:ascii="宋体" w:hAnsi="宋体" w:cs="Arial"/>
          <w:szCs w:val="21"/>
        </w:rPr>
        <w:t>WH-0202-</w:t>
      </w:r>
      <w:r>
        <w:rPr>
          <w:rFonts w:hint="eastAsia" w:ascii="宋体" w:hAnsi="宋体" w:cs="Arial"/>
          <w:szCs w:val="21"/>
        </w:rPr>
        <w:t>19</w:t>
      </w:r>
      <w:r>
        <w:rPr>
          <w:rFonts w:ascii="宋体" w:hAnsi="宋体" w:cs="Arial"/>
          <w:szCs w:val="21"/>
        </w:rPr>
        <w:t>9</w:t>
      </w:r>
      <w:r>
        <w:rPr>
          <w:rFonts w:hint="eastAsia" w:ascii="宋体" w:hAnsi="宋体" w:cs="Arial"/>
          <w:szCs w:val="21"/>
        </w:rPr>
        <w:t>5</w:t>
      </w:r>
      <w:r>
        <w:rPr>
          <w:rFonts w:hint="eastAsia" w:ascii="宋体" w:hAnsi="宋体" w:cs="宋体"/>
          <w:szCs w:val="21"/>
          <w:lang w:val="zh-CN"/>
        </w:rPr>
        <w:t>《舞台灯光图符代号及制图规则》</w:t>
      </w:r>
    </w:p>
    <w:p>
      <w:pPr>
        <w:tabs>
          <w:tab w:val="left" w:pos="945"/>
        </w:tabs>
        <w:autoSpaceDE w:val="0"/>
        <w:autoSpaceDN w:val="0"/>
        <w:spacing w:line="300" w:lineRule="auto"/>
        <w:rPr>
          <w:rFonts w:ascii="宋体" w:hAnsi="宋体" w:cs="Arial"/>
          <w:szCs w:val="21"/>
        </w:rPr>
      </w:pPr>
      <w:r>
        <w:rPr>
          <w:rFonts w:ascii="宋体" w:hAnsi="宋体" w:cs="Arial"/>
          <w:szCs w:val="21"/>
        </w:rPr>
        <w:t>WH</w:t>
      </w:r>
      <w:r>
        <w:rPr>
          <w:rFonts w:hint="eastAsia" w:ascii="宋体" w:hAnsi="宋体" w:cs="Arial"/>
          <w:szCs w:val="21"/>
        </w:rPr>
        <w:t>/T26</w:t>
      </w:r>
      <w:r>
        <w:rPr>
          <w:rFonts w:ascii="宋体" w:hAnsi="宋体" w:cs="Arial"/>
          <w:szCs w:val="21"/>
        </w:rPr>
        <w:t>-</w:t>
      </w:r>
      <w:r>
        <w:rPr>
          <w:rFonts w:hint="eastAsia" w:ascii="宋体" w:hAnsi="宋体" w:cs="Arial"/>
          <w:szCs w:val="21"/>
        </w:rPr>
        <w:t>2000</w:t>
      </w:r>
      <w:r>
        <w:rPr>
          <w:rFonts w:hint="eastAsia" w:ascii="宋体" w:hAnsi="宋体" w:cs="宋体"/>
          <w:szCs w:val="21"/>
          <w:lang w:val="zh-CN"/>
        </w:rPr>
        <w:t>《舞台灯具光度测试与标注》</w:t>
      </w:r>
    </w:p>
    <w:p>
      <w:pPr>
        <w:tabs>
          <w:tab w:val="left" w:pos="945"/>
        </w:tabs>
        <w:autoSpaceDE w:val="0"/>
        <w:autoSpaceDN w:val="0"/>
        <w:spacing w:line="300" w:lineRule="auto"/>
        <w:rPr>
          <w:rFonts w:ascii="宋体" w:hAnsi="宋体" w:cs="Arial"/>
          <w:szCs w:val="21"/>
        </w:rPr>
      </w:pPr>
      <w:r>
        <w:rPr>
          <w:rFonts w:ascii="宋体" w:hAnsi="宋体" w:cs="Arial"/>
          <w:szCs w:val="21"/>
        </w:rPr>
        <w:t>GB/T15734-1995</w:t>
      </w:r>
      <w:r>
        <w:rPr>
          <w:rFonts w:hint="eastAsia" w:ascii="宋体" w:hAnsi="宋体" w:cs="宋体"/>
          <w:szCs w:val="21"/>
          <w:lang w:val="zh-CN"/>
        </w:rPr>
        <w:t>《电子调光设备无线电骚扰特性限值及测量方法》</w:t>
      </w:r>
    </w:p>
    <w:p>
      <w:pPr>
        <w:tabs>
          <w:tab w:val="left" w:pos="945"/>
        </w:tabs>
        <w:autoSpaceDE w:val="0"/>
        <w:autoSpaceDN w:val="0"/>
        <w:spacing w:line="300" w:lineRule="auto"/>
        <w:rPr>
          <w:rFonts w:ascii="宋体" w:hAnsi="宋体" w:cs="Arial"/>
          <w:szCs w:val="21"/>
        </w:rPr>
      </w:pPr>
      <w:r>
        <w:rPr>
          <w:rFonts w:ascii="宋体" w:hAnsi="宋体" w:cs="Arial"/>
          <w:szCs w:val="21"/>
        </w:rPr>
        <w:t>GB/T7002-86</w:t>
      </w:r>
      <w:r>
        <w:rPr>
          <w:rFonts w:hint="eastAsia" w:ascii="宋体" w:hAnsi="宋体" w:cs="宋体"/>
          <w:szCs w:val="21"/>
          <w:lang w:val="zh-CN"/>
        </w:rPr>
        <w:t>《投光照明灯具光度测试》</w:t>
      </w:r>
    </w:p>
    <w:p>
      <w:pPr>
        <w:tabs>
          <w:tab w:val="left" w:pos="945"/>
        </w:tabs>
        <w:autoSpaceDE w:val="0"/>
        <w:autoSpaceDN w:val="0"/>
        <w:spacing w:line="300" w:lineRule="auto"/>
        <w:rPr>
          <w:rFonts w:ascii="宋体" w:hAnsi="宋体" w:cs="Arial"/>
          <w:szCs w:val="21"/>
        </w:rPr>
      </w:pPr>
      <w:r>
        <w:rPr>
          <w:rFonts w:ascii="宋体" w:hAnsi="宋体" w:cs="Arial"/>
          <w:szCs w:val="21"/>
        </w:rPr>
        <w:t>GB7000.14-2000</w:t>
      </w:r>
      <w:r>
        <w:rPr>
          <w:rFonts w:hint="eastAsia" w:ascii="宋体" w:hAnsi="宋体" w:cs="宋体"/>
          <w:szCs w:val="21"/>
          <w:lang w:val="zh-CN"/>
        </w:rPr>
        <w:t>《通风式灯具安全要求》</w:t>
      </w:r>
    </w:p>
    <w:p>
      <w:pPr>
        <w:tabs>
          <w:tab w:val="left" w:pos="945"/>
        </w:tabs>
        <w:autoSpaceDE w:val="0"/>
        <w:autoSpaceDN w:val="0"/>
        <w:spacing w:line="300" w:lineRule="auto"/>
        <w:rPr>
          <w:rFonts w:ascii="宋体" w:hAnsi="宋体" w:cs="Arial"/>
          <w:szCs w:val="21"/>
        </w:rPr>
      </w:pPr>
      <w:r>
        <w:rPr>
          <w:rFonts w:ascii="宋体" w:hAnsi="宋体" w:cs="Arial"/>
          <w:szCs w:val="21"/>
        </w:rPr>
        <w:t>GB7000.15-2000</w:t>
      </w:r>
      <w:r>
        <w:rPr>
          <w:rFonts w:hint="eastAsia" w:ascii="宋体" w:hAnsi="宋体" w:cs="宋体"/>
          <w:szCs w:val="21"/>
          <w:lang w:val="zh-CN"/>
        </w:rPr>
        <w:t>《舞台灯光、电视、电影及摄影场所（室内外）用灯具安全要求》</w:t>
      </w:r>
    </w:p>
    <w:p>
      <w:pPr>
        <w:tabs>
          <w:tab w:val="left" w:pos="945"/>
        </w:tabs>
        <w:autoSpaceDE w:val="0"/>
        <w:autoSpaceDN w:val="0"/>
        <w:spacing w:line="300" w:lineRule="auto"/>
        <w:rPr>
          <w:rFonts w:ascii="宋体" w:hAnsi="宋体" w:cs="Arial"/>
          <w:szCs w:val="21"/>
        </w:rPr>
      </w:pPr>
      <w:r>
        <w:rPr>
          <w:rFonts w:hint="eastAsia" w:ascii="宋体" w:hAnsi="宋体" w:cs="Arial"/>
          <w:szCs w:val="21"/>
        </w:rPr>
        <w:t>WH/T31-2008《舞台灯光设计常用术语》</w:t>
      </w:r>
    </w:p>
    <w:p>
      <w:pPr>
        <w:tabs>
          <w:tab w:val="left" w:pos="945"/>
        </w:tabs>
        <w:autoSpaceDE w:val="0"/>
        <w:autoSpaceDN w:val="0"/>
        <w:spacing w:line="300" w:lineRule="auto"/>
        <w:rPr>
          <w:rFonts w:ascii="宋体" w:hAnsi="宋体" w:cs="Arial"/>
          <w:szCs w:val="21"/>
        </w:rPr>
      </w:pPr>
      <w:r>
        <w:rPr>
          <w:rFonts w:hint="eastAsia" w:ascii="宋体" w:hAnsi="宋体" w:cs="Arial"/>
          <w:szCs w:val="21"/>
        </w:rPr>
        <w:t>WH/T32-2008《DMX-512A灯光控制数据传输协议》</w:t>
      </w:r>
    </w:p>
    <w:p>
      <w:pPr>
        <w:spacing w:before="200" w:after="180"/>
        <w:outlineLvl w:val="0"/>
        <w:rPr>
          <w:rFonts w:ascii="宋体" w:hAnsi="宋体" w:cs="Times New Roman"/>
          <w:kern w:val="44"/>
          <w:szCs w:val="22"/>
        </w:rPr>
      </w:pPr>
      <w:bookmarkStart w:id="311" w:name="_Toc289505951"/>
      <w:bookmarkStart w:id="312" w:name="_Toc86851489"/>
      <w:r>
        <w:rPr>
          <w:rFonts w:hint="eastAsia" w:ascii="宋体" w:hAnsi="宋体" w:cs="Times New Roman"/>
          <w:kern w:val="44"/>
          <w:szCs w:val="22"/>
        </w:rPr>
        <w:t>设备的通用要求</w:t>
      </w:r>
      <w:bookmarkEnd w:id="311"/>
      <w:bookmarkEnd w:id="312"/>
    </w:p>
    <w:p>
      <w:pPr>
        <w:autoSpaceDE w:val="0"/>
        <w:autoSpaceDN w:val="0"/>
        <w:spacing w:line="300" w:lineRule="auto"/>
        <w:ind w:firstLine="420" w:firstLineChars="200"/>
        <w:rPr>
          <w:rFonts w:ascii="Arial" w:hAnsi="Arial" w:cs="Arial"/>
          <w:szCs w:val="21"/>
        </w:rPr>
      </w:pPr>
      <w:r>
        <w:rPr>
          <w:rFonts w:hint="eastAsia" w:ascii="宋体" w:hAnsi="Arial" w:cs="宋体"/>
          <w:szCs w:val="21"/>
          <w:lang w:val="zh-CN"/>
        </w:rPr>
        <w:t>除非另有规定，以下条款适用于所有灯光设备、灯具、网络设备。</w:t>
      </w:r>
    </w:p>
    <w:p>
      <w:pPr>
        <w:outlineLvl w:val="1"/>
        <w:rPr>
          <w:rFonts w:cs="Times New Roman"/>
          <w:szCs w:val="22"/>
        </w:rPr>
      </w:pPr>
      <w:bookmarkStart w:id="313" w:name="_Toc86851490"/>
      <w:r>
        <w:rPr>
          <w:rFonts w:hint="eastAsia" w:cs="Times New Roman"/>
          <w:szCs w:val="22"/>
        </w:rPr>
        <w:t>一般原则</w:t>
      </w:r>
      <w:bookmarkEnd w:id="313"/>
    </w:p>
    <w:p>
      <w:pPr>
        <w:numPr>
          <w:ilvl w:val="0"/>
          <w:numId w:val="47"/>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用于舞台工程系统所有的设备，应尽量采用标准化部件及零件，采用制造厂商生产的标准产品。</w:t>
      </w:r>
    </w:p>
    <w:p>
      <w:pPr>
        <w:numPr>
          <w:ilvl w:val="0"/>
          <w:numId w:val="47"/>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设备所用的所有材料必须是全新的，材料应符合有关标准并具有检验及质量合格证。不得使用低于设计标准的产品。</w:t>
      </w:r>
    </w:p>
    <w:p>
      <w:pPr>
        <w:numPr>
          <w:ilvl w:val="0"/>
          <w:numId w:val="47"/>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设备零部件的制造工艺应是高质量的，所有制造、加工、焊接、组装、布线、试验及其它工作，均由经过培训的、有经验的技术工人或专业人员承担责任完成。</w:t>
      </w:r>
    </w:p>
    <w:p>
      <w:pPr>
        <w:numPr>
          <w:ilvl w:val="0"/>
          <w:numId w:val="47"/>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设计时应考虑一般维修工作的简单及快捷，只需进行少量的拆卸工作即可对所有电器和灯光部件进行检查和维修。电子设备、计算机及控制设备应有自诊断系统以简化寻找故障和便于设备维修，不用拆下承装部件就能更换任何损坏部件，更换部件时也不会损坏其它部件，维修控制不需要使用特殊工具，只需一般工具和试验设备。</w:t>
      </w:r>
    </w:p>
    <w:p>
      <w:pPr>
        <w:numPr>
          <w:ilvl w:val="0"/>
          <w:numId w:val="47"/>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设备设计时应考虑易于工地组装，现场安装快速高效。电气和控制设备应有合理的分组，发货前在工厂进行过预试验，以减少现场试验的时间。</w:t>
      </w:r>
    </w:p>
    <w:p>
      <w:pPr>
        <w:numPr>
          <w:ilvl w:val="0"/>
          <w:numId w:val="47"/>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灯光和电气系统的设计应使其所有零部件具有在额定值</w:t>
      </w:r>
      <w:r>
        <w:rPr>
          <w:rFonts w:ascii="宋体" w:hAnsi="Arial" w:cs="宋体"/>
          <w:szCs w:val="21"/>
          <w:lang w:val="zh-CN"/>
        </w:rPr>
        <w:t>(</w:t>
      </w:r>
      <w:r>
        <w:rPr>
          <w:rFonts w:hint="eastAsia" w:ascii="宋体" w:hAnsi="Arial" w:cs="宋体"/>
          <w:szCs w:val="21"/>
          <w:lang w:val="zh-CN"/>
        </w:rPr>
        <w:t>额定负荷</w:t>
      </w:r>
      <w:r>
        <w:rPr>
          <w:rFonts w:ascii="宋体" w:hAnsi="Arial" w:cs="宋体"/>
          <w:szCs w:val="21"/>
          <w:lang w:val="zh-CN"/>
        </w:rPr>
        <w:t>)</w:t>
      </w:r>
      <w:r>
        <w:rPr>
          <w:rFonts w:hint="eastAsia" w:ascii="宋体" w:hAnsi="Arial" w:cs="宋体"/>
          <w:szCs w:val="21"/>
          <w:lang w:val="zh-CN"/>
        </w:rPr>
        <w:t>下工作的能力。</w:t>
      </w:r>
    </w:p>
    <w:p>
      <w:pPr>
        <w:numPr>
          <w:ilvl w:val="0"/>
          <w:numId w:val="47"/>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所有灯光、电气设备应有良好的外包装设计，满足运输和现场储存的防护要求。</w:t>
      </w:r>
    </w:p>
    <w:p>
      <w:pPr>
        <w:outlineLvl w:val="1"/>
        <w:rPr>
          <w:rFonts w:cs="Times New Roman"/>
          <w:szCs w:val="22"/>
        </w:rPr>
      </w:pPr>
      <w:bookmarkStart w:id="314" w:name="_Toc86851491"/>
      <w:r>
        <w:rPr>
          <w:rFonts w:hint="eastAsia" w:cs="Times New Roman"/>
          <w:szCs w:val="22"/>
        </w:rPr>
        <w:t>安全设计</w:t>
      </w:r>
      <w:bookmarkEnd w:id="314"/>
    </w:p>
    <w:p>
      <w:pPr>
        <w:tabs>
          <w:tab w:val="left" w:pos="851"/>
        </w:tabs>
        <w:autoSpaceDE w:val="0"/>
        <w:autoSpaceDN w:val="0"/>
        <w:spacing w:line="300" w:lineRule="auto"/>
        <w:outlineLvl w:val="0"/>
        <w:rPr>
          <w:rFonts w:ascii="Arial" w:hAnsi="Arial" w:cs="Arial"/>
          <w:szCs w:val="21"/>
        </w:rPr>
      </w:pPr>
      <w:bookmarkStart w:id="315" w:name="_Toc86851492"/>
      <w:r>
        <w:rPr>
          <w:rFonts w:hint="eastAsia" w:ascii="宋体" w:hAnsi="Arial" w:cs="宋体"/>
          <w:szCs w:val="21"/>
          <w:lang w:val="zh-CN"/>
        </w:rPr>
        <w:t>人身安全</w:t>
      </w:r>
      <w:bookmarkEnd w:id="315"/>
    </w:p>
    <w:p>
      <w:pPr>
        <w:numPr>
          <w:ilvl w:val="0"/>
          <w:numId w:val="48"/>
        </w:numPr>
        <w:tabs>
          <w:tab w:val="left" w:pos="284"/>
          <w:tab w:val="left" w:pos="162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所有设备和装置均应满足相应的安全标准和操作规程，符合安全卫生要求。保证用户在安全工作环境下使用和维修设备。</w:t>
      </w:r>
    </w:p>
    <w:p>
      <w:pPr>
        <w:numPr>
          <w:ilvl w:val="0"/>
          <w:numId w:val="48"/>
        </w:numPr>
        <w:tabs>
          <w:tab w:val="left" w:pos="284"/>
          <w:tab w:val="left" w:pos="162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所有灯光、电气控制系统应具有故障自动保护功能，以保证灯光和电气控制系统对人身是安全的。</w:t>
      </w:r>
    </w:p>
    <w:p>
      <w:pPr>
        <w:numPr>
          <w:ilvl w:val="0"/>
          <w:numId w:val="48"/>
        </w:numPr>
        <w:tabs>
          <w:tab w:val="left" w:pos="284"/>
          <w:tab w:val="left" w:pos="162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所有电线、电缆应为低烟无卤型耐火型或阻燃型电缆，减少事故的发生或避免发生事故时有害烟雾对人员的伤害。</w:t>
      </w:r>
    </w:p>
    <w:p>
      <w:pPr>
        <w:tabs>
          <w:tab w:val="left" w:pos="851"/>
        </w:tabs>
        <w:autoSpaceDE w:val="0"/>
        <w:autoSpaceDN w:val="0"/>
        <w:spacing w:line="360" w:lineRule="auto"/>
        <w:rPr>
          <w:rFonts w:ascii="Arial" w:hAnsi="Arial" w:cs="Arial"/>
          <w:szCs w:val="21"/>
        </w:rPr>
      </w:pPr>
      <w:r>
        <w:rPr>
          <w:rFonts w:hint="eastAsia" w:ascii="宋体" w:hAnsi="Arial" w:cs="宋体"/>
          <w:szCs w:val="21"/>
          <w:lang w:val="zh-CN"/>
        </w:rPr>
        <w:t>安全装置与备用系统</w:t>
      </w:r>
    </w:p>
    <w:p>
      <w:pPr>
        <w:numPr>
          <w:ilvl w:val="0"/>
          <w:numId w:val="49"/>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控制系统的备用：操作控制系统采用冗余设计，多级在线备用，确保系统安全可靠，计算机系统应设有两台主机，互为备用，并均能独立完成所有操作。</w:t>
      </w:r>
    </w:p>
    <w:p>
      <w:pPr>
        <w:numPr>
          <w:ilvl w:val="0"/>
          <w:numId w:val="49"/>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设置</w:t>
      </w:r>
      <w:r>
        <w:rPr>
          <w:rFonts w:ascii="宋体" w:hAnsi="Arial" w:cs="宋体"/>
          <w:szCs w:val="21"/>
          <w:lang w:val="zh-CN"/>
        </w:rPr>
        <w:t>UPS</w:t>
      </w:r>
      <w:r>
        <w:rPr>
          <w:rFonts w:hint="eastAsia" w:ascii="宋体" w:hAnsi="Arial" w:cs="宋体"/>
          <w:szCs w:val="21"/>
          <w:lang w:val="zh-CN"/>
        </w:rPr>
        <w:t>电源，如果发生停电，可以进行控制数据等保护。</w:t>
      </w:r>
    </w:p>
    <w:p>
      <w:pPr>
        <w:numPr>
          <w:ilvl w:val="0"/>
          <w:numId w:val="49"/>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舞台灯光设备的电源：</w:t>
      </w:r>
      <w:r>
        <w:rPr>
          <w:rFonts w:ascii="宋体" w:hAnsi="Arial" w:cs="宋体"/>
          <w:szCs w:val="21"/>
          <w:lang w:val="zh-CN"/>
        </w:rPr>
        <w:t>380VAC/220VAC</w:t>
      </w:r>
      <w:r>
        <w:rPr>
          <w:rFonts w:hint="eastAsia" w:ascii="宋体" w:hAnsi="Arial" w:cs="宋体"/>
          <w:szCs w:val="21"/>
          <w:lang w:val="zh-CN"/>
        </w:rPr>
        <w:t>、配电系统为</w:t>
      </w:r>
      <w:r>
        <w:rPr>
          <w:rFonts w:ascii="宋体" w:hAnsi="Arial" w:cs="宋体"/>
          <w:szCs w:val="21"/>
          <w:lang w:val="zh-CN"/>
        </w:rPr>
        <w:t>TN-S</w:t>
      </w:r>
      <w:r>
        <w:rPr>
          <w:rFonts w:hint="eastAsia" w:ascii="宋体" w:hAnsi="Arial" w:cs="宋体"/>
          <w:szCs w:val="21"/>
          <w:lang w:val="zh-CN"/>
        </w:rPr>
        <w:t>系统（</w:t>
      </w:r>
      <w:r>
        <w:rPr>
          <w:rFonts w:ascii="宋体" w:hAnsi="Arial" w:cs="宋体"/>
          <w:szCs w:val="21"/>
          <w:lang w:val="zh-CN"/>
        </w:rPr>
        <w:t>N</w:t>
      </w:r>
      <w:r>
        <w:rPr>
          <w:rFonts w:hint="eastAsia" w:ascii="宋体" w:hAnsi="Arial" w:cs="宋体"/>
          <w:szCs w:val="21"/>
          <w:lang w:val="zh-CN"/>
        </w:rPr>
        <w:t>线和</w:t>
      </w:r>
      <w:r>
        <w:rPr>
          <w:rFonts w:ascii="宋体" w:hAnsi="Arial" w:cs="宋体"/>
          <w:szCs w:val="21"/>
          <w:lang w:val="zh-CN"/>
        </w:rPr>
        <w:t>PE</w:t>
      </w:r>
      <w:r>
        <w:rPr>
          <w:rFonts w:hint="eastAsia" w:ascii="宋体" w:hAnsi="Arial" w:cs="宋体"/>
          <w:szCs w:val="21"/>
          <w:lang w:val="zh-CN"/>
        </w:rPr>
        <w:t>线分开）。</w:t>
      </w:r>
    </w:p>
    <w:p>
      <w:pPr>
        <w:numPr>
          <w:ilvl w:val="0"/>
          <w:numId w:val="49"/>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控制系统应设在线式不间断电源（</w:t>
      </w:r>
      <w:r>
        <w:rPr>
          <w:rFonts w:ascii="宋体" w:hAnsi="Arial" w:cs="宋体"/>
          <w:szCs w:val="21"/>
          <w:lang w:val="zh-CN"/>
        </w:rPr>
        <w:t>UPS</w:t>
      </w:r>
      <w:r>
        <w:rPr>
          <w:rFonts w:hint="eastAsia" w:ascii="宋体" w:hAnsi="Arial" w:cs="宋体"/>
          <w:szCs w:val="21"/>
          <w:lang w:val="zh-CN"/>
        </w:rPr>
        <w:t>）供电。当主电源出现故障时，</w:t>
      </w:r>
      <w:r>
        <w:rPr>
          <w:rFonts w:ascii="宋体" w:hAnsi="Arial" w:cs="宋体"/>
          <w:szCs w:val="21"/>
          <w:lang w:val="zh-CN"/>
        </w:rPr>
        <w:t>UPS</w:t>
      </w:r>
      <w:r>
        <w:rPr>
          <w:rFonts w:hint="eastAsia" w:ascii="宋体" w:hAnsi="Arial" w:cs="宋体"/>
          <w:szCs w:val="21"/>
          <w:lang w:val="zh-CN"/>
        </w:rPr>
        <w:t>可以向控制系统供电；当主电源恢复时，控制系统应自动由恢复后的主电源供电。</w:t>
      </w:r>
      <w:r>
        <w:rPr>
          <w:rFonts w:ascii="宋体" w:hAnsi="Arial" w:cs="宋体"/>
          <w:szCs w:val="21"/>
          <w:lang w:val="zh-CN"/>
        </w:rPr>
        <w:t>UPS</w:t>
      </w:r>
      <w:r>
        <w:rPr>
          <w:rFonts w:hint="eastAsia" w:ascii="宋体" w:hAnsi="Arial" w:cs="宋体"/>
          <w:szCs w:val="21"/>
          <w:lang w:val="zh-CN"/>
        </w:rPr>
        <w:t>的容量应满足控制系统运行</w:t>
      </w:r>
      <w:r>
        <w:rPr>
          <w:rFonts w:ascii="宋体" w:hAnsi="Arial" w:cs="宋体"/>
          <w:szCs w:val="21"/>
          <w:lang w:val="zh-CN"/>
        </w:rPr>
        <w:t>1</w:t>
      </w:r>
      <w:r>
        <w:rPr>
          <w:rFonts w:hint="eastAsia" w:ascii="宋体" w:hAnsi="Arial" w:cs="宋体"/>
          <w:szCs w:val="21"/>
          <w:lang w:val="zh-CN"/>
        </w:rPr>
        <w:t>小时。</w:t>
      </w:r>
      <w:r>
        <w:rPr>
          <w:rFonts w:ascii="宋体" w:hAnsi="Arial" w:cs="宋体"/>
          <w:szCs w:val="21"/>
          <w:lang w:val="zh-CN"/>
        </w:rPr>
        <w:t>UPS</w:t>
      </w:r>
      <w:r>
        <w:rPr>
          <w:rFonts w:hint="eastAsia" w:ascii="宋体" w:hAnsi="Arial" w:cs="宋体"/>
          <w:szCs w:val="21"/>
          <w:lang w:val="zh-CN"/>
        </w:rPr>
        <w:t>装置应有故障显示、报警、故障诊断和保护措施。当</w:t>
      </w:r>
      <w:r>
        <w:rPr>
          <w:rFonts w:ascii="宋体" w:hAnsi="Arial" w:cs="宋体"/>
          <w:szCs w:val="21"/>
          <w:lang w:val="zh-CN"/>
        </w:rPr>
        <w:t>UPS</w:t>
      </w:r>
      <w:r>
        <w:rPr>
          <w:rFonts w:hint="eastAsia" w:ascii="宋体" w:hAnsi="Arial" w:cs="宋体"/>
          <w:szCs w:val="21"/>
          <w:lang w:val="zh-CN"/>
        </w:rPr>
        <w:t>电源不足以维修控制系统正常运行之前，系统应按适当的顺序关闭。</w:t>
      </w:r>
    </w:p>
    <w:p>
      <w:pPr>
        <w:numPr>
          <w:ilvl w:val="0"/>
          <w:numId w:val="49"/>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应在适当位置设置舞台灯光设备使用的临时电源和检修电源</w:t>
      </w:r>
      <w:r>
        <w:rPr>
          <w:rFonts w:ascii="宋体" w:hAnsi="Arial" w:cs="宋体"/>
          <w:szCs w:val="21"/>
          <w:lang w:val="zh-CN"/>
        </w:rPr>
        <w:t>380VAC/220VAC</w:t>
      </w:r>
      <w:r>
        <w:rPr>
          <w:rFonts w:hint="eastAsia" w:ascii="宋体" w:hAnsi="Arial" w:cs="宋体"/>
          <w:szCs w:val="21"/>
          <w:lang w:val="zh-CN"/>
        </w:rPr>
        <w:t>。</w:t>
      </w:r>
    </w:p>
    <w:p>
      <w:pPr>
        <w:numPr>
          <w:ilvl w:val="0"/>
          <w:numId w:val="49"/>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电气设备</w:t>
      </w:r>
    </w:p>
    <w:p>
      <w:pPr>
        <w:tabs>
          <w:tab w:val="left" w:pos="851"/>
        </w:tabs>
        <w:autoSpaceDE w:val="0"/>
        <w:autoSpaceDN w:val="0"/>
        <w:spacing w:line="360" w:lineRule="auto"/>
        <w:outlineLvl w:val="0"/>
        <w:rPr>
          <w:rFonts w:ascii="Arial" w:hAnsi="Arial" w:cs="Arial"/>
          <w:szCs w:val="21"/>
        </w:rPr>
      </w:pPr>
      <w:bookmarkStart w:id="316" w:name="_Toc86851493"/>
      <w:r>
        <w:rPr>
          <w:rFonts w:hint="eastAsia" w:ascii="宋体" w:hAnsi="Arial" w:cs="宋体"/>
          <w:szCs w:val="21"/>
          <w:lang w:val="zh-CN"/>
        </w:rPr>
        <w:t>电气元件与装置</w:t>
      </w:r>
      <w:bookmarkEnd w:id="316"/>
    </w:p>
    <w:p>
      <w:pPr>
        <w:tabs>
          <w:tab w:val="left" w:pos="992"/>
        </w:tabs>
        <w:autoSpaceDE w:val="0"/>
        <w:autoSpaceDN w:val="0"/>
        <w:spacing w:line="360" w:lineRule="auto"/>
        <w:outlineLvl w:val="0"/>
        <w:rPr>
          <w:rFonts w:ascii="Arial" w:hAnsi="Arial" w:cs="Arial"/>
          <w:szCs w:val="21"/>
        </w:rPr>
      </w:pPr>
      <w:bookmarkStart w:id="317" w:name="_Toc86851494"/>
      <w:r>
        <w:rPr>
          <w:rFonts w:hint="eastAsia" w:ascii="宋体" w:hAnsi="Arial" w:cs="宋体"/>
          <w:szCs w:val="21"/>
          <w:lang w:val="zh-CN"/>
        </w:rPr>
        <w:t>一般原则</w:t>
      </w:r>
      <w:bookmarkEnd w:id="317"/>
    </w:p>
    <w:p>
      <w:pPr>
        <w:numPr>
          <w:ilvl w:val="0"/>
          <w:numId w:val="50"/>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舞台灯光等用电非线性负荷接入电网系统时将产生谐波电压，并引起电压畸变，谐波电流造成电气设备、电缆过热，对灵敏数字系统、电子保护、控制系统造成程序动作异常和数据的丢失，同时对音响视听设备产生干扰和噪声，因此应该提供设计谐波抑制和滤波装置的参数给供电设计单位，由供电设计单位设计谐波抑制和滤波装置。</w:t>
      </w:r>
    </w:p>
    <w:p>
      <w:pPr>
        <w:numPr>
          <w:ilvl w:val="0"/>
          <w:numId w:val="50"/>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所有电气元件与装置应选用高质量的产品，在满足舞台灯光设备的控制系统要求的前提下，应尽量采用国际知名的标准产品。所有电气的元件和装置应有永久性标签。包括制造商名称、型号、技术参数（额定值、接点组态方式等）、快速更换和查照故障的操作方法等。</w:t>
      </w:r>
    </w:p>
    <w:p>
      <w:pPr>
        <w:numPr>
          <w:ilvl w:val="0"/>
          <w:numId w:val="50"/>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所有断路器、接触器、继电器、变压器和其它电磁设备都应静噪工作，必要时采用柔性安装，以限制传递噪音和震动。冷却风扇的噪音应降低到最低程度。噪声过大的电气元件应淘汰。</w:t>
      </w:r>
    </w:p>
    <w:p>
      <w:pPr>
        <w:tabs>
          <w:tab w:val="left" w:pos="992"/>
        </w:tabs>
        <w:autoSpaceDE w:val="0"/>
        <w:autoSpaceDN w:val="0"/>
        <w:spacing w:line="360" w:lineRule="auto"/>
        <w:outlineLvl w:val="0"/>
        <w:rPr>
          <w:rFonts w:ascii="Arial" w:hAnsi="Arial" w:cs="Arial"/>
          <w:szCs w:val="21"/>
        </w:rPr>
      </w:pPr>
      <w:bookmarkStart w:id="318" w:name="_Toc86851495"/>
      <w:r>
        <w:rPr>
          <w:rFonts w:hint="eastAsia" w:ascii="宋体" w:hAnsi="Arial" w:cs="宋体"/>
          <w:szCs w:val="21"/>
          <w:lang w:val="zh-CN"/>
        </w:rPr>
        <w:t>断路器、接触器、继电器</w:t>
      </w:r>
      <w:bookmarkEnd w:id="318"/>
    </w:p>
    <w:p>
      <w:pPr>
        <w:numPr>
          <w:ilvl w:val="0"/>
          <w:numId w:val="51"/>
        </w:numPr>
        <w:tabs>
          <w:tab w:val="left" w:pos="284"/>
        </w:tabs>
        <w:autoSpaceDE w:val="0"/>
        <w:autoSpaceDN w:val="0"/>
        <w:spacing w:line="360" w:lineRule="auto"/>
        <w:ind w:left="0" w:firstLine="0"/>
        <w:rPr>
          <w:rFonts w:ascii="Arial" w:hAnsi="Arial" w:cs="Arial"/>
          <w:szCs w:val="21"/>
        </w:rPr>
      </w:pPr>
      <w:r>
        <w:rPr>
          <w:rFonts w:hint="eastAsia" w:ascii="宋体" w:hAnsi="Arial" w:cs="宋体"/>
          <w:szCs w:val="21"/>
          <w:lang w:val="zh-CN"/>
        </w:rPr>
        <w:t>断路器应具有短路、过载、过热保护功能，其遮断能力应大于安装点的短路容量。</w:t>
      </w:r>
    </w:p>
    <w:p>
      <w:pPr>
        <w:tabs>
          <w:tab w:val="left" w:pos="992"/>
        </w:tabs>
        <w:autoSpaceDE w:val="0"/>
        <w:autoSpaceDN w:val="0"/>
        <w:spacing w:line="360" w:lineRule="auto"/>
        <w:outlineLvl w:val="0"/>
        <w:rPr>
          <w:rFonts w:ascii="Arial" w:hAnsi="Arial" w:cs="Arial"/>
          <w:szCs w:val="21"/>
        </w:rPr>
      </w:pPr>
      <w:bookmarkStart w:id="319" w:name="_Toc86851496"/>
      <w:r>
        <w:rPr>
          <w:rFonts w:hint="eastAsia" w:ascii="宋体" w:hAnsi="Arial" w:cs="宋体"/>
          <w:szCs w:val="21"/>
          <w:lang w:val="zh-CN"/>
        </w:rPr>
        <w:t>控制按钮和控制开关</w:t>
      </w:r>
      <w:bookmarkEnd w:id="319"/>
    </w:p>
    <w:p>
      <w:pPr>
        <w:numPr>
          <w:ilvl w:val="0"/>
          <w:numId w:val="52"/>
        </w:numPr>
        <w:tabs>
          <w:tab w:val="left" w:pos="284"/>
          <w:tab w:val="left" w:pos="1080"/>
        </w:tabs>
        <w:autoSpaceDE w:val="0"/>
        <w:autoSpaceDN w:val="0"/>
        <w:spacing w:line="360" w:lineRule="auto"/>
        <w:ind w:left="0" w:firstLine="0"/>
        <w:rPr>
          <w:rFonts w:ascii="宋体" w:hAnsi="宋体" w:cs="Arial"/>
          <w:szCs w:val="21"/>
        </w:rPr>
      </w:pPr>
      <w:r>
        <w:rPr>
          <w:rFonts w:hint="eastAsia" w:ascii="宋体" w:hAnsi="宋体" w:cs="宋体"/>
          <w:szCs w:val="21"/>
          <w:lang w:val="zh-CN"/>
        </w:rPr>
        <w:t>控制按钮和控制开关应满足控制与操作的要求，并符合有关标准和人体工程学。其防护等级为</w:t>
      </w:r>
      <w:r>
        <w:rPr>
          <w:rFonts w:ascii="宋体" w:hAnsi="宋体" w:cs="Arial"/>
          <w:szCs w:val="21"/>
        </w:rPr>
        <w:t>IP65</w:t>
      </w:r>
      <w:r>
        <w:rPr>
          <w:rFonts w:hint="eastAsia" w:ascii="宋体" w:hAnsi="宋体" w:cs="宋体"/>
          <w:szCs w:val="21"/>
          <w:lang w:val="zh-CN"/>
        </w:rPr>
        <w:t>，最短工作寿命为</w:t>
      </w:r>
      <w:r>
        <w:rPr>
          <w:rFonts w:ascii="宋体" w:hAnsi="宋体" w:cs="Arial"/>
          <w:szCs w:val="21"/>
        </w:rPr>
        <w:t>100000</w:t>
      </w:r>
      <w:r>
        <w:rPr>
          <w:rFonts w:hint="eastAsia" w:ascii="宋体" w:hAnsi="宋体" w:cs="宋体"/>
          <w:szCs w:val="21"/>
          <w:lang w:val="zh-CN"/>
        </w:rPr>
        <w:t>次。</w:t>
      </w:r>
    </w:p>
    <w:p>
      <w:pPr>
        <w:tabs>
          <w:tab w:val="left" w:pos="992"/>
        </w:tabs>
        <w:autoSpaceDE w:val="0"/>
        <w:autoSpaceDN w:val="0"/>
        <w:spacing w:line="360" w:lineRule="auto"/>
        <w:rPr>
          <w:rFonts w:ascii="Arial" w:hAnsi="Arial" w:cs="Arial"/>
          <w:szCs w:val="21"/>
        </w:rPr>
      </w:pPr>
      <w:r>
        <w:rPr>
          <w:rFonts w:hint="eastAsia" w:ascii="宋体" w:hAnsi="Arial" w:cs="宋体"/>
          <w:szCs w:val="21"/>
          <w:lang w:val="zh-CN"/>
        </w:rPr>
        <w:t>指示器</w:t>
      </w:r>
    </w:p>
    <w:p>
      <w:pPr>
        <w:numPr>
          <w:ilvl w:val="0"/>
          <w:numId w:val="53"/>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指示器应满足各种型号显示的要求，并符合有关标准和人体工程学。其防护等级为</w:t>
      </w:r>
      <w:r>
        <w:rPr>
          <w:rFonts w:ascii="Arial" w:hAnsi="Arial" w:cs="Arial"/>
          <w:szCs w:val="21"/>
        </w:rPr>
        <w:t>IP65</w:t>
      </w:r>
      <w:r>
        <w:rPr>
          <w:rFonts w:hint="eastAsia" w:ascii="宋体" w:hAnsi="Arial" w:cs="宋体"/>
          <w:szCs w:val="21"/>
          <w:lang w:val="zh-CN"/>
        </w:rPr>
        <w:t>，指示器型号和种类越少越好。</w:t>
      </w:r>
    </w:p>
    <w:p>
      <w:pPr>
        <w:tabs>
          <w:tab w:val="left" w:pos="992"/>
        </w:tabs>
        <w:autoSpaceDE w:val="0"/>
        <w:autoSpaceDN w:val="0"/>
        <w:spacing w:line="360" w:lineRule="auto"/>
        <w:outlineLvl w:val="0"/>
        <w:rPr>
          <w:rFonts w:ascii="Arial" w:hAnsi="Arial" w:cs="Arial"/>
          <w:szCs w:val="21"/>
        </w:rPr>
      </w:pPr>
      <w:bookmarkStart w:id="320" w:name="_Toc86851497"/>
      <w:r>
        <w:rPr>
          <w:rFonts w:hint="eastAsia" w:ascii="宋体" w:hAnsi="Arial" w:cs="宋体"/>
          <w:szCs w:val="21"/>
          <w:lang w:val="zh-CN"/>
        </w:rPr>
        <w:t>熔断器</w:t>
      </w:r>
      <w:bookmarkEnd w:id="320"/>
    </w:p>
    <w:p>
      <w:pPr>
        <w:numPr>
          <w:ilvl w:val="0"/>
          <w:numId w:val="54"/>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满足控制电路的要求，并有状态指示。选型及安装上应充分考虑其通用性并方便更换。</w:t>
      </w:r>
    </w:p>
    <w:p>
      <w:pPr>
        <w:tabs>
          <w:tab w:val="left" w:pos="992"/>
        </w:tabs>
        <w:autoSpaceDE w:val="0"/>
        <w:autoSpaceDN w:val="0"/>
        <w:spacing w:line="360" w:lineRule="auto"/>
        <w:outlineLvl w:val="0"/>
        <w:rPr>
          <w:rFonts w:ascii="Arial" w:hAnsi="Arial" w:cs="Arial"/>
          <w:szCs w:val="21"/>
        </w:rPr>
      </w:pPr>
      <w:bookmarkStart w:id="321" w:name="_Toc86851498"/>
      <w:r>
        <w:rPr>
          <w:rFonts w:hint="eastAsia" w:ascii="宋体" w:hAnsi="Arial" w:cs="宋体"/>
          <w:szCs w:val="21"/>
          <w:lang w:val="zh-CN"/>
        </w:rPr>
        <w:t>接线板和连接器</w:t>
      </w:r>
      <w:bookmarkEnd w:id="321"/>
    </w:p>
    <w:p>
      <w:pPr>
        <w:numPr>
          <w:ilvl w:val="0"/>
          <w:numId w:val="55"/>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接线板应有明显的标志，连接可靠，防止震动时松线。</w:t>
      </w:r>
      <w:r>
        <w:rPr>
          <w:rFonts w:ascii="Arial" w:hAnsi="Arial" w:cs="Arial"/>
          <w:szCs w:val="21"/>
        </w:rPr>
        <w:t>PE</w:t>
      </w:r>
      <w:r>
        <w:rPr>
          <w:rFonts w:hint="eastAsia" w:ascii="宋体" w:hAnsi="Arial" w:cs="宋体"/>
          <w:szCs w:val="21"/>
          <w:lang w:val="zh-CN"/>
        </w:rPr>
        <w:t>接连端子应采用黄绿相间的专用</w:t>
      </w:r>
      <w:r>
        <w:rPr>
          <w:rFonts w:ascii="Arial" w:hAnsi="Arial" w:cs="Arial"/>
          <w:szCs w:val="21"/>
        </w:rPr>
        <w:t>PE</w:t>
      </w:r>
      <w:r>
        <w:rPr>
          <w:rFonts w:hint="eastAsia" w:ascii="宋体" w:hAnsi="Arial" w:cs="宋体"/>
          <w:szCs w:val="21"/>
          <w:lang w:val="zh-CN"/>
        </w:rPr>
        <w:t>接线端子。</w:t>
      </w:r>
    </w:p>
    <w:p>
      <w:pPr>
        <w:numPr>
          <w:ilvl w:val="0"/>
          <w:numId w:val="55"/>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所使用的连接器应为多销插头和插座，并符合有关标准。插头和插座应配套使用，并保证连接正确，不会引起危险和不安全操作。</w:t>
      </w:r>
    </w:p>
    <w:p>
      <w:pPr>
        <w:spacing w:line="360" w:lineRule="auto"/>
        <w:outlineLvl w:val="1"/>
        <w:rPr>
          <w:rFonts w:cs="Times New Roman"/>
          <w:szCs w:val="22"/>
        </w:rPr>
      </w:pPr>
      <w:bookmarkStart w:id="322" w:name="_Toc86851499"/>
      <w:r>
        <w:rPr>
          <w:rFonts w:hint="eastAsia" w:cs="Times New Roman"/>
          <w:szCs w:val="22"/>
        </w:rPr>
        <w:t>电气设备柜</w:t>
      </w:r>
      <w:bookmarkEnd w:id="322"/>
    </w:p>
    <w:p>
      <w:pPr>
        <w:tabs>
          <w:tab w:val="left" w:pos="851"/>
        </w:tabs>
        <w:autoSpaceDE w:val="0"/>
        <w:autoSpaceDN w:val="0"/>
        <w:spacing w:line="360" w:lineRule="auto"/>
        <w:outlineLvl w:val="0"/>
        <w:rPr>
          <w:rFonts w:ascii="Arial" w:hAnsi="Arial" w:cs="Arial"/>
          <w:szCs w:val="21"/>
        </w:rPr>
      </w:pPr>
      <w:bookmarkStart w:id="323" w:name="_Toc86851500"/>
      <w:r>
        <w:rPr>
          <w:rFonts w:hint="eastAsia" w:ascii="宋体" w:hAnsi="Arial" w:cs="宋体"/>
          <w:szCs w:val="21"/>
          <w:lang w:val="zh-CN"/>
        </w:rPr>
        <w:t>结构</w:t>
      </w:r>
      <w:bookmarkEnd w:id="323"/>
    </w:p>
    <w:p>
      <w:pPr>
        <w:numPr>
          <w:ilvl w:val="0"/>
          <w:numId w:val="56"/>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电气设备的机柜和机架都应采用经过防绣处理的金属和钢板性制作，必要时用钢板或型钢的柜架加强。电气设备柜应有防尘和防潮措施。除通风处和电缆进出口外，所有机柜和机架都应全部封闭。每个机柜的深度应能保证适当的设备和接线的空间。每一特定组的各机柜深度、高度和颜色都相同。</w:t>
      </w:r>
    </w:p>
    <w:p>
      <w:pPr>
        <w:tabs>
          <w:tab w:val="left" w:pos="851"/>
        </w:tabs>
        <w:autoSpaceDE w:val="0"/>
        <w:autoSpaceDN w:val="0"/>
        <w:spacing w:line="360" w:lineRule="auto"/>
        <w:outlineLvl w:val="0"/>
        <w:rPr>
          <w:rFonts w:ascii="Arial" w:hAnsi="Arial" w:cs="Arial"/>
          <w:szCs w:val="21"/>
        </w:rPr>
      </w:pPr>
      <w:bookmarkStart w:id="324" w:name="_Toc86851501"/>
      <w:r>
        <w:rPr>
          <w:rFonts w:hint="eastAsia" w:ascii="宋体" w:hAnsi="Arial" w:cs="宋体"/>
          <w:szCs w:val="21"/>
          <w:lang w:val="zh-CN"/>
        </w:rPr>
        <w:t>通风</w:t>
      </w:r>
      <w:bookmarkEnd w:id="324"/>
    </w:p>
    <w:p>
      <w:pPr>
        <w:numPr>
          <w:ilvl w:val="0"/>
          <w:numId w:val="57"/>
        </w:numPr>
        <w:tabs>
          <w:tab w:val="left" w:pos="284"/>
          <w:tab w:val="left" w:pos="1980"/>
        </w:tabs>
        <w:autoSpaceDE w:val="0"/>
        <w:autoSpaceDN w:val="0"/>
        <w:spacing w:line="360" w:lineRule="auto"/>
        <w:ind w:left="0" w:firstLine="0"/>
        <w:rPr>
          <w:rFonts w:ascii="Arial" w:hAnsi="Arial" w:cs="Arial"/>
          <w:szCs w:val="21"/>
        </w:rPr>
      </w:pPr>
      <w:r>
        <w:rPr>
          <w:rFonts w:hint="eastAsia" w:ascii="宋体" w:hAnsi="宋体" w:cs="宋体"/>
          <w:szCs w:val="21"/>
          <w:lang w:val="zh-CN"/>
        </w:rPr>
        <w:t>所有电气元件或装置都应能在所用外罩内和规定的环境下连续运行。机柜应设有适当的</w:t>
      </w:r>
      <w:r>
        <w:rPr>
          <w:rFonts w:hint="eastAsia" w:ascii="宋体" w:hAnsi="Arial" w:cs="宋体"/>
          <w:szCs w:val="21"/>
          <w:lang w:val="zh-CN"/>
        </w:rPr>
        <w:t>自然通风。以散去设备产生的热量，通风口应采用细网或泡沫隔栅保护，以防杂物进入。外壳应加压密封且进风需过漏。</w:t>
      </w:r>
    </w:p>
    <w:p>
      <w:pPr>
        <w:tabs>
          <w:tab w:val="left" w:pos="851"/>
        </w:tabs>
        <w:autoSpaceDE w:val="0"/>
        <w:autoSpaceDN w:val="0"/>
        <w:spacing w:line="360" w:lineRule="auto"/>
        <w:outlineLvl w:val="0"/>
        <w:rPr>
          <w:rFonts w:ascii="Arial" w:hAnsi="Arial" w:cs="Arial"/>
          <w:szCs w:val="21"/>
        </w:rPr>
      </w:pPr>
      <w:bookmarkStart w:id="325" w:name="_Toc86851502"/>
      <w:r>
        <w:rPr>
          <w:rFonts w:hint="eastAsia" w:ascii="宋体" w:hAnsi="Arial" w:cs="宋体"/>
          <w:szCs w:val="21"/>
          <w:lang w:val="zh-CN"/>
        </w:rPr>
        <w:t>电缆进出线</w:t>
      </w:r>
      <w:bookmarkEnd w:id="325"/>
    </w:p>
    <w:p>
      <w:pPr>
        <w:numPr>
          <w:ilvl w:val="0"/>
          <w:numId w:val="58"/>
        </w:numPr>
        <w:tabs>
          <w:tab w:val="left" w:pos="284"/>
          <w:tab w:val="left" w:pos="1980"/>
        </w:tabs>
        <w:autoSpaceDE w:val="0"/>
        <w:autoSpaceDN w:val="0"/>
        <w:spacing w:line="360" w:lineRule="auto"/>
        <w:ind w:left="0" w:firstLine="0"/>
        <w:rPr>
          <w:rFonts w:ascii="宋体" w:hAnsi="宋体" w:cs="Arial"/>
          <w:szCs w:val="21"/>
        </w:rPr>
      </w:pPr>
      <w:r>
        <w:rPr>
          <w:rFonts w:hint="eastAsia" w:ascii="宋体" w:hAnsi="宋体" w:cs="宋体"/>
          <w:szCs w:val="21"/>
          <w:lang w:val="zh-CN"/>
        </w:rPr>
        <w:t>电缆孔应在工厂按所需位置预留，并设有可拆卸板以便在现场最后加工。电缆进出线处应考虑电缆的外经、敷设方式和足够的弯曲半径，并有电缆固定装置。</w:t>
      </w:r>
    </w:p>
    <w:p>
      <w:pPr>
        <w:tabs>
          <w:tab w:val="left" w:pos="851"/>
        </w:tabs>
        <w:autoSpaceDE w:val="0"/>
        <w:autoSpaceDN w:val="0"/>
        <w:spacing w:line="360" w:lineRule="auto"/>
        <w:outlineLvl w:val="0"/>
        <w:rPr>
          <w:rFonts w:ascii="宋体" w:hAnsi="宋体" w:cs="Arial"/>
          <w:szCs w:val="21"/>
        </w:rPr>
      </w:pPr>
      <w:bookmarkStart w:id="326" w:name="_Toc86851503"/>
      <w:r>
        <w:rPr>
          <w:rFonts w:hint="eastAsia" w:ascii="宋体" w:hAnsi="宋体" w:cs="宋体"/>
          <w:szCs w:val="21"/>
          <w:lang w:val="zh-CN"/>
        </w:rPr>
        <w:t>机柜门及检修面板</w:t>
      </w:r>
      <w:bookmarkEnd w:id="326"/>
    </w:p>
    <w:p>
      <w:pPr>
        <w:numPr>
          <w:ilvl w:val="0"/>
          <w:numId w:val="59"/>
        </w:numPr>
        <w:tabs>
          <w:tab w:val="left" w:pos="284"/>
          <w:tab w:val="left" w:pos="1980"/>
        </w:tabs>
        <w:autoSpaceDE w:val="0"/>
        <w:autoSpaceDN w:val="0"/>
        <w:spacing w:line="360" w:lineRule="auto"/>
        <w:ind w:left="0" w:firstLine="0"/>
        <w:rPr>
          <w:rFonts w:ascii="宋体" w:hAnsi="宋体" w:cs="Arial"/>
          <w:szCs w:val="21"/>
        </w:rPr>
      </w:pPr>
      <w:r>
        <w:rPr>
          <w:rFonts w:hint="eastAsia" w:ascii="宋体" w:hAnsi="宋体" w:cs="宋体"/>
          <w:szCs w:val="21"/>
          <w:lang w:val="zh-CN"/>
        </w:rPr>
        <w:t>门和面板设计应有足够的刚性，门和可拆卸的检修面板应装有尘密封条。所有外壳和面板都应在彻底清楚油脂和锈迹后涂烘干漆。</w:t>
      </w:r>
    </w:p>
    <w:p>
      <w:pPr>
        <w:tabs>
          <w:tab w:val="left" w:pos="851"/>
        </w:tabs>
        <w:autoSpaceDE w:val="0"/>
        <w:autoSpaceDN w:val="0"/>
        <w:spacing w:line="360" w:lineRule="auto"/>
        <w:outlineLvl w:val="0"/>
        <w:rPr>
          <w:rFonts w:ascii="宋体" w:hAnsi="宋体" w:cs="Arial"/>
          <w:szCs w:val="21"/>
        </w:rPr>
      </w:pPr>
      <w:bookmarkStart w:id="327" w:name="_Toc86851504"/>
      <w:r>
        <w:rPr>
          <w:rFonts w:hint="eastAsia" w:ascii="宋体" w:hAnsi="宋体" w:cs="宋体"/>
          <w:szCs w:val="21"/>
          <w:lang w:val="zh-CN"/>
        </w:rPr>
        <w:t>资料袋</w:t>
      </w:r>
      <w:bookmarkEnd w:id="327"/>
    </w:p>
    <w:p>
      <w:pPr>
        <w:numPr>
          <w:ilvl w:val="0"/>
          <w:numId w:val="60"/>
        </w:numPr>
        <w:tabs>
          <w:tab w:val="left" w:pos="284"/>
          <w:tab w:val="left" w:pos="1980"/>
        </w:tabs>
        <w:autoSpaceDE w:val="0"/>
        <w:autoSpaceDN w:val="0"/>
        <w:spacing w:line="360" w:lineRule="auto"/>
        <w:ind w:left="0" w:firstLine="0"/>
        <w:rPr>
          <w:rFonts w:ascii="宋体" w:hAnsi="宋体" w:cs="Arial"/>
          <w:szCs w:val="21"/>
        </w:rPr>
      </w:pPr>
      <w:r>
        <w:rPr>
          <w:rFonts w:hint="eastAsia" w:ascii="宋体" w:hAnsi="宋体" w:cs="宋体"/>
          <w:szCs w:val="21"/>
          <w:lang w:val="zh-CN"/>
        </w:rPr>
        <w:t>每个机柜外壳主门内侧应挂一个资料袋，用于装入本电气设备柜的各个电气元件或装置样本、接线、维修和维护等资料或图纸。</w:t>
      </w:r>
    </w:p>
    <w:p>
      <w:pPr>
        <w:spacing w:line="360" w:lineRule="auto"/>
        <w:outlineLvl w:val="1"/>
        <w:rPr>
          <w:rFonts w:ascii="宋体" w:hAnsi="宋体" w:cs="Times New Roman"/>
          <w:szCs w:val="22"/>
        </w:rPr>
      </w:pPr>
      <w:bookmarkStart w:id="328" w:name="_Toc86851505"/>
      <w:r>
        <w:rPr>
          <w:rFonts w:hint="eastAsia" w:ascii="宋体" w:hAnsi="宋体" w:cs="Times New Roman"/>
          <w:szCs w:val="22"/>
        </w:rPr>
        <w:t>电缆及线路敷设</w:t>
      </w:r>
      <w:bookmarkEnd w:id="328"/>
    </w:p>
    <w:p>
      <w:pPr>
        <w:tabs>
          <w:tab w:val="left" w:pos="851"/>
        </w:tabs>
        <w:autoSpaceDE w:val="0"/>
        <w:autoSpaceDN w:val="0"/>
        <w:spacing w:line="360" w:lineRule="auto"/>
        <w:outlineLvl w:val="0"/>
        <w:rPr>
          <w:rFonts w:ascii="宋体" w:hAnsi="宋体" w:cs="Arial"/>
          <w:szCs w:val="21"/>
        </w:rPr>
      </w:pPr>
      <w:bookmarkStart w:id="329" w:name="_Toc86851506"/>
      <w:r>
        <w:rPr>
          <w:rFonts w:hint="eastAsia" w:ascii="宋体" w:hAnsi="宋体" w:cs="宋体"/>
          <w:szCs w:val="21"/>
          <w:lang w:val="zh-CN"/>
        </w:rPr>
        <w:t>电缆种类</w:t>
      </w:r>
      <w:bookmarkEnd w:id="329"/>
    </w:p>
    <w:p>
      <w:pPr>
        <w:numPr>
          <w:ilvl w:val="0"/>
          <w:numId w:val="61"/>
        </w:numPr>
        <w:tabs>
          <w:tab w:val="left" w:pos="284"/>
          <w:tab w:val="left" w:pos="1980"/>
        </w:tabs>
        <w:autoSpaceDE w:val="0"/>
        <w:autoSpaceDN w:val="0"/>
        <w:spacing w:line="360" w:lineRule="auto"/>
        <w:ind w:left="0" w:firstLine="0"/>
        <w:rPr>
          <w:rFonts w:ascii="Arial" w:hAnsi="Arial" w:cs="Arial"/>
          <w:szCs w:val="21"/>
        </w:rPr>
      </w:pPr>
      <w:r>
        <w:rPr>
          <w:rFonts w:hint="eastAsia" w:ascii="宋体" w:hAnsi="宋体" w:cs="宋体"/>
          <w:szCs w:val="21"/>
          <w:lang w:val="zh-CN"/>
        </w:rPr>
        <w:t>所有电缆应为低烟无卤、阻燃型，双绞、双护套带加强筋的铜芯电缆，外护套采用阻燃</w:t>
      </w:r>
      <w:r>
        <w:rPr>
          <w:rFonts w:hint="eastAsia" w:ascii="宋体" w:hAnsi="Arial" w:cs="宋体"/>
          <w:szCs w:val="21"/>
          <w:lang w:val="zh-CN"/>
        </w:rPr>
        <w:t>橡胶。当采用阻燃型电缆时，桥架或线槽应加盖。动力电缆和控制电缆的型号、电压、载流量、截面、芯数、外护套等应满足其电路类型、传输型号、使用环境和敷设方式的要求，并符合有关规范。</w:t>
      </w:r>
    </w:p>
    <w:p>
      <w:pPr>
        <w:numPr>
          <w:ilvl w:val="0"/>
          <w:numId w:val="61"/>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软电缆</w:t>
      </w:r>
    </w:p>
    <w:p>
      <w:pPr>
        <w:numPr>
          <w:ilvl w:val="0"/>
          <w:numId w:val="61"/>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移动部件的控制和动力电缆可采用软电缆，选用任何电缆时都应考虑环境和导线的温度、耐磨性、挠性和灯光应力。软电缆应满足防火要求。</w:t>
      </w:r>
    </w:p>
    <w:p>
      <w:pPr>
        <w:tabs>
          <w:tab w:val="left" w:pos="851"/>
        </w:tabs>
        <w:autoSpaceDE w:val="0"/>
        <w:autoSpaceDN w:val="0"/>
        <w:spacing w:line="360" w:lineRule="auto"/>
        <w:outlineLvl w:val="0"/>
        <w:rPr>
          <w:rFonts w:ascii="Arial" w:hAnsi="Arial" w:cs="Arial"/>
          <w:szCs w:val="21"/>
        </w:rPr>
      </w:pPr>
      <w:bookmarkStart w:id="330" w:name="_Toc86851507"/>
      <w:r>
        <w:rPr>
          <w:rFonts w:hint="eastAsia" w:ascii="宋体" w:hAnsi="Arial" w:cs="宋体"/>
          <w:szCs w:val="21"/>
          <w:lang w:val="zh-CN"/>
        </w:rPr>
        <w:t>电缆滑环</w:t>
      </w:r>
      <w:bookmarkEnd w:id="330"/>
    </w:p>
    <w:p>
      <w:pPr>
        <w:autoSpaceDE w:val="0"/>
        <w:autoSpaceDN w:val="0"/>
        <w:spacing w:line="360" w:lineRule="auto"/>
        <w:rPr>
          <w:rFonts w:ascii="Arial" w:hAnsi="Arial" w:cs="Arial"/>
          <w:szCs w:val="21"/>
        </w:rPr>
      </w:pPr>
      <w:r>
        <w:rPr>
          <w:rFonts w:hint="eastAsia" w:ascii="宋体" w:hAnsi="Arial" w:cs="宋体"/>
          <w:szCs w:val="21"/>
          <w:lang w:val="zh-CN"/>
        </w:rPr>
        <w:t>电缆滑环应是在实践中使用过的高质量产品。滑环和电刷应有足够的载流能力且接触电阻小。在设计或选用电路卷绕装置的滑环对应有充分考虑对控制电路可能产生的电气干扰。</w:t>
      </w:r>
    </w:p>
    <w:p>
      <w:pPr>
        <w:tabs>
          <w:tab w:val="left" w:pos="851"/>
        </w:tabs>
        <w:autoSpaceDE w:val="0"/>
        <w:autoSpaceDN w:val="0"/>
        <w:spacing w:line="360" w:lineRule="auto"/>
        <w:outlineLvl w:val="0"/>
        <w:rPr>
          <w:rFonts w:ascii="Arial" w:hAnsi="Arial" w:cs="Arial"/>
          <w:szCs w:val="21"/>
        </w:rPr>
      </w:pPr>
      <w:bookmarkStart w:id="331" w:name="_Toc86851508"/>
      <w:r>
        <w:rPr>
          <w:rFonts w:hint="eastAsia" w:ascii="宋体" w:hAnsi="Arial" w:cs="宋体"/>
          <w:szCs w:val="21"/>
          <w:lang w:val="zh-CN"/>
        </w:rPr>
        <w:t>电缆敷设</w:t>
      </w:r>
      <w:bookmarkEnd w:id="331"/>
    </w:p>
    <w:p>
      <w:pPr>
        <w:numPr>
          <w:ilvl w:val="0"/>
          <w:numId w:val="62"/>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电缆的敷设应符合</w:t>
      </w:r>
      <w:r>
        <w:rPr>
          <w:rFonts w:ascii="Arial" w:hAnsi="Arial" w:cs="Arial"/>
          <w:szCs w:val="21"/>
        </w:rPr>
        <w:t>GB50258-96</w:t>
      </w:r>
      <w:r>
        <w:rPr>
          <w:rFonts w:hint="eastAsia" w:ascii="宋体" w:hAnsi="Arial" w:cs="宋体"/>
          <w:szCs w:val="21"/>
          <w:lang w:val="zh-CN"/>
        </w:rPr>
        <w:t>《电气装置安装工程</w:t>
      </w:r>
      <w:r>
        <w:rPr>
          <w:rFonts w:ascii="Arial" w:hAnsi="Arial" w:cs="Arial"/>
          <w:szCs w:val="21"/>
        </w:rPr>
        <w:t>1Kv</w:t>
      </w:r>
      <w:r>
        <w:rPr>
          <w:rFonts w:hint="eastAsia" w:ascii="宋体" w:hAnsi="Arial" w:cs="宋体"/>
          <w:szCs w:val="21"/>
          <w:lang w:val="zh-CN"/>
        </w:rPr>
        <w:t>及以下配线工程施工检验验收规范》的要求进行。</w:t>
      </w:r>
    </w:p>
    <w:p>
      <w:pPr>
        <w:numPr>
          <w:ilvl w:val="0"/>
          <w:numId w:val="63"/>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电缆敷设时应将电磁干扰降低到最低程度。</w:t>
      </w:r>
    </w:p>
    <w:p>
      <w:pPr>
        <w:numPr>
          <w:ilvl w:val="0"/>
          <w:numId w:val="64"/>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当采用电缆软管时，其长度不能超过</w:t>
      </w:r>
      <w:r>
        <w:rPr>
          <w:rFonts w:ascii="Arial" w:hAnsi="Arial" w:cs="Arial"/>
          <w:szCs w:val="21"/>
        </w:rPr>
        <w:t>1</w:t>
      </w:r>
      <w:r>
        <w:rPr>
          <w:rFonts w:hint="eastAsia" w:ascii="宋体" w:hAnsi="Arial" w:cs="宋体"/>
          <w:szCs w:val="21"/>
          <w:lang w:val="zh-CN"/>
        </w:rPr>
        <w:t>米。</w:t>
      </w:r>
    </w:p>
    <w:p>
      <w:pPr>
        <w:numPr>
          <w:ilvl w:val="0"/>
          <w:numId w:val="65"/>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动力或控制线路用的悬挂或下垂的软电缆应设有应力释放中心芯线，其两端应夹紧，以释放导线应力。</w:t>
      </w:r>
    </w:p>
    <w:p>
      <w:pPr>
        <w:spacing w:line="360" w:lineRule="auto"/>
        <w:outlineLvl w:val="1"/>
        <w:rPr>
          <w:rFonts w:cs="Times New Roman"/>
          <w:szCs w:val="22"/>
        </w:rPr>
      </w:pPr>
      <w:bookmarkStart w:id="332" w:name="_Toc86851509"/>
      <w:r>
        <w:rPr>
          <w:rFonts w:hint="eastAsia" w:cs="Times New Roman"/>
          <w:szCs w:val="22"/>
        </w:rPr>
        <w:t>电气接线注意事项</w:t>
      </w:r>
      <w:bookmarkEnd w:id="332"/>
    </w:p>
    <w:p>
      <w:pPr>
        <w:tabs>
          <w:tab w:val="left" w:pos="851"/>
        </w:tabs>
        <w:autoSpaceDE w:val="0"/>
        <w:autoSpaceDN w:val="0"/>
        <w:spacing w:line="360" w:lineRule="auto"/>
        <w:outlineLvl w:val="0"/>
        <w:rPr>
          <w:rFonts w:ascii="Arial" w:hAnsi="Arial" w:cs="Arial"/>
          <w:szCs w:val="21"/>
        </w:rPr>
      </w:pPr>
      <w:bookmarkStart w:id="333" w:name="_Toc86851510"/>
      <w:r>
        <w:rPr>
          <w:rFonts w:hint="eastAsia" w:ascii="宋体" w:hAnsi="Arial" w:cs="宋体"/>
          <w:szCs w:val="21"/>
          <w:lang w:val="zh-CN"/>
        </w:rPr>
        <w:t>电气机柜的接线</w:t>
      </w:r>
      <w:bookmarkEnd w:id="333"/>
    </w:p>
    <w:p>
      <w:pPr>
        <w:numPr>
          <w:ilvl w:val="0"/>
          <w:numId w:val="66"/>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外部接线：可采用端子板或连接器。端子板或连接器应按出厂图纸对应定位并打上永久标记。</w:t>
      </w:r>
    </w:p>
    <w:p>
      <w:pPr>
        <w:numPr>
          <w:ilvl w:val="0"/>
          <w:numId w:val="66"/>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内部接线：内部接线的电缆和导线应满足灯光强度、额定电流、动热稳定性的要求。小电流线路优先选用单芯多股电线。电气机柜中电缆载流能力应按规定标注考虑降容系数和环境温度。</w:t>
      </w:r>
    </w:p>
    <w:p>
      <w:pPr>
        <w:numPr>
          <w:ilvl w:val="0"/>
          <w:numId w:val="66"/>
        </w:numPr>
        <w:tabs>
          <w:tab w:val="left" w:pos="284"/>
          <w:tab w:val="left" w:pos="1980"/>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维修：机架内电气元件或装置的布置和接线应考虑便于拆卸、更换和维修。</w:t>
      </w:r>
    </w:p>
    <w:p>
      <w:pPr>
        <w:tabs>
          <w:tab w:val="left" w:pos="851"/>
        </w:tabs>
        <w:autoSpaceDE w:val="0"/>
        <w:autoSpaceDN w:val="0"/>
        <w:spacing w:line="360" w:lineRule="auto"/>
        <w:outlineLvl w:val="0"/>
        <w:rPr>
          <w:rFonts w:ascii="Arial" w:hAnsi="Arial" w:cs="Arial"/>
          <w:szCs w:val="21"/>
        </w:rPr>
      </w:pPr>
      <w:bookmarkStart w:id="334" w:name="_Toc86851511"/>
      <w:r>
        <w:rPr>
          <w:rFonts w:hint="eastAsia" w:ascii="宋体" w:hAnsi="Arial" w:cs="宋体"/>
          <w:szCs w:val="21"/>
          <w:lang w:val="zh-CN"/>
        </w:rPr>
        <w:t>电缆连接</w:t>
      </w:r>
      <w:bookmarkEnd w:id="334"/>
    </w:p>
    <w:p>
      <w:pPr>
        <w:numPr>
          <w:ilvl w:val="0"/>
          <w:numId w:val="67"/>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承包商提交的接线资料应清晰无误。</w:t>
      </w:r>
    </w:p>
    <w:p>
      <w:pPr>
        <w:numPr>
          <w:ilvl w:val="0"/>
          <w:numId w:val="68"/>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电线长度应适当，剩余电缆应放在设备内，并牢牢固定。</w:t>
      </w:r>
    </w:p>
    <w:p>
      <w:pPr>
        <w:numPr>
          <w:ilvl w:val="0"/>
          <w:numId w:val="69"/>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动力或控制线路所用的多芯和屏蔽电缆的芯线应易于按编号识别。少于</w:t>
      </w:r>
      <w:r>
        <w:rPr>
          <w:rFonts w:ascii="Arial" w:hAnsi="Arial" w:cs="Arial"/>
          <w:szCs w:val="21"/>
        </w:rPr>
        <w:t>25</w:t>
      </w:r>
      <w:r>
        <w:rPr>
          <w:rFonts w:hint="eastAsia" w:ascii="宋体" w:hAnsi="Arial" w:cs="宋体"/>
          <w:szCs w:val="21"/>
          <w:lang w:val="zh-CN"/>
        </w:rPr>
        <w:t>芯的电缆才允许使用颜色代码。不得利用电缆敷设形式或顺序来识别电缆芯数。</w:t>
      </w:r>
    </w:p>
    <w:p>
      <w:pPr>
        <w:numPr>
          <w:ilvl w:val="0"/>
          <w:numId w:val="70"/>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标识：每根动力和控制电缆的两端的电缆编号应相同，并打上带有唯一编号的永久标记。电缆编号应在接线图上表示出来。</w:t>
      </w:r>
    </w:p>
    <w:p>
      <w:pPr>
        <w:numPr>
          <w:ilvl w:val="0"/>
          <w:numId w:val="71"/>
        </w:numPr>
        <w:tabs>
          <w:tab w:val="left" w:pos="945"/>
        </w:tabs>
        <w:autoSpaceDE w:val="0"/>
        <w:autoSpaceDN w:val="0"/>
        <w:spacing w:line="360" w:lineRule="auto"/>
        <w:rPr>
          <w:rFonts w:ascii="Arial" w:hAnsi="Arial" w:cs="Arial"/>
          <w:szCs w:val="21"/>
        </w:rPr>
      </w:pPr>
      <w:r>
        <w:rPr>
          <w:rFonts w:hint="eastAsia" w:ascii="宋体" w:hAnsi="Arial" w:cs="宋体"/>
          <w:szCs w:val="21"/>
          <w:lang w:val="zh-CN"/>
        </w:rPr>
        <w:t>所有电缆进线设备上，应有适当的进线接头，以便更换电缆。</w:t>
      </w:r>
    </w:p>
    <w:p>
      <w:pPr>
        <w:spacing w:line="360" w:lineRule="auto"/>
        <w:outlineLvl w:val="1"/>
        <w:rPr>
          <w:rFonts w:cs="Times New Roman"/>
          <w:szCs w:val="22"/>
        </w:rPr>
      </w:pPr>
      <w:bookmarkStart w:id="335" w:name="_Toc86851512"/>
      <w:r>
        <w:rPr>
          <w:rFonts w:hint="eastAsia" w:cs="Times New Roman"/>
          <w:szCs w:val="22"/>
        </w:rPr>
        <w:t>电气安全</w:t>
      </w:r>
      <w:bookmarkEnd w:id="335"/>
    </w:p>
    <w:p>
      <w:pPr>
        <w:tabs>
          <w:tab w:val="left" w:pos="851"/>
        </w:tabs>
        <w:autoSpaceDE w:val="0"/>
        <w:autoSpaceDN w:val="0"/>
        <w:spacing w:line="360" w:lineRule="auto"/>
        <w:rPr>
          <w:rFonts w:ascii="Arial" w:hAnsi="Arial" w:cs="Arial"/>
          <w:szCs w:val="21"/>
        </w:rPr>
      </w:pPr>
      <w:r>
        <w:rPr>
          <w:rFonts w:hint="eastAsia" w:ascii="宋体" w:hAnsi="Arial" w:cs="宋体"/>
          <w:szCs w:val="21"/>
          <w:lang w:val="zh-CN"/>
        </w:rPr>
        <w:t>合格电压与标志</w:t>
      </w:r>
    </w:p>
    <w:p>
      <w:pPr>
        <w:numPr>
          <w:ilvl w:val="0"/>
          <w:numId w:val="72"/>
        </w:numPr>
        <w:tabs>
          <w:tab w:val="left" w:pos="284"/>
        </w:tabs>
        <w:autoSpaceDE w:val="0"/>
        <w:autoSpaceDN w:val="0"/>
        <w:spacing w:line="360" w:lineRule="auto"/>
        <w:ind w:left="0" w:firstLine="0"/>
        <w:rPr>
          <w:rFonts w:ascii="Arial" w:hAnsi="Arial" w:cs="Arial"/>
          <w:szCs w:val="21"/>
        </w:rPr>
      </w:pPr>
      <w:r>
        <w:rPr>
          <w:rFonts w:hint="eastAsia" w:ascii="宋体" w:hAnsi="Arial" w:cs="宋体"/>
          <w:szCs w:val="21"/>
          <w:lang w:val="zh-CN"/>
        </w:rPr>
        <w:t>凡超过</w:t>
      </w:r>
      <w:r>
        <w:rPr>
          <w:rFonts w:ascii="Arial" w:hAnsi="Arial" w:cs="Arial"/>
          <w:szCs w:val="21"/>
        </w:rPr>
        <w:t>2</w:t>
      </w:r>
      <w:r>
        <w:rPr>
          <w:rFonts w:hint="eastAsia" w:ascii="Arial" w:hAnsi="Arial" w:cs="Arial"/>
          <w:szCs w:val="21"/>
        </w:rPr>
        <w:t>4</w:t>
      </w:r>
      <w:r>
        <w:rPr>
          <w:rFonts w:ascii="Arial" w:hAnsi="Arial" w:cs="Arial"/>
          <w:szCs w:val="21"/>
        </w:rPr>
        <w:t>V</w:t>
      </w:r>
      <w:r>
        <w:rPr>
          <w:rFonts w:hint="eastAsia" w:ascii="宋体" w:hAnsi="Arial" w:cs="宋体"/>
          <w:szCs w:val="21"/>
          <w:lang w:val="zh-CN"/>
        </w:rPr>
        <w:t>有效值的交流电压或</w:t>
      </w:r>
      <w:r>
        <w:rPr>
          <w:rFonts w:hint="eastAsia" w:ascii="Arial" w:hAnsi="Arial" w:cs="Arial"/>
          <w:szCs w:val="21"/>
        </w:rPr>
        <w:t>60</w:t>
      </w:r>
      <w:r>
        <w:rPr>
          <w:rFonts w:ascii="Arial" w:hAnsi="Arial" w:cs="Arial"/>
          <w:szCs w:val="21"/>
        </w:rPr>
        <w:t>V</w:t>
      </w:r>
      <w:r>
        <w:rPr>
          <w:rFonts w:hint="eastAsia" w:ascii="宋体" w:hAnsi="Arial" w:cs="宋体"/>
          <w:szCs w:val="21"/>
          <w:lang w:val="zh-CN"/>
        </w:rPr>
        <w:t>无脉动的直流电压的电气设备（含拆卸模块、暴露的话头或插孔、未卸下护盖的区域），在正常状态下都不能裸露触及。电气设备的护盖上应贴上有警告字样，注明当前电压的标签。</w:t>
      </w:r>
    </w:p>
    <w:p>
      <w:pPr>
        <w:tabs>
          <w:tab w:val="left" w:pos="851"/>
        </w:tabs>
        <w:autoSpaceDE w:val="0"/>
        <w:autoSpaceDN w:val="0"/>
        <w:spacing w:line="360" w:lineRule="auto"/>
        <w:outlineLvl w:val="0"/>
        <w:rPr>
          <w:rFonts w:ascii="Arial" w:hAnsi="Arial" w:cs="Arial"/>
          <w:szCs w:val="21"/>
        </w:rPr>
      </w:pPr>
      <w:bookmarkStart w:id="336" w:name="_Toc86851513"/>
      <w:r>
        <w:rPr>
          <w:rFonts w:hint="eastAsia" w:ascii="宋体" w:hAnsi="Arial" w:cs="宋体"/>
          <w:szCs w:val="21"/>
          <w:lang w:val="zh-CN"/>
        </w:rPr>
        <w:t>带电部件的屏蔽</w:t>
      </w:r>
      <w:bookmarkEnd w:id="336"/>
    </w:p>
    <w:p>
      <w:pPr>
        <w:numPr>
          <w:ilvl w:val="0"/>
          <w:numId w:val="73"/>
        </w:numPr>
        <w:tabs>
          <w:tab w:val="left" w:pos="284"/>
        </w:tabs>
        <w:autoSpaceDE w:val="0"/>
        <w:autoSpaceDN w:val="0"/>
        <w:spacing w:line="360" w:lineRule="auto"/>
        <w:ind w:left="0" w:firstLine="0"/>
        <w:rPr>
          <w:rFonts w:ascii="Arial" w:hAnsi="Arial" w:cs="Arial"/>
          <w:szCs w:val="21"/>
        </w:rPr>
      </w:pPr>
      <w:r>
        <w:rPr>
          <w:rFonts w:hint="eastAsia" w:ascii="宋体" w:hAnsi="Arial" w:cs="宋体"/>
          <w:szCs w:val="21"/>
          <w:lang w:val="zh-CN"/>
        </w:rPr>
        <w:t>凡超过</w:t>
      </w:r>
      <w:r>
        <w:rPr>
          <w:rFonts w:hint="eastAsia" w:ascii="Arial" w:hAnsi="Arial" w:cs="Arial"/>
          <w:szCs w:val="21"/>
        </w:rPr>
        <w:t>36</w:t>
      </w:r>
      <w:r>
        <w:rPr>
          <w:rFonts w:ascii="Arial" w:hAnsi="Arial" w:cs="Arial"/>
          <w:szCs w:val="21"/>
        </w:rPr>
        <w:t>V</w:t>
      </w:r>
      <w:r>
        <w:rPr>
          <w:rFonts w:hint="eastAsia" w:ascii="宋体" w:hAnsi="Arial" w:cs="宋体"/>
          <w:szCs w:val="21"/>
          <w:lang w:val="zh-CN"/>
        </w:rPr>
        <w:t>有效值的交流电压或</w:t>
      </w:r>
      <w:r>
        <w:rPr>
          <w:rFonts w:hint="eastAsia" w:ascii="Arial" w:hAnsi="Arial" w:cs="Arial"/>
          <w:szCs w:val="21"/>
        </w:rPr>
        <w:t>120</w:t>
      </w:r>
      <w:r>
        <w:rPr>
          <w:rFonts w:ascii="Arial" w:hAnsi="Arial" w:cs="Arial"/>
          <w:szCs w:val="21"/>
        </w:rPr>
        <w:t>V</w:t>
      </w:r>
      <w:r>
        <w:rPr>
          <w:rFonts w:hint="eastAsia" w:ascii="宋体" w:hAnsi="Arial" w:cs="宋体"/>
          <w:szCs w:val="21"/>
          <w:lang w:val="zh-CN"/>
        </w:rPr>
        <w:t>无脉动的直流电压的电气元件或装置的外壳，应绝缘或接地进行安全屏蔽。拆卸单个护盖或单个屏蔽须用工具，以免无意碰掉护盖和屏蔽，护盖和屏蔽都应贴上标签。</w:t>
      </w:r>
    </w:p>
    <w:p>
      <w:pPr>
        <w:tabs>
          <w:tab w:val="left" w:pos="851"/>
        </w:tabs>
        <w:autoSpaceDE w:val="0"/>
        <w:autoSpaceDN w:val="0"/>
        <w:spacing w:line="360" w:lineRule="auto"/>
        <w:outlineLvl w:val="0"/>
        <w:rPr>
          <w:rFonts w:ascii="Arial" w:hAnsi="Arial" w:cs="Arial"/>
          <w:szCs w:val="21"/>
        </w:rPr>
      </w:pPr>
      <w:bookmarkStart w:id="337" w:name="_Toc86851514"/>
      <w:r>
        <w:rPr>
          <w:rFonts w:hint="eastAsia" w:ascii="宋体" w:hAnsi="Arial" w:cs="宋体"/>
          <w:szCs w:val="21"/>
          <w:lang w:val="zh-CN"/>
        </w:rPr>
        <w:t>混合用电</w:t>
      </w:r>
      <w:bookmarkEnd w:id="337"/>
    </w:p>
    <w:p>
      <w:pPr>
        <w:numPr>
          <w:ilvl w:val="0"/>
          <w:numId w:val="74"/>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在含有控制器、计算机、音频或类似低电压信号的电气机柜或部件中，同时含有超过</w:t>
      </w:r>
      <w:r>
        <w:rPr>
          <w:rFonts w:ascii="Arial" w:hAnsi="Arial" w:cs="Arial"/>
          <w:szCs w:val="21"/>
        </w:rPr>
        <w:t>110V</w:t>
      </w:r>
      <w:r>
        <w:rPr>
          <w:rFonts w:hint="eastAsia" w:ascii="宋体" w:hAnsi="Arial" w:cs="宋体"/>
          <w:szCs w:val="21"/>
          <w:lang w:val="zh-CN"/>
        </w:rPr>
        <w:t>有效值的交流电压或</w:t>
      </w:r>
      <w:r>
        <w:rPr>
          <w:rFonts w:ascii="Arial" w:hAnsi="Arial" w:cs="Arial"/>
          <w:szCs w:val="21"/>
        </w:rPr>
        <w:t>150V</w:t>
      </w:r>
      <w:r>
        <w:rPr>
          <w:rFonts w:hint="eastAsia" w:ascii="宋体" w:hAnsi="Arial" w:cs="宋体"/>
          <w:szCs w:val="21"/>
          <w:lang w:val="zh-CN"/>
        </w:rPr>
        <w:t>无脉动的直流电压时，在所有可拆卸板上应有最高电压的清晰的警告标志。</w:t>
      </w:r>
    </w:p>
    <w:p>
      <w:pPr>
        <w:tabs>
          <w:tab w:val="left" w:pos="851"/>
        </w:tabs>
        <w:autoSpaceDE w:val="0"/>
        <w:autoSpaceDN w:val="0"/>
        <w:spacing w:line="360" w:lineRule="auto"/>
        <w:outlineLvl w:val="0"/>
        <w:rPr>
          <w:rFonts w:ascii="Arial" w:hAnsi="Arial" w:cs="Arial"/>
          <w:szCs w:val="21"/>
        </w:rPr>
      </w:pPr>
      <w:bookmarkStart w:id="338" w:name="_Toc86851515"/>
      <w:r>
        <w:rPr>
          <w:rFonts w:hint="eastAsia" w:ascii="宋体" w:hAnsi="Arial" w:cs="宋体"/>
          <w:szCs w:val="21"/>
          <w:lang w:val="zh-CN"/>
        </w:rPr>
        <w:t>多个电源</w:t>
      </w:r>
      <w:bookmarkEnd w:id="338"/>
    </w:p>
    <w:p>
      <w:pPr>
        <w:numPr>
          <w:ilvl w:val="0"/>
          <w:numId w:val="75"/>
        </w:numPr>
        <w:tabs>
          <w:tab w:val="left" w:pos="284"/>
        </w:tabs>
        <w:autoSpaceDE w:val="0"/>
        <w:autoSpaceDN w:val="0"/>
        <w:spacing w:line="360" w:lineRule="auto"/>
        <w:ind w:left="0" w:firstLine="0"/>
        <w:rPr>
          <w:rFonts w:ascii="Arial" w:hAnsi="Arial" w:cs="Arial"/>
          <w:szCs w:val="21"/>
        </w:rPr>
      </w:pPr>
      <w:r>
        <w:rPr>
          <w:rFonts w:hint="eastAsia" w:ascii="宋体" w:hAnsi="Arial" w:cs="宋体"/>
          <w:szCs w:val="21"/>
          <w:lang w:val="zh-CN"/>
        </w:rPr>
        <w:t>当设备有两个或两个以上的电源时，各电源应分开，且有灯光的或电气的闭锁装置。不得同时向同一设备供电。</w:t>
      </w:r>
    </w:p>
    <w:p>
      <w:pPr>
        <w:tabs>
          <w:tab w:val="left" w:pos="851"/>
        </w:tabs>
        <w:autoSpaceDE w:val="0"/>
        <w:autoSpaceDN w:val="0"/>
        <w:spacing w:line="360" w:lineRule="auto"/>
        <w:outlineLvl w:val="0"/>
        <w:rPr>
          <w:rFonts w:ascii="Arial" w:hAnsi="Arial" w:cs="Arial"/>
          <w:szCs w:val="21"/>
        </w:rPr>
      </w:pPr>
      <w:bookmarkStart w:id="339" w:name="_Toc86851516"/>
      <w:r>
        <w:rPr>
          <w:rFonts w:hint="eastAsia" w:ascii="宋体" w:hAnsi="Arial" w:cs="宋体"/>
          <w:szCs w:val="21"/>
          <w:lang w:val="zh-CN"/>
        </w:rPr>
        <w:t>接地</w:t>
      </w:r>
      <w:bookmarkEnd w:id="339"/>
    </w:p>
    <w:p>
      <w:pPr>
        <w:numPr>
          <w:ilvl w:val="0"/>
          <w:numId w:val="76"/>
        </w:numPr>
        <w:tabs>
          <w:tab w:val="left" w:pos="284"/>
        </w:tabs>
        <w:autoSpaceDE w:val="0"/>
        <w:autoSpaceDN w:val="0"/>
        <w:spacing w:line="360" w:lineRule="auto"/>
        <w:ind w:left="0" w:firstLine="0"/>
        <w:rPr>
          <w:rFonts w:ascii="Arial" w:hAnsi="Arial" w:cs="Arial"/>
          <w:szCs w:val="21"/>
        </w:rPr>
      </w:pPr>
      <w:r>
        <w:rPr>
          <w:rFonts w:hint="eastAsia" w:ascii="宋体" w:hAnsi="Arial" w:cs="宋体"/>
          <w:szCs w:val="21"/>
          <w:lang w:val="zh-CN"/>
        </w:rPr>
        <w:t>所有钢结构件、灯光设备、操作台、电气机柜、金属外罩、金属管以及设备部件都应有效地接地，并符合有关标准。</w:t>
      </w:r>
    </w:p>
    <w:p>
      <w:pPr>
        <w:tabs>
          <w:tab w:val="left" w:pos="851"/>
        </w:tabs>
        <w:autoSpaceDE w:val="0"/>
        <w:autoSpaceDN w:val="0"/>
        <w:spacing w:line="360" w:lineRule="auto"/>
        <w:outlineLvl w:val="0"/>
        <w:rPr>
          <w:rFonts w:ascii="Arial" w:hAnsi="Arial" w:cs="Arial"/>
          <w:szCs w:val="21"/>
        </w:rPr>
      </w:pPr>
      <w:bookmarkStart w:id="340" w:name="_Toc86851517"/>
      <w:r>
        <w:rPr>
          <w:rFonts w:hint="eastAsia" w:ascii="宋体" w:hAnsi="Arial" w:cs="宋体"/>
          <w:szCs w:val="21"/>
          <w:lang w:val="zh-CN"/>
        </w:rPr>
        <w:t>手持设备</w:t>
      </w:r>
      <w:bookmarkEnd w:id="340"/>
    </w:p>
    <w:p>
      <w:pPr>
        <w:numPr>
          <w:ilvl w:val="0"/>
          <w:numId w:val="77"/>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专用手持或便携式设备，只要超过</w:t>
      </w:r>
      <w:r>
        <w:rPr>
          <w:rFonts w:ascii="Arial" w:hAnsi="Arial" w:cs="Arial"/>
          <w:szCs w:val="21"/>
        </w:rPr>
        <w:t>2</w:t>
      </w:r>
      <w:r>
        <w:rPr>
          <w:rFonts w:hint="eastAsia" w:ascii="Arial" w:hAnsi="Arial" w:cs="Arial"/>
          <w:szCs w:val="21"/>
        </w:rPr>
        <w:t>4</w:t>
      </w:r>
      <w:r>
        <w:rPr>
          <w:rFonts w:ascii="Arial" w:hAnsi="Arial" w:cs="Arial"/>
          <w:szCs w:val="21"/>
        </w:rPr>
        <w:t>V</w:t>
      </w:r>
      <w:r>
        <w:rPr>
          <w:rFonts w:hint="eastAsia" w:ascii="宋体" w:hAnsi="Arial" w:cs="宋体"/>
          <w:szCs w:val="21"/>
          <w:lang w:val="zh-CN"/>
        </w:rPr>
        <w:t>有效值的交流电压或</w:t>
      </w:r>
      <w:r>
        <w:rPr>
          <w:rFonts w:ascii="Arial" w:hAnsi="Arial" w:cs="Arial"/>
          <w:szCs w:val="21"/>
        </w:rPr>
        <w:t>60V</w:t>
      </w:r>
      <w:r>
        <w:rPr>
          <w:rFonts w:hint="eastAsia" w:ascii="宋体" w:hAnsi="Arial" w:cs="宋体"/>
          <w:szCs w:val="21"/>
          <w:lang w:val="zh-CN"/>
        </w:rPr>
        <w:t>无脉动的直流电压，且无双绝缘，都应进行双重接地。</w:t>
      </w:r>
    </w:p>
    <w:p>
      <w:pPr>
        <w:tabs>
          <w:tab w:val="left" w:pos="851"/>
        </w:tabs>
        <w:autoSpaceDE w:val="0"/>
        <w:autoSpaceDN w:val="0"/>
        <w:spacing w:line="360" w:lineRule="auto"/>
        <w:outlineLvl w:val="0"/>
        <w:rPr>
          <w:rFonts w:ascii="Arial" w:hAnsi="Arial" w:cs="Arial"/>
          <w:szCs w:val="21"/>
        </w:rPr>
      </w:pPr>
      <w:bookmarkStart w:id="341" w:name="_Toc86851518"/>
      <w:r>
        <w:rPr>
          <w:rFonts w:hint="eastAsia" w:ascii="宋体" w:hAnsi="Arial" w:cs="宋体"/>
          <w:szCs w:val="21"/>
          <w:lang w:val="zh-CN"/>
        </w:rPr>
        <w:t>电源隔离</w:t>
      </w:r>
      <w:bookmarkEnd w:id="341"/>
    </w:p>
    <w:p>
      <w:pPr>
        <w:numPr>
          <w:ilvl w:val="0"/>
          <w:numId w:val="78"/>
        </w:numPr>
        <w:tabs>
          <w:tab w:val="left" w:pos="284"/>
          <w:tab w:val="left" w:pos="945"/>
        </w:tabs>
        <w:autoSpaceDE w:val="0"/>
        <w:autoSpaceDN w:val="0"/>
        <w:spacing w:line="360" w:lineRule="auto"/>
        <w:ind w:left="0" w:firstLine="0"/>
        <w:rPr>
          <w:rFonts w:ascii="Arial" w:hAnsi="Arial" w:cs="Arial"/>
          <w:szCs w:val="21"/>
        </w:rPr>
      </w:pPr>
      <w:r>
        <w:rPr>
          <w:rFonts w:hint="eastAsia" w:ascii="宋体" w:hAnsi="Arial" w:cs="宋体"/>
          <w:szCs w:val="21"/>
          <w:lang w:val="zh-CN"/>
        </w:rPr>
        <w:t>若电气设备的电源为非安全电压，则应在该电气设备上或附近装设一个就地可切断电源的符合开关（或断路器），以保证检修的安全。如果为遥控设备，该设备上或设备附近应装一个就地可锁闭的符合开关（或断路器）。电源隔离装置应打上标记以在隔断设备时不致出错。</w:t>
      </w:r>
    </w:p>
    <w:p>
      <w:pPr>
        <w:tabs>
          <w:tab w:val="left" w:pos="851"/>
        </w:tabs>
        <w:autoSpaceDE w:val="0"/>
        <w:autoSpaceDN w:val="0"/>
        <w:spacing w:line="360" w:lineRule="auto"/>
        <w:rPr>
          <w:rFonts w:ascii="Arial" w:hAnsi="Arial" w:cs="Arial"/>
          <w:szCs w:val="21"/>
        </w:rPr>
      </w:pPr>
      <w:r>
        <w:rPr>
          <w:rFonts w:hint="eastAsia" w:ascii="宋体" w:hAnsi="Arial" w:cs="宋体"/>
          <w:szCs w:val="21"/>
          <w:lang w:val="zh-CN"/>
        </w:rPr>
        <w:t>电源接通指示</w:t>
      </w:r>
    </w:p>
    <w:p>
      <w:pPr>
        <w:numPr>
          <w:ilvl w:val="0"/>
          <w:numId w:val="79"/>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所有装有工作电压：</w:t>
      </w:r>
      <w:r>
        <w:rPr>
          <w:rFonts w:ascii="Arial" w:hAnsi="Arial" w:cs="Arial"/>
          <w:szCs w:val="21"/>
        </w:rPr>
        <w:t>380VAC/220VAC</w:t>
      </w:r>
      <w:r>
        <w:rPr>
          <w:rFonts w:hint="eastAsia" w:ascii="宋体" w:hAnsi="Arial" w:cs="宋体"/>
          <w:szCs w:val="21"/>
          <w:lang w:val="zh-CN"/>
        </w:rPr>
        <w:t>的电气元件或装置的电气机柜，都要设置较大的电源接通指示器，其位置要显眼，且接近视线高度。三相供电时，每相应设一单独指示。</w:t>
      </w:r>
    </w:p>
    <w:p>
      <w:pPr>
        <w:tabs>
          <w:tab w:val="left" w:pos="851"/>
        </w:tabs>
        <w:autoSpaceDE w:val="0"/>
        <w:autoSpaceDN w:val="0"/>
        <w:spacing w:line="360" w:lineRule="auto"/>
        <w:rPr>
          <w:rFonts w:ascii="Arial" w:hAnsi="Arial" w:cs="Arial"/>
          <w:szCs w:val="21"/>
        </w:rPr>
      </w:pPr>
      <w:r>
        <w:rPr>
          <w:rFonts w:hint="eastAsia" w:ascii="宋体" w:hAnsi="Arial" w:cs="宋体"/>
          <w:szCs w:val="21"/>
          <w:lang w:val="zh-CN"/>
        </w:rPr>
        <w:t>电压保护</w:t>
      </w:r>
    </w:p>
    <w:p>
      <w:pPr>
        <w:numPr>
          <w:ilvl w:val="0"/>
          <w:numId w:val="80"/>
        </w:numPr>
        <w:tabs>
          <w:tab w:val="left" w:pos="284"/>
          <w:tab w:val="left" w:pos="1980"/>
        </w:tabs>
        <w:autoSpaceDE w:val="0"/>
        <w:autoSpaceDN w:val="0"/>
        <w:spacing w:line="360" w:lineRule="auto"/>
        <w:ind w:left="0" w:firstLine="0"/>
        <w:rPr>
          <w:rFonts w:ascii="Arial" w:hAnsi="Arial" w:cs="Arial"/>
          <w:szCs w:val="21"/>
        </w:rPr>
      </w:pPr>
      <w:r>
        <w:rPr>
          <w:rFonts w:hint="eastAsia" w:ascii="宋体" w:hAnsi="Arial" w:cs="宋体"/>
          <w:szCs w:val="21"/>
          <w:lang w:val="zh-CN"/>
        </w:rPr>
        <w:t>电源或驱动装置应有相监控装置。电气设备应具有缺相、欠压、过电压保护。</w:t>
      </w:r>
    </w:p>
    <w:p>
      <w:pPr>
        <w:spacing w:line="360" w:lineRule="auto"/>
        <w:outlineLvl w:val="1"/>
        <w:rPr>
          <w:rFonts w:cs="Times New Roman"/>
          <w:szCs w:val="22"/>
        </w:rPr>
      </w:pPr>
      <w:bookmarkStart w:id="342" w:name="_Toc86851519"/>
      <w:r>
        <w:rPr>
          <w:rFonts w:hint="eastAsia" w:cs="Times New Roman"/>
          <w:szCs w:val="22"/>
        </w:rPr>
        <w:t>涂层与表面处理</w:t>
      </w:r>
      <w:bookmarkEnd w:id="342"/>
    </w:p>
    <w:p>
      <w:pPr>
        <w:numPr>
          <w:ilvl w:val="0"/>
          <w:numId w:val="81"/>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准备：所有部件要具有光滑表面，没有飞边毛刺。不允许出现不良的切割和焊接，部件在涂漆前应脱脂。钢铁表面应除锈并采取防锈措施。机构件在涂漆前进行喷吵处理并采取防锈措施。</w:t>
      </w:r>
    </w:p>
    <w:p>
      <w:pPr>
        <w:numPr>
          <w:ilvl w:val="0"/>
          <w:numId w:val="81"/>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涂层：所有部件应涂上底漆、二道漆，并按照设备说明涂面漆。涂层的损坏部分应及时修复。锈蚀部分应清理到金属光亮后再进行正确涂漆。底漆采用防锈漆，漆膜厚度不小于</w:t>
      </w:r>
      <w:r>
        <w:rPr>
          <w:rFonts w:ascii="宋体" w:hAnsi="Arial" w:cs="宋体"/>
          <w:szCs w:val="21"/>
          <w:lang w:val="zh-CN"/>
        </w:rPr>
        <w:t>80um</w:t>
      </w:r>
      <w:r>
        <w:rPr>
          <w:rFonts w:hint="eastAsia" w:ascii="宋体" w:hAnsi="Arial" w:cs="宋体"/>
          <w:szCs w:val="21"/>
          <w:lang w:val="zh-CN"/>
        </w:rPr>
        <w:t>，面漆采用树脂型，漆膜厚度不小于</w:t>
      </w:r>
      <w:r>
        <w:rPr>
          <w:rFonts w:ascii="宋体" w:hAnsi="Arial" w:cs="宋体"/>
          <w:szCs w:val="21"/>
          <w:lang w:val="zh-CN"/>
        </w:rPr>
        <w:t>80um</w:t>
      </w:r>
      <w:r>
        <w:rPr>
          <w:rFonts w:hint="eastAsia" w:ascii="宋体" w:hAnsi="Arial" w:cs="宋体"/>
          <w:szCs w:val="21"/>
          <w:lang w:val="zh-CN"/>
        </w:rPr>
        <w:t>，漆膜总厚度不小于</w:t>
      </w:r>
      <w:r>
        <w:rPr>
          <w:rFonts w:ascii="宋体" w:hAnsi="Arial" w:cs="宋体"/>
          <w:szCs w:val="21"/>
          <w:lang w:val="zh-CN"/>
        </w:rPr>
        <w:t>160um</w:t>
      </w:r>
      <w:r>
        <w:rPr>
          <w:rFonts w:hint="eastAsia" w:ascii="宋体" w:hAnsi="Arial" w:cs="宋体"/>
          <w:szCs w:val="21"/>
          <w:lang w:val="zh-CN"/>
        </w:rPr>
        <w:t>。漆膜厚度采用干膜厚度计测量。</w:t>
      </w:r>
    </w:p>
    <w:p>
      <w:pPr>
        <w:numPr>
          <w:ilvl w:val="0"/>
          <w:numId w:val="81"/>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现场焊接：全部焊接完成后应处理干净和正确涂漆。管和相似的组件的内表面无法进行涂漆时，在其端部完全密封，以防止内部生锈。</w:t>
      </w:r>
    </w:p>
    <w:p>
      <w:pPr>
        <w:numPr>
          <w:ilvl w:val="0"/>
          <w:numId w:val="81"/>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现场安装后的修补油漆，承包商自备，其种类、品牌、质量应与原用油漆相同。</w:t>
      </w:r>
    </w:p>
    <w:p>
      <w:pPr>
        <w:numPr>
          <w:ilvl w:val="0"/>
          <w:numId w:val="81"/>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标记：所有可拆卸的部件涂漆时应作清楚的标记，以保证现场正确再安装，现场安装结束后，应清楚全部工厂标识的标记。</w:t>
      </w:r>
    </w:p>
    <w:p>
      <w:pPr>
        <w:numPr>
          <w:ilvl w:val="0"/>
          <w:numId w:val="81"/>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表面涂漆颜色：在舞台下部的固定或运动钢部件应涂以暗黑色（外露旋转件的非工作表面为红色）其它部分按照各个具体要求涂漆。承包商在承担工程前应对涂漆的要求和细节进行确认。电气设备的全部表面应用烘烤光亮漆，盘和柜的表面处理不应出现反光。</w:t>
      </w:r>
    </w:p>
    <w:p>
      <w:pPr>
        <w:numPr>
          <w:ilvl w:val="0"/>
          <w:numId w:val="81"/>
        </w:numPr>
        <w:tabs>
          <w:tab w:val="left" w:pos="284"/>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自设备验收合格日之后五年内，所有油漆不允许出现开裂与漆皮剥落。</w:t>
      </w:r>
    </w:p>
    <w:p>
      <w:pPr>
        <w:numPr>
          <w:ilvl w:val="1"/>
          <w:numId w:val="0"/>
        </w:numPr>
        <w:spacing w:line="360" w:lineRule="auto"/>
        <w:outlineLvl w:val="1"/>
        <w:rPr>
          <w:rFonts w:cs="Times New Roman"/>
          <w:szCs w:val="22"/>
        </w:rPr>
      </w:pPr>
      <w:bookmarkStart w:id="343" w:name="_Toc86851520"/>
      <w:r>
        <w:rPr>
          <w:rFonts w:hint="eastAsia" w:cs="Times New Roman"/>
          <w:szCs w:val="22"/>
        </w:rPr>
        <w:t>铭牌与标志</w:t>
      </w:r>
      <w:bookmarkEnd w:id="343"/>
    </w:p>
    <w:p>
      <w:pPr>
        <w:tabs>
          <w:tab w:val="left" w:pos="851"/>
        </w:tabs>
        <w:autoSpaceDE w:val="0"/>
        <w:autoSpaceDN w:val="0"/>
        <w:spacing w:line="360" w:lineRule="auto"/>
        <w:outlineLvl w:val="0"/>
        <w:rPr>
          <w:rFonts w:ascii="Arial" w:hAnsi="Arial" w:cs="Arial"/>
          <w:szCs w:val="21"/>
        </w:rPr>
      </w:pPr>
      <w:bookmarkStart w:id="344" w:name="_Toc86851521"/>
      <w:r>
        <w:rPr>
          <w:rFonts w:hint="eastAsia" w:ascii="宋体" w:hAnsi="Arial" w:cs="宋体"/>
          <w:szCs w:val="21"/>
          <w:lang w:val="zh-CN"/>
        </w:rPr>
        <w:t>每台设备均应有金属铭牌，金属铭牌应装设在设备的明显位置。金属铭牌的主要内容应包括：</w:t>
      </w:r>
      <w:bookmarkEnd w:id="344"/>
    </w:p>
    <w:p>
      <w:pPr>
        <w:numPr>
          <w:ilvl w:val="0"/>
          <w:numId w:val="82"/>
        </w:numPr>
        <w:tabs>
          <w:tab w:val="left" w:pos="284"/>
          <w:tab w:val="left" w:pos="993"/>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设备名称</w:t>
      </w:r>
    </w:p>
    <w:p>
      <w:pPr>
        <w:numPr>
          <w:ilvl w:val="0"/>
          <w:numId w:val="82"/>
        </w:numPr>
        <w:tabs>
          <w:tab w:val="left" w:pos="284"/>
          <w:tab w:val="left" w:pos="993"/>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设备编号（与竣工文件编号一致）</w:t>
      </w:r>
    </w:p>
    <w:p>
      <w:pPr>
        <w:numPr>
          <w:ilvl w:val="0"/>
          <w:numId w:val="82"/>
        </w:numPr>
        <w:tabs>
          <w:tab w:val="left" w:pos="284"/>
          <w:tab w:val="left" w:pos="993"/>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主要技术性能</w:t>
      </w:r>
    </w:p>
    <w:p>
      <w:pPr>
        <w:numPr>
          <w:ilvl w:val="0"/>
          <w:numId w:val="82"/>
        </w:numPr>
        <w:tabs>
          <w:tab w:val="left" w:pos="284"/>
          <w:tab w:val="left" w:pos="993"/>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制造厂家</w:t>
      </w:r>
    </w:p>
    <w:p>
      <w:pPr>
        <w:numPr>
          <w:ilvl w:val="0"/>
          <w:numId w:val="82"/>
        </w:numPr>
        <w:tabs>
          <w:tab w:val="left" w:pos="284"/>
          <w:tab w:val="left" w:pos="993"/>
        </w:tabs>
        <w:autoSpaceDE w:val="0"/>
        <w:autoSpaceDN w:val="0"/>
        <w:spacing w:line="360" w:lineRule="auto"/>
        <w:ind w:left="0" w:firstLine="0"/>
        <w:rPr>
          <w:rFonts w:ascii="宋体" w:hAnsi="Arial" w:cs="宋体"/>
          <w:szCs w:val="21"/>
          <w:lang w:val="zh-CN"/>
        </w:rPr>
      </w:pPr>
      <w:r>
        <w:rPr>
          <w:rFonts w:hint="eastAsia" w:ascii="宋体" w:hAnsi="Arial" w:cs="宋体"/>
          <w:szCs w:val="21"/>
          <w:lang w:val="zh-CN"/>
        </w:rPr>
        <w:t>出厂日期</w:t>
      </w:r>
    </w:p>
    <w:p>
      <w:pPr>
        <w:tabs>
          <w:tab w:val="left" w:pos="851"/>
        </w:tabs>
        <w:autoSpaceDE w:val="0"/>
        <w:autoSpaceDN w:val="0"/>
        <w:spacing w:line="360" w:lineRule="auto"/>
        <w:outlineLvl w:val="0"/>
        <w:rPr>
          <w:rFonts w:ascii="Arial" w:hAnsi="Arial" w:cs="Arial"/>
          <w:szCs w:val="21"/>
        </w:rPr>
      </w:pPr>
      <w:bookmarkStart w:id="345" w:name="_Toc86851522"/>
      <w:r>
        <w:rPr>
          <w:rFonts w:hint="eastAsia" w:ascii="宋体" w:hAnsi="Arial" w:cs="宋体"/>
          <w:szCs w:val="21"/>
          <w:lang w:val="zh-CN"/>
        </w:rPr>
        <w:t>设备柜内的部件标志也应为永久性标志，不得使用临时粘贴标志或钢笔识别印记。</w:t>
      </w:r>
      <w:bookmarkEnd w:id="345"/>
    </w:p>
    <w:p>
      <w:pPr>
        <w:tabs>
          <w:tab w:val="left" w:pos="851"/>
        </w:tabs>
        <w:autoSpaceDE w:val="0"/>
        <w:autoSpaceDN w:val="0"/>
        <w:spacing w:line="360" w:lineRule="auto"/>
        <w:rPr>
          <w:rFonts w:ascii="Arial" w:hAnsi="Arial" w:cs="Arial"/>
          <w:szCs w:val="21"/>
        </w:rPr>
      </w:pPr>
      <w:r>
        <w:rPr>
          <w:rFonts w:hint="eastAsia" w:ascii="宋体" w:hAnsi="Arial" w:cs="宋体"/>
          <w:szCs w:val="21"/>
          <w:lang w:val="zh-CN"/>
        </w:rPr>
        <w:t>铭牌与标志的尺寸应足够大，在正常光线下</w:t>
      </w:r>
      <w:r>
        <w:rPr>
          <w:rFonts w:ascii="Arial" w:hAnsi="Arial" w:cs="Arial"/>
          <w:szCs w:val="21"/>
        </w:rPr>
        <w:t>2m</w:t>
      </w:r>
      <w:r>
        <w:rPr>
          <w:rFonts w:hint="eastAsia" w:ascii="宋体" w:hAnsi="Arial" w:cs="宋体"/>
          <w:szCs w:val="21"/>
          <w:lang w:val="zh-CN"/>
        </w:rPr>
        <w:t>的距离能看清楚铭牌与标志的文件。</w:t>
      </w:r>
    </w:p>
    <w:p>
      <w:pPr>
        <w:keepNext/>
        <w:keepLines/>
        <w:spacing w:line="360" w:lineRule="auto"/>
        <w:outlineLvl w:val="2"/>
        <w:rPr>
          <w:rFonts w:hint="eastAsia" w:ascii="宋体" w:hAnsi="Arial" w:cs="宋体"/>
          <w:szCs w:val="21"/>
          <w:lang w:val="zh-CN"/>
        </w:rPr>
      </w:pPr>
      <w:bookmarkStart w:id="346" w:name="_Toc86851523"/>
      <w:r>
        <w:rPr>
          <w:rFonts w:hint="eastAsia" w:ascii="宋体" w:hAnsi="Arial" w:cs="宋体"/>
          <w:szCs w:val="21"/>
          <w:lang w:val="zh-CN"/>
        </w:rPr>
        <w:t>铭牌与标志除用承包商国文字外，同时也使用中文。</w:t>
      </w:r>
      <w:bookmarkEnd w:id="346"/>
    </w:p>
    <w:p>
      <w:pPr>
        <w:keepNext/>
        <w:keepLines/>
        <w:spacing w:line="360" w:lineRule="auto"/>
        <w:outlineLvl w:val="2"/>
        <w:rPr>
          <w:rFonts w:hint="eastAsia" w:ascii="宋体" w:hAnsi="Arial" w:cs="宋体"/>
          <w:szCs w:val="21"/>
          <w:lang w:val="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keepLines/>
        <w:spacing w:line="360" w:lineRule="auto"/>
        <w:jc w:val="center"/>
        <w:outlineLvl w:val="2"/>
        <w:rPr>
          <w:rFonts w:hint="eastAsia" w:ascii="宋体" w:hAnsi="宋体" w:cs="Times New Roman"/>
          <w:b/>
          <w:bCs/>
          <w:sz w:val="24"/>
        </w:rPr>
      </w:pPr>
      <w:bookmarkStart w:id="347" w:name="_Toc86851524"/>
      <w:r>
        <w:rPr>
          <w:rFonts w:hint="eastAsia" w:ascii="宋体" w:hAnsi="Arial" w:cs="宋体"/>
          <w:b/>
          <w:bCs/>
          <w:szCs w:val="21"/>
        </w:rPr>
        <w:t>主要设备清单</w:t>
      </w:r>
      <w:bookmarkEnd w:id="347"/>
    </w:p>
    <w:tbl>
      <w:tblPr>
        <w:tblStyle w:val="42"/>
        <w:tblW w:w="8783" w:type="dxa"/>
        <w:jc w:val="center"/>
        <w:tblInd w:w="0" w:type="dxa"/>
        <w:tblLayout w:type="fixed"/>
        <w:tblCellMar>
          <w:top w:w="0" w:type="dxa"/>
          <w:left w:w="108" w:type="dxa"/>
          <w:bottom w:w="0" w:type="dxa"/>
          <w:right w:w="108" w:type="dxa"/>
        </w:tblCellMar>
      </w:tblPr>
      <w:tblGrid>
        <w:gridCol w:w="904"/>
        <w:gridCol w:w="1479"/>
        <w:gridCol w:w="5440"/>
        <w:gridCol w:w="960"/>
      </w:tblGrid>
      <w:tr>
        <w:tblPrEx>
          <w:tblLayout w:type="fixed"/>
          <w:tblCellMar>
            <w:top w:w="0" w:type="dxa"/>
            <w:left w:w="108" w:type="dxa"/>
            <w:bottom w:w="0" w:type="dxa"/>
            <w:right w:w="108" w:type="dxa"/>
          </w:tblCellMar>
        </w:tblPrEx>
        <w:trPr>
          <w:trHeight w:val="280"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479" w:type="dxa"/>
            <w:tcBorders>
              <w:top w:val="single" w:color="000000" w:sz="4" w:space="0"/>
              <w:left w:val="nil"/>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分项名称</w:t>
            </w:r>
          </w:p>
        </w:tc>
        <w:tc>
          <w:tcPr>
            <w:tcW w:w="54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主要技术参数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r>
      <w:tr>
        <w:tblPrEx>
          <w:tblLayout w:type="fixed"/>
          <w:tblCellMar>
            <w:top w:w="0" w:type="dxa"/>
            <w:left w:w="108" w:type="dxa"/>
            <w:bottom w:w="0" w:type="dxa"/>
            <w:right w:w="108" w:type="dxa"/>
          </w:tblCellMar>
        </w:tblPrEx>
        <w:trPr>
          <w:trHeight w:val="4160"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平板LED柔光灯（会议灯具）</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光   源：1344颗 0.2W 贴片式 LED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色   温：3200/5600K/3200-5600K色温线性可调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平均寿命：50000小时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显色指数：Ra≥95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 通 量：18000lm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光斑角度：120°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输入电压：AC100-240V/50/60Hz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整灯功率：300W 功率因数PF≥0.98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驱动电流：1.1A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电源输入：输入输出手拉手（双电源可选）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调   光：0-100%线性调光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控制协议：标准DMX512协议 RDM功能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通道模式：1CH/2CH/4CH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冷却：外置铝片对流散热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噪音：超静音；</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信号线输入：三芯/五芯</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r>
      <w:tr>
        <w:tblPrEx>
          <w:tblLayout w:type="fixed"/>
          <w:tblCellMar>
            <w:top w:w="0" w:type="dxa"/>
            <w:left w:w="108" w:type="dxa"/>
            <w:bottom w:w="0" w:type="dxa"/>
            <w:right w:w="108" w:type="dxa"/>
          </w:tblCellMar>
        </w:tblPrEx>
        <w:trPr>
          <w:trHeight w:val="2340"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LED PAR灯辅助灯光）</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电源：AC220V/50HZ</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功率：165W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光源：3W*54颗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彩光：RGBW全色域混合</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光通量：9900 lm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光束角度：15°，25°，45°（可选）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可选倾斜角度：/－90°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控制模式：DMX512</w:t>
            </w:r>
          </w:p>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防护等级：IP65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30</w:t>
            </w:r>
          </w:p>
        </w:tc>
      </w:tr>
      <w:tr>
        <w:tblPrEx>
          <w:tblLayout w:type="fixed"/>
          <w:tblCellMar>
            <w:top w:w="0" w:type="dxa"/>
            <w:left w:w="108" w:type="dxa"/>
            <w:bottom w:w="0" w:type="dxa"/>
            <w:right w:w="108" w:type="dxa"/>
          </w:tblCellMar>
        </w:tblPrEx>
        <w:trPr>
          <w:trHeight w:val="84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LED天幕灯(背景天幕灯）</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光   源：36颗 25W 七色 LED</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色   温：2700K-9000K色温线性可调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平均寿命：50000小时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显色指数：CRI≥90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 通 量：18000lm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光斑角度：80°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透    镜：珠面透镜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输入电压：AC100-240V/50/60Hz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整灯功率：300W 功率因数PF≥0.98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驱动电流：1.36A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电源输入：输入输出手拉手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调   光：0-100%线性调光,频闪效果0~20次/秒</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控制协议：标准DMX512协议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通道模式：8CH/11CH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冷      却：外置铝片对流散热</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信号线输入：三芯/五芯</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r>
      <w:tr>
        <w:tblPrEx>
          <w:tblLayout w:type="fixed"/>
          <w:tblCellMar>
            <w:top w:w="0" w:type="dxa"/>
            <w:left w:w="108" w:type="dxa"/>
            <w:bottom w:w="0" w:type="dxa"/>
            <w:right w:w="108" w:type="dxa"/>
          </w:tblCellMar>
        </w:tblPrEx>
        <w:trPr>
          <w:trHeight w:val="84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200KW直通电源系统调试</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将原舞台灯具主电源系统与新灯具系统融合后，重新调试；</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Layout w:type="fixed"/>
          <w:tblCellMar>
            <w:top w:w="0" w:type="dxa"/>
            <w:left w:w="108" w:type="dxa"/>
            <w:bottom w:w="0" w:type="dxa"/>
            <w:right w:w="108" w:type="dxa"/>
          </w:tblCellMar>
        </w:tblPrEx>
        <w:trPr>
          <w:trHeight w:val="84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48路直通柜调试</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48路4KW直通柜调试</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Layout w:type="fixed"/>
          <w:tblCellMar>
            <w:top w:w="0" w:type="dxa"/>
            <w:left w:w="108" w:type="dxa"/>
            <w:bottom w:w="0" w:type="dxa"/>
            <w:right w:w="108" w:type="dxa"/>
          </w:tblCellMar>
        </w:tblPrEx>
        <w:trPr>
          <w:trHeight w:val="84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DMX灯光控制调试</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将新灯具融合原来灯光控制系统</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Layout w:type="fixed"/>
          <w:tblCellMar>
            <w:top w:w="0" w:type="dxa"/>
            <w:left w:w="108" w:type="dxa"/>
            <w:bottom w:w="0" w:type="dxa"/>
            <w:right w:w="108" w:type="dxa"/>
          </w:tblCellMar>
        </w:tblPrEx>
        <w:trPr>
          <w:trHeight w:val="84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舞台灯光电源系统</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将60路灯具电源系统改造，含线槽、强电防水插头；</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r>
        <w:tblPrEx>
          <w:tblLayout w:type="fixed"/>
          <w:tblCellMar>
            <w:top w:w="0" w:type="dxa"/>
            <w:left w:w="108" w:type="dxa"/>
            <w:bottom w:w="0" w:type="dxa"/>
            <w:right w:w="108" w:type="dxa"/>
          </w:tblCellMar>
        </w:tblPrEx>
        <w:trPr>
          <w:trHeight w:val="841" w:hRule="atLeast"/>
          <w:jc w:val="center"/>
        </w:trPr>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舞台灯光信号系统</w:t>
            </w:r>
          </w:p>
        </w:tc>
        <w:tc>
          <w:tcPr>
            <w:tcW w:w="5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20"/>
                <w:szCs w:val="20"/>
                <w:lang w:bidi="ar"/>
              </w:rPr>
            </w:pPr>
            <w:r>
              <w:rPr>
                <w:rFonts w:hint="eastAsia" w:ascii="宋体" w:hAnsi="宋体" w:cs="宋体"/>
                <w:color w:val="000000"/>
                <w:kern w:val="0"/>
                <w:sz w:val="20"/>
                <w:szCs w:val="20"/>
                <w:lang w:bidi="ar"/>
              </w:rPr>
              <w:t>将60路灯具信号系统改造，含线槽、卡隆插座与接插件；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r>
    </w:tbl>
    <w:p>
      <w:pPr>
        <w:rPr>
          <w:rFonts w:hint="eastAsia" w:ascii="宋体" w:hAnsi="宋体" w:cs="Times New Roman"/>
          <w:b/>
          <w:sz w:val="28"/>
          <w:szCs w:val="28"/>
        </w:rPr>
      </w:pPr>
    </w:p>
    <w:p>
      <w:pPr>
        <w:keepNext/>
        <w:keepLines/>
        <w:spacing w:line="360" w:lineRule="auto"/>
        <w:outlineLvl w:val="2"/>
        <w:rPr>
          <w:rFonts w:hint="eastAsia" w:ascii="宋体" w:hAnsi="宋体" w:cs="Times New Roman"/>
          <w:b/>
          <w:sz w:val="24"/>
        </w:rPr>
      </w:pPr>
      <w:bookmarkStart w:id="348" w:name="_Toc86851525"/>
      <w:r>
        <w:rPr>
          <w:rFonts w:hint="eastAsia" w:ascii="宋体" w:hAnsi="宋体" w:cs="Times New Roman"/>
          <w:b/>
          <w:sz w:val="24"/>
        </w:rPr>
        <w:t>5</w:t>
      </w:r>
      <w:r>
        <w:rPr>
          <w:rFonts w:ascii="宋体" w:hAnsi="宋体" w:cs="Times New Roman"/>
          <w:b/>
          <w:sz w:val="24"/>
        </w:rPr>
        <w:t>.</w:t>
      </w:r>
      <w:r>
        <w:rPr>
          <w:rFonts w:hint="eastAsia" w:ascii="宋体" w:hAnsi="宋体" w:cs="Times New Roman"/>
          <w:b/>
          <w:sz w:val="24"/>
        </w:rPr>
        <w:t>实施交付要求</w:t>
      </w:r>
      <w:bookmarkEnd w:id="348"/>
    </w:p>
    <w:p>
      <w:pPr>
        <w:spacing w:line="360" w:lineRule="auto"/>
        <w:ind w:firstLine="480" w:firstLineChars="200"/>
        <w:rPr>
          <w:rFonts w:ascii="宋体" w:hAnsi="宋体" w:cs="Times New Roman"/>
          <w:sz w:val="24"/>
        </w:rPr>
      </w:pPr>
      <w:r>
        <w:rPr>
          <w:rFonts w:hint="eastAsia" w:ascii="宋体" w:hAnsi="宋体" w:cs="Times New Roman"/>
          <w:sz w:val="24"/>
        </w:rPr>
        <w:t>（</w:t>
      </w:r>
      <w:r>
        <w:rPr>
          <w:rFonts w:ascii="宋体" w:hAnsi="宋体" w:cs="Times New Roman"/>
          <w:sz w:val="24"/>
        </w:rPr>
        <w:t>1）</w:t>
      </w:r>
      <w:r>
        <w:rPr>
          <w:rFonts w:hint="eastAsia" w:ascii="宋体" w:hAnsi="宋体" w:cs="Times New Roman"/>
          <w:sz w:val="24"/>
        </w:rPr>
        <w:t>所有货物在开箱检验时必须完好，无破损，配置与装箱单相符。数量及性能不低于本需求书中提出的要求。</w:t>
      </w:r>
    </w:p>
    <w:p>
      <w:pPr>
        <w:spacing w:line="360" w:lineRule="auto"/>
        <w:ind w:firstLine="480" w:firstLineChars="200"/>
        <w:rPr>
          <w:rFonts w:ascii="宋体" w:hAnsi="宋体" w:cs="Times New Roman"/>
          <w:sz w:val="24"/>
        </w:rPr>
      </w:pPr>
      <w:r>
        <w:rPr>
          <w:rFonts w:hint="eastAsia" w:ascii="宋体" w:hAnsi="宋体" w:cs="Times New Roman"/>
          <w:sz w:val="24"/>
        </w:rPr>
        <w:t>（2</w:t>
      </w:r>
      <w:r>
        <w:rPr>
          <w:rFonts w:ascii="宋体" w:hAnsi="宋体" w:cs="Times New Roman"/>
          <w:sz w:val="24"/>
        </w:rPr>
        <w:t>）</w:t>
      </w:r>
      <w:r>
        <w:rPr>
          <w:rFonts w:hint="eastAsia" w:ascii="宋体" w:hAnsi="宋体" w:cs="Times New Roman"/>
          <w:sz w:val="24"/>
        </w:rPr>
        <w:t>供货设备的包装</w:t>
      </w:r>
    </w:p>
    <w:p>
      <w:pPr>
        <w:spacing w:line="360" w:lineRule="auto"/>
        <w:ind w:firstLine="480" w:firstLineChars="200"/>
        <w:rPr>
          <w:rFonts w:ascii="宋体" w:hAnsi="宋体" w:cs="Times New Roman"/>
          <w:sz w:val="24"/>
        </w:rPr>
      </w:pPr>
      <w:r>
        <w:rPr>
          <w:rFonts w:hint="eastAsia" w:ascii="宋体" w:hAnsi="宋体" w:cs="Times New Roman"/>
          <w:sz w:val="24"/>
        </w:rPr>
        <w:t>设备的包装均应有良好的防湿、防锈、防雨、防腐及防碰撞的措施。凡由于包装不良造成的损失和由此产生的费用均由中</w:t>
      </w:r>
      <w:r>
        <w:rPr>
          <w:rFonts w:ascii="宋体" w:hAnsi="宋体" w:cs="Times New Roman"/>
          <w:sz w:val="24"/>
        </w:rPr>
        <w:t>标供应</w:t>
      </w:r>
      <w:r>
        <w:rPr>
          <w:rFonts w:hint="eastAsia" w:ascii="宋体" w:hAnsi="宋体" w:cs="Times New Roman"/>
          <w:sz w:val="24"/>
        </w:rPr>
        <w:t>商承担。</w:t>
      </w:r>
    </w:p>
    <w:p>
      <w:pPr>
        <w:spacing w:line="360" w:lineRule="auto"/>
        <w:ind w:firstLine="480" w:firstLineChars="200"/>
        <w:rPr>
          <w:rFonts w:ascii="宋体" w:hAnsi="宋体" w:cs="Times New Roman"/>
          <w:sz w:val="24"/>
        </w:rPr>
      </w:pPr>
      <w:r>
        <w:rPr>
          <w:rFonts w:hint="eastAsia" w:ascii="宋体" w:hAnsi="宋体" w:cs="Times New Roman"/>
          <w:sz w:val="24"/>
        </w:rPr>
        <w:t>（3</w:t>
      </w:r>
      <w:r>
        <w:rPr>
          <w:rFonts w:ascii="宋体" w:hAnsi="宋体" w:cs="Times New Roman"/>
          <w:sz w:val="24"/>
        </w:rPr>
        <w:t>）</w:t>
      </w:r>
      <w:r>
        <w:rPr>
          <w:rFonts w:hint="eastAsia" w:ascii="宋体" w:hAnsi="宋体" w:cs="Times New Roman"/>
          <w:sz w:val="24"/>
        </w:rPr>
        <w:t>设备的安装调试</w:t>
      </w:r>
    </w:p>
    <w:p>
      <w:pPr>
        <w:widowControl/>
        <w:spacing w:line="360" w:lineRule="auto"/>
        <w:ind w:firstLine="480" w:firstLineChars="200"/>
        <w:jc w:val="left"/>
        <w:rPr>
          <w:rFonts w:ascii="宋体" w:hAnsi="宋体" w:cs="宋体"/>
          <w:b/>
          <w:kern w:val="0"/>
          <w:sz w:val="24"/>
        </w:rPr>
      </w:pPr>
      <w:r>
        <w:rPr>
          <w:rFonts w:hint="eastAsia" w:ascii="宋体" w:hAnsi="宋体" w:cs="Times New Roman"/>
          <w:sz w:val="24"/>
        </w:rPr>
        <w:t>★</w:t>
      </w:r>
      <w:r>
        <w:rPr>
          <w:rFonts w:hint="eastAsia" w:ascii="宋体" w:hAnsi="宋体" w:cs="宋体"/>
          <w:b/>
          <w:kern w:val="0"/>
          <w:sz w:val="24"/>
        </w:rPr>
        <w:t>因本项目实施的会场在正常工作时间段可能无法腾空施工，中</w:t>
      </w:r>
      <w:r>
        <w:rPr>
          <w:rFonts w:ascii="宋体" w:hAnsi="宋体" w:cs="宋体"/>
          <w:b/>
          <w:kern w:val="0"/>
          <w:sz w:val="24"/>
        </w:rPr>
        <w:t>标供应</w:t>
      </w:r>
      <w:r>
        <w:rPr>
          <w:rFonts w:hint="eastAsia" w:ascii="宋体" w:hAnsi="宋体" w:cs="宋体"/>
          <w:b/>
          <w:kern w:val="0"/>
          <w:sz w:val="24"/>
        </w:rPr>
        <w:t>商必须承诺提供非工作时间段施工服务（包括晚上、周末），每次施工后如碰到会议使用要求需及时恢复会场音频条件，保障采购人所有会场在施工期间任意时刻音频系统持续可用。</w:t>
      </w:r>
    </w:p>
    <w:p>
      <w:pPr>
        <w:spacing w:line="360" w:lineRule="auto"/>
        <w:ind w:firstLine="480" w:firstLineChars="200"/>
        <w:rPr>
          <w:rFonts w:ascii="宋体" w:hAnsi="宋体" w:cs="Times New Roman"/>
          <w:sz w:val="24"/>
        </w:rPr>
      </w:pPr>
      <w:r>
        <w:rPr>
          <w:rFonts w:hint="eastAsia" w:ascii="宋体" w:hAnsi="宋体" w:cs="Times New Roman"/>
          <w:sz w:val="24"/>
        </w:rPr>
        <w:t>中</w:t>
      </w:r>
      <w:r>
        <w:rPr>
          <w:rFonts w:ascii="宋体" w:hAnsi="宋体" w:cs="Times New Roman"/>
          <w:sz w:val="24"/>
        </w:rPr>
        <w:t>标供应</w:t>
      </w:r>
      <w:r>
        <w:rPr>
          <w:rFonts w:hint="eastAsia" w:ascii="宋体" w:hAnsi="宋体" w:cs="Times New Roman"/>
          <w:sz w:val="24"/>
        </w:rPr>
        <w:t>商负责设备的安装调试，一切费用由中</w:t>
      </w:r>
      <w:r>
        <w:rPr>
          <w:rFonts w:ascii="宋体" w:hAnsi="宋体" w:cs="Times New Roman"/>
          <w:sz w:val="24"/>
        </w:rPr>
        <w:t>标供应</w:t>
      </w:r>
      <w:r>
        <w:rPr>
          <w:rFonts w:hint="eastAsia" w:ascii="宋体" w:hAnsi="宋体" w:cs="Times New Roman"/>
          <w:sz w:val="24"/>
        </w:rPr>
        <w:t>商负责。</w:t>
      </w:r>
    </w:p>
    <w:p>
      <w:pPr>
        <w:spacing w:line="360" w:lineRule="auto"/>
        <w:ind w:firstLine="480" w:firstLineChars="200"/>
        <w:rPr>
          <w:rFonts w:ascii="宋体" w:hAnsi="宋体" w:cs="Times New Roman"/>
          <w:sz w:val="24"/>
        </w:rPr>
      </w:pPr>
      <w:r>
        <w:rPr>
          <w:rFonts w:hint="eastAsia" w:ascii="宋体" w:hAnsi="宋体" w:cs="Times New Roman"/>
          <w:sz w:val="24"/>
        </w:rPr>
        <w:t>中</w:t>
      </w:r>
      <w:r>
        <w:rPr>
          <w:rFonts w:ascii="宋体" w:hAnsi="宋体" w:cs="Times New Roman"/>
          <w:sz w:val="24"/>
        </w:rPr>
        <w:t>标供应</w:t>
      </w:r>
      <w:r>
        <w:rPr>
          <w:rFonts w:hint="eastAsia" w:ascii="宋体" w:hAnsi="宋体" w:cs="Times New Roman"/>
          <w:sz w:val="24"/>
        </w:rPr>
        <w:t>商安装时须对各安装场地的其他设备、设施有良好保护措施，如因保护措施不当造成采购</w:t>
      </w:r>
      <w:r>
        <w:rPr>
          <w:rFonts w:ascii="宋体" w:hAnsi="宋体" w:cs="Times New Roman"/>
          <w:sz w:val="24"/>
        </w:rPr>
        <w:t>人</w:t>
      </w:r>
      <w:r>
        <w:rPr>
          <w:rFonts w:hint="eastAsia" w:ascii="宋体" w:hAnsi="宋体" w:cs="Times New Roman"/>
          <w:sz w:val="24"/>
        </w:rPr>
        <w:t>损失的，中</w:t>
      </w:r>
      <w:r>
        <w:rPr>
          <w:rFonts w:ascii="宋体" w:hAnsi="宋体" w:cs="Times New Roman"/>
          <w:sz w:val="24"/>
        </w:rPr>
        <w:t>标供应</w:t>
      </w:r>
      <w:r>
        <w:rPr>
          <w:rFonts w:hint="eastAsia" w:ascii="宋体" w:hAnsi="宋体" w:cs="Times New Roman"/>
          <w:sz w:val="24"/>
        </w:rPr>
        <w:t>商应负责赔偿。</w:t>
      </w:r>
    </w:p>
    <w:p>
      <w:pPr>
        <w:spacing w:line="360" w:lineRule="auto"/>
        <w:ind w:firstLine="480" w:firstLineChars="200"/>
        <w:rPr>
          <w:rFonts w:ascii="宋体" w:hAnsi="宋体" w:cs="Times New Roman"/>
          <w:sz w:val="24"/>
        </w:rPr>
      </w:pPr>
      <w:r>
        <w:rPr>
          <w:rFonts w:hint="eastAsia" w:ascii="宋体" w:hAnsi="宋体" w:cs="Times New Roman"/>
          <w:sz w:val="24"/>
        </w:rPr>
        <w:t>中</w:t>
      </w:r>
      <w:r>
        <w:rPr>
          <w:rFonts w:ascii="宋体" w:hAnsi="宋体" w:cs="Times New Roman"/>
          <w:sz w:val="24"/>
        </w:rPr>
        <w:t>标供应</w:t>
      </w:r>
      <w:r>
        <w:rPr>
          <w:rFonts w:hint="eastAsia" w:ascii="宋体" w:hAnsi="宋体" w:cs="Times New Roman"/>
          <w:sz w:val="24"/>
        </w:rPr>
        <w:t>商要与采购人、其他会场保障单位密切配合，保障会场音频系统可用性。</w:t>
      </w:r>
    </w:p>
    <w:p>
      <w:pPr>
        <w:spacing w:line="360" w:lineRule="auto"/>
        <w:ind w:firstLine="480" w:firstLineChars="200"/>
        <w:rPr>
          <w:rFonts w:ascii="宋体" w:hAnsi="宋体" w:cs="Times New Roman"/>
          <w:sz w:val="24"/>
        </w:rPr>
      </w:pPr>
      <w:r>
        <w:rPr>
          <w:rFonts w:hint="eastAsia" w:ascii="宋体" w:hAnsi="宋体" w:cs="Times New Roman"/>
          <w:sz w:val="24"/>
        </w:rPr>
        <w:t>中</w:t>
      </w:r>
      <w:r>
        <w:rPr>
          <w:rFonts w:ascii="宋体" w:hAnsi="宋体" w:cs="Times New Roman"/>
          <w:sz w:val="24"/>
        </w:rPr>
        <w:t>标供应</w:t>
      </w:r>
      <w:r>
        <w:rPr>
          <w:rFonts w:hint="eastAsia" w:ascii="宋体" w:hAnsi="宋体" w:cs="Times New Roman"/>
          <w:sz w:val="24"/>
        </w:rPr>
        <w:t>商要服从本项目监理公司的监理。</w:t>
      </w:r>
    </w:p>
    <w:p>
      <w:pPr>
        <w:spacing w:line="360" w:lineRule="auto"/>
        <w:ind w:firstLine="480" w:firstLineChars="200"/>
        <w:rPr>
          <w:rFonts w:ascii="宋体" w:hAnsi="宋体" w:cs="Times New Roman"/>
          <w:sz w:val="24"/>
        </w:rPr>
      </w:pPr>
      <w:r>
        <w:rPr>
          <w:rFonts w:hint="eastAsia" w:ascii="宋体" w:hAnsi="宋体" w:cs="Times New Roman"/>
          <w:sz w:val="24"/>
        </w:rPr>
        <w:t>本合同项目不得转包，非主体项目报经采购同意转包的除外。</w:t>
      </w:r>
    </w:p>
    <w:p>
      <w:pPr>
        <w:spacing w:line="360" w:lineRule="auto"/>
        <w:ind w:firstLine="480" w:firstLineChars="200"/>
        <w:rPr>
          <w:rFonts w:ascii="宋体" w:hAnsi="宋体" w:cs="Times New Roman"/>
          <w:sz w:val="24"/>
        </w:rPr>
      </w:pPr>
      <w:r>
        <w:rPr>
          <w:rFonts w:hint="eastAsia" w:ascii="宋体" w:hAnsi="宋体" w:cs="Times New Roman"/>
          <w:sz w:val="24"/>
        </w:rPr>
        <w:t>（</w:t>
      </w:r>
      <w:r>
        <w:rPr>
          <w:rFonts w:ascii="宋体" w:hAnsi="宋体" w:cs="Times New Roman"/>
          <w:sz w:val="24"/>
        </w:rPr>
        <w:t>4）</w:t>
      </w:r>
      <w:r>
        <w:rPr>
          <w:rFonts w:hint="eastAsia" w:ascii="宋体" w:hAnsi="宋体" w:cs="Times New Roman"/>
          <w:sz w:val="24"/>
        </w:rPr>
        <w:t>设备的验收</w:t>
      </w:r>
    </w:p>
    <w:p>
      <w:pPr>
        <w:spacing w:line="360" w:lineRule="auto"/>
        <w:ind w:firstLine="480" w:firstLineChars="200"/>
        <w:rPr>
          <w:rFonts w:ascii="宋体" w:hAnsi="宋体" w:cs="Times New Roman"/>
          <w:sz w:val="24"/>
        </w:rPr>
      </w:pPr>
      <w:r>
        <w:rPr>
          <w:rFonts w:hint="eastAsia" w:ascii="宋体" w:hAnsi="宋体" w:cs="Times New Roman"/>
          <w:sz w:val="24"/>
        </w:rPr>
        <w:t>设备到场后，采购人（或监理单位）对设备进行开箱验收，检查设备完好性。验收应在双方共同参加下进行。验收时如果发现所交付的设备有短装、次品、损坏或其它不符合本合同规定的情形，采购</w:t>
      </w:r>
      <w:r>
        <w:rPr>
          <w:rFonts w:ascii="宋体" w:hAnsi="宋体" w:cs="Times New Roman"/>
          <w:sz w:val="24"/>
        </w:rPr>
        <w:t>人</w:t>
      </w:r>
      <w:r>
        <w:rPr>
          <w:rFonts w:hint="eastAsia" w:ascii="宋体" w:hAnsi="宋体" w:cs="Times New Roman"/>
          <w:sz w:val="24"/>
        </w:rPr>
        <w:t>应做出详尽的现场记录，或由双方签署备忘录。此现场记录或备忘录可用作补充、缺失和更换损坏部件的有效证据。由此产生的有关费用由中</w:t>
      </w:r>
      <w:r>
        <w:rPr>
          <w:rFonts w:ascii="宋体" w:hAnsi="宋体" w:cs="Times New Roman"/>
          <w:sz w:val="24"/>
        </w:rPr>
        <w:t>标供应</w:t>
      </w:r>
      <w:r>
        <w:rPr>
          <w:rFonts w:hint="eastAsia" w:ascii="宋体" w:hAnsi="宋体" w:cs="Times New Roman"/>
          <w:sz w:val="24"/>
        </w:rPr>
        <w:t>商承担，验收期限相应顺延。</w:t>
      </w:r>
    </w:p>
    <w:p>
      <w:pPr>
        <w:spacing w:line="360" w:lineRule="auto"/>
        <w:ind w:firstLine="480" w:firstLineChars="200"/>
        <w:rPr>
          <w:rFonts w:ascii="宋体" w:hAnsi="宋体" w:cs="Times New Roman"/>
          <w:sz w:val="24"/>
        </w:rPr>
      </w:pPr>
      <w:r>
        <w:rPr>
          <w:rFonts w:hint="eastAsia" w:ascii="宋体" w:hAnsi="宋体" w:cs="Times New Roman"/>
          <w:sz w:val="24"/>
        </w:rPr>
        <w:t>如果设备运输和安装调试过程中因事故造成货物短缺、损坏，中</w:t>
      </w:r>
      <w:r>
        <w:rPr>
          <w:rFonts w:ascii="宋体" w:hAnsi="宋体" w:cs="Times New Roman"/>
          <w:sz w:val="24"/>
        </w:rPr>
        <w:t>标供应</w:t>
      </w:r>
      <w:r>
        <w:rPr>
          <w:rFonts w:hint="eastAsia" w:ascii="宋体" w:hAnsi="宋体" w:cs="Times New Roman"/>
          <w:sz w:val="24"/>
        </w:rPr>
        <w:t>商应及时安排换装，以保证设备安装调试的成功完成。换货的相关费用由中</w:t>
      </w:r>
      <w:r>
        <w:rPr>
          <w:rFonts w:ascii="宋体" w:hAnsi="宋体" w:cs="Times New Roman"/>
          <w:sz w:val="24"/>
        </w:rPr>
        <w:t>标供应</w:t>
      </w:r>
      <w:r>
        <w:rPr>
          <w:rFonts w:hint="eastAsia" w:ascii="宋体" w:hAnsi="宋体" w:cs="Times New Roman"/>
          <w:sz w:val="24"/>
        </w:rPr>
        <w:t>商承担。</w:t>
      </w:r>
    </w:p>
    <w:p>
      <w:pPr>
        <w:spacing w:line="360" w:lineRule="auto"/>
        <w:ind w:firstLine="480" w:firstLineChars="200"/>
        <w:rPr>
          <w:rFonts w:ascii="宋体" w:hAnsi="宋体" w:cs="Times New Roman"/>
          <w:sz w:val="24"/>
        </w:rPr>
      </w:pPr>
      <w:r>
        <w:rPr>
          <w:rFonts w:hint="eastAsia" w:ascii="宋体" w:hAnsi="宋体" w:cs="Times New Roman"/>
          <w:sz w:val="24"/>
        </w:rPr>
        <w:t>设备安装调试完成后</w:t>
      </w:r>
      <w:r>
        <w:rPr>
          <w:rFonts w:ascii="宋体" w:hAnsi="宋体" w:cs="Times New Roman"/>
          <w:sz w:val="24"/>
        </w:rPr>
        <w:t>提交项目</w:t>
      </w:r>
      <w:r>
        <w:rPr>
          <w:rFonts w:hint="eastAsia" w:ascii="宋体" w:hAnsi="宋体" w:cs="Times New Roman"/>
          <w:sz w:val="24"/>
        </w:rPr>
        <w:t>合同验收。合同验收由采</w:t>
      </w:r>
      <w:r>
        <w:rPr>
          <w:rFonts w:ascii="宋体" w:hAnsi="宋体" w:cs="Times New Roman"/>
          <w:sz w:val="24"/>
        </w:rPr>
        <w:t>购人</w:t>
      </w:r>
      <w:r>
        <w:rPr>
          <w:rFonts w:hint="eastAsia" w:ascii="宋体" w:hAnsi="宋体" w:cs="Times New Roman"/>
          <w:sz w:val="24"/>
        </w:rPr>
        <w:t>单位、监理单位、施工单位参与验收。验收内容包括施工质量、技术和资料。施工质量按照设备安装质量的要求进行验收；技术按照磋商文件对各子系统技术指标的要求进行验收；资料验收要求资料内容齐全、标记正确、文字清楚、数据准确、图文表一致。</w:t>
      </w:r>
    </w:p>
    <w:p>
      <w:pPr>
        <w:keepNext/>
        <w:keepLines/>
        <w:spacing w:line="360" w:lineRule="auto"/>
        <w:outlineLvl w:val="2"/>
        <w:rPr>
          <w:rFonts w:hint="eastAsia" w:ascii="宋体" w:hAnsi="宋体" w:cs="Times New Roman"/>
          <w:b/>
          <w:sz w:val="24"/>
        </w:rPr>
      </w:pPr>
      <w:bookmarkStart w:id="349" w:name="_Toc86851526"/>
      <w:bookmarkStart w:id="350" w:name="_Toc83832421"/>
      <w:r>
        <w:rPr>
          <w:rFonts w:ascii="宋体" w:hAnsi="宋体" w:cs="Times New Roman"/>
          <w:b/>
          <w:sz w:val="24"/>
        </w:rPr>
        <w:t>6</w:t>
      </w:r>
      <w:r>
        <w:rPr>
          <w:rFonts w:hint="eastAsia" w:ascii="宋体" w:hAnsi="宋体" w:cs="Times New Roman"/>
          <w:b/>
          <w:sz w:val="24"/>
        </w:rPr>
        <w:t>.售后服务要求</w:t>
      </w:r>
      <w:bookmarkEnd w:id="349"/>
      <w:bookmarkEnd w:id="350"/>
    </w:p>
    <w:p>
      <w:pPr>
        <w:spacing w:line="360" w:lineRule="auto"/>
        <w:ind w:firstLine="480" w:firstLineChars="200"/>
        <w:rPr>
          <w:rFonts w:ascii="宋体" w:hAnsi="宋体" w:cs="Times New Roman"/>
          <w:sz w:val="24"/>
        </w:rPr>
      </w:pPr>
      <w:r>
        <w:rPr>
          <w:rFonts w:hint="eastAsia" w:ascii="宋体" w:hAnsi="宋体" w:cs="Times New Roman"/>
          <w:sz w:val="24"/>
        </w:rPr>
        <w:t>（1）售后服务期</w:t>
      </w:r>
    </w:p>
    <w:p>
      <w:pPr>
        <w:spacing w:line="360" w:lineRule="auto"/>
        <w:ind w:firstLine="480" w:firstLineChars="200"/>
        <w:rPr>
          <w:rFonts w:ascii="宋体" w:hAnsi="宋体" w:cs="Times New Roman"/>
          <w:sz w:val="24"/>
        </w:rPr>
      </w:pPr>
      <w:r>
        <w:rPr>
          <w:rFonts w:hint="eastAsia" w:ascii="宋体" w:hAnsi="宋体" w:cs="Times New Roman"/>
          <w:sz w:val="24"/>
        </w:rPr>
        <w:t>中</w:t>
      </w:r>
      <w:r>
        <w:rPr>
          <w:rFonts w:ascii="宋体" w:hAnsi="宋体" w:cs="Times New Roman"/>
          <w:sz w:val="24"/>
        </w:rPr>
        <w:t>标</w:t>
      </w:r>
      <w:r>
        <w:rPr>
          <w:rFonts w:hint="eastAsia" w:ascii="宋体" w:hAnsi="宋体" w:cs="Times New Roman"/>
          <w:sz w:val="24"/>
        </w:rPr>
        <w:t>供</w:t>
      </w:r>
      <w:r>
        <w:rPr>
          <w:rFonts w:ascii="宋体" w:hAnsi="宋体" w:cs="Times New Roman"/>
          <w:sz w:val="24"/>
        </w:rPr>
        <w:t>应</w:t>
      </w:r>
      <w:r>
        <w:rPr>
          <w:rFonts w:hint="eastAsia" w:ascii="宋体" w:hAnsi="宋体" w:cs="Times New Roman"/>
          <w:sz w:val="24"/>
        </w:rPr>
        <w:t>商需为本项目所提供的设备自通过采购人（或监理单位）开箱验收合格</w:t>
      </w:r>
      <w:r>
        <w:rPr>
          <w:rFonts w:ascii="宋体" w:hAnsi="宋体" w:cs="Times New Roman"/>
          <w:sz w:val="24"/>
        </w:rPr>
        <w:t>之次日起</w:t>
      </w:r>
      <w:r>
        <w:rPr>
          <w:rFonts w:hint="eastAsia" w:ascii="宋体" w:hAnsi="宋体" w:cs="Times New Roman"/>
          <w:sz w:val="24"/>
        </w:rPr>
        <w:t>为期</w:t>
      </w:r>
      <w:r>
        <w:rPr>
          <w:rFonts w:ascii="宋体" w:hAnsi="宋体" w:cs="Times New Roman"/>
          <w:sz w:val="24"/>
        </w:rPr>
        <w:t>1</w:t>
      </w:r>
      <w:r>
        <w:rPr>
          <w:rFonts w:hint="eastAsia" w:ascii="宋体" w:hAnsi="宋体" w:cs="Times New Roman"/>
          <w:sz w:val="24"/>
        </w:rPr>
        <w:t>年的售后服务，所有费用已包含在投标报价中。</w:t>
      </w:r>
    </w:p>
    <w:p>
      <w:pPr>
        <w:spacing w:line="360" w:lineRule="auto"/>
        <w:ind w:firstLine="480" w:firstLineChars="200"/>
        <w:rPr>
          <w:rFonts w:ascii="宋体" w:hAnsi="宋体" w:cs="Times New Roman"/>
          <w:sz w:val="24"/>
        </w:rPr>
      </w:pPr>
      <w:r>
        <w:rPr>
          <w:rFonts w:hint="eastAsia" w:ascii="宋体" w:hAnsi="宋体" w:cs="Times New Roman"/>
          <w:sz w:val="24"/>
        </w:rPr>
        <w:t>售</w:t>
      </w:r>
      <w:r>
        <w:rPr>
          <w:rFonts w:ascii="宋体" w:hAnsi="宋体" w:cs="Times New Roman"/>
          <w:sz w:val="24"/>
        </w:rPr>
        <w:t>后服务期（</w:t>
      </w:r>
      <w:r>
        <w:rPr>
          <w:rFonts w:hint="eastAsia" w:ascii="宋体" w:hAnsi="宋体" w:cs="Times New Roman"/>
          <w:sz w:val="24"/>
        </w:rPr>
        <w:t>质</w:t>
      </w:r>
      <w:r>
        <w:rPr>
          <w:rFonts w:ascii="宋体" w:hAnsi="宋体" w:cs="Times New Roman"/>
          <w:sz w:val="24"/>
        </w:rPr>
        <w:t>保期）</w:t>
      </w:r>
      <w:r>
        <w:rPr>
          <w:rFonts w:hint="eastAsia" w:ascii="宋体" w:hAnsi="宋体" w:cs="Times New Roman"/>
          <w:sz w:val="24"/>
        </w:rPr>
        <w:t>内</w:t>
      </w:r>
      <w:r>
        <w:rPr>
          <w:rFonts w:ascii="宋体" w:hAnsi="宋体" w:cs="Times New Roman"/>
          <w:sz w:val="24"/>
        </w:rPr>
        <w:t>，若本项目所含</w:t>
      </w:r>
      <w:r>
        <w:rPr>
          <w:rFonts w:hint="eastAsia" w:ascii="宋体" w:hAnsi="宋体" w:cs="Times New Roman"/>
          <w:sz w:val="24"/>
        </w:rPr>
        <w:t>存</w:t>
      </w:r>
      <w:r>
        <w:rPr>
          <w:rFonts w:ascii="宋体" w:hAnsi="宋体" w:cs="Times New Roman"/>
          <w:sz w:val="24"/>
        </w:rPr>
        <w:t>储设备</w:t>
      </w:r>
      <w:r>
        <w:rPr>
          <w:rFonts w:hint="eastAsia" w:ascii="宋体" w:hAnsi="宋体" w:cs="Times New Roman"/>
          <w:sz w:val="24"/>
        </w:rPr>
        <w:t>发</w:t>
      </w:r>
      <w:r>
        <w:rPr>
          <w:rFonts w:ascii="宋体" w:hAnsi="宋体" w:cs="Times New Roman"/>
          <w:sz w:val="24"/>
        </w:rPr>
        <w:t>生</w:t>
      </w:r>
      <w:r>
        <w:rPr>
          <w:rFonts w:hint="eastAsia" w:ascii="宋体" w:hAnsi="宋体" w:cs="Times New Roman"/>
          <w:sz w:val="24"/>
        </w:rPr>
        <w:t>硬</w:t>
      </w:r>
      <w:r>
        <w:rPr>
          <w:rFonts w:ascii="宋体" w:hAnsi="宋体" w:cs="Times New Roman"/>
          <w:sz w:val="24"/>
        </w:rPr>
        <w:t>件故障需</w:t>
      </w:r>
      <w:r>
        <w:rPr>
          <w:rFonts w:hint="eastAsia" w:ascii="宋体" w:hAnsi="宋体" w:cs="Times New Roman"/>
          <w:sz w:val="24"/>
        </w:rPr>
        <w:t>进</w:t>
      </w:r>
      <w:r>
        <w:rPr>
          <w:rFonts w:ascii="宋体" w:hAnsi="宋体" w:cs="Times New Roman"/>
          <w:sz w:val="24"/>
        </w:rPr>
        <w:t>行更换时，中标人应</w:t>
      </w:r>
      <w:r>
        <w:rPr>
          <w:rFonts w:hint="eastAsia" w:ascii="宋体" w:hAnsi="宋体" w:cs="Times New Roman"/>
          <w:sz w:val="24"/>
        </w:rPr>
        <w:t>免</w:t>
      </w:r>
      <w:r>
        <w:rPr>
          <w:rFonts w:ascii="宋体" w:hAnsi="宋体" w:cs="Times New Roman"/>
          <w:sz w:val="24"/>
        </w:rPr>
        <w:t>费进行更换</w:t>
      </w:r>
      <w:r>
        <w:rPr>
          <w:rFonts w:hint="eastAsia" w:ascii="宋体" w:hAnsi="宋体" w:cs="Times New Roman"/>
          <w:sz w:val="24"/>
        </w:rPr>
        <w:t>。</w:t>
      </w:r>
    </w:p>
    <w:p>
      <w:pPr>
        <w:spacing w:line="360" w:lineRule="auto"/>
        <w:ind w:firstLine="480" w:firstLineChars="200"/>
        <w:rPr>
          <w:rFonts w:ascii="宋体" w:hAnsi="宋体" w:cs="Times New Roman"/>
          <w:sz w:val="24"/>
        </w:rPr>
      </w:pPr>
      <w:r>
        <w:rPr>
          <w:rFonts w:hint="eastAsia" w:ascii="宋体" w:hAnsi="宋体" w:cs="Times New Roman"/>
          <w:sz w:val="24"/>
        </w:rPr>
        <w:t>（2）售后服务响应要求</w:t>
      </w:r>
    </w:p>
    <w:p>
      <w:pPr>
        <w:spacing w:line="360" w:lineRule="auto"/>
        <w:ind w:firstLine="480" w:firstLineChars="200"/>
        <w:rPr>
          <w:rFonts w:ascii="宋体" w:hAnsi="宋体" w:cs="Times New Roman"/>
          <w:sz w:val="24"/>
        </w:rPr>
      </w:pPr>
      <w:r>
        <w:rPr>
          <w:rFonts w:hint="eastAsia" w:ascii="宋体" w:hAnsi="宋体" w:cs="Times New Roman"/>
          <w:sz w:val="24"/>
        </w:rPr>
        <w:t>响应时间：5分</w:t>
      </w:r>
      <w:r>
        <w:rPr>
          <w:rFonts w:ascii="宋体" w:hAnsi="宋体" w:cs="Times New Roman"/>
          <w:sz w:val="24"/>
        </w:rPr>
        <w:t>钟内</w:t>
      </w:r>
      <w:r>
        <w:rPr>
          <w:rFonts w:hint="eastAsia" w:ascii="宋体" w:hAnsi="宋体" w:cs="Times New Roman"/>
          <w:sz w:val="24"/>
        </w:rPr>
        <w:t>；</w:t>
      </w:r>
    </w:p>
    <w:p>
      <w:pPr>
        <w:spacing w:line="360" w:lineRule="auto"/>
        <w:ind w:firstLine="480" w:firstLineChars="200"/>
        <w:rPr>
          <w:rFonts w:ascii="宋体" w:hAnsi="宋体" w:cs="Times New Roman"/>
          <w:sz w:val="24"/>
        </w:rPr>
      </w:pPr>
      <w:r>
        <w:rPr>
          <w:rFonts w:hint="eastAsia" w:ascii="宋体" w:hAnsi="宋体" w:cs="Times New Roman"/>
          <w:sz w:val="24"/>
        </w:rPr>
        <w:t>到场时间：</w:t>
      </w:r>
      <w:r>
        <w:rPr>
          <w:rFonts w:ascii="宋体" w:hAnsi="宋体" w:cs="Times New Roman"/>
          <w:sz w:val="24"/>
        </w:rPr>
        <w:t>30</w:t>
      </w:r>
      <w:r>
        <w:rPr>
          <w:rFonts w:hint="eastAsia" w:ascii="宋体" w:hAnsi="宋体" w:cs="Times New Roman"/>
          <w:sz w:val="24"/>
        </w:rPr>
        <w:t>分钟,系</w:t>
      </w:r>
      <w:r>
        <w:rPr>
          <w:rFonts w:ascii="宋体" w:hAnsi="宋体" w:cs="Times New Roman"/>
          <w:sz w:val="24"/>
        </w:rPr>
        <w:t>统涉</w:t>
      </w:r>
      <w:r>
        <w:rPr>
          <w:rFonts w:hint="eastAsia" w:ascii="宋体" w:hAnsi="宋体" w:cs="Times New Roman"/>
          <w:sz w:val="24"/>
        </w:rPr>
        <w:t>及采购人关键业</w:t>
      </w:r>
      <w:r>
        <w:rPr>
          <w:rFonts w:ascii="宋体" w:hAnsi="宋体" w:cs="Times New Roman"/>
          <w:sz w:val="24"/>
        </w:rPr>
        <w:t>务运作，需在</w:t>
      </w:r>
      <w:r>
        <w:rPr>
          <w:rFonts w:hint="eastAsia" w:ascii="宋体" w:hAnsi="宋体" w:cs="Times New Roman"/>
          <w:sz w:val="24"/>
        </w:rPr>
        <w:t>15</w:t>
      </w:r>
      <w:r>
        <w:rPr>
          <w:rFonts w:ascii="宋体" w:hAnsi="宋体" w:cs="Times New Roman"/>
          <w:sz w:val="24"/>
        </w:rPr>
        <w:t>分钟</w:t>
      </w:r>
      <w:r>
        <w:rPr>
          <w:rFonts w:hint="eastAsia" w:ascii="宋体" w:hAnsi="宋体" w:cs="Times New Roman"/>
          <w:sz w:val="24"/>
        </w:rPr>
        <w:t>内</w:t>
      </w:r>
      <w:r>
        <w:rPr>
          <w:rFonts w:ascii="宋体" w:hAnsi="宋体" w:cs="Times New Roman"/>
          <w:sz w:val="24"/>
        </w:rPr>
        <w:t>到场处理</w:t>
      </w:r>
      <w:r>
        <w:rPr>
          <w:rFonts w:hint="eastAsia" w:ascii="宋体" w:hAnsi="宋体" w:cs="Times New Roman"/>
          <w:sz w:val="24"/>
        </w:rPr>
        <w:t>故障。</w:t>
      </w:r>
    </w:p>
    <w:p>
      <w:pPr>
        <w:spacing w:line="360" w:lineRule="auto"/>
        <w:ind w:firstLine="480" w:firstLineChars="200"/>
        <w:rPr>
          <w:rFonts w:ascii="宋体" w:hAnsi="宋体" w:cs="Times New Roman"/>
          <w:sz w:val="24"/>
        </w:rPr>
      </w:pPr>
      <w:r>
        <w:rPr>
          <w:rFonts w:hint="eastAsia" w:ascii="宋体" w:hAnsi="宋体" w:cs="Times New Roman"/>
          <w:sz w:val="24"/>
        </w:rPr>
        <w:t>影响到业务正常开展的故障，在工作日内2个小时内解决。</w:t>
      </w:r>
    </w:p>
    <w:p>
      <w:pPr>
        <w:spacing w:line="360" w:lineRule="auto"/>
        <w:ind w:firstLine="480" w:firstLineChars="200"/>
        <w:rPr>
          <w:rFonts w:ascii="宋体" w:hAnsi="宋体" w:cs="Times New Roman"/>
          <w:sz w:val="24"/>
        </w:rPr>
      </w:pPr>
      <w:r>
        <w:rPr>
          <w:rFonts w:hint="eastAsia" w:ascii="宋体" w:hAnsi="宋体" w:cs="Times New Roman"/>
          <w:sz w:val="24"/>
        </w:rPr>
        <w:t>不影响业务正常开展的故障，在工作日内4个小时内解决；</w:t>
      </w:r>
    </w:p>
    <w:p>
      <w:pPr>
        <w:keepNext/>
        <w:keepLines/>
        <w:spacing w:line="360" w:lineRule="auto"/>
        <w:outlineLvl w:val="2"/>
        <w:rPr>
          <w:rFonts w:hint="eastAsia" w:ascii="宋体" w:hAnsi="宋体" w:cs="Times New Roman"/>
          <w:b/>
          <w:sz w:val="24"/>
        </w:rPr>
      </w:pPr>
      <w:bookmarkStart w:id="351" w:name="_Toc83832422"/>
      <w:bookmarkStart w:id="352" w:name="_Toc86851527"/>
      <w:r>
        <w:rPr>
          <w:rFonts w:ascii="宋体" w:hAnsi="宋体" w:cs="Times New Roman"/>
          <w:b/>
          <w:sz w:val="24"/>
        </w:rPr>
        <w:t>7</w:t>
      </w:r>
      <w:r>
        <w:rPr>
          <w:rFonts w:hint="eastAsia" w:ascii="宋体" w:hAnsi="宋体" w:cs="Times New Roman"/>
          <w:b/>
          <w:sz w:val="24"/>
        </w:rPr>
        <w:t>.培训要求</w:t>
      </w:r>
      <w:bookmarkEnd w:id="351"/>
      <w:bookmarkEnd w:id="352"/>
    </w:p>
    <w:p>
      <w:pPr>
        <w:spacing w:line="360" w:lineRule="auto"/>
        <w:ind w:firstLine="480" w:firstLineChars="200"/>
        <w:rPr>
          <w:rFonts w:ascii="宋体" w:hAnsi="宋体" w:cs="Times New Roman"/>
          <w:sz w:val="24"/>
        </w:rPr>
      </w:pPr>
      <w:r>
        <w:rPr>
          <w:rFonts w:hint="eastAsia" w:ascii="宋体" w:hAnsi="宋体" w:cs="Times New Roman"/>
          <w:sz w:val="24"/>
        </w:rPr>
        <w:t>供应商应在验收前提供现场专业技术培训服务。在投标文件中详细描述培训的组织和实施办法及培训内容与时间。</w:t>
      </w:r>
    </w:p>
    <w:p>
      <w:pPr>
        <w:spacing w:line="360" w:lineRule="auto"/>
        <w:ind w:firstLine="480" w:firstLineChars="200"/>
        <w:rPr>
          <w:rFonts w:ascii="宋体" w:hAnsi="宋体" w:cs="Times New Roman"/>
          <w:sz w:val="24"/>
        </w:rPr>
      </w:pPr>
      <w:r>
        <w:rPr>
          <w:rFonts w:hint="eastAsia" w:ascii="宋体" w:hAnsi="宋体" w:cs="Times New Roman"/>
          <w:sz w:val="24"/>
        </w:rPr>
        <w:t>所有培训以中文进行。该培训将教会学员在日常和紧急情况下如何操作系统、设备运维流程、运维体。培训教员的简历连同培训计划一并提交业主，业主认为培训教员不合格可要求更换。</w:t>
      </w:r>
    </w:p>
    <w:p>
      <w:pPr>
        <w:spacing w:line="360" w:lineRule="auto"/>
        <w:ind w:firstLine="480" w:firstLineChars="200"/>
        <w:rPr>
          <w:rFonts w:ascii="宋体" w:hAnsi="宋体" w:cs="Times New Roman"/>
          <w:sz w:val="24"/>
        </w:rPr>
      </w:pPr>
      <w:r>
        <w:rPr>
          <w:rFonts w:hint="eastAsia" w:ascii="宋体" w:hAnsi="宋体" w:cs="Times New Roman"/>
          <w:sz w:val="24"/>
        </w:rPr>
        <w:t>在系统完工测试之前为业主技术人员进行现场培训，该培训包括正常操作程序和怎样处理紧急情况。在培训工作开始前向业主免费提供所有中文培训资料，包括中文操作、维修手册。</w:t>
      </w:r>
    </w:p>
    <w:p>
      <w:pPr>
        <w:spacing w:line="360" w:lineRule="auto"/>
        <w:ind w:firstLine="480" w:firstLineChars="200"/>
        <w:rPr>
          <w:rFonts w:hint="eastAsia" w:ascii="宋体" w:hAnsi="宋体" w:cs="Times New Roman"/>
          <w:sz w:val="24"/>
        </w:rPr>
      </w:pPr>
    </w:p>
    <w:p>
      <w:pPr>
        <w:keepNext/>
        <w:keepLines/>
        <w:spacing w:line="360" w:lineRule="auto"/>
        <w:outlineLvl w:val="2"/>
        <w:rPr>
          <w:rFonts w:hint="eastAsia" w:ascii="宋体" w:hAnsi="宋体" w:cs="Times New Roman"/>
          <w:b/>
          <w:sz w:val="24"/>
        </w:rPr>
      </w:pPr>
      <w:bookmarkStart w:id="353" w:name="_Toc86851528"/>
      <w:bookmarkStart w:id="354" w:name="_Toc83832423"/>
      <w:r>
        <w:rPr>
          <w:rFonts w:ascii="宋体" w:hAnsi="宋体" w:cs="Times New Roman"/>
          <w:b/>
          <w:sz w:val="24"/>
        </w:rPr>
        <w:t>8</w:t>
      </w:r>
      <w:r>
        <w:rPr>
          <w:rFonts w:hint="eastAsia" w:ascii="宋体" w:hAnsi="宋体" w:cs="Times New Roman"/>
          <w:b/>
          <w:sz w:val="24"/>
        </w:rPr>
        <w:t>.其他要求</w:t>
      </w:r>
      <w:bookmarkEnd w:id="353"/>
      <w:bookmarkEnd w:id="354"/>
    </w:p>
    <w:p>
      <w:pPr>
        <w:spacing w:line="360" w:lineRule="auto"/>
        <w:ind w:firstLine="480" w:firstLineChars="200"/>
        <w:rPr>
          <w:rFonts w:ascii="宋体" w:hAnsi="宋体" w:cs="Times New Roman"/>
          <w:sz w:val="24"/>
        </w:rPr>
      </w:pPr>
      <w:r>
        <w:rPr>
          <w:rFonts w:hint="eastAsia" w:ascii="宋体" w:hAnsi="宋体" w:cs="Times New Roman"/>
          <w:sz w:val="24"/>
        </w:rPr>
        <w:t>投标人在项目实施过程中需建立完善的风险防范和预警管理机制，发现潜在风险及时预警并编制重大风险应急预案，并按采购人要求进行应急保障措施。</w:t>
      </w:r>
    </w:p>
    <w:p>
      <w:pPr>
        <w:spacing w:line="360" w:lineRule="auto"/>
        <w:ind w:firstLine="480" w:firstLineChars="200"/>
        <w:rPr>
          <w:rFonts w:hint="eastAsia" w:ascii="宋体" w:hAnsi="宋体" w:cs="Times New Roman"/>
          <w:sz w:val="24"/>
        </w:rPr>
      </w:pPr>
    </w:p>
    <w:p>
      <w:pPr>
        <w:keepNext/>
        <w:keepLines/>
        <w:spacing w:line="360" w:lineRule="auto"/>
        <w:outlineLvl w:val="2"/>
        <w:rPr>
          <w:rFonts w:hint="eastAsia" w:ascii="宋体" w:hAnsi="宋体" w:cs="Times New Roman"/>
          <w:b/>
          <w:sz w:val="24"/>
        </w:rPr>
      </w:pPr>
      <w:bookmarkStart w:id="355" w:name="_Toc86851529"/>
      <w:bookmarkStart w:id="356" w:name="_Toc83832424"/>
      <w:r>
        <w:rPr>
          <w:rFonts w:ascii="宋体" w:hAnsi="宋体" w:cs="Times New Roman"/>
          <w:b/>
          <w:sz w:val="24"/>
        </w:rPr>
        <w:t>9</w:t>
      </w:r>
      <w:r>
        <w:rPr>
          <w:rFonts w:hint="eastAsia" w:ascii="宋体" w:hAnsi="宋体" w:cs="Times New Roman"/>
          <w:b/>
          <w:sz w:val="24"/>
        </w:rPr>
        <w:t>.付款方式</w:t>
      </w:r>
      <w:bookmarkEnd w:id="355"/>
      <w:bookmarkEnd w:id="356"/>
    </w:p>
    <w:p>
      <w:pPr>
        <w:spacing w:line="360" w:lineRule="auto"/>
        <w:ind w:firstLine="480" w:firstLineChars="200"/>
        <w:rPr>
          <w:rFonts w:ascii="宋体" w:hAnsi="宋体" w:cs="Times New Roman"/>
          <w:sz w:val="24"/>
        </w:rPr>
      </w:pPr>
      <w:r>
        <w:rPr>
          <w:rFonts w:hint="eastAsia" w:ascii="宋体" w:hAnsi="宋体" w:cs="Times New Roman"/>
          <w:sz w:val="24"/>
        </w:rPr>
        <w:t>1.合同签订后的5个工作日内，采购人向财政支付部门申请办理预付合同总价5</w:t>
      </w:r>
      <w:r>
        <w:rPr>
          <w:rFonts w:ascii="宋体" w:hAnsi="宋体" w:cs="Times New Roman"/>
          <w:sz w:val="24"/>
        </w:rPr>
        <w:t>0</w:t>
      </w:r>
      <w:r>
        <w:rPr>
          <w:rFonts w:hint="eastAsia" w:ascii="宋体" w:hAnsi="宋体" w:cs="Times New Roman"/>
          <w:sz w:val="24"/>
        </w:rPr>
        <w:t>%的付款手续。</w:t>
      </w:r>
    </w:p>
    <w:p>
      <w:pPr>
        <w:spacing w:line="360" w:lineRule="auto"/>
        <w:ind w:firstLine="480" w:firstLineChars="200"/>
        <w:rPr>
          <w:rFonts w:ascii="宋体" w:hAnsi="宋体" w:cs="Times New Roman"/>
          <w:sz w:val="24"/>
        </w:rPr>
      </w:pPr>
      <w:r>
        <w:rPr>
          <w:rFonts w:hint="eastAsia" w:ascii="宋体" w:hAnsi="宋体" w:cs="Times New Roman"/>
          <w:sz w:val="24"/>
        </w:rPr>
        <w:t>2.当项目主要设备到货并通过业主开箱验收后的 5 个工作日内，采购人向财政支付部门申请办理支付合同总价40%的进度款手续。</w:t>
      </w:r>
    </w:p>
    <w:p>
      <w:pPr>
        <w:keepNext/>
        <w:keepLines/>
        <w:spacing w:line="360" w:lineRule="auto"/>
        <w:ind w:firstLine="480" w:firstLineChars="200"/>
        <w:outlineLvl w:val="2"/>
        <w:rPr>
          <w:rFonts w:ascii="宋体" w:hAnsi="宋体" w:cs="Times New Roman"/>
          <w:sz w:val="24"/>
        </w:rPr>
      </w:pPr>
      <w:bookmarkStart w:id="357" w:name="_Toc86851530"/>
      <w:r>
        <w:rPr>
          <w:rFonts w:hint="eastAsia" w:ascii="宋体" w:hAnsi="宋体" w:cs="Times New Roman"/>
          <w:sz w:val="24"/>
        </w:rPr>
        <w:t>3.项目所有工作全部完成，并经采购人组织的合同验收通过后的5 个工作日内，采购人向财政支付部门申请办理支付合同总价10%的进度款手续。</w:t>
      </w:r>
      <w:bookmarkEnd w:id="357"/>
    </w:p>
    <w:p>
      <w:pPr>
        <w:keepNext/>
        <w:keepLines/>
        <w:spacing w:line="360" w:lineRule="auto"/>
        <w:ind w:firstLine="480" w:firstLineChars="200"/>
        <w:outlineLvl w:val="2"/>
        <w:rPr>
          <w:rFonts w:hint="eastAsia" w:ascii="宋体" w:hAnsi="宋体" w:cs="Times New Roman"/>
          <w:sz w:val="24"/>
        </w:rPr>
      </w:pPr>
    </w:p>
    <w:p>
      <w:pPr>
        <w:keepNext/>
        <w:keepLines/>
        <w:spacing w:line="360" w:lineRule="auto"/>
        <w:outlineLvl w:val="2"/>
        <w:rPr>
          <w:rFonts w:hint="eastAsia" w:ascii="宋体" w:hAnsi="宋体" w:cs="Times New Roman"/>
          <w:b/>
          <w:sz w:val="24"/>
        </w:rPr>
      </w:pPr>
      <w:bookmarkStart w:id="358" w:name="_Toc86851531"/>
      <w:r>
        <w:rPr>
          <w:rFonts w:hint="eastAsia" w:ascii="宋体" w:hAnsi="宋体" w:cs="Times New Roman"/>
          <w:b/>
          <w:sz w:val="24"/>
        </w:rPr>
        <w:t>1</w:t>
      </w:r>
      <w:r>
        <w:rPr>
          <w:rFonts w:ascii="宋体" w:hAnsi="宋体" w:cs="Times New Roman"/>
          <w:b/>
          <w:sz w:val="24"/>
        </w:rPr>
        <w:t>0</w:t>
      </w:r>
      <w:r>
        <w:rPr>
          <w:rFonts w:hint="eastAsia" w:ascii="宋体" w:hAnsi="宋体" w:cs="Times New Roman"/>
          <w:b/>
          <w:sz w:val="24"/>
        </w:rPr>
        <w:t>、其他</w:t>
      </w:r>
      <w:bookmarkEnd w:id="358"/>
    </w:p>
    <w:tbl>
      <w:tblPr>
        <w:tblStyle w:val="42"/>
        <w:tblW w:w="8843" w:type="dxa"/>
        <w:jc w:val="center"/>
        <w:tblInd w:w="0" w:type="dxa"/>
        <w:tblLayout w:type="fixed"/>
        <w:tblCellMar>
          <w:top w:w="0" w:type="dxa"/>
          <w:left w:w="108" w:type="dxa"/>
          <w:bottom w:w="0" w:type="dxa"/>
          <w:right w:w="108" w:type="dxa"/>
        </w:tblCellMar>
      </w:tblPr>
      <w:tblGrid>
        <w:gridCol w:w="713"/>
        <w:gridCol w:w="1301"/>
        <w:gridCol w:w="4950"/>
        <w:gridCol w:w="1244"/>
        <w:gridCol w:w="635"/>
      </w:tblGrid>
      <w:tr>
        <w:tblPrEx>
          <w:tblLayout w:type="fixed"/>
          <w:tblCellMar>
            <w:top w:w="0" w:type="dxa"/>
            <w:left w:w="108" w:type="dxa"/>
            <w:bottom w:w="0" w:type="dxa"/>
            <w:right w:w="108" w:type="dxa"/>
          </w:tblCellMar>
        </w:tblPrEx>
        <w:trPr>
          <w:trHeight w:val="740" w:hRule="atLeast"/>
          <w:jc w:val="center"/>
        </w:trPr>
        <w:tc>
          <w:tcPr>
            <w:tcW w:w="8843" w:type="dxa"/>
            <w:gridSpan w:val="5"/>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36"/>
                <w:szCs w:val="36"/>
                <w:lang w:bidi="ar"/>
              </w:rPr>
              <w:t>原舞台灯光系统设备状况</w:t>
            </w:r>
          </w:p>
        </w:tc>
      </w:tr>
      <w:tr>
        <w:tblPrEx>
          <w:tblLayout w:type="fixed"/>
          <w:tblCellMar>
            <w:top w:w="0" w:type="dxa"/>
            <w:left w:w="108" w:type="dxa"/>
            <w:bottom w:w="0" w:type="dxa"/>
            <w:right w:w="108" w:type="dxa"/>
          </w:tblCellMar>
        </w:tblPrEx>
        <w:trPr>
          <w:trHeight w:val="416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LED聚光灯(面光、耳光）</w:t>
            </w:r>
          </w:p>
        </w:tc>
        <w:tc>
          <w:tcPr>
            <w:tcW w:w="49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000000"/>
                <w:sz w:val="20"/>
                <w:szCs w:val="20"/>
              </w:rPr>
            </w:pPr>
            <w:r>
              <w:rPr>
                <w:rFonts w:ascii="宋体" w:hAnsi="宋体" w:cs="宋体"/>
                <w:color w:val="000000"/>
                <w:sz w:val="20"/>
                <w:szCs w:val="20"/>
                <w:lang w:bidi="ar"/>
              </w:rPr>
              <w:t>品牌：BTS，型号：BTS150Y</w:t>
            </w:r>
            <w:r>
              <w:rPr>
                <w:rFonts w:ascii="宋体" w:hAnsi="宋体" w:cs="宋体"/>
                <w:color w:val="000000"/>
                <w:sz w:val="20"/>
                <w:szCs w:val="20"/>
                <w:lang w:bidi="ar"/>
              </w:rPr>
              <w:br w:type="textWrapping"/>
            </w:r>
            <w:r>
              <w:rPr>
                <w:rFonts w:ascii="宋体" w:hAnsi="宋体" w:cs="宋体"/>
                <w:color w:val="000000"/>
                <w:sz w:val="20"/>
                <w:szCs w:val="20"/>
                <w:lang w:bidi="ar"/>
              </w:rPr>
              <w:t>主要技术参数：</w:t>
            </w:r>
            <w:r>
              <w:rPr>
                <w:rFonts w:ascii="宋体" w:hAnsi="宋体" w:cs="宋体"/>
                <w:color w:val="000000"/>
                <w:sz w:val="20"/>
                <w:szCs w:val="20"/>
                <w:lang w:bidi="ar"/>
              </w:rPr>
              <w:br w:type="textWrapping"/>
            </w:r>
            <w:r>
              <w:rPr>
                <w:rFonts w:ascii="宋体" w:hAnsi="宋体" w:cs="宋体"/>
                <w:color w:val="000000"/>
                <w:sz w:val="20"/>
                <w:szCs w:val="20"/>
                <w:lang w:bidi="ar"/>
              </w:rPr>
              <w:t>电源：AC220V/50HZ</w:t>
            </w:r>
            <w:r>
              <w:rPr>
                <w:rFonts w:ascii="宋体" w:hAnsi="宋体" w:cs="宋体"/>
                <w:color w:val="000000"/>
                <w:sz w:val="20"/>
                <w:szCs w:val="20"/>
                <w:lang w:bidi="ar"/>
              </w:rPr>
              <w:br w:type="textWrapping"/>
            </w:r>
            <w:r>
              <w:rPr>
                <w:rFonts w:ascii="宋体" w:hAnsi="宋体" w:cs="宋体"/>
                <w:color w:val="000000"/>
                <w:sz w:val="20"/>
                <w:szCs w:val="20"/>
                <w:lang w:bidi="ar"/>
              </w:rPr>
              <w:t>功率：220W</w:t>
            </w:r>
            <w:r>
              <w:rPr>
                <w:rFonts w:ascii="宋体" w:hAnsi="宋体" w:cs="宋体"/>
                <w:color w:val="000000"/>
                <w:sz w:val="20"/>
                <w:szCs w:val="20"/>
                <w:lang w:bidi="ar"/>
              </w:rPr>
              <w:br w:type="textWrapping"/>
            </w:r>
            <w:r>
              <w:rPr>
                <w:rFonts w:ascii="宋体" w:hAnsi="宋体" w:cs="宋体"/>
                <w:color w:val="000000"/>
                <w:sz w:val="20"/>
                <w:szCs w:val="20"/>
                <w:lang w:bidi="ar"/>
              </w:rPr>
              <w:t>LED大功率COB</w:t>
            </w:r>
            <w:r>
              <w:rPr>
                <w:rFonts w:ascii="宋体" w:hAnsi="宋体" w:cs="宋体"/>
                <w:color w:val="000000"/>
                <w:sz w:val="20"/>
                <w:szCs w:val="20"/>
                <w:lang w:bidi="ar"/>
              </w:rPr>
              <w:br w:type="textWrapping"/>
            </w:r>
            <w:r>
              <w:rPr>
                <w:rFonts w:ascii="宋体" w:hAnsi="宋体" w:cs="宋体"/>
                <w:color w:val="000000"/>
                <w:sz w:val="20"/>
                <w:szCs w:val="20"/>
                <w:lang w:bidi="ar"/>
              </w:rPr>
              <w:t>光源：LED200W×1</w:t>
            </w:r>
            <w:r>
              <w:rPr>
                <w:rFonts w:ascii="宋体" w:hAnsi="宋体" w:cs="宋体"/>
                <w:color w:val="000000"/>
                <w:sz w:val="20"/>
                <w:szCs w:val="20"/>
                <w:lang w:bidi="ar"/>
              </w:rPr>
              <w:br w:type="textWrapping"/>
            </w:r>
            <w:r>
              <w:rPr>
                <w:rFonts w:ascii="宋体" w:hAnsi="宋体" w:cs="宋体"/>
                <w:color w:val="000000"/>
                <w:sz w:val="20"/>
                <w:szCs w:val="20"/>
                <w:lang w:bidi="ar"/>
              </w:rPr>
              <w:t>色温：3200K、5600K（低、高色温）可选</w:t>
            </w:r>
            <w:r>
              <w:rPr>
                <w:rFonts w:ascii="宋体" w:hAnsi="宋体" w:cs="宋体"/>
                <w:color w:val="000000"/>
                <w:sz w:val="20"/>
                <w:szCs w:val="20"/>
                <w:lang w:bidi="ar"/>
              </w:rPr>
              <w:br w:type="textWrapping"/>
            </w:r>
            <w:r>
              <w:rPr>
                <w:rFonts w:ascii="宋体" w:hAnsi="宋体" w:cs="宋体"/>
                <w:color w:val="000000"/>
                <w:sz w:val="20"/>
                <w:szCs w:val="20"/>
                <w:lang w:bidi="ar"/>
              </w:rPr>
              <w:t>显色指数：Ra&gt;90</w:t>
            </w:r>
            <w:r>
              <w:rPr>
                <w:rFonts w:ascii="宋体" w:hAnsi="宋体" w:cs="宋体"/>
                <w:color w:val="000000"/>
                <w:sz w:val="20"/>
                <w:szCs w:val="20"/>
                <w:lang w:bidi="ar"/>
              </w:rPr>
              <w:br w:type="textWrapping"/>
            </w:r>
            <w:r>
              <w:rPr>
                <w:rFonts w:ascii="宋体" w:hAnsi="宋体" w:cs="宋体"/>
                <w:color w:val="000000"/>
                <w:sz w:val="20"/>
                <w:szCs w:val="20"/>
                <w:lang w:bidi="ar"/>
              </w:rPr>
              <w:t>出光角度：10°～55°</w:t>
            </w:r>
            <w:r>
              <w:rPr>
                <w:rFonts w:ascii="宋体" w:hAnsi="宋体" w:cs="宋体"/>
                <w:color w:val="000000"/>
                <w:sz w:val="20"/>
                <w:szCs w:val="20"/>
                <w:lang w:bidi="ar"/>
              </w:rPr>
              <w:br w:type="textWrapping"/>
            </w:r>
            <w:r>
              <w:rPr>
                <w:rFonts w:ascii="宋体" w:hAnsi="宋体" w:cs="宋体"/>
                <w:color w:val="000000"/>
                <w:sz w:val="20"/>
                <w:szCs w:val="20"/>
                <w:lang w:bidi="ar"/>
              </w:rPr>
              <w:t>控制协议：DMX512.数字调光 0～100%</w:t>
            </w:r>
            <w:r>
              <w:rPr>
                <w:rFonts w:ascii="宋体" w:hAnsi="宋体" w:cs="宋体"/>
                <w:color w:val="000000"/>
                <w:sz w:val="20"/>
                <w:szCs w:val="20"/>
                <w:lang w:bidi="ar"/>
              </w:rPr>
              <w:br w:type="textWrapping"/>
            </w:r>
            <w:r>
              <w:rPr>
                <w:rFonts w:ascii="宋体" w:hAnsi="宋体" w:cs="宋体"/>
                <w:color w:val="000000"/>
                <w:sz w:val="20"/>
                <w:szCs w:val="20"/>
                <w:lang w:bidi="ar"/>
              </w:rPr>
              <w:t>控制通道：1</w:t>
            </w:r>
            <w:r>
              <w:rPr>
                <w:rFonts w:ascii="宋体" w:hAnsi="宋体" w:cs="宋体"/>
                <w:color w:val="000000"/>
                <w:sz w:val="20"/>
                <w:szCs w:val="20"/>
                <w:lang w:bidi="ar"/>
              </w:rPr>
              <w:br w:type="textWrapping"/>
            </w:r>
            <w:r>
              <w:rPr>
                <w:rFonts w:ascii="宋体" w:hAnsi="宋体" w:cs="宋体"/>
                <w:color w:val="000000"/>
                <w:sz w:val="20"/>
                <w:szCs w:val="20"/>
                <w:lang w:bidi="ar"/>
              </w:rPr>
              <w:t>冷却系统：静音风冷</w:t>
            </w:r>
            <w:r>
              <w:rPr>
                <w:rFonts w:ascii="宋体" w:hAnsi="宋体" w:cs="宋体"/>
                <w:color w:val="000000"/>
                <w:sz w:val="20"/>
                <w:szCs w:val="20"/>
                <w:lang w:bidi="ar"/>
              </w:rPr>
              <w:br w:type="textWrapping"/>
            </w:r>
            <w:r>
              <w:rPr>
                <w:rFonts w:ascii="宋体" w:hAnsi="宋体" w:cs="宋体"/>
                <w:color w:val="000000"/>
                <w:sz w:val="20"/>
                <w:szCs w:val="20"/>
                <w:lang w:bidi="ar"/>
              </w:rPr>
              <w:t>防护等级：IP65</w:t>
            </w:r>
            <w:r>
              <w:rPr>
                <w:rFonts w:ascii="宋体" w:hAnsi="宋体" w:cs="宋体"/>
                <w:color w:val="000000"/>
                <w:sz w:val="20"/>
                <w:szCs w:val="20"/>
                <w:lang w:bidi="ar"/>
              </w:rPr>
              <w:br w:type="textWrapping"/>
            </w:r>
            <w:r>
              <w:rPr>
                <w:rFonts w:ascii="宋体" w:hAnsi="宋体" w:cs="宋体"/>
                <w:color w:val="000000"/>
                <w:sz w:val="20"/>
                <w:szCs w:val="20"/>
                <w:lang w:bidi="ar"/>
              </w:rPr>
              <w:t>灯具温度：≤60℃</w:t>
            </w:r>
            <w:r>
              <w:rPr>
                <w:rFonts w:ascii="宋体" w:hAnsi="宋体" w:cs="宋体"/>
                <w:color w:val="000000"/>
                <w:sz w:val="20"/>
                <w:szCs w:val="20"/>
                <w:lang w:bidi="ar"/>
              </w:rPr>
              <w:br w:type="textWrapping"/>
            </w:r>
            <w:r>
              <w:rPr>
                <w:rFonts w:ascii="宋体" w:hAnsi="宋体" w:cs="宋体"/>
                <w:color w:val="000000"/>
                <w:sz w:val="20"/>
                <w:szCs w:val="20"/>
                <w:lang w:bidi="ar"/>
              </w:rPr>
              <w:t>重量：约11公斤</w:t>
            </w:r>
            <w:r>
              <w:rPr>
                <w:rFonts w:ascii="宋体" w:hAnsi="宋体" w:cs="宋体"/>
                <w:color w:val="000000"/>
                <w:sz w:val="20"/>
                <w:szCs w:val="20"/>
                <w:lang w:bidi="ar"/>
              </w:rPr>
              <w:br w:type="textWrapping"/>
            </w:r>
            <w:r>
              <w:rPr>
                <w:rFonts w:ascii="宋体" w:hAnsi="宋体" w:cs="宋体"/>
                <w:color w:val="000000"/>
                <w:sz w:val="20"/>
                <w:szCs w:val="20"/>
                <w:lang w:bidi="ar"/>
              </w:rPr>
              <w:t>尺寸：496.6×273.3×241.5 (mm)</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保留</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r>
      <w:tr>
        <w:tblPrEx>
          <w:tblLayout w:type="fixed"/>
          <w:tblCellMar>
            <w:top w:w="0" w:type="dxa"/>
            <w:left w:w="108" w:type="dxa"/>
            <w:bottom w:w="0" w:type="dxa"/>
            <w:right w:w="108" w:type="dxa"/>
          </w:tblCellMar>
        </w:tblPrEx>
        <w:trPr>
          <w:trHeight w:val="390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平板LED柔光灯（会议灯具）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ascii="宋体" w:hAnsi="宋体" w:cs="宋体"/>
                <w:color w:val="000000"/>
                <w:sz w:val="24"/>
                <w:lang w:bidi="ar"/>
              </w:rPr>
              <w:t>品牌：BTS，型号：BTS3096</w:t>
            </w:r>
            <w:r>
              <w:rPr>
                <w:rFonts w:ascii="宋体" w:hAnsi="宋体" w:cs="宋体"/>
                <w:color w:val="000000"/>
                <w:sz w:val="24"/>
                <w:lang w:bidi="ar"/>
              </w:rPr>
              <w:br w:type="textWrapping"/>
            </w:r>
            <w:r>
              <w:rPr>
                <w:rFonts w:ascii="宋体" w:hAnsi="宋体" w:cs="宋体"/>
                <w:color w:val="000000"/>
                <w:sz w:val="24"/>
                <w:lang w:bidi="ar"/>
              </w:rPr>
              <w:t>主要技术参数：</w:t>
            </w:r>
            <w:r>
              <w:rPr>
                <w:rFonts w:ascii="宋体" w:hAnsi="宋体" w:cs="宋体"/>
                <w:color w:val="000000"/>
                <w:sz w:val="20"/>
                <w:szCs w:val="20"/>
                <w:lang w:bidi="ar"/>
              </w:rPr>
              <w:br w:type="textWrapping"/>
            </w:r>
            <w:r>
              <w:rPr>
                <w:rFonts w:ascii="宋体" w:hAnsi="宋体" w:cs="宋体"/>
                <w:color w:val="000000"/>
                <w:sz w:val="20"/>
                <w:szCs w:val="20"/>
                <w:lang w:bidi="ar"/>
              </w:rPr>
              <w:t>电源：AC220V/50HZ</w:t>
            </w:r>
            <w:r>
              <w:rPr>
                <w:rFonts w:ascii="宋体" w:hAnsi="宋体" w:cs="宋体"/>
                <w:color w:val="000000"/>
                <w:sz w:val="20"/>
                <w:szCs w:val="20"/>
                <w:lang w:bidi="ar"/>
              </w:rPr>
              <w:br w:type="textWrapping"/>
            </w:r>
            <w:r>
              <w:rPr>
                <w:rFonts w:ascii="宋体" w:hAnsi="宋体" w:cs="宋体"/>
                <w:color w:val="000000"/>
                <w:sz w:val="20"/>
                <w:szCs w:val="20"/>
                <w:lang w:bidi="ar"/>
              </w:rPr>
              <w:t>功率：290W</w:t>
            </w:r>
            <w:r>
              <w:rPr>
                <w:rFonts w:ascii="宋体" w:hAnsi="宋体" w:cs="宋体"/>
                <w:color w:val="000000"/>
                <w:sz w:val="20"/>
                <w:szCs w:val="20"/>
                <w:lang w:bidi="ar"/>
              </w:rPr>
              <w:br w:type="textWrapping"/>
            </w:r>
            <w:r>
              <w:rPr>
                <w:rFonts w:ascii="宋体" w:hAnsi="宋体" w:cs="宋体"/>
                <w:color w:val="000000"/>
                <w:sz w:val="20"/>
                <w:szCs w:val="20"/>
                <w:lang w:bidi="ar"/>
              </w:rPr>
              <w:t>光源：LED大功率COB  96颗</w:t>
            </w:r>
            <w:r>
              <w:rPr>
                <w:rFonts w:ascii="宋体" w:hAnsi="宋体" w:cs="宋体"/>
                <w:color w:val="000000"/>
                <w:sz w:val="20"/>
                <w:szCs w:val="20"/>
                <w:lang w:bidi="ar"/>
              </w:rPr>
              <w:br w:type="textWrapping"/>
            </w:r>
            <w:r>
              <w:rPr>
                <w:rFonts w:ascii="宋体" w:hAnsi="宋体" w:cs="宋体"/>
                <w:color w:val="000000"/>
                <w:sz w:val="20"/>
                <w:szCs w:val="20"/>
                <w:lang w:bidi="ar"/>
              </w:rPr>
              <w:t>色温：3200K、5600K（低、高色温）可选</w:t>
            </w:r>
            <w:r>
              <w:rPr>
                <w:rFonts w:ascii="宋体" w:hAnsi="宋体" w:cs="宋体"/>
                <w:color w:val="000000"/>
                <w:sz w:val="20"/>
                <w:szCs w:val="20"/>
                <w:lang w:bidi="ar"/>
              </w:rPr>
              <w:br w:type="textWrapping"/>
            </w:r>
            <w:r>
              <w:rPr>
                <w:rFonts w:ascii="宋体" w:hAnsi="宋体" w:cs="宋体"/>
                <w:color w:val="000000"/>
                <w:sz w:val="20"/>
                <w:szCs w:val="20"/>
                <w:lang w:bidi="ar"/>
              </w:rPr>
              <w:t>显色性：CRI＞90</w:t>
            </w:r>
            <w:r>
              <w:rPr>
                <w:rFonts w:ascii="宋体" w:hAnsi="宋体" w:cs="宋体"/>
                <w:color w:val="000000"/>
                <w:sz w:val="20"/>
                <w:szCs w:val="20"/>
                <w:lang w:bidi="ar"/>
              </w:rPr>
              <w:br w:type="textWrapping"/>
            </w:r>
            <w:r>
              <w:rPr>
                <w:rFonts w:ascii="宋体" w:hAnsi="宋体" w:cs="宋体"/>
                <w:color w:val="000000"/>
                <w:sz w:val="20"/>
                <w:szCs w:val="20"/>
                <w:lang w:bidi="ar"/>
              </w:rPr>
              <w:t>光通量：17600 lm</w:t>
            </w:r>
            <w:r>
              <w:rPr>
                <w:rFonts w:ascii="宋体" w:hAnsi="宋体" w:cs="宋体"/>
                <w:color w:val="000000"/>
                <w:sz w:val="20"/>
                <w:szCs w:val="20"/>
                <w:lang w:bidi="ar"/>
              </w:rPr>
              <w:br w:type="textWrapping"/>
            </w:r>
            <w:r>
              <w:rPr>
                <w:rFonts w:ascii="宋体" w:hAnsi="宋体" w:cs="宋体"/>
                <w:color w:val="000000"/>
                <w:sz w:val="20"/>
                <w:szCs w:val="20"/>
                <w:lang w:bidi="ar"/>
              </w:rPr>
              <w:t>出光角度：30°-90°</w:t>
            </w:r>
            <w:r>
              <w:rPr>
                <w:rFonts w:ascii="宋体" w:hAnsi="宋体" w:cs="宋体"/>
                <w:color w:val="000000"/>
                <w:sz w:val="20"/>
                <w:szCs w:val="20"/>
                <w:lang w:bidi="ar"/>
              </w:rPr>
              <w:br w:type="textWrapping"/>
            </w:r>
            <w:r>
              <w:rPr>
                <w:rFonts w:ascii="宋体" w:hAnsi="宋体" w:cs="宋体"/>
                <w:color w:val="000000"/>
                <w:sz w:val="20"/>
                <w:szCs w:val="20"/>
                <w:lang w:bidi="ar"/>
              </w:rPr>
              <w:t>倾斜角度：/－90°</w:t>
            </w:r>
            <w:r>
              <w:rPr>
                <w:rFonts w:ascii="宋体" w:hAnsi="宋体" w:cs="宋体"/>
                <w:color w:val="000000"/>
                <w:sz w:val="20"/>
                <w:szCs w:val="20"/>
                <w:lang w:bidi="ar"/>
              </w:rPr>
              <w:br w:type="textWrapping"/>
            </w:r>
            <w:r>
              <w:rPr>
                <w:rFonts w:ascii="宋体" w:hAnsi="宋体" w:cs="宋体"/>
                <w:color w:val="000000"/>
                <w:sz w:val="20"/>
                <w:szCs w:val="20"/>
                <w:lang w:bidi="ar"/>
              </w:rPr>
              <w:t>控制模式：DMX512</w:t>
            </w:r>
            <w:r>
              <w:rPr>
                <w:rFonts w:ascii="宋体" w:hAnsi="宋体" w:cs="宋体"/>
                <w:color w:val="000000"/>
                <w:sz w:val="20"/>
                <w:szCs w:val="20"/>
                <w:lang w:bidi="ar"/>
              </w:rPr>
              <w:br w:type="textWrapping"/>
            </w:r>
            <w:r>
              <w:rPr>
                <w:rFonts w:ascii="宋体" w:hAnsi="宋体" w:cs="宋体"/>
                <w:color w:val="000000"/>
                <w:sz w:val="20"/>
                <w:szCs w:val="20"/>
                <w:lang w:bidi="ar"/>
              </w:rPr>
              <w:t>防护等级：IP65</w:t>
            </w:r>
            <w:r>
              <w:rPr>
                <w:rFonts w:ascii="宋体" w:hAnsi="宋体" w:cs="宋体"/>
                <w:color w:val="000000"/>
                <w:sz w:val="20"/>
                <w:szCs w:val="20"/>
                <w:lang w:bidi="ar"/>
              </w:rPr>
              <w:br w:type="textWrapping"/>
            </w:r>
            <w:r>
              <w:rPr>
                <w:rFonts w:ascii="宋体" w:hAnsi="宋体" w:cs="宋体"/>
                <w:color w:val="000000"/>
                <w:sz w:val="20"/>
                <w:szCs w:val="20"/>
                <w:lang w:bidi="ar"/>
              </w:rPr>
              <w:t>重量：约17.8KG</w:t>
            </w:r>
            <w:r>
              <w:rPr>
                <w:rFonts w:ascii="宋体" w:hAnsi="宋体" w:cs="宋体"/>
                <w:color w:val="000000"/>
                <w:sz w:val="20"/>
                <w:szCs w:val="20"/>
                <w:lang w:bidi="ar"/>
              </w:rPr>
              <w:br w:type="textWrapping"/>
            </w:r>
            <w:r>
              <w:rPr>
                <w:rFonts w:ascii="宋体" w:hAnsi="宋体" w:cs="宋体"/>
                <w:color w:val="000000"/>
                <w:sz w:val="20"/>
                <w:szCs w:val="20"/>
                <w:lang w:bidi="ar"/>
              </w:rPr>
              <w:t>尺寸：402×150.3×164 (mm)</w:t>
            </w:r>
            <w:r>
              <w:rPr>
                <w:rFonts w:ascii="宋体" w:hAnsi="宋体" w:cs="宋体"/>
                <w:color w:val="000000"/>
                <w:sz w:val="20"/>
                <w:szCs w:val="20"/>
                <w:lang w:bidi="ar"/>
              </w:rPr>
              <w:br w:type="textWrapping"/>
            </w:r>
            <w:r>
              <w:rPr>
                <w:rFonts w:ascii="宋体" w:hAnsi="宋体" w:cs="宋体"/>
                <w:color w:val="000000"/>
                <w:sz w:val="20"/>
                <w:szCs w:val="20"/>
                <w:lang w:bidi="ar"/>
              </w:rPr>
              <w:t>信号线2条/电源线2条</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更换</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r>
      <w:tr>
        <w:tblPrEx>
          <w:tblLayout w:type="fixed"/>
          <w:tblCellMar>
            <w:top w:w="0" w:type="dxa"/>
            <w:left w:w="108" w:type="dxa"/>
            <w:bottom w:w="0" w:type="dxa"/>
            <w:right w:w="108" w:type="dxa"/>
          </w:tblCellMar>
        </w:tblPrEx>
        <w:trPr>
          <w:trHeight w:val="364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 PAR灯(演出灯光）</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cs="宋体"/>
                <w:color w:val="000000"/>
                <w:sz w:val="20"/>
                <w:szCs w:val="20"/>
              </w:rPr>
            </w:pPr>
            <w:r>
              <w:rPr>
                <w:rFonts w:ascii="宋体" w:hAnsi="宋体" w:cs="宋体"/>
                <w:color w:val="000000"/>
                <w:sz w:val="24"/>
                <w:lang w:bidi="ar"/>
              </w:rPr>
              <w:t>品牌：BTS，型号：BTS3058</w:t>
            </w:r>
            <w:r>
              <w:rPr>
                <w:rFonts w:ascii="宋体" w:hAnsi="宋体" w:cs="宋体"/>
                <w:color w:val="000000"/>
                <w:sz w:val="24"/>
                <w:lang w:bidi="ar"/>
              </w:rPr>
              <w:br w:type="textWrapping"/>
            </w:r>
            <w:r>
              <w:rPr>
                <w:rFonts w:ascii="宋体" w:hAnsi="宋体" w:cs="宋体"/>
                <w:color w:val="000000"/>
                <w:sz w:val="24"/>
                <w:lang w:bidi="ar"/>
              </w:rPr>
              <w:t>主要技术参数：</w:t>
            </w:r>
            <w:r>
              <w:rPr>
                <w:rFonts w:ascii="宋体" w:hAnsi="宋体" w:cs="宋体"/>
                <w:color w:val="000000"/>
                <w:sz w:val="20"/>
                <w:szCs w:val="20"/>
                <w:lang w:bidi="ar"/>
              </w:rPr>
              <w:br w:type="textWrapping"/>
            </w:r>
            <w:r>
              <w:rPr>
                <w:rFonts w:ascii="宋体" w:hAnsi="宋体" w:cs="宋体"/>
                <w:color w:val="000000"/>
                <w:sz w:val="20"/>
                <w:szCs w:val="20"/>
                <w:lang w:bidi="ar"/>
              </w:rPr>
              <w:t>电源：AC220V/50HZ</w:t>
            </w:r>
            <w:r>
              <w:rPr>
                <w:rFonts w:ascii="宋体" w:hAnsi="宋体" w:cs="宋体"/>
                <w:color w:val="000000"/>
                <w:sz w:val="20"/>
                <w:szCs w:val="20"/>
                <w:lang w:bidi="ar"/>
              </w:rPr>
              <w:br w:type="textWrapping"/>
            </w:r>
            <w:r>
              <w:rPr>
                <w:rFonts w:ascii="宋体" w:hAnsi="宋体" w:cs="宋体"/>
                <w:color w:val="000000"/>
                <w:sz w:val="20"/>
                <w:szCs w:val="20"/>
                <w:lang w:bidi="ar"/>
              </w:rPr>
              <w:t>功率：165W</w:t>
            </w:r>
            <w:r>
              <w:rPr>
                <w:rFonts w:ascii="宋体" w:hAnsi="宋体" w:cs="宋体"/>
                <w:color w:val="000000"/>
                <w:sz w:val="20"/>
                <w:szCs w:val="20"/>
                <w:lang w:bidi="ar"/>
              </w:rPr>
              <w:br w:type="textWrapping"/>
            </w:r>
            <w:r>
              <w:rPr>
                <w:rFonts w:ascii="宋体" w:hAnsi="宋体" w:cs="宋体"/>
                <w:color w:val="000000"/>
                <w:sz w:val="20"/>
                <w:szCs w:val="20"/>
                <w:lang w:bidi="ar"/>
              </w:rPr>
              <w:t>光源：3W*54颗</w:t>
            </w:r>
            <w:r>
              <w:rPr>
                <w:rFonts w:ascii="宋体" w:hAnsi="宋体" w:cs="宋体"/>
                <w:color w:val="000000"/>
                <w:sz w:val="20"/>
                <w:szCs w:val="20"/>
                <w:lang w:bidi="ar"/>
              </w:rPr>
              <w:br w:type="textWrapping"/>
            </w:r>
            <w:r>
              <w:rPr>
                <w:rFonts w:ascii="宋体" w:hAnsi="宋体" w:cs="宋体"/>
                <w:color w:val="000000"/>
                <w:sz w:val="20"/>
                <w:szCs w:val="20"/>
                <w:lang w:bidi="ar"/>
              </w:rPr>
              <w:t>彩光：RGBW全色域混合</w:t>
            </w:r>
            <w:r>
              <w:rPr>
                <w:rFonts w:ascii="宋体" w:hAnsi="宋体" w:cs="宋体"/>
                <w:color w:val="000000"/>
                <w:sz w:val="20"/>
                <w:szCs w:val="20"/>
                <w:lang w:bidi="ar"/>
              </w:rPr>
              <w:br w:type="textWrapping"/>
            </w:r>
            <w:r>
              <w:rPr>
                <w:rFonts w:ascii="宋体" w:hAnsi="宋体" w:cs="宋体"/>
                <w:color w:val="000000"/>
                <w:sz w:val="20"/>
                <w:szCs w:val="20"/>
                <w:lang w:bidi="ar"/>
              </w:rPr>
              <w:t>色温：3200K、5600K（低、高色温）可选</w:t>
            </w:r>
            <w:r>
              <w:rPr>
                <w:rFonts w:ascii="宋体" w:hAnsi="宋体" w:cs="宋体"/>
                <w:color w:val="000000"/>
                <w:sz w:val="20"/>
                <w:szCs w:val="20"/>
                <w:lang w:bidi="ar"/>
              </w:rPr>
              <w:br w:type="textWrapping"/>
            </w:r>
            <w:r>
              <w:rPr>
                <w:rFonts w:ascii="宋体" w:hAnsi="宋体" w:cs="宋体"/>
                <w:color w:val="000000"/>
                <w:sz w:val="20"/>
                <w:szCs w:val="20"/>
                <w:lang w:bidi="ar"/>
              </w:rPr>
              <w:t>光通量：9900 lm</w:t>
            </w:r>
            <w:r>
              <w:rPr>
                <w:rFonts w:ascii="宋体" w:hAnsi="宋体" w:cs="宋体"/>
                <w:color w:val="000000"/>
                <w:sz w:val="20"/>
                <w:szCs w:val="20"/>
                <w:lang w:bidi="ar"/>
              </w:rPr>
              <w:br w:type="textWrapping"/>
            </w:r>
            <w:r>
              <w:rPr>
                <w:rFonts w:ascii="宋体" w:hAnsi="宋体" w:cs="宋体"/>
                <w:color w:val="000000"/>
                <w:sz w:val="20"/>
                <w:szCs w:val="20"/>
                <w:lang w:bidi="ar"/>
              </w:rPr>
              <w:t>光束角度：15°，25°，45°</w:t>
            </w:r>
            <w:r>
              <w:rPr>
                <w:rFonts w:ascii="宋体" w:hAnsi="宋体" w:cs="宋体"/>
                <w:color w:val="000000"/>
                <w:sz w:val="20"/>
                <w:szCs w:val="20"/>
                <w:lang w:bidi="ar"/>
              </w:rPr>
              <w:br w:type="textWrapping"/>
            </w:r>
            <w:r>
              <w:rPr>
                <w:rFonts w:ascii="宋体" w:hAnsi="宋体" w:cs="宋体"/>
                <w:color w:val="000000"/>
                <w:sz w:val="20"/>
                <w:szCs w:val="20"/>
                <w:lang w:bidi="ar"/>
              </w:rPr>
              <w:t>可选倾斜角度：/－90°</w:t>
            </w:r>
            <w:r>
              <w:rPr>
                <w:rFonts w:ascii="宋体" w:hAnsi="宋体" w:cs="宋体"/>
                <w:color w:val="000000"/>
                <w:sz w:val="20"/>
                <w:szCs w:val="20"/>
                <w:lang w:bidi="ar"/>
              </w:rPr>
              <w:br w:type="textWrapping"/>
            </w:r>
            <w:r>
              <w:rPr>
                <w:rFonts w:ascii="宋体" w:hAnsi="宋体" w:cs="宋体"/>
                <w:color w:val="000000"/>
                <w:sz w:val="20"/>
                <w:szCs w:val="20"/>
                <w:lang w:bidi="ar"/>
              </w:rPr>
              <w:t>控制模式：DMX512</w:t>
            </w:r>
            <w:r>
              <w:rPr>
                <w:rFonts w:ascii="宋体" w:hAnsi="宋体" w:cs="宋体"/>
                <w:color w:val="000000"/>
                <w:sz w:val="20"/>
                <w:szCs w:val="20"/>
                <w:lang w:bidi="ar"/>
              </w:rPr>
              <w:br w:type="textWrapping"/>
            </w:r>
            <w:r>
              <w:rPr>
                <w:rFonts w:ascii="宋体" w:hAnsi="宋体" w:cs="宋体"/>
                <w:color w:val="000000"/>
                <w:sz w:val="20"/>
                <w:szCs w:val="20"/>
                <w:lang w:bidi="ar"/>
              </w:rPr>
              <w:t>防护等级：IP65</w:t>
            </w:r>
            <w:r>
              <w:rPr>
                <w:rFonts w:ascii="宋体" w:hAnsi="宋体" w:cs="宋体"/>
                <w:color w:val="000000"/>
                <w:sz w:val="20"/>
                <w:szCs w:val="20"/>
                <w:lang w:bidi="ar"/>
              </w:rPr>
              <w:br w:type="textWrapping"/>
            </w:r>
            <w:r>
              <w:rPr>
                <w:rFonts w:ascii="宋体" w:hAnsi="宋体" w:cs="宋体"/>
                <w:color w:val="000000"/>
                <w:sz w:val="20"/>
                <w:szCs w:val="20"/>
                <w:lang w:bidi="ar"/>
              </w:rPr>
              <w:t>尺寸：341.8×208.5×236.8 (mm)</w:t>
            </w:r>
            <w:r>
              <w:rPr>
                <w:rFonts w:ascii="宋体" w:hAnsi="宋体" w:cs="宋体"/>
                <w:color w:val="000000"/>
                <w:sz w:val="20"/>
                <w:szCs w:val="20"/>
                <w:lang w:bidi="ar"/>
              </w:rPr>
              <w:br w:type="textWrapping"/>
            </w:r>
            <w:r>
              <w:rPr>
                <w:rFonts w:ascii="宋体" w:hAnsi="宋体" w:cs="宋体"/>
                <w:color w:val="000000"/>
                <w:sz w:val="20"/>
                <w:szCs w:val="20"/>
                <w:lang w:bidi="ar"/>
              </w:rPr>
              <w:t>重量：8.46kg</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更换</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r>
      <w:tr>
        <w:tblPrEx>
          <w:tblLayout w:type="fixed"/>
          <w:tblCellMar>
            <w:top w:w="0" w:type="dxa"/>
            <w:left w:w="108" w:type="dxa"/>
            <w:bottom w:w="0" w:type="dxa"/>
            <w:right w:w="108" w:type="dxa"/>
          </w:tblCellMar>
        </w:tblPrEx>
        <w:trPr>
          <w:trHeight w:val="390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LED天幕灯(背景天幕灯）</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top"/>
              <w:rPr>
                <w:rFonts w:hint="eastAsia" w:ascii="宋体" w:hAnsi="宋体" w:cs="宋体"/>
                <w:color w:val="000000"/>
                <w:sz w:val="20"/>
                <w:szCs w:val="20"/>
              </w:rPr>
            </w:pPr>
            <w:r>
              <w:rPr>
                <w:rFonts w:ascii="宋体" w:hAnsi="宋体" w:cs="宋体"/>
                <w:color w:val="000000"/>
                <w:sz w:val="24"/>
                <w:lang w:bidi="ar"/>
              </w:rPr>
              <w:t>品牌：BTS，型号：BTS3096×2</w:t>
            </w:r>
            <w:r>
              <w:rPr>
                <w:rFonts w:ascii="宋体" w:hAnsi="宋体" w:cs="宋体"/>
                <w:color w:val="000000"/>
                <w:sz w:val="24"/>
                <w:lang w:bidi="ar"/>
              </w:rPr>
              <w:br w:type="textWrapping"/>
            </w:r>
            <w:r>
              <w:rPr>
                <w:rFonts w:ascii="宋体" w:hAnsi="宋体" w:cs="宋体"/>
                <w:color w:val="000000"/>
                <w:sz w:val="24"/>
                <w:lang w:bidi="ar"/>
              </w:rPr>
              <w:t>主要技术参数：</w:t>
            </w:r>
            <w:r>
              <w:rPr>
                <w:rFonts w:ascii="宋体" w:hAnsi="宋体" w:cs="宋体"/>
                <w:color w:val="000000"/>
                <w:sz w:val="20"/>
                <w:szCs w:val="20"/>
                <w:lang w:bidi="ar"/>
              </w:rPr>
              <w:br w:type="textWrapping"/>
            </w:r>
            <w:r>
              <w:rPr>
                <w:rFonts w:ascii="宋体" w:hAnsi="宋体" w:cs="宋体"/>
                <w:color w:val="000000"/>
                <w:sz w:val="20"/>
                <w:szCs w:val="20"/>
                <w:lang w:bidi="ar"/>
              </w:rPr>
              <w:t>电源：AC220V/50HZ</w:t>
            </w:r>
            <w:r>
              <w:rPr>
                <w:rFonts w:ascii="宋体" w:hAnsi="宋体" w:cs="宋体"/>
                <w:color w:val="000000"/>
                <w:sz w:val="20"/>
                <w:szCs w:val="20"/>
                <w:lang w:bidi="ar"/>
              </w:rPr>
              <w:br w:type="textWrapping"/>
            </w:r>
            <w:r>
              <w:rPr>
                <w:rFonts w:ascii="宋体" w:hAnsi="宋体" w:cs="宋体"/>
                <w:color w:val="000000"/>
                <w:sz w:val="20"/>
                <w:szCs w:val="20"/>
                <w:lang w:bidi="ar"/>
              </w:rPr>
              <w:t>功率：580W</w:t>
            </w:r>
            <w:r>
              <w:rPr>
                <w:rFonts w:ascii="宋体" w:hAnsi="宋体" w:cs="宋体"/>
                <w:color w:val="000000"/>
                <w:sz w:val="20"/>
                <w:szCs w:val="20"/>
                <w:lang w:bidi="ar"/>
              </w:rPr>
              <w:br w:type="textWrapping"/>
            </w:r>
            <w:r>
              <w:rPr>
                <w:rFonts w:ascii="宋体" w:hAnsi="宋体" w:cs="宋体"/>
                <w:color w:val="000000"/>
                <w:sz w:val="20"/>
                <w:szCs w:val="20"/>
                <w:lang w:bidi="ar"/>
              </w:rPr>
              <w:t>光源：3W*192颗</w:t>
            </w:r>
            <w:r>
              <w:rPr>
                <w:rFonts w:ascii="宋体" w:hAnsi="宋体" w:cs="宋体"/>
                <w:color w:val="000000"/>
                <w:sz w:val="20"/>
                <w:szCs w:val="20"/>
                <w:lang w:bidi="ar"/>
              </w:rPr>
              <w:br w:type="textWrapping"/>
            </w:r>
            <w:r>
              <w:rPr>
                <w:rFonts w:ascii="宋体" w:hAnsi="宋体" w:cs="宋体"/>
                <w:color w:val="000000"/>
                <w:sz w:val="20"/>
                <w:szCs w:val="20"/>
                <w:lang w:bidi="ar"/>
              </w:rPr>
              <w:t>48颗红、48颗绿、48颗蓝、48颗白</w:t>
            </w:r>
            <w:r>
              <w:rPr>
                <w:rFonts w:ascii="宋体" w:hAnsi="宋体" w:cs="宋体"/>
                <w:color w:val="000000"/>
                <w:sz w:val="20"/>
                <w:szCs w:val="20"/>
                <w:lang w:bidi="ar"/>
              </w:rPr>
              <w:br w:type="textWrapping"/>
            </w:r>
            <w:r>
              <w:rPr>
                <w:rFonts w:ascii="宋体" w:hAnsi="宋体" w:cs="宋体"/>
                <w:color w:val="000000"/>
                <w:sz w:val="20"/>
                <w:szCs w:val="20"/>
                <w:lang w:bidi="ar"/>
              </w:rPr>
              <w:t>彩光：RGBW全色域混合</w:t>
            </w:r>
            <w:r>
              <w:rPr>
                <w:rFonts w:ascii="宋体" w:hAnsi="宋体" w:cs="宋体"/>
                <w:color w:val="000000"/>
                <w:sz w:val="20"/>
                <w:szCs w:val="20"/>
                <w:lang w:bidi="ar"/>
              </w:rPr>
              <w:br w:type="textWrapping"/>
            </w:r>
            <w:r>
              <w:rPr>
                <w:rFonts w:ascii="宋体" w:hAnsi="宋体" w:cs="宋体"/>
                <w:color w:val="000000"/>
                <w:sz w:val="20"/>
                <w:szCs w:val="20"/>
                <w:lang w:bidi="ar"/>
              </w:rPr>
              <w:t>色温：3200K、5600K（低、高色温）可选</w:t>
            </w:r>
            <w:r>
              <w:rPr>
                <w:rFonts w:ascii="宋体" w:hAnsi="宋体" w:cs="宋体"/>
                <w:color w:val="000000"/>
                <w:sz w:val="20"/>
                <w:szCs w:val="20"/>
                <w:lang w:bidi="ar"/>
              </w:rPr>
              <w:br w:type="textWrapping"/>
            </w:r>
            <w:r>
              <w:rPr>
                <w:rFonts w:ascii="宋体" w:hAnsi="宋体" w:cs="宋体"/>
                <w:color w:val="000000"/>
                <w:sz w:val="20"/>
                <w:szCs w:val="20"/>
                <w:lang w:bidi="ar"/>
              </w:rPr>
              <w:t>光通量：35200lm</w:t>
            </w:r>
            <w:r>
              <w:rPr>
                <w:rFonts w:ascii="宋体" w:hAnsi="宋体" w:cs="宋体"/>
                <w:color w:val="000000"/>
                <w:sz w:val="20"/>
                <w:szCs w:val="20"/>
                <w:lang w:bidi="ar"/>
              </w:rPr>
              <w:br w:type="textWrapping"/>
            </w:r>
            <w:r>
              <w:rPr>
                <w:rFonts w:ascii="宋体" w:hAnsi="宋体" w:cs="宋体"/>
                <w:color w:val="000000"/>
                <w:sz w:val="20"/>
                <w:szCs w:val="20"/>
                <w:lang w:bidi="ar"/>
              </w:rPr>
              <w:t>光束角度：＞110°可选</w:t>
            </w:r>
            <w:r>
              <w:rPr>
                <w:rFonts w:ascii="宋体" w:hAnsi="宋体" w:cs="宋体"/>
                <w:color w:val="000000"/>
                <w:sz w:val="20"/>
                <w:szCs w:val="20"/>
                <w:lang w:bidi="ar"/>
              </w:rPr>
              <w:br w:type="textWrapping"/>
            </w:r>
            <w:r>
              <w:rPr>
                <w:rFonts w:ascii="宋体" w:hAnsi="宋体" w:cs="宋体"/>
                <w:color w:val="000000"/>
                <w:sz w:val="20"/>
                <w:szCs w:val="20"/>
                <w:lang w:bidi="ar"/>
              </w:rPr>
              <w:t>倾斜角度：/－90°</w:t>
            </w:r>
            <w:r>
              <w:rPr>
                <w:rFonts w:ascii="宋体" w:hAnsi="宋体" w:cs="宋体"/>
                <w:color w:val="000000"/>
                <w:sz w:val="20"/>
                <w:szCs w:val="20"/>
                <w:lang w:bidi="ar"/>
              </w:rPr>
              <w:br w:type="textWrapping"/>
            </w:r>
            <w:r>
              <w:rPr>
                <w:rFonts w:ascii="宋体" w:hAnsi="宋体" w:cs="宋体"/>
                <w:color w:val="000000"/>
                <w:sz w:val="20"/>
                <w:szCs w:val="20"/>
                <w:lang w:bidi="ar"/>
              </w:rPr>
              <w:t>控制模式：DMX512</w:t>
            </w:r>
            <w:r>
              <w:rPr>
                <w:rFonts w:ascii="宋体" w:hAnsi="宋体" w:cs="宋体"/>
                <w:color w:val="000000"/>
                <w:sz w:val="20"/>
                <w:szCs w:val="20"/>
                <w:lang w:bidi="ar"/>
              </w:rPr>
              <w:br w:type="textWrapping"/>
            </w:r>
            <w:r>
              <w:rPr>
                <w:rFonts w:ascii="宋体" w:hAnsi="宋体" w:cs="宋体"/>
                <w:color w:val="000000"/>
                <w:sz w:val="20"/>
                <w:szCs w:val="20"/>
                <w:lang w:bidi="ar"/>
              </w:rPr>
              <w:t>防护等级：IP65</w:t>
            </w:r>
            <w:r>
              <w:rPr>
                <w:rFonts w:ascii="宋体" w:hAnsi="宋体" w:cs="宋体"/>
                <w:color w:val="000000"/>
                <w:sz w:val="20"/>
                <w:szCs w:val="20"/>
                <w:lang w:bidi="ar"/>
              </w:rPr>
              <w:br w:type="textWrapping"/>
            </w:r>
            <w:r>
              <w:rPr>
                <w:rFonts w:ascii="宋体" w:hAnsi="宋体" w:cs="宋体"/>
                <w:color w:val="000000"/>
                <w:sz w:val="20"/>
                <w:szCs w:val="20"/>
                <w:lang w:bidi="ar"/>
              </w:rPr>
              <w:t>尺寸：860x230x240(mm)</w:t>
            </w:r>
            <w:r>
              <w:rPr>
                <w:rFonts w:ascii="宋体" w:hAnsi="宋体" w:cs="宋体"/>
                <w:color w:val="000000"/>
                <w:sz w:val="20"/>
                <w:szCs w:val="20"/>
                <w:lang w:bidi="ar"/>
              </w:rPr>
              <w:br w:type="textWrapping"/>
            </w:r>
            <w:r>
              <w:rPr>
                <w:rFonts w:ascii="宋体" w:hAnsi="宋体" w:cs="宋体"/>
                <w:color w:val="000000"/>
                <w:sz w:val="20"/>
                <w:szCs w:val="20"/>
                <w:lang w:bidi="ar"/>
              </w:rPr>
              <w:t>重量：35.6kg</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更换</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r>
      <w:tr>
        <w:tblPrEx>
          <w:tblLayout w:type="fixed"/>
          <w:tblCellMar>
            <w:top w:w="0" w:type="dxa"/>
            <w:left w:w="108" w:type="dxa"/>
            <w:bottom w:w="0" w:type="dxa"/>
            <w:right w:w="108" w:type="dxa"/>
          </w:tblCellMar>
        </w:tblPrEx>
        <w:trPr>
          <w:trHeight w:val="260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灯光控制台</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ascii="宋体" w:hAnsi="宋体" w:cs="宋体"/>
                <w:color w:val="000000"/>
                <w:sz w:val="24"/>
                <w:lang w:bidi="ar"/>
              </w:rPr>
              <w:t>品牌：BTS，型号：BTS-K2048</w:t>
            </w:r>
            <w:r>
              <w:rPr>
                <w:rFonts w:ascii="宋体" w:hAnsi="宋体" w:cs="宋体"/>
                <w:color w:val="000000"/>
                <w:sz w:val="24"/>
                <w:lang w:bidi="ar"/>
              </w:rPr>
              <w:br w:type="textWrapping"/>
            </w:r>
            <w:r>
              <w:rPr>
                <w:rFonts w:ascii="宋体" w:hAnsi="宋体" w:cs="宋体"/>
                <w:color w:val="000000"/>
                <w:sz w:val="24"/>
                <w:lang w:bidi="ar"/>
              </w:rPr>
              <w:t>主要技术参数：</w:t>
            </w:r>
            <w:r>
              <w:rPr>
                <w:rFonts w:ascii="宋体" w:hAnsi="宋体" w:cs="宋体"/>
                <w:color w:val="000000"/>
                <w:sz w:val="20"/>
                <w:szCs w:val="20"/>
                <w:lang w:bidi="ar"/>
              </w:rPr>
              <w:br w:type="textWrapping"/>
            </w:r>
            <w:r>
              <w:rPr>
                <w:rFonts w:ascii="宋体" w:hAnsi="宋体" w:cs="宋体"/>
                <w:color w:val="000000"/>
                <w:sz w:val="20"/>
                <w:szCs w:val="20"/>
                <w:lang w:bidi="ar"/>
              </w:rPr>
              <w:t>最大2048个DMX控制通道，DMX512/1990 标准， 光电隔离信号输出；</w:t>
            </w:r>
            <w:r>
              <w:rPr>
                <w:rFonts w:ascii="宋体" w:hAnsi="宋体" w:cs="宋体"/>
                <w:color w:val="000000"/>
                <w:sz w:val="20"/>
                <w:szCs w:val="20"/>
                <w:lang w:bidi="ar"/>
              </w:rPr>
              <w:br w:type="textWrapping"/>
            </w:r>
            <w:r>
              <w:rPr>
                <w:rFonts w:ascii="宋体" w:hAnsi="宋体" w:cs="宋体"/>
                <w:color w:val="000000"/>
                <w:sz w:val="20"/>
                <w:szCs w:val="20"/>
                <w:lang w:bidi="ar"/>
              </w:rPr>
              <w:t>4路DMX 512信号独立输出</w:t>
            </w:r>
            <w:r>
              <w:rPr>
                <w:rFonts w:ascii="宋体" w:hAnsi="宋体" w:cs="宋体"/>
                <w:color w:val="000000"/>
                <w:sz w:val="20"/>
                <w:szCs w:val="20"/>
                <w:lang w:bidi="ar"/>
              </w:rPr>
              <w:br w:type="textWrapping"/>
            </w:r>
            <w:r>
              <w:rPr>
                <w:rFonts w:ascii="宋体" w:hAnsi="宋体" w:cs="宋体"/>
                <w:color w:val="000000"/>
                <w:sz w:val="20"/>
                <w:szCs w:val="20"/>
                <w:lang w:bidi="ar"/>
              </w:rPr>
              <w:t>同时最大控制150台电脑灯或150路调光 。</w:t>
            </w:r>
            <w:r>
              <w:rPr>
                <w:rFonts w:ascii="宋体" w:hAnsi="宋体" w:cs="宋体"/>
                <w:color w:val="000000"/>
                <w:sz w:val="20"/>
                <w:szCs w:val="20"/>
                <w:lang w:bidi="ar"/>
              </w:rPr>
              <w:br w:type="textWrapping"/>
            </w:r>
            <w:r>
              <w:rPr>
                <w:rFonts w:ascii="宋体" w:hAnsi="宋体" w:cs="宋体"/>
                <w:color w:val="000000"/>
                <w:sz w:val="20"/>
                <w:szCs w:val="20"/>
                <w:lang w:bidi="ar"/>
              </w:rPr>
              <w:t>每灯最大42个控制通道，使用灯库模式 (兼容“珍珠”灯库)。</w:t>
            </w:r>
            <w:r>
              <w:rPr>
                <w:rFonts w:ascii="宋体" w:hAnsi="宋体" w:cs="宋体"/>
                <w:color w:val="000000"/>
                <w:sz w:val="20"/>
                <w:szCs w:val="20"/>
                <w:lang w:bidi="ar"/>
              </w:rPr>
              <w:br w:type="textWrapping"/>
            </w:r>
            <w:r>
              <w:rPr>
                <w:rFonts w:ascii="宋体" w:hAnsi="宋体" w:cs="宋体"/>
                <w:color w:val="000000"/>
                <w:sz w:val="20"/>
                <w:szCs w:val="20"/>
                <w:lang w:bidi="ar"/>
              </w:rPr>
              <w:t>最大存储600个重演程序共分40页，200个编组，210个预置数据，100个快照。</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保留</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r>
      <w:tr>
        <w:tblPrEx>
          <w:tblLayout w:type="fixed"/>
          <w:tblCellMar>
            <w:top w:w="0" w:type="dxa"/>
            <w:left w:w="108" w:type="dxa"/>
            <w:bottom w:w="0" w:type="dxa"/>
            <w:right w:w="108" w:type="dxa"/>
          </w:tblCellMar>
        </w:tblPrEx>
        <w:trPr>
          <w:trHeight w:val="390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3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信号分配器</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sz w:val="20"/>
                <w:szCs w:val="20"/>
              </w:rPr>
            </w:pPr>
            <w:r>
              <w:rPr>
                <w:rFonts w:ascii="宋体" w:hAnsi="宋体" w:cs="宋体"/>
                <w:color w:val="000000"/>
                <w:sz w:val="24"/>
                <w:lang w:bidi="ar"/>
              </w:rPr>
              <w:t>品牌：BTS，型号：BTS-DMX8</w:t>
            </w:r>
            <w:r>
              <w:rPr>
                <w:rFonts w:ascii="宋体" w:hAnsi="宋体" w:cs="宋体"/>
                <w:color w:val="000000"/>
                <w:sz w:val="24"/>
                <w:lang w:bidi="ar"/>
              </w:rPr>
              <w:br w:type="textWrapping"/>
            </w:r>
            <w:r>
              <w:rPr>
                <w:rFonts w:ascii="宋体" w:hAnsi="宋体" w:cs="宋体"/>
                <w:color w:val="000000"/>
                <w:sz w:val="24"/>
                <w:lang w:bidi="ar"/>
              </w:rPr>
              <w:t>主要技术参数：</w:t>
            </w:r>
            <w:r>
              <w:rPr>
                <w:rFonts w:ascii="宋体" w:hAnsi="宋体" w:cs="宋体"/>
                <w:color w:val="000000"/>
                <w:sz w:val="20"/>
                <w:szCs w:val="20"/>
                <w:lang w:bidi="ar"/>
              </w:rPr>
              <w:br w:type="textWrapping"/>
            </w:r>
            <w:r>
              <w:rPr>
                <w:rFonts w:ascii="宋体" w:hAnsi="宋体" w:cs="宋体"/>
                <w:color w:val="000000"/>
                <w:sz w:val="20"/>
                <w:szCs w:val="20"/>
                <w:lang w:bidi="ar"/>
              </w:rPr>
              <w:t>1、2路DMX512数码输入。</w:t>
            </w:r>
            <w:r>
              <w:rPr>
                <w:rFonts w:ascii="宋体" w:hAnsi="宋体" w:cs="宋体"/>
                <w:color w:val="000000"/>
                <w:sz w:val="20"/>
                <w:szCs w:val="20"/>
                <w:lang w:bidi="ar"/>
              </w:rPr>
              <w:br w:type="textWrapping"/>
            </w:r>
            <w:r>
              <w:rPr>
                <w:rFonts w:ascii="宋体" w:hAnsi="宋体" w:cs="宋体"/>
                <w:color w:val="000000"/>
                <w:sz w:val="20"/>
                <w:szCs w:val="20"/>
                <w:lang w:bidi="ar"/>
              </w:rPr>
              <w:t>2、 输入/输出光电隔离。</w:t>
            </w:r>
            <w:r>
              <w:rPr>
                <w:rFonts w:ascii="宋体" w:hAnsi="宋体" w:cs="宋体"/>
                <w:color w:val="000000"/>
                <w:sz w:val="20"/>
                <w:szCs w:val="20"/>
                <w:lang w:bidi="ar"/>
              </w:rPr>
              <w:br w:type="textWrapping"/>
            </w:r>
            <w:r>
              <w:rPr>
                <w:rFonts w:ascii="宋体" w:hAnsi="宋体" w:cs="宋体"/>
                <w:color w:val="000000"/>
                <w:sz w:val="20"/>
                <w:szCs w:val="20"/>
                <w:lang w:bidi="ar"/>
              </w:rPr>
              <w:t>3、 8路独立放大驱动输出。</w:t>
            </w:r>
            <w:r>
              <w:rPr>
                <w:rFonts w:ascii="宋体" w:hAnsi="宋体" w:cs="宋体"/>
                <w:color w:val="000000"/>
                <w:sz w:val="20"/>
                <w:szCs w:val="20"/>
                <w:lang w:bidi="ar"/>
              </w:rPr>
              <w:br w:type="textWrapping"/>
            </w:r>
            <w:r>
              <w:rPr>
                <w:rFonts w:ascii="宋体" w:hAnsi="宋体" w:cs="宋体"/>
                <w:color w:val="000000"/>
                <w:sz w:val="20"/>
                <w:szCs w:val="20"/>
                <w:lang w:bidi="ar"/>
              </w:rPr>
              <w:t>4、信号放大整形功能，延长信号传输距离。</w:t>
            </w:r>
            <w:r>
              <w:rPr>
                <w:rFonts w:ascii="宋体" w:hAnsi="宋体" w:cs="宋体"/>
                <w:color w:val="000000"/>
                <w:sz w:val="20"/>
                <w:szCs w:val="20"/>
                <w:lang w:bidi="ar"/>
              </w:rPr>
              <w:br w:type="textWrapping"/>
            </w:r>
            <w:r>
              <w:rPr>
                <w:rFonts w:ascii="宋体" w:hAnsi="宋体" w:cs="宋体"/>
                <w:color w:val="000000"/>
                <w:sz w:val="20"/>
                <w:szCs w:val="20"/>
                <w:lang w:bidi="ar"/>
              </w:rPr>
              <w:t>5、 增强数据总线接入设备数量的能力。</w:t>
            </w:r>
            <w:r>
              <w:rPr>
                <w:rFonts w:ascii="宋体" w:hAnsi="宋体" w:cs="宋体"/>
                <w:color w:val="000000"/>
                <w:sz w:val="20"/>
                <w:szCs w:val="20"/>
                <w:lang w:bidi="ar"/>
              </w:rPr>
              <w:br w:type="textWrapping"/>
            </w:r>
            <w:r>
              <w:rPr>
                <w:rFonts w:ascii="宋体" w:hAnsi="宋体" w:cs="宋体"/>
                <w:color w:val="000000"/>
                <w:sz w:val="20"/>
                <w:szCs w:val="20"/>
                <w:lang w:bidi="ar"/>
              </w:rPr>
              <w:t>6、 保护灯光控制台DMX512输出接口，故障现场隔离，提高数字式灯光控制系统的安全运行可靠性。</w:t>
            </w:r>
            <w:r>
              <w:rPr>
                <w:rFonts w:ascii="宋体" w:hAnsi="宋体" w:cs="宋体"/>
                <w:color w:val="000000"/>
                <w:sz w:val="20"/>
                <w:szCs w:val="20"/>
                <w:lang w:bidi="ar"/>
              </w:rPr>
              <w:br w:type="textWrapping"/>
            </w:r>
            <w:r>
              <w:rPr>
                <w:rFonts w:ascii="宋体" w:hAnsi="宋体" w:cs="宋体"/>
                <w:color w:val="000000"/>
                <w:sz w:val="20"/>
                <w:szCs w:val="20"/>
                <w:lang w:bidi="ar"/>
              </w:rPr>
              <w:t>7、 电源: AC100V-240V / 50-60Hz</w:t>
            </w:r>
            <w:r>
              <w:rPr>
                <w:rFonts w:ascii="宋体" w:hAnsi="宋体" w:cs="宋体"/>
                <w:color w:val="000000"/>
                <w:sz w:val="20"/>
                <w:szCs w:val="20"/>
                <w:lang w:bidi="ar"/>
              </w:rPr>
              <w:br w:type="textWrapping"/>
            </w:r>
            <w:r>
              <w:rPr>
                <w:rFonts w:ascii="宋体" w:hAnsi="宋体" w:cs="宋体"/>
                <w:color w:val="000000"/>
                <w:sz w:val="20"/>
                <w:szCs w:val="20"/>
                <w:lang w:bidi="ar"/>
              </w:rPr>
              <w:t>8、 净重：485mm x 155mm x 45mm / 2.2kg</w:t>
            </w:r>
            <w:r>
              <w:rPr>
                <w:rFonts w:ascii="宋体" w:hAnsi="宋体" w:cs="宋体"/>
                <w:color w:val="000000"/>
                <w:sz w:val="20"/>
                <w:szCs w:val="20"/>
                <w:lang w:bidi="ar"/>
              </w:rPr>
              <w:br w:type="textWrapping"/>
            </w:r>
            <w:r>
              <w:rPr>
                <w:rFonts w:ascii="宋体" w:hAnsi="宋体" w:cs="宋体"/>
                <w:color w:val="000000"/>
                <w:sz w:val="20"/>
                <w:szCs w:val="20"/>
                <w:lang w:bidi="ar"/>
              </w:rPr>
              <w:t>9、毛重：535mm x 265mm x 125mm / 2.9kg</w:t>
            </w:r>
            <w:r>
              <w:rPr>
                <w:rFonts w:ascii="宋体" w:hAnsi="宋体" w:cs="宋体"/>
                <w:color w:val="000000"/>
                <w:sz w:val="20"/>
                <w:szCs w:val="20"/>
                <w:lang w:bidi="ar"/>
              </w:rPr>
              <w:br w:type="textWrapping"/>
            </w:r>
            <w:r>
              <w:rPr>
                <w:rFonts w:ascii="宋体" w:hAnsi="宋体" w:cs="宋体"/>
                <w:color w:val="000000"/>
                <w:sz w:val="20"/>
                <w:szCs w:val="20"/>
                <w:lang w:bidi="ar"/>
              </w:rPr>
              <w:t>10、防止市电高压回流调光台</w:t>
            </w:r>
            <w:r>
              <w:rPr>
                <w:rFonts w:ascii="宋体" w:hAnsi="宋体" w:cs="宋体"/>
                <w:color w:val="000000"/>
                <w:sz w:val="20"/>
                <w:szCs w:val="20"/>
                <w:lang w:bidi="ar"/>
              </w:rPr>
              <w:br w:type="textWrapping"/>
            </w:r>
            <w:r>
              <w:rPr>
                <w:rFonts w:ascii="宋体" w:hAnsi="宋体" w:cs="宋体"/>
                <w:color w:val="000000"/>
                <w:sz w:val="20"/>
                <w:szCs w:val="20"/>
                <w:lang w:bidi="ar"/>
              </w:rPr>
              <w:t>11、防止雷击高压回流调光台</w:t>
            </w:r>
            <w:r>
              <w:rPr>
                <w:rFonts w:ascii="宋体" w:hAnsi="宋体" w:cs="宋体"/>
                <w:color w:val="000000"/>
                <w:sz w:val="20"/>
                <w:szCs w:val="20"/>
                <w:lang w:bidi="ar"/>
              </w:rPr>
              <w:br w:type="textWrapping"/>
            </w:r>
            <w:r>
              <w:rPr>
                <w:rFonts w:ascii="宋体" w:hAnsi="宋体" w:cs="宋体"/>
                <w:color w:val="000000"/>
                <w:sz w:val="20"/>
                <w:szCs w:val="20"/>
                <w:lang w:bidi="ar"/>
              </w:rPr>
              <w:t>12、提高调光系统安全性，稳定性及可靠性</w:t>
            </w:r>
          </w:p>
        </w:tc>
        <w:tc>
          <w:tcPr>
            <w:tcW w:w="12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保留</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r>
    </w:tbl>
    <w:p>
      <w:pPr>
        <w:keepNext/>
        <w:keepLines/>
        <w:spacing w:line="360" w:lineRule="auto"/>
        <w:ind w:firstLine="562" w:firstLineChars="200"/>
        <w:outlineLvl w:val="2"/>
        <w:rPr>
          <w:rFonts w:hint="eastAsia" w:ascii="宋体" w:hAnsi="宋体" w:cs="Times New Roman"/>
          <w:b/>
          <w:sz w:val="28"/>
          <w:szCs w:val="28"/>
        </w:rPr>
      </w:pPr>
    </w:p>
    <w:bookmarkEnd w:id="296"/>
    <w:bookmarkEnd w:id="297"/>
    <w:bookmarkEnd w:id="298"/>
    <w:p>
      <w:pPr>
        <w:pStyle w:val="2"/>
        <w:numPr>
          <w:ilvl w:val="0"/>
          <w:numId w:val="83"/>
        </w:numPr>
        <w:spacing w:before="0" w:after="0" w:line="360" w:lineRule="auto"/>
        <w:jc w:val="center"/>
        <w:rPr>
          <w:rFonts w:hint="eastAsia"/>
          <w:color w:val="000000"/>
        </w:rPr>
      </w:pPr>
      <w:bookmarkStart w:id="359" w:name="_Toc423021950"/>
      <w:bookmarkStart w:id="360" w:name="_Toc30599"/>
      <w:r>
        <w:rPr>
          <w:b w:val="0"/>
          <w:bCs w:val="0"/>
          <w:color w:val="000000"/>
          <w:kern w:val="2"/>
          <w:sz w:val="21"/>
          <w:szCs w:val="24"/>
        </w:rPr>
        <w:br w:type="page"/>
      </w:r>
      <w:bookmarkStart w:id="361" w:name="_Toc86851532"/>
      <w:r>
        <w:rPr>
          <w:rFonts w:hint="eastAsia"/>
          <w:color w:val="000000"/>
        </w:rPr>
        <w:t>评分体系与标准</w:t>
      </w:r>
      <w:bookmarkEnd w:id="359"/>
      <w:bookmarkEnd w:id="360"/>
      <w:bookmarkEnd w:id="361"/>
    </w:p>
    <w:p>
      <w:pPr>
        <w:pStyle w:val="3"/>
        <w:numPr>
          <w:ilvl w:val="0"/>
          <w:numId w:val="84"/>
        </w:numPr>
        <w:adjustRightInd w:val="0"/>
        <w:snapToGrid w:val="0"/>
        <w:spacing w:before="0" w:after="0" w:line="360" w:lineRule="auto"/>
        <w:jc w:val="left"/>
        <w:rPr>
          <w:rFonts w:ascii="宋体" w:hAnsi="宋体" w:eastAsia="宋体" w:cs="宋体"/>
          <w:color w:val="000000"/>
          <w:sz w:val="24"/>
          <w:szCs w:val="24"/>
        </w:rPr>
      </w:pPr>
      <w:bookmarkStart w:id="362" w:name="_Toc86851533"/>
      <w:r>
        <w:rPr>
          <w:rFonts w:hint="eastAsia" w:ascii="宋体" w:hAnsi="宋体" w:eastAsia="宋体" w:cs="宋体"/>
          <w:color w:val="000000"/>
          <w:sz w:val="24"/>
          <w:szCs w:val="24"/>
        </w:rPr>
        <w:t>评审方法</w:t>
      </w:r>
      <w:bookmarkEnd w:id="362"/>
    </w:p>
    <w:p>
      <w:pPr>
        <w:adjustRightInd w:val="0"/>
        <w:snapToGrid w:val="0"/>
        <w:spacing w:line="360" w:lineRule="auto"/>
        <w:ind w:firstLine="638" w:firstLineChars="266"/>
        <w:rPr>
          <w:rFonts w:ascii="宋体" w:hAnsi="宋体" w:cs="宋体"/>
          <w:bCs/>
          <w:color w:val="000000"/>
          <w:sz w:val="24"/>
        </w:rPr>
      </w:pPr>
      <w:r>
        <w:rPr>
          <w:rFonts w:hint="eastAsia" w:ascii="宋体" w:hAnsi="宋体" w:cs="宋体"/>
          <w:bCs/>
          <w:color w:val="000000"/>
          <w:sz w:val="24"/>
        </w:rPr>
        <w:t>本次评标采用综合评分法，是指响应文件满足磋商文件全部实质性要求，且按照评审因素的量化指标评审得分最高的供应商为成交候选人的评审方法。</w:t>
      </w:r>
    </w:p>
    <w:p>
      <w:pPr>
        <w:pStyle w:val="3"/>
        <w:numPr>
          <w:ilvl w:val="0"/>
          <w:numId w:val="84"/>
        </w:numPr>
        <w:adjustRightInd w:val="0"/>
        <w:snapToGrid w:val="0"/>
        <w:spacing w:before="0" w:after="0" w:line="360" w:lineRule="auto"/>
        <w:jc w:val="left"/>
        <w:rPr>
          <w:rFonts w:ascii="宋体" w:hAnsi="宋体" w:eastAsia="宋体" w:cs="宋体"/>
          <w:color w:val="000000"/>
          <w:sz w:val="24"/>
          <w:szCs w:val="24"/>
        </w:rPr>
      </w:pPr>
      <w:bookmarkStart w:id="363" w:name="_Toc3659"/>
      <w:bookmarkStart w:id="364" w:name="_Toc29992"/>
      <w:bookmarkStart w:id="365" w:name="_Toc25145"/>
      <w:bookmarkStart w:id="366" w:name="_Toc30198"/>
      <w:bookmarkStart w:id="367" w:name="_Toc20471"/>
      <w:bookmarkStart w:id="368" w:name="_Toc22011"/>
      <w:bookmarkStart w:id="369" w:name="_Toc23895"/>
      <w:bookmarkStart w:id="370" w:name="_Toc86851534"/>
      <w:r>
        <w:rPr>
          <w:rFonts w:hint="eastAsia" w:ascii="宋体" w:hAnsi="宋体" w:eastAsia="宋体" w:cs="宋体"/>
          <w:color w:val="000000"/>
          <w:sz w:val="24"/>
          <w:szCs w:val="24"/>
        </w:rPr>
        <w:t>评审流程</w:t>
      </w:r>
      <w:bookmarkEnd w:id="363"/>
      <w:bookmarkEnd w:id="364"/>
      <w:bookmarkEnd w:id="365"/>
      <w:bookmarkEnd w:id="366"/>
      <w:r>
        <w:rPr>
          <w:rFonts w:hint="eastAsia" w:ascii="宋体" w:hAnsi="宋体" w:eastAsia="宋体" w:cs="宋体"/>
          <w:color w:val="000000"/>
          <w:sz w:val="24"/>
          <w:szCs w:val="24"/>
          <w:lang w:val="zh-CN"/>
        </w:rPr>
        <w:t>及评审步骤</w:t>
      </w:r>
      <w:bookmarkEnd w:id="367"/>
      <w:bookmarkEnd w:id="368"/>
      <w:bookmarkEnd w:id="369"/>
      <w:bookmarkEnd w:id="370"/>
    </w:p>
    <w:p>
      <w:pPr>
        <w:pStyle w:val="4"/>
        <w:numPr>
          <w:ilvl w:val="0"/>
          <w:numId w:val="85"/>
        </w:numPr>
        <w:adjustRightInd w:val="0"/>
        <w:snapToGrid w:val="0"/>
        <w:spacing w:before="0" w:after="0" w:line="360" w:lineRule="auto"/>
        <w:ind w:hanging="5"/>
        <w:rPr>
          <w:rFonts w:ascii="宋体" w:hAnsi="宋体" w:cs="宋体"/>
          <w:color w:val="000000"/>
          <w:sz w:val="24"/>
          <w:lang w:val="zh-CN"/>
        </w:rPr>
      </w:pPr>
      <w:bookmarkStart w:id="371" w:name="_Toc31314"/>
      <w:bookmarkStart w:id="372" w:name="_Toc13123"/>
      <w:bookmarkStart w:id="373" w:name="_Toc24144"/>
      <w:bookmarkStart w:id="374" w:name="_Toc8400"/>
      <w:bookmarkStart w:id="375" w:name="_Toc86851535"/>
      <w:r>
        <w:rPr>
          <w:rFonts w:hint="eastAsia" w:ascii="宋体" w:hAnsi="宋体" w:cs="宋体"/>
          <w:color w:val="000000"/>
          <w:sz w:val="24"/>
          <w:lang w:val="zh-CN"/>
        </w:rPr>
        <w:t>响应文件资格性审查</w:t>
      </w:r>
      <w:bookmarkEnd w:id="371"/>
      <w:bookmarkEnd w:id="372"/>
      <w:bookmarkEnd w:id="373"/>
      <w:bookmarkEnd w:id="374"/>
      <w:bookmarkEnd w:id="375"/>
    </w:p>
    <w:p>
      <w:pPr>
        <w:numPr>
          <w:ilvl w:val="1"/>
          <w:numId w:val="86"/>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磋商小组根据《资格性审查表》（见附表1）对供应商的资格逐项进行审查。</w:t>
      </w:r>
    </w:p>
    <w:p>
      <w:pPr>
        <w:numPr>
          <w:ilvl w:val="1"/>
          <w:numId w:val="86"/>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只有通过资格审查的供应商才能进入符合性审查。</w:t>
      </w:r>
    </w:p>
    <w:p>
      <w:pPr>
        <w:numPr>
          <w:ilvl w:val="1"/>
          <w:numId w:val="86"/>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未通过资格性审查的报价为无效报价，磋商小组现场告知供应商。</w:t>
      </w:r>
    </w:p>
    <w:p>
      <w:pPr>
        <w:pStyle w:val="4"/>
        <w:numPr>
          <w:ilvl w:val="0"/>
          <w:numId w:val="85"/>
        </w:numPr>
        <w:adjustRightInd w:val="0"/>
        <w:snapToGrid w:val="0"/>
        <w:spacing w:before="0" w:after="0" w:line="360" w:lineRule="auto"/>
        <w:ind w:hanging="5"/>
        <w:rPr>
          <w:rFonts w:ascii="宋体" w:hAnsi="宋体" w:cs="宋体"/>
          <w:color w:val="000000"/>
          <w:sz w:val="24"/>
          <w:lang w:val="zh-CN"/>
        </w:rPr>
      </w:pPr>
      <w:bookmarkStart w:id="376" w:name="_Toc23349"/>
      <w:bookmarkStart w:id="377" w:name="_Toc27640"/>
      <w:bookmarkStart w:id="378" w:name="_Toc8027"/>
      <w:bookmarkStart w:id="379" w:name="_Toc16330"/>
      <w:bookmarkStart w:id="380" w:name="_Toc86851536"/>
      <w:r>
        <w:rPr>
          <w:rFonts w:hint="eastAsia" w:ascii="宋体" w:hAnsi="宋体" w:cs="宋体"/>
          <w:color w:val="000000"/>
          <w:sz w:val="24"/>
          <w:lang w:val="zh-CN"/>
        </w:rPr>
        <w:t>响应文件符合性审查</w:t>
      </w:r>
      <w:bookmarkEnd w:id="376"/>
      <w:bookmarkEnd w:id="377"/>
      <w:bookmarkEnd w:id="378"/>
      <w:bookmarkEnd w:id="379"/>
      <w:bookmarkEnd w:id="380"/>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磋商小组根据《符合性审查表》（见附表</w:t>
      </w:r>
      <w:r>
        <w:rPr>
          <w:rFonts w:hint="eastAsia" w:ascii="宋体" w:hAnsi="宋体" w:cs="宋体"/>
          <w:color w:val="000000"/>
          <w:sz w:val="24"/>
        </w:rPr>
        <w:t>2</w:t>
      </w:r>
      <w:r>
        <w:rPr>
          <w:rFonts w:hint="eastAsia" w:ascii="宋体" w:hAnsi="宋体" w:cs="宋体"/>
          <w:color w:val="000000"/>
          <w:sz w:val="24"/>
          <w:lang w:val="zh-CN"/>
        </w:rPr>
        <w:t>）对供应商的符合性逐项进行审查。</w:t>
      </w:r>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在符合性审查中，发现供应商有下列情形之一的，视为供应商串通报价，其报价无效：</w:t>
      </w:r>
    </w:p>
    <w:p>
      <w:pPr>
        <w:numPr>
          <w:ilvl w:val="0"/>
          <w:numId w:val="88"/>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不同供应商的响应文件由同一单位或者个人编制；</w:t>
      </w:r>
    </w:p>
    <w:p>
      <w:pPr>
        <w:numPr>
          <w:ilvl w:val="0"/>
          <w:numId w:val="88"/>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不同供应商委托同一单位或者个人办理投标事宜；</w:t>
      </w:r>
    </w:p>
    <w:p>
      <w:pPr>
        <w:numPr>
          <w:ilvl w:val="0"/>
          <w:numId w:val="88"/>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不同供应商的响应文件载明的项目管理成员或者联系人员为同一人；</w:t>
      </w:r>
    </w:p>
    <w:p>
      <w:pPr>
        <w:numPr>
          <w:ilvl w:val="0"/>
          <w:numId w:val="88"/>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不同供应商的响应文件异常一致或者总报价呈规律性差异；</w:t>
      </w:r>
    </w:p>
    <w:p>
      <w:pPr>
        <w:numPr>
          <w:ilvl w:val="0"/>
          <w:numId w:val="88"/>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不同供应商的响应文件相互混装；</w:t>
      </w:r>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在符合性审查中，发现供应商存在下列情况之一的，其报价无效：</w:t>
      </w:r>
    </w:p>
    <w:p>
      <w:pPr>
        <w:numPr>
          <w:ilvl w:val="0"/>
          <w:numId w:val="89"/>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响应文件未按磋商文件要求签署、盖章的；</w:t>
      </w:r>
    </w:p>
    <w:p>
      <w:pPr>
        <w:numPr>
          <w:ilvl w:val="0"/>
          <w:numId w:val="89"/>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报价超过磋商文件中规定的预算金额或者最高限价的；</w:t>
      </w:r>
    </w:p>
    <w:p>
      <w:pPr>
        <w:numPr>
          <w:ilvl w:val="0"/>
          <w:numId w:val="89"/>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响应文件未完全满足磋商文件带“★”号的条款或指标的；</w:t>
      </w:r>
    </w:p>
    <w:p>
      <w:pPr>
        <w:numPr>
          <w:ilvl w:val="0"/>
          <w:numId w:val="89"/>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法律、法规和磋商文件规定的其他报价无效情形。</w:t>
      </w:r>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响应文件中的缺漏项将按以下方法修正：以所有分项报价中该项最高报价核算其缺漏项金额，缺漏项金额大于或等于其总报价的1%时，视为重大报价漏项，该报价作废标处理；缺漏项金额小于其总报价的1%时，磋商小组将视为其总报价已包括缺漏项内容，若其成交，有关该内容的合同价格不予调整，但评标时将对该投标作不利的评标价调整或评审分数量化。如果供应商不接受对其错误的修正，其报价将被拒绝。</w:t>
      </w:r>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在详细评标之前，磋商小组将审查每份响应文件是否实质上响应了磋商文件的要求。实质上响应的响应文件应该是与磋商文件要求的关键条款、条件和规格相符或优于，没有实质偏离的响应文件。磋商小组决定报价的响应性只根据响应文件本身的内容，而不依据外部的证据，但报价有不真实、不正确的内容时除外。</w:t>
      </w:r>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对于响应文件中不构成实质性偏差的不正规、不一致或不规则，磋商小组可以接受，但这种接受不能损害或影响任何供应商的相对排序。</w:t>
      </w:r>
    </w:p>
    <w:p>
      <w:pPr>
        <w:numPr>
          <w:ilvl w:val="1"/>
          <w:numId w:val="87"/>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未通过符合性审查的报价为无效报价，磋商小组现场告知供应商。</w:t>
      </w:r>
    </w:p>
    <w:p>
      <w:pPr>
        <w:pStyle w:val="4"/>
        <w:numPr>
          <w:ilvl w:val="0"/>
          <w:numId w:val="85"/>
        </w:numPr>
        <w:adjustRightInd w:val="0"/>
        <w:snapToGrid w:val="0"/>
        <w:spacing w:before="0" w:after="0" w:line="360" w:lineRule="auto"/>
        <w:ind w:hanging="5"/>
        <w:rPr>
          <w:rFonts w:ascii="宋体" w:hAnsi="宋体" w:cs="宋体"/>
          <w:color w:val="000000"/>
          <w:sz w:val="24"/>
          <w:lang w:val="zh-CN"/>
        </w:rPr>
      </w:pPr>
      <w:bookmarkStart w:id="381" w:name="_Toc3190"/>
      <w:bookmarkStart w:id="382" w:name="_Toc11659"/>
      <w:bookmarkStart w:id="383" w:name="_Toc6683"/>
      <w:bookmarkStart w:id="384" w:name="_Toc86851537"/>
      <w:r>
        <w:rPr>
          <w:rFonts w:hint="eastAsia" w:ascii="宋体" w:hAnsi="宋体" w:cs="宋体"/>
          <w:color w:val="000000"/>
          <w:sz w:val="24"/>
          <w:lang w:val="zh-CN"/>
        </w:rPr>
        <w:t>谈判</w:t>
      </w:r>
      <w:bookmarkEnd w:id="381"/>
      <w:bookmarkEnd w:id="382"/>
      <w:bookmarkEnd w:id="383"/>
      <w:bookmarkEnd w:id="384"/>
    </w:p>
    <w:p>
      <w:pPr>
        <w:numPr>
          <w:ilvl w:val="1"/>
          <w:numId w:val="90"/>
        </w:numPr>
        <w:tabs>
          <w:tab w:val="left" w:pos="1220"/>
        </w:tabs>
        <w:adjustRightInd w:val="0"/>
        <w:snapToGrid w:val="0"/>
        <w:spacing w:line="360" w:lineRule="auto"/>
        <w:ind w:hanging="487"/>
        <w:rPr>
          <w:rFonts w:ascii="宋体" w:hAnsi="宋体"/>
          <w:color w:val="000000"/>
          <w:sz w:val="24"/>
        </w:rPr>
      </w:pPr>
      <w:r>
        <w:rPr>
          <w:rFonts w:hint="eastAsia" w:ascii="宋体" w:hAnsi="宋体" w:cs="宋体"/>
          <w:color w:val="000000"/>
          <w:sz w:val="24"/>
          <w:lang w:val="zh-CN"/>
        </w:rPr>
        <w:t>磋商小组与报价供应商应围绕技术、商务、合同条款等内容分别进行一轮或多轮谈判。在谈判过程中，磋商小组应当严格遵循保密原则，未经报价供应商同意不得向任何人透露当事人技术、价格和其他重要信息。本项目如无特殊情况，磋商小组要求报价供应商进行第二轮报价，谈判后的第二次报价即为最后报价。</w:t>
      </w:r>
    </w:p>
    <w:p>
      <w:pPr>
        <w:numPr>
          <w:ilvl w:val="1"/>
          <w:numId w:val="90"/>
        </w:numPr>
        <w:tabs>
          <w:tab w:val="left" w:pos="1220"/>
        </w:tabs>
        <w:adjustRightInd w:val="0"/>
        <w:snapToGrid w:val="0"/>
        <w:spacing w:line="360" w:lineRule="auto"/>
        <w:ind w:hanging="487"/>
        <w:rPr>
          <w:rFonts w:ascii="宋体" w:hAnsi="宋体"/>
          <w:color w:val="000000"/>
          <w:sz w:val="24"/>
        </w:rPr>
      </w:pPr>
      <w:r>
        <w:rPr>
          <w:rFonts w:hint="eastAsia" w:ascii="宋体" w:hAnsi="宋体"/>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90"/>
        </w:numPr>
        <w:tabs>
          <w:tab w:val="left" w:pos="1220"/>
        </w:tabs>
        <w:adjustRightInd w:val="0"/>
        <w:snapToGrid w:val="0"/>
        <w:spacing w:line="360" w:lineRule="auto"/>
        <w:ind w:hanging="487"/>
        <w:rPr>
          <w:rFonts w:ascii="宋体" w:hAnsi="宋体"/>
          <w:color w:val="000000"/>
          <w:sz w:val="24"/>
        </w:rPr>
      </w:pPr>
      <w:r>
        <w:rPr>
          <w:rFonts w:hint="eastAsia" w:ascii="宋体" w:hAnsi="宋体"/>
          <w:color w:val="000000"/>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numPr>
          <w:ilvl w:val="1"/>
          <w:numId w:val="90"/>
        </w:numPr>
        <w:tabs>
          <w:tab w:val="left" w:pos="1220"/>
        </w:tabs>
        <w:adjustRightInd w:val="0"/>
        <w:snapToGrid w:val="0"/>
        <w:spacing w:line="360" w:lineRule="auto"/>
        <w:ind w:hanging="487"/>
        <w:rPr>
          <w:rFonts w:ascii="宋体" w:hAnsi="宋体"/>
          <w:color w:val="000000"/>
          <w:sz w:val="24"/>
        </w:rPr>
      </w:pPr>
      <w:r>
        <w:rPr>
          <w:rFonts w:hint="eastAsia" w:ascii="宋体" w:hAnsi="宋体"/>
          <w:color w:val="000000"/>
          <w:sz w:val="24"/>
        </w:rPr>
        <w:t>磋商小组所有成员应当集中与单一供应商分别进行磋商，并给予所有参加磋商的供应商平等的磋商机会。</w:t>
      </w:r>
    </w:p>
    <w:p>
      <w:pPr>
        <w:numPr>
          <w:ilvl w:val="1"/>
          <w:numId w:val="90"/>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宋体"/>
          <w:color w:val="000000"/>
          <w:sz w:val="24"/>
          <w:lang w:val="zh-CN"/>
        </w:rPr>
        <w:t>。</w:t>
      </w:r>
    </w:p>
    <w:p>
      <w:pPr>
        <w:pStyle w:val="4"/>
        <w:numPr>
          <w:ilvl w:val="0"/>
          <w:numId w:val="85"/>
        </w:numPr>
        <w:adjustRightInd w:val="0"/>
        <w:snapToGrid w:val="0"/>
        <w:spacing w:before="0" w:after="0" w:line="360" w:lineRule="auto"/>
        <w:ind w:hanging="5"/>
        <w:rPr>
          <w:rFonts w:ascii="宋体" w:hAnsi="宋体" w:cs="宋体"/>
          <w:color w:val="000000"/>
          <w:sz w:val="24"/>
          <w:lang w:val="zh-CN"/>
        </w:rPr>
      </w:pPr>
      <w:bookmarkStart w:id="385" w:name="_Toc14414"/>
      <w:bookmarkStart w:id="386" w:name="_Toc18321"/>
      <w:bookmarkStart w:id="387" w:name="_Toc31588"/>
      <w:bookmarkStart w:id="388" w:name="_Toc19230"/>
      <w:bookmarkStart w:id="389" w:name="_Toc86851538"/>
      <w:r>
        <w:rPr>
          <w:rFonts w:hint="eastAsia" w:ascii="宋体" w:hAnsi="宋体" w:cs="宋体"/>
          <w:color w:val="000000"/>
          <w:sz w:val="24"/>
          <w:lang w:val="zh-CN"/>
        </w:rPr>
        <w:t>响应文件的比较与评价</w:t>
      </w:r>
      <w:bookmarkEnd w:id="385"/>
      <w:bookmarkEnd w:id="386"/>
      <w:bookmarkEnd w:id="387"/>
      <w:bookmarkEnd w:id="388"/>
      <w:bookmarkEnd w:id="389"/>
    </w:p>
    <w:p>
      <w:pPr>
        <w:numPr>
          <w:ilvl w:val="1"/>
          <w:numId w:val="91"/>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响应文件的比较与评价是对通过资格性审查和符合性审查的响应文件进行评价和比较。</w:t>
      </w:r>
    </w:p>
    <w:p>
      <w:pPr>
        <w:numPr>
          <w:ilvl w:val="1"/>
          <w:numId w:val="91"/>
        </w:numPr>
        <w:tabs>
          <w:tab w:val="left" w:pos="1220"/>
        </w:tabs>
        <w:adjustRightInd w:val="0"/>
        <w:snapToGrid w:val="0"/>
        <w:spacing w:line="360" w:lineRule="auto"/>
        <w:ind w:hanging="487"/>
        <w:rPr>
          <w:rFonts w:ascii="宋体" w:hAnsi="宋体" w:cs="宋体"/>
          <w:color w:val="000000"/>
          <w:sz w:val="24"/>
          <w:lang w:val="zh-CN"/>
        </w:rPr>
      </w:pPr>
      <w:r>
        <w:rPr>
          <w:rFonts w:hint="eastAsia" w:ascii="宋体" w:hAnsi="宋体" w:cs="宋体"/>
          <w:color w:val="000000"/>
          <w:sz w:val="24"/>
          <w:lang w:val="zh-CN"/>
        </w:rPr>
        <w:t>响应文件的评价与比较是对技术、商务和价格方面的评分。评分总值最高为100分，各分项的分值分配见附表</w:t>
      </w:r>
      <w:r>
        <w:rPr>
          <w:rFonts w:hint="eastAsia" w:ascii="宋体" w:hAnsi="宋体" w:cs="宋体"/>
          <w:color w:val="000000"/>
          <w:sz w:val="24"/>
        </w:rPr>
        <w:t>3</w:t>
      </w:r>
      <w:r>
        <w:rPr>
          <w:rFonts w:hint="eastAsia" w:ascii="宋体" w:hAnsi="宋体" w:cs="宋体"/>
          <w:color w:val="000000"/>
          <w:sz w:val="24"/>
          <w:lang w:val="zh-CN"/>
        </w:rPr>
        <w:t>。</w:t>
      </w:r>
    </w:p>
    <w:p>
      <w:pPr>
        <w:numPr>
          <w:ilvl w:val="0"/>
          <w:numId w:val="92"/>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技术评审：见附表</w:t>
      </w:r>
      <w:r>
        <w:rPr>
          <w:rFonts w:hint="eastAsia" w:ascii="宋体" w:hAnsi="宋体" w:cs="宋体"/>
          <w:color w:val="000000"/>
          <w:sz w:val="24"/>
        </w:rPr>
        <w:t>4</w:t>
      </w:r>
    </w:p>
    <w:p>
      <w:pPr>
        <w:numPr>
          <w:ilvl w:val="0"/>
          <w:numId w:val="92"/>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商务评审：见附表</w:t>
      </w:r>
      <w:r>
        <w:rPr>
          <w:rFonts w:hint="eastAsia" w:ascii="宋体" w:hAnsi="宋体" w:cs="宋体"/>
          <w:color w:val="000000"/>
          <w:sz w:val="24"/>
        </w:rPr>
        <w:t>5</w:t>
      </w:r>
    </w:p>
    <w:p>
      <w:pPr>
        <w:numPr>
          <w:ilvl w:val="0"/>
          <w:numId w:val="92"/>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价格评审：磋商小组对有效供应商的最后报价进行校核、评审或作出必要的修正，并按价格评分办法计算其价格评分。</w:t>
      </w:r>
    </w:p>
    <w:p>
      <w:pPr>
        <w:numPr>
          <w:ilvl w:val="0"/>
          <w:numId w:val="93"/>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响应文件报价出现前后不一致的，按照下列规定修正：</w:t>
      </w:r>
    </w:p>
    <w:p>
      <w:pPr>
        <w:numPr>
          <w:ilvl w:val="0"/>
          <w:numId w:val="94"/>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响应文件中最后报价表内容与响应文件中相应内容不一致的，以最后报价表为准；</w:t>
      </w:r>
    </w:p>
    <w:p>
      <w:pPr>
        <w:numPr>
          <w:ilvl w:val="0"/>
          <w:numId w:val="94"/>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大写金额和小写金额不一致的，以大写金额为准；</w:t>
      </w:r>
    </w:p>
    <w:p>
      <w:pPr>
        <w:numPr>
          <w:ilvl w:val="0"/>
          <w:numId w:val="94"/>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单价金额小数点或者百分比有明显错位的，以最后报价的总价为准，并修改单价；</w:t>
      </w:r>
    </w:p>
    <w:p>
      <w:pPr>
        <w:numPr>
          <w:ilvl w:val="0"/>
          <w:numId w:val="94"/>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总价金额与按单价汇总金额不一致的，以单价金额计算结果为准。</w:t>
      </w:r>
    </w:p>
    <w:p>
      <w:pPr>
        <w:numPr>
          <w:ilvl w:val="0"/>
          <w:numId w:val="94"/>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缺漏项的处理：按本章节</w:t>
      </w:r>
      <w:r>
        <w:rPr>
          <w:rFonts w:hint="eastAsia" w:ascii="宋体" w:hAnsi="宋体" w:cs="宋体"/>
          <w:color w:val="000000"/>
          <w:sz w:val="24"/>
        </w:rPr>
        <w:t>2.4执行</w:t>
      </w:r>
      <w:r>
        <w:rPr>
          <w:rFonts w:hint="eastAsia" w:ascii="宋体" w:hAnsi="宋体" w:cs="宋体"/>
          <w:color w:val="000000"/>
          <w:sz w:val="24"/>
          <w:lang w:val="zh-CN"/>
        </w:rPr>
        <w:t>。</w:t>
      </w:r>
    </w:p>
    <w:p>
      <w:p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　　同时出现两种以上不一致的，按照上述规定的顺序修正。修正后的报价经供应商确认后产生约束力，供应商不确认的，其报价无效。</w:t>
      </w:r>
    </w:p>
    <w:p>
      <w:pPr>
        <w:numPr>
          <w:ilvl w:val="0"/>
          <w:numId w:val="93"/>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小型、微型企业和监狱企业产品价格扣除（同属于下列情形的小型、微型企业，不重复享受政策）</w:t>
      </w:r>
    </w:p>
    <w:p>
      <w:pPr>
        <w:numPr>
          <w:ilvl w:val="0"/>
          <w:numId w:val="95"/>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供应商为小型、微型企业的，其最后报价将给予</w:t>
      </w:r>
      <w:r>
        <w:rPr>
          <w:rFonts w:ascii="宋体" w:hAnsi="宋体" w:cs="宋体"/>
          <w:color w:val="000000"/>
          <w:sz w:val="24"/>
          <w:lang w:val="zh-CN"/>
        </w:rPr>
        <w:t>6</w:t>
      </w:r>
      <w:r>
        <w:rPr>
          <w:rFonts w:hint="eastAsia" w:ascii="宋体" w:hAnsi="宋体" w:cs="宋体"/>
          <w:color w:val="000000"/>
          <w:sz w:val="24"/>
          <w:lang w:val="zh-CN"/>
        </w:rPr>
        <w:t>%的价格扣除，即：评标价＝最后报价×(1－</w:t>
      </w:r>
      <w:r>
        <w:rPr>
          <w:rFonts w:ascii="宋体" w:hAnsi="宋体" w:cs="宋体"/>
          <w:color w:val="000000"/>
          <w:sz w:val="24"/>
          <w:lang w:val="zh-CN"/>
        </w:rPr>
        <w:t>6</w:t>
      </w:r>
      <w:r>
        <w:rPr>
          <w:rFonts w:hint="eastAsia" w:ascii="宋体" w:hAnsi="宋体" w:cs="宋体"/>
          <w:color w:val="000000"/>
          <w:sz w:val="24"/>
          <w:lang w:val="zh-CN"/>
        </w:rPr>
        <w:t>%）。磋商小组根据供应商提供的《中小企业声明函》，认定其是否属于小型、微型企业并享受价格扣除的优惠政策。</w:t>
      </w:r>
    </w:p>
    <w:p>
      <w:pPr>
        <w:numPr>
          <w:ilvl w:val="0"/>
          <w:numId w:val="95"/>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监狱企业视同小型、微型企业，其最后报价将给予</w:t>
      </w:r>
      <w:r>
        <w:rPr>
          <w:rFonts w:ascii="宋体" w:hAnsi="宋体" w:cs="宋体"/>
          <w:color w:val="000000"/>
          <w:sz w:val="24"/>
          <w:lang w:val="zh-CN"/>
        </w:rPr>
        <w:t>6</w:t>
      </w:r>
      <w:r>
        <w:rPr>
          <w:rFonts w:hint="eastAsia" w:ascii="宋体" w:hAnsi="宋体" w:cs="宋体"/>
          <w:color w:val="000000"/>
          <w:sz w:val="24"/>
          <w:lang w:val="zh-CN"/>
        </w:rPr>
        <w:t>%的价格扣除，即：评标价＝最后报价×(1－</w:t>
      </w:r>
      <w:r>
        <w:rPr>
          <w:rFonts w:ascii="宋体" w:hAnsi="宋体" w:cs="宋体"/>
          <w:color w:val="000000"/>
          <w:sz w:val="24"/>
          <w:lang w:val="zh-CN"/>
        </w:rPr>
        <w:t>6</w:t>
      </w:r>
      <w:r>
        <w:rPr>
          <w:rFonts w:hint="eastAsia" w:ascii="宋体" w:hAnsi="宋体" w:cs="宋体"/>
          <w:color w:val="000000"/>
          <w:sz w:val="24"/>
          <w:lang w:val="zh-CN"/>
        </w:rPr>
        <w:t>%）。磋商小组根据供应商提供的证明文件，认定其是否属于监狱企业并享受价格扣除的优惠政策。</w:t>
      </w:r>
    </w:p>
    <w:p>
      <w:pPr>
        <w:numPr>
          <w:ilvl w:val="0"/>
          <w:numId w:val="95"/>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残疾人福利性单位视同小型、微型企业，其最后报价将给予</w:t>
      </w:r>
      <w:r>
        <w:rPr>
          <w:rFonts w:ascii="宋体" w:hAnsi="宋体" w:cs="宋体"/>
          <w:color w:val="000000"/>
          <w:sz w:val="24"/>
          <w:lang w:val="zh-CN"/>
        </w:rPr>
        <w:t>6</w:t>
      </w:r>
      <w:r>
        <w:rPr>
          <w:rFonts w:hint="eastAsia" w:ascii="宋体" w:hAnsi="宋体" w:cs="宋体"/>
          <w:color w:val="000000"/>
          <w:sz w:val="24"/>
          <w:lang w:val="zh-CN"/>
        </w:rPr>
        <w:t>%的价格扣除，即：评标价＝投标报价×(1－</w:t>
      </w:r>
      <w:r>
        <w:rPr>
          <w:rFonts w:ascii="宋体" w:hAnsi="宋体" w:cs="宋体"/>
          <w:color w:val="000000"/>
          <w:sz w:val="24"/>
          <w:lang w:val="zh-CN"/>
        </w:rPr>
        <w:t>6</w:t>
      </w:r>
      <w:r>
        <w:rPr>
          <w:rFonts w:hint="eastAsia" w:ascii="宋体" w:hAnsi="宋体" w:cs="宋体"/>
          <w:color w:val="000000"/>
          <w:sz w:val="24"/>
          <w:lang w:val="zh-CN"/>
        </w:rPr>
        <w:t>%）。磋商小组根据供应商提供的《残疾人福利性单位声明函》，认定其是否属于小型、微型企业并享受价格扣除的优惠政策。</w:t>
      </w:r>
    </w:p>
    <w:p>
      <w:pPr>
        <w:numPr>
          <w:ilvl w:val="0"/>
          <w:numId w:val="92"/>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评审价的确定：按上述条款校核修正后的价格为评审价。</w:t>
      </w:r>
    </w:p>
    <w:p>
      <w:pPr>
        <w:numPr>
          <w:ilvl w:val="0"/>
          <w:numId w:val="92"/>
        </w:numPr>
        <w:tabs>
          <w:tab w:val="left" w:pos="1077"/>
          <w:tab w:val="left" w:pos="1280"/>
        </w:tabs>
        <w:adjustRightInd w:val="0"/>
        <w:snapToGrid w:val="0"/>
        <w:spacing w:line="360" w:lineRule="auto"/>
        <w:rPr>
          <w:rFonts w:ascii="宋体" w:hAnsi="宋体" w:cs="宋体"/>
          <w:color w:val="000000"/>
          <w:sz w:val="24"/>
          <w:lang w:val="zh-CN"/>
        </w:rPr>
      </w:pPr>
      <w:r>
        <w:rPr>
          <w:rFonts w:hint="eastAsia" w:ascii="宋体" w:hAnsi="宋体" w:cs="宋体"/>
          <w:color w:val="000000"/>
          <w:sz w:val="24"/>
          <w:lang w:val="zh-CN"/>
        </w:rPr>
        <w:t>计算价格评分：价格分采用低价优先法计算，即满足磋商文件要求（通过资格性审查及符合性审查）且最后磋商报价最低的报价（指修正后报价，下同）为磋商基准价，其价格分为满分。其他供应商的价格分统一按照下列公式计算：磋商报价得分=(磋商基准价/最后磋商报价)×价格分值×100。</w:t>
      </w:r>
    </w:p>
    <w:p>
      <w:pPr>
        <w:pStyle w:val="4"/>
        <w:numPr>
          <w:ilvl w:val="0"/>
          <w:numId w:val="85"/>
        </w:numPr>
        <w:adjustRightInd w:val="0"/>
        <w:snapToGrid w:val="0"/>
        <w:spacing w:before="0" w:after="0" w:line="360" w:lineRule="auto"/>
        <w:ind w:hanging="5"/>
        <w:rPr>
          <w:rFonts w:ascii="宋体" w:hAnsi="宋体" w:cs="宋体"/>
          <w:color w:val="000000"/>
          <w:sz w:val="24"/>
          <w:lang w:val="zh-CN"/>
        </w:rPr>
      </w:pPr>
      <w:bookmarkStart w:id="390" w:name="_Toc8247"/>
      <w:bookmarkStart w:id="391" w:name="_Toc5919"/>
      <w:bookmarkStart w:id="392" w:name="_Toc9084"/>
      <w:bookmarkStart w:id="393" w:name="_Toc1823"/>
      <w:bookmarkStart w:id="394" w:name="_Toc86851539"/>
      <w:r>
        <w:rPr>
          <w:rFonts w:hint="eastAsia" w:ascii="宋体" w:hAnsi="宋体" w:cs="宋体"/>
          <w:color w:val="000000"/>
          <w:sz w:val="24"/>
          <w:lang w:val="zh-CN"/>
        </w:rPr>
        <w:t>综合评分汇总及</w:t>
      </w:r>
      <w:bookmarkEnd w:id="390"/>
      <w:bookmarkEnd w:id="391"/>
      <w:bookmarkEnd w:id="392"/>
      <w:r>
        <w:rPr>
          <w:rFonts w:hint="eastAsia" w:ascii="宋体" w:hAnsi="宋体" w:cs="宋体"/>
          <w:color w:val="000000"/>
          <w:sz w:val="24"/>
          <w:lang w:val="zh-CN"/>
        </w:rPr>
        <w:t>推荐意见</w:t>
      </w:r>
      <w:bookmarkEnd w:id="393"/>
      <w:bookmarkEnd w:id="394"/>
    </w:p>
    <w:p>
      <w:pPr>
        <w:numPr>
          <w:ilvl w:val="1"/>
          <w:numId w:val="96"/>
        </w:numPr>
        <w:tabs>
          <w:tab w:val="left" w:pos="1220"/>
        </w:tabs>
        <w:adjustRightInd w:val="0"/>
        <w:snapToGrid w:val="0"/>
        <w:spacing w:line="360" w:lineRule="auto"/>
        <w:ind w:hanging="267"/>
        <w:rPr>
          <w:rFonts w:ascii="宋体" w:hAnsi="宋体" w:cs="宋体"/>
          <w:color w:val="000000"/>
          <w:sz w:val="24"/>
          <w:lang w:val="zh-CN"/>
        </w:rPr>
      </w:pPr>
      <w:r>
        <w:rPr>
          <w:rFonts w:hint="eastAsia" w:ascii="宋体" w:hAnsi="宋体" w:cs="宋体"/>
          <w:color w:val="000000"/>
          <w:sz w:val="24"/>
          <w:lang w:val="zh-CN"/>
        </w:rPr>
        <w:t>综合评分汇总</w:t>
      </w:r>
    </w:p>
    <w:p>
      <w:pPr>
        <w:adjustRightInd w:val="0"/>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磋商小组按照评标程序及评分标准的规定，磋商小组成员分别就报价人的商务因素、技术因素进行独立打分，汇总时取评委评分的算术平均值作为该供应商的商务评分、技术评分。然后，根据比价原则评出价格评分。最后，磋商小组将商务、技术和价格评分相加得出综合总得分（综合总得分分值按四舍五入原则精确到小数点后两位数）。</w:t>
      </w:r>
    </w:p>
    <w:p>
      <w:pPr>
        <w:numPr>
          <w:ilvl w:val="1"/>
          <w:numId w:val="96"/>
        </w:numPr>
        <w:tabs>
          <w:tab w:val="left" w:pos="1220"/>
        </w:tabs>
        <w:adjustRightInd w:val="0"/>
        <w:snapToGrid w:val="0"/>
        <w:spacing w:line="360" w:lineRule="auto"/>
        <w:ind w:hanging="267"/>
        <w:rPr>
          <w:rFonts w:ascii="宋体" w:hAnsi="宋体" w:cs="宋体"/>
          <w:color w:val="000000"/>
          <w:sz w:val="24"/>
          <w:lang w:val="zh-CN"/>
        </w:rPr>
      </w:pPr>
      <w:r>
        <w:rPr>
          <w:rFonts w:hint="eastAsia" w:ascii="宋体" w:hAnsi="宋体" w:cs="宋体"/>
          <w:color w:val="000000"/>
          <w:sz w:val="24"/>
          <w:lang w:val="zh-CN"/>
        </w:rPr>
        <w:t>推荐意见</w:t>
      </w:r>
    </w:p>
    <w:p>
      <w:pPr>
        <w:adjustRightInd w:val="0"/>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 xml:space="preserve">磋商小组根据综合评分情况，按照评审得分由高到低顺序推荐3名成交候选供应商。评审得分相同的，按照最后报价由低到高的顺序推荐。评审得分且最后报价相同的，按照技术指标优劣顺序推荐。综合评分相同，且评标价和技术得分均相同的，名次由磋商小组抽签决定。响应文件满足磋商文件全部实质性要求，且按照评审因素的量化指标评审得分最高的供应商为第一成交候选人，次高的供应商为第二成交候选人，第三高的供应商为第三成交候选人。 </w:t>
      </w:r>
    </w:p>
    <w:p>
      <w:pPr>
        <w:pStyle w:val="3"/>
        <w:numPr>
          <w:ilvl w:val="0"/>
          <w:numId w:val="84"/>
        </w:numPr>
        <w:adjustRightInd w:val="0"/>
        <w:snapToGrid w:val="0"/>
        <w:spacing w:before="0" w:after="0" w:line="360" w:lineRule="auto"/>
        <w:jc w:val="left"/>
        <w:rPr>
          <w:rFonts w:ascii="宋体" w:hAnsi="宋体" w:eastAsia="宋体" w:cs="宋体"/>
          <w:color w:val="000000"/>
          <w:sz w:val="24"/>
          <w:szCs w:val="24"/>
          <w:lang w:val="zh-CN"/>
        </w:rPr>
      </w:pPr>
      <w:bookmarkStart w:id="395" w:name="_Toc30220"/>
      <w:bookmarkStart w:id="396" w:name="_Toc19812"/>
      <w:bookmarkStart w:id="397" w:name="_Toc25275"/>
      <w:bookmarkStart w:id="398" w:name="_Toc5568"/>
      <w:bookmarkStart w:id="399" w:name="_Toc17517"/>
      <w:bookmarkStart w:id="400" w:name="_Toc31250"/>
      <w:bookmarkStart w:id="401" w:name="_Toc31019"/>
      <w:bookmarkStart w:id="402" w:name="_Toc86851540"/>
      <w:r>
        <w:rPr>
          <w:rFonts w:hint="eastAsia" w:ascii="宋体" w:hAnsi="宋体" w:eastAsia="宋体" w:cs="宋体"/>
          <w:color w:val="000000"/>
          <w:sz w:val="24"/>
          <w:szCs w:val="24"/>
          <w:lang w:val="zh-CN"/>
        </w:rPr>
        <w:t>附表</w:t>
      </w:r>
      <w:bookmarkEnd w:id="395"/>
      <w:bookmarkEnd w:id="396"/>
      <w:bookmarkEnd w:id="397"/>
      <w:bookmarkEnd w:id="398"/>
      <w:bookmarkEnd w:id="399"/>
      <w:bookmarkEnd w:id="400"/>
      <w:bookmarkEnd w:id="401"/>
      <w:bookmarkEnd w:id="402"/>
    </w:p>
    <w:p>
      <w:pPr>
        <w:tabs>
          <w:tab w:val="left" w:pos="1220"/>
        </w:tabs>
        <w:adjustRightInd w:val="0"/>
        <w:snapToGrid w:val="0"/>
        <w:spacing w:line="360" w:lineRule="auto"/>
        <w:ind w:left="640" w:firstLine="499" w:firstLineChars="208"/>
        <w:rPr>
          <w:rFonts w:ascii="宋体" w:hAnsi="宋体" w:cs="宋体"/>
          <w:color w:val="000000"/>
          <w:sz w:val="24"/>
          <w:lang w:val="zh-CN"/>
        </w:rPr>
      </w:pPr>
      <w:r>
        <w:rPr>
          <w:rFonts w:hint="eastAsia" w:ascii="宋体" w:hAnsi="宋体" w:cs="宋体"/>
          <w:color w:val="000000"/>
          <w:sz w:val="24"/>
          <w:lang w:val="zh-CN"/>
        </w:rPr>
        <w:t>附表</w:t>
      </w:r>
      <w:r>
        <w:rPr>
          <w:rFonts w:hint="eastAsia" w:ascii="宋体" w:hAnsi="宋体" w:cs="宋体"/>
          <w:color w:val="000000"/>
          <w:sz w:val="24"/>
        </w:rPr>
        <w:t>1：</w:t>
      </w:r>
      <w:r>
        <w:rPr>
          <w:rFonts w:hint="eastAsia" w:ascii="宋体" w:hAnsi="宋体" w:cs="宋体"/>
          <w:color w:val="000000"/>
          <w:sz w:val="24"/>
          <w:lang w:val="zh-CN"/>
        </w:rPr>
        <w:t>资格性审查表</w:t>
      </w:r>
    </w:p>
    <w:p>
      <w:pPr>
        <w:tabs>
          <w:tab w:val="left" w:pos="1220"/>
        </w:tabs>
        <w:adjustRightInd w:val="0"/>
        <w:snapToGrid w:val="0"/>
        <w:spacing w:line="360" w:lineRule="auto"/>
        <w:ind w:left="640" w:firstLine="499" w:firstLineChars="208"/>
        <w:rPr>
          <w:rFonts w:ascii="宋体" w:hAnsi="宋体" w:cs="宋体"/>
          <w:b/>
          <w:color w:val="000000"/>
          <w:sz w:val="24"/>
        </w:rPr>
      </w:pPr>
      <w:r>
        <w:rPr>
          <w:rFonts w:hint="eastAsia" w:ascii="宋体" w:hAnsi="宋体" w:cs="宋体"/>
          <w:color w:val="000000"/>
          <w:sz w:val="24"/>
          <w:lang w:val="zh-CN"/>
        </w:rPr>
        <w:t>附表</w:t>
      </w:r>
      <w:r>
        <w:rPr>
          <w:rFonts w:hint="eastAsia" w:ascii="宋体" w:hAnsi="宋体" w:cs="宋体"/>
          <w:color w:val="000000"/>
          <w:sz w:val="24"/>
        </w:rPr>
        <w:t>2: 符合</w:t>
      </w:r>
      <w:r>
        <w:rPr>
          <w:rFonts w:hint="eastAsia" w:ascii="宋体" w:hAnsi="宋体" w:cs="宋体"/>
          <w:color w:val="000000"/>
          <w:sz w:val="24"/>
          <w:lang w:val="zh-CN"/>
        </w:rPr>
        <w:t>性审查表</w:t>
      </w:r>
    </w:p>
    <w:p>
      <w:pPr>
        <w:tabs>
          <w:tab w:val="left" w:pos="1220"/>
        </w:tabs>
        <w:adjustRightInd w:val="0"/>
        <w:snapToGrid w:val="0"/>
        <w:spacing w:line="360" w:lineRule="auto"/>
        <w:ind w:left="640" w:firstLine="499" w:firstLineChars="208"/>
        <w:rPr>
          <w:rFonts w:ascii="宋体" w:hAnsi="宋体" w:cs="宋体"/>
          <w:color w:val="000000"/>
          <w:sz w:val="24"/>
          <w:lang w:val="zh-CN"/>
        </w:rPr>
      </w:pPr>
      <w:r>
        <w:rPr>
          <w:rFonts w:hint="eastAsia" w:ascii="宋体" w:hAnsi="宋体" w:cs="宋体"/>
          <w:color w:val="000000"/>
          <w:sz w:val="24"/>
          <w:lang w:val="zh-CN"/>
        </w:rPr>
        <w:t>附表3：技术、商务及价格分值分配</w:t>
      </w:r>
    </w:p>
    <w:p>
      <w:pPr>
        <w:tabs>
          <w:tab w:val="left" w:pos="1220"/>
        </w:tabs>
        <w:adjustRightInd w:val="0"/>
        <w:snapToGrid w:val="0"/>
        <w:spacing w:line="360" w:lineRule="auto"/>
        <w:ind w:left="640" w:firstLine="499" w:firstLineChars="208"/>
        <w:rPr>
          <w:rFonts w:ascii="宋体" w:hAnsi="宋体" w:cs="宋体"/>
          <w:color w:val="000000"/>
          <w:sz w:val="24"/>
          <w:lang w:val="zh-CN"/>
        </w:rPr>
      </w:pPr>
      <w:r>
        <w:rPr>
          <w:rFonts w:hint="eastAsia" w:ascii="宋体" w:hAnsi="宋体" w:cs="宋体"/>
          <w:color w:val="000000"/>
          <w:sz w:val="24"/>
          <w:lang w:val="zh-CN"/>
        </w:rPr>
        <w:t>附表</w:t>
      </w:r>
      <w:r>
        <w:rPr>
          <w:rFonts w:hint="eastAsia" w:ascii="宋体" w:hAnsi="宋体" w:cs="宋体"/>
          <w:color w:val="000000"/>
          <w:sz w:val="24"/>
        </w:rPr>
        <w:t>4：</w:t>
      </w:r>
      <w:r>
        <w:rPr>
          <w:rFonts w:hint="eastAsia" w:ascii="宋体" w:hAnsi="宋体" w:cs="宋体"/>
          <w:color w:val="000000"/>
          <w:sz w:val="24"/>
          <w:lang w:val="zh-CN"/>
        </w:rPr>
        <w:t>商务评审表</w:t>
      </w:r>
    </w:p>
    <w:p>
      <w:pPr>
        <w:tabs>
          <w:tab w:val="left" w:pos="1220"/>
        </w:tabs>
        <w:adjustRightInd w:val="0"/>
        <w:snapToGrid w:val="0"/>
        <w:spacing w:line="360" w:lineRule="auto"/>
        <w:ind w:left="640" w:firstLine="499" w:firstLineChars="208"/>
        <w:rPr>
          <w:rFonts w:ascii="宋体" w:hAnsi="宋体" w:cs="宋体"/>
          <w:color w:val="000000"/>
          <w:sz w:val="24"/>
          <w:lang w:val="zh-CN"/>
        </w:rPr>
      </w:pPr>
      <w:r>
        <w:rPr>
          <w:rFonts w:hint="eastAsia" w:ascii="宋体" w:hAnsi="宋体" w:cs="宋体"/>
          <w:color w:val="000000"/>
          <w:sz w:val="24"/>
          <w:lang w:val="zh-CN"/>
        </w:rPr>
        <w:t>附表</w:t>
      </w:r>
      <w:r>
        <w:rPr>
          <w:rFonts w:hint="eastAsia" w:ascii="宋体" w:hAnsi="宋体" w:cs="宋体"/>
          <w:color w:val="000000"/>
          <w:sz w:val="24"/>
        </w:rPr>
        <w:t>5：</w:t>
      </w:r>
      <w:r>
        <w:rPr>
          <w:rFonts w:hint="eastAsia" w:ascii="宋体" w:hAnsi="宋体" w:cs="宋体"/>
          <w:color w:val="000000"/>
          <w:sz w:val="24"/>
          <w:lang w:val="zh-CN"/>
        </w:rPr>
        <w:t>技术评审表</w:t>
      </w:r>
    </w:p>
    <w:p>
      <w:pPr>
        <w:tabs>
          <w:tab w:val="left" w:pos="1220"/>
        </w:tabs>
        <w:adjustRightInd w:val="0"/>
        <w:snapToGrid w:val="0"/>
        <w:spacing w:line="360" w:lineRule="auto"/>
        <w:ind w:left="640" w:firstLine="499" w:firstLineChars="208"/>
        <w:rPr>
          <w:color w:val="000000"/>
          <w:sz w:val="24"/>
        </w:rPr>
      </w:pPr>
      <w:r>
        <w:rPr>
          <w:rFonts w:hint="eastAsia" w:ascii="宋体" w:hAnsi="宋体" w:cs="宋体"/>
          <w:color w:val="000000"/>
          <w:sz w:val="24"/>
          <w:lang w:val="zh-CN"/>
        </w:rPr>
        <w:t>附表</w:t>
      </w:r>
      <w:r>
        <w:rPr>
          <w:rFonts w:hint="eastAsia" w:ascii="宋体" w:hAnsi="宋体" w:cs="宋体"/>
          <w:color w:val="000000"/>
          <w:sz w:val="24"/>
        </w:rPr>
        <w:t>6：</w:t>
      </w:r>
      <w:r>
        <w:rPr>
          <w:rFonts w:hint="eastAsia" w:ascii="宋体" w:hAnsi="宋体" w:cs="宋体"/>
          <w:color w:val="000000"/>
          <w:sz w:val="24"/>
          <w:lang w:val="zh-CN"/>
        </w:rPr>
        <w:t>价格评审表</w:t>
      </w:r>
      <w:bookmarkStart w:id="403" w:name="_Toc24828"/>
      <w:bookmarkStart w:id="404" w:name="_Toc28985"/>
      <w:bookmarkStart w:id="405" w:name="_Toc525057050"/>
      <w:bookmarkStart w:id="406" w:name="_Toc22459"/>
      <w:r>
        <w:rPr>
          <w:color w:val="000000"/>
          <w:sz w:val="24"/>
        </w:rPr>
        <w:br w:type="page"/>
      </w:r>
      <w:r>
        <w:rPr>
          <w:rFonts w:hint="eastAsia"/>
          <w:color w:val="000000"/>
          <w:sz w:val="24"/>
        </w:rPr>
        <w:t>附表1：资格性审查表</w:t>
      </w:r>
      <w:bookmarkEnd w:id="403"/>
      <w:bookmarkEnd w:id="404"/>
      <w:bookmarkEnd w:id="405"/>
      <w:bookmarkEnd w:id="406"/>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48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trPr>
        <w:tc>
          <w:tcPr>
            <w:tcW w:w="884" w:type="dxa"/>
            <w:shd w:val="clear" w:color="auto" w:fill="D7D7D7"/>
            <w:vAlign w:val="center"/>
          </w:tcPr>
          <w:p>
            <w:pPr>
              <w:spacing w:line="440" w:lineRule="exact"/>
              <w:jc w:val="center"/>
              <w:rPr>
                <w:rFonts w:ascii="宋体" w:hAnsi="宋体"/>
                <w:b/>
                <w:color w:val="000000"/>
                <w:sz w:val="24"/>
              </w:rPr>
            </w:pPr>
            <w:r>
              <w:rPr>
                <w:rFonts w:hint="eastAsia" w:ascii="宋体" w:hAnsi="宋体"/>
                <w:b/>
                <w:color w:val="000000"/>
                <w:sz w:val="24"/>
              </w:rPr>
              <w:t>序号</w:t>
            </w:r>
          </w:p>
        </w:tc>
        <w:tc>
          <w:tcPr>
            <w:tcW w:w="2485" w:type="dxa"/>
            <w:shd w:val="clear" w:color="auto" w:fill="D7D7D7"/>
            <w:vAlign w:val="center"/>
          </w:tcPr>
          <w:p>
            <w:pPr>
              <w:spacing w:line="440" w:lineRule="exact"/>
              <w:jc w:val="center"/>
              <w:rPr>
                <w:rFonts w:ascii="宋体" w:hAnsi="宋体"/>
                <w:b/>
                <w:color w:val="000000"/>
                <w:sz w:val="24"/>
              </w:rPr>
            </w:pPr>
            <w:r>
              <w:rPr>
                <w:rFonts w:hint="eastAsia" w:ascii="宋体" w:hAnsi="宋体"/>
                <w:b/>
                <w:color w:val="000000"/>
                <w:sz w:val="24"/>
              </w:rPr>
              <w:t>审查内容</w:t>
            </w:r>
          </w:p>
        </w:tc>
        <w:tc>
          <w:tcPr>
            <w:tcW w:w="5811" w:type="dxa"/>
            <w:shd w:val="clear" w:color="auto" w:fill="D7D7D7"/>
            <w:vAlign w:val="center"/>
          </w:tcPr>
          <w:p>
            <w:pPr>
              <w:spacing w:line="440" w:lineRule="exact"/>
              <w:jc w:val="center"/>
              <w:rPr>
                <w:rFonts w:ascii="宋体" w:hAnsi="宋体"/>
                <w:b/>
                <w:color w:val="000000"/>
                <w:sz w:val="24"/>
              </w:rPr>
            </w:pPr>
            <w:r>
              <w:rPr>
                <w:rFonts w:hint="eastAsia" w:ascii="宋体" w:hAnsi="宋体"/>
                <w:b/>
                <w:color w:val="000000"/>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ascii="宋体" w:hAnsi="宋体"/>
                <w:color w:val="000000"/>
                <w:sz w:val="24"/>
              </w:rPr>
            </w:pPr>
            <w:r>
              <w:rPr>
                <w:rFonts w:hint="eastAsia" w:ascii="宋体" w:hAnsi="宋体"/>
                <w:color w:val="000000"/>
                <w:sz w:val="24"/>
              </w:rPr>
              <w:t>1</w:t>
            </w:r>
          </w:p>
        </w:tc>
        <w:tc>
          <w:tcPr>
            <w:tcW w:w="2485" w:type="dxa"/>
            <w:vAlign w:val="center"/>
          </w:tcPr>
          <w:p>
            <w:pPr>
              <w:spacing w:line="440" w:lineRule="exact"/>
              <w:jc w:val="left"/>
              <w:rPr>
                <w:rFonts w:ascii="宋体" w:hAnsi="宋体" w:cs="Tahoma"/>
                <w:color w:val="000000"/>
                <w:sz w:val="24"/>
              </w:rPr>
            </w:pPr>
            <w:r>
              <w:rPr>
                <w:rFonts w:hint="eastAsia" w:ascii="宋体" w:hAnsi="宋体" w:cs="宋体"/>
                <w:color w:val="000000"/>
                <w:sz w:val="24"/>
              </w:rPr>
              <w:t>具有独立承担民事责任能力的在中华人民共和国境内注册的法人或其他组织</w:t>
            </w:r>
          </w:p>
        </w:tc>
        <w:tc>
          <w:tcPr>
            <w:tcW w:w="5811" w:type="dxa"/>
            <w:vAlign w:val="center"/>
          </w:tcPr>
          <w:p>
            <w:pPr>
              <w:spacing w:line="440" w:lineRule="exact"/>
              <w:jc w:val="left"/>
              <w:rPr>
                <w:rFonts w:ascii="宋体" w:hAnsi="宋体" w:cs="宋体"/>
                <w:color w:val="000000"/>
                <w:sz w:val="24"/>
              </w:rPr>
            </w:pPr>
            <w:r>
              <w:rPr>
                <w:rFonts w:hint="eastAsia" w:ascii="宋体" w:hAnsi="宋体" w:cs="宋体"/>
                <w:color w:val="000000"/>
                <w:sz w:val="24"/>
              </w:rPr>
              <w:t>提供营业执照（或事业单位法人证书，或社会团体法人登记证书，或执业许可证）复印件。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ascii="宋体" w:hAnsi="宋体"/>
                <w:color w:val="000000"/>
                <w:sz w:val="24"/>
              </w:rPr>
            </w:pPr>
            <w:r>
              <w:rPr>
                <w:rFonts w:hint="eastAsia" w:ascii="宋体" w:hAnsi="宋体"/>
                <w:color w:val="000000"/>
                <w:sz w:val="24"/>
              </w:rPr>
              <w:t>2</w:t>
            </w:r>
          </w:p>
        </w:tc>
        <w:tc>
          <w:tcPr>
            <w:tcW w:w="2485" w:type="dxa"/>
            <w:vAlign w:val="center"/>
          </w:tcPr>
          <w:p>
            <w:pPr>
              <w:spacing w:line="440" w:lineRule="exact"/>
              <w:jc w:val="left"/>
              <w:rPr>
                <w:rFonts w:ascii="宋体" w:hAnsi="宋体" w:cs="宋体"/>
                <w:color w:val="000000"/>
                <w:sz w:val="24"/>
              </w:rPr>
            </w:pPr>
            <w:r>
              <w:rPr>
                <w:rFonts w:hint="eastAsia" w:ascii="宋体" w:hAnsi="宋体" w:cs="宋体"/>
                <w:color w:val="000000"/>
                <w:sz w:val="24"/>
              </w:rPr>
              <w:t>有依法缴纳税收和社会保障资金的良好记录</w:t>
            </w:r>
          </w:p>
        </w:tc>
        <w:tc>
          <w:tcPr>
            <w:tcW w:w="5811" w:type="dxa"/>
            <w:vAlign w:val="center"/>
          </w:tcPr>
          <w:p>
            <w:pPr>
              <w:spacing w:line="440" w:lineRule="exact"/>
              <w:jc w:val="left"/>
              <w:rPr>
                <w:rFonts w:ascii="宋体" w:hAnsi="宋体" w:cs="宋体"/>
                <w:color w:val="000000"/>
                <w:sz w:val="24"/>
              </w:rPr>
            </w:pPr>
            <w:r>
              <w:rPr>
                <w:rFonts w:hint="eastAsia" w:ascii="宋体" w:hAnsi="宋体" w:cs="宋体"/>
                <w:color w:val="000000"/>
                <w:sz w:val="24"/>
              </w:rPr>
              <w:t>提供近半年任意一个月的依法缴纳税收的证明（纳税凭证）复印件及依法缴纳社会保险的证明（缴费凭证）复印件，如依法免税的或不需要缴纳社会保障资金的，应提供相应文件证明其依法免税或提供相应文件证明其依法不需要缴纳社会保障资金，若已对接“粤省事”“粤商通”“粤信签”等系统的，可提供通过系统提取的相关信息证明文件；无法通过系统提取相关信息的，可提供书面承诺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ascii="宋体" w:hAnsi="宋体"/>
                <w:color w:val="000000"/>
                <w:sz w:val="24"/>
              </w:rPr>
            </w:pPr>
            <w:r>
              <w:rPr>
                <w:rFonts w:hint="eastAsia" w:ascii="宋体" w:hAnsi="宋体"/>
                <w:color w:val="000000"/>
                <w:sz w:val="24"/>
              </w:rPr>
              <w:t>3</w:t>
            </w:r>
          </w:p>
        </w:tc>
        <w:tc>
          <w:tcPr>
            <w:tcW w:w="2485" w:type="dxa"/>
            <w:vAlign w:val="center"/>
          </w:tcPr>
          <w:p>
            <w:pPr>
              <w:spacing w:line="440" w:lineRule="exact"/>
              <w:jc w:val="left"/>
              <w:rPr>
                <w:rFonts w:hint="eastAsia" w:ascii="宋体" w:hAnsi="宋体" w:cs="宋体"/>
                <w:b/>
                <w:bCs/>
                <w:color w:val="000000"/>
                <w:sz w:val="24"/>
              </w:rPr>
            </w:pPr>
            <w:r>
              <w:rPr>
                <w:rFonts w:hint="eastAsia" w:ascii="宋体" w:hAnsi="宋体" w:cs="宋体"/>
                <w:color w:val="000000"/>
                <w:sz w:val="24"/>
              </w:rPr>
              <w:t>具有良好的商业信誉和健全的财务会计制度</w:t>
            </w:r>
          </w:p>
        </w:tc>
        <w:tc>
          <w:tcPr>
            <w:tcW w:w="5811" w:type="dxa"/>
            <w:vAlign w:val="center"/>
          </w:tcPr>
          <w:p>
            <w:pPr>
              <w:spacing w:line="440" w:lineRule="exact"/>
              <w:jc w:val="left"/>
              <w:rPr>
                <w:rFonts w:hint="eastAsia" w:ascii="宋体" w:hAnsi="宋体" w:cs="宋体"/>
                <w:b/>
                <w:bCs/>
                <w:color w:val="000000"/>
                <w:sz w:val="24"/>
              </w:rPr>
            </w:pPr>
            <w:r>
              <w:rPr>
                <w:rFonts w:hint="eastAsia" w:ascii="宋体" w:hAnsi="宋体" w:cs="宋体"/>
                <w:color w:val="000000"/>
                <w:sz w:val="24"/>
              </w:rPr>
              <w:t>提供2020年度财务状况报告复印件（如成立不满一年的企业，提供成立至今的月或季度财务状况报告复印件），或银行出具的资信证明材料复印件；若已对接“粤省事”“粤商通”“粤信签”等系统的，可提供通过系统提取的相关信息证明文件；无法通过系统提取相关信息的，可提供书面承诺声明函（提供《关于资格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ascii="宋体" w:hAnsi="宋体"/>
                <w:color w:val="000000"/>
                <w:sz w:val="24"/>
              </w:rPr>
            </w:pPr>
            <w:r>
              <w:rPr>
                <w:rFonts w:hint="eastAsia" w:ascii="宋体" w:hAnsi="宋体"/>
                <w:color w:val="000000"/>
                <w:sz w:val="24"/>
              </w:rPr>
              <w:t>4</w:t>
            </w:r>
          </w:p>
        </w:tc>
        <w:tc>
          <w:tcPr>
            <w:tcW w:w="2485" w:type="dxa"/>
            <w:vAlign w:val="center"/>
          </w:tcPr>
          <w:p>
            <w:pPr>
              <w:spacing w:line="440" w:lineRule="exact"/>
              <w:jc w:val="left"/>
              <w:rPr>
                <w:rFonts w:ascii="宋体" w:hAnsi="宋体"/>
                <w:color w:val="000000"/>
                <w:sz w:val="24"/>
              </w:rPr>
            </w:pPr>
            <w:r>
              <w:rPr>
                <w:rFonts w:hint="eastAsia" w:ascii="宋体" w:hAnsi="宋体" w:cs="宋体"/>
                <w:color w:val="000000"/>
                <w:sz w:val="24"/>
              </w:rPr>
              <w:t>履行合同所必须的设备和专业技术能力</w:t>
            </w:r>
          </w:p>
        </w:tc>
        <w:tc>
          <w:tcPr>
            <w:tcW w:w="5811" w:type="dxa"/>
            <w:vAlign w:val="center"/>
          </w:tcPr>
          <w:p>
            <w:pPr>
              <w:spacing w:line="440" w:lineRule="exact"/>
              <w:jc w:val="left"/>
              <w:rPr>
                <w:rFonts w:ascii="宋体" w:hAnsi="宋体" w:cs="宋体"/>
                <w:color w:val="000000"/>
                <w:sz w:val="24"/>
              </w:rPr>
            </w:pPr>
            <w:r>
              <w:rPr>
                <w:rFonts w:hint="eastAsia" w:ascii="宋体" w:hAnsi="宋体" w:cs="宋体"/>
                <w:color w:val="000000"/>
                <w:sz w:val="24"/>
              </w:rPr>
              <w:t>提供履行合同所必需的设备和专业技术能力的书面声明（提供《关于资格的声明函》）。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4" w:type="dxa"/>
            <w:vAlign w:val="center"/>
          </w:tcPr>
          <w:p>
            <w:pPr>
              <w:spacing w:line="440" w:lineRule="exact"/>
              <w:jc w:val="center"/>
              <w:rPr>
                <w:rFonts w:hint="eastAsia" w:ascii="宋体" w:hAnsi="宋体"/>
                <w:color w:val="000000"/>
                <w:sz w:val="24"/>
              </w:rPr>
            </w:pPr>
            <w:r>
              <w:rPr>
                <w:rFonts w:hint="eastAsia" w:ascii="宋体" w:hAnsi="宋体"/>
                <w:color w:val="000000"/>
                <w:sz w:val="24"/>
              </w:rPr>
              <w:t>5</w:t>
            </w:r>
          </w:p>
        </w:tc>
        <w:tc>
          <w:tcPr>
            <w:tcW w:w="2485" w:type="dxa"/>
            <w:vAlign w:val="center"/>
          </w:tcPr>
          <w:p>
            <w:pPr>
              <w:spacing w:line="440" w:lineRule="exact"/>
              <w:rPr>
                <w:rFonts w:ascii="宋体" w:hAnsi="宋体"/>
                <w:color w:val="000000"/>
                <w:sz w:val="24"/>
              </w:rPr>
            </w:pPr>
            <w:r>
              <w:rPr>
                <w:rFonts w:hint="eastAsia" w:ascii="宋体" w:hAnsi="宋体" w:cs="宋体"/>
                <w:color w:val="000000"/>
                <w:sz w:val="24"/>
              </w:rPr>
              <w:t>参加采购活动前3年内，在经营活动中没有重大违法记录</w:t>
            </w:r>
          </w:p>
        </w:tc>
        <w:tc>
          <w:tcPr>
            <w:tcW w:w="5811" w:type="dxa"/>
            <w:vAlign w:val="center"/>
          </w:tcPr>
          <w:p>
            <w:pPr>
              <w:spacing w:line="440" w:lineRule="exact"/>
              <w:rPr>
                <w:rFonts w:ascii="宋体" w:hAnsi="宋体" w:cs="宋体"/>
                <w:color w:val="000000"/>
                <w:sz w:val="24"/>
              </w:rPr>
            </w:pPr>
            <w:r>
              <w:rPr>
                <w:rFonts w:hint="eastAsia" w:ascii="宋体" w:hAnsi="宋体" w:cs="宋体"/>
                <w:color w:val="000000"/>
                <w:sz w:val="24"/>
              </w:rPr>
              <w:t>提供参加政府采购活动前3年内在经营活动中没有重大违法记录的书面声明（提供《关于资格的声明函》）。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ascii="宋体" w:hAnsi="宋体"/>
                <w:color w:val="000000"/>
                <w:sz w:val="24"/>
              </w:rPr>
            </w:pPr>
            <w:r>
              <w:rPr>
                <w:rFonts w:hint="eastAsia" w:ascii="宋体" w:hAnsi="宋体"/>
                <w:color w:val="000000"/>
                <w:sz w:val="24"/>
              </w:rPr>
              <w:t>6</w:t>
            </w:r>
          </w:p>
        </w:tc>
        <w:tc>
          <w:tcPr>
            <w:tcW w:w="2485" w:type="dxa"/>
            <w:vAlign w:val="center"/>
          </w:tcPr>
          <w:p>
            <w:pPr>
              <w:spacing w:line="440" w:lineRule="exact"/>
              <w:rPr>
                <w:rFonts w:ascii="宋体" w:hAnsi="宋体"/>
                <w:color w:val="000000"/>
                <w:sz w:val="24"/>
              </w:rPr>
            </w:pPr>
            <w:r>
              <w:rPr>
                <w:rFonts w:hint="eastAsia" w:ascii="宋体" w:hAnsi="宋体" w:cs="Tahoma"/>
                <w:sz w:val="24"/>
              </w:rPr>
              <w:t>供应商必须符合法律、行政法规规定的其他条件</w:t>
            </w:r>
          </w:p>
        </w:tc>
        <w:tc>
          <w:tcPr>
            <w:tcW w:w="5811" w:type="dxa"/>
            <w:vAlign w:val="center"/>
          </w:tcPr>
          <w:p>
            <w:pPr>
              <w:spacing w:line="440" w:lineRule="exact"/>
              <w:rPr>
                <w:rFonts w:ascii="宋体" w:hAnsi="宋体" w:cs="宋体"/>
                <w:color w:val="000000"/>
                <w:sz w:val="24"/>
              </w:rPr>
            </w:pPr>
            <w:r>
              <w:rPr>
                <w:rFonts w:hint="eastAsia" w:ascii="宋体" w:hAnsi="宋体" w:cs="Tahoma"/>
                <w:sz w:val="24"/>
              </w:rPr>
              <w:t>为采购项目提供整体设计、规范编制或者项目管理、监理、检测等服务的供应商，不得再参加本采购项目投标；单位负责人为同一人或者存在直接控股、管理关系的不同供应商，不得同时参加本采购项目的投标，提供书面声明</w:t>
            </w:r>
            <w:r>
              <w:rPr>
                <w:rFonts w:hint="eastAsia" w:ascii="宋体" w:hAnsi="宋体" w:cs="宋体"/>
                <w:color w:val="000000"/>
                <w:sz w:val="24"/>
              </w:rPr>
              <w:t>（提供《关于资格的声明函》）</w:t>
            </w:r>
            <w:r>
              <w:rPr>
                <w:rFonts w:hint="eastAsia" w:ascii="宋体" w:hAnsi="宋体" w:cs="Tahom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ascii="宋体" w:hAnsi="宋体"/>
                <w:color w:val="000000"/>
                <w:sz w:val="24"/>
              </w:rPr>
            </w:pPr>
            <w:r>
              <w:rPr>
                <w:rFonts w:ascii="宋体" w:hAnsi="宋体"/>
                <w:color w:val="000000"/>
                <w:sz w:val="24"/>
              </w:rPr>
              <w:t>7</w:t>
            </w:r>
          </w:p>
        </w:tc>
        <w:tc>
          <w:tcPr>
            <w:tcW w:w="2485" w:type="dxa"/>
            <w:vAlign w:val="center"/>
          </w:tcPr>
          <w:p>
            <w:pPr>
              <w:wordWrap w:val="0"/>
              <w:spacing w:line="440" w:lineRule="exact"/>
              <w:jc w:val="left"/>
              <w:rPr>
                <w:rFonts w:hint="eastAsia" w:ascii="宋体" w:hAnsi="宋体" w:cs="宋体"/>
                <w:color w:val="000000"/>
                <w:sz w:val="24"/>
              </w:rPr>
            </w:pPr>
            <w:r>
              <w:rPr>
                <w:rFonts w:hint="eastAsia" w:ascii="宋体" w:hAnsi="宋体"/>
                <w:color w:val="000000"/>
                <w:sz w:val="24"/>
              </w:rPr>
              <w:t>信用记录</w:t>
            </w:r>
          </w:p>
        </w:tc>
        <w:tc>
          <w:tcPr>
            <w:tcW w:w="5811" w:type="dxa"/>
            <w:vAlign w:val="center"/>
          </w:tcPr>
          <w:p>
            <w:pPr>
              <w:wordWrap w:val="0"/>
              <w:spacing w:line="440" w:lineRule="exact"/>
              <w:jc w:val="left"/>
              <w:rPr>
                <w:rFonts w:ascii="宋体" w:hAnsi="宋体" w:cs="宋体"/>
                <w:color w:val="000000"/>
                <w:sz w:val="24"/>
              </w:rPr>
            </w:pPr>
            <w:r>
              <w:rPr>
                <w:rFonts w:hint="eastAsia" w:ascii="宋体" w:hAnsi="宋体"/>
                <w:color w:val="000000"/>
                <w:sz w:val="24"/>
              </w:rPr>
              <w:t>以采购代理机构于投标截止日当天在“信用中国”网站（www.creditchina.gov.cn）及中国政府采购网（http://www.ccgp.gov.cn/）查询结果为准，如相关失信记录已失效，供应商需提供相关证明资料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ascii="宋体" w:hAnsi="宋体"/>
                <w:color w:val="000000"/>
                <w:sz w:val="24"/>
              </w:rPr>
            </w:pPr>
            <w:r>
              <w:rPr>
                <w:rFonts w:ascii="宋体" w:hAnsi="宋体"/>
                <w:color w:val="000000"/>
                <w:sz w:val="24"/>
              </w:rPr>
              <w:t>8</w:t>
            </w:r>
          </w:p>
        </w:tc>
        <w:tc>
          <w:tcPr>
            <w:tcW w:w="2485" w:type="dxa"/>
            <w:vAlign w:val="center"/>
          </w:tcPr>
          <w:p>
            <w:pPr>
              <w:wordWrap w:val="0"/>
              <w:spacing w:line="440" w:lineRule="exact"/>
              <w:jc w:val="left"/>
              <w:rPr>
                <w:rFonts w:hint="eastAsia" w:ascii="宋体" w:hAnsi="宋体"/>
                <w:color w:val="000000"/>
                <w:sz w:val="24"/>
              </w:rPr>
            </w:pPr>
            <w:r>
              <w:rPr>
                <w:rFonts w:hint="eastAsia" w:ascii="宋体" w:hAnsi="宋体"/>
                <w:color w:val="000000"/>
                <w:sz w:val="24"/>
              </w:rPr>
              <w:t>本项目的特定资格要求</w:t>
            </w:r>
          </w:p>
        </w:tc>
        <w:tc>
          <w:tcPr>
            <w:tcW w:w="5811" w:type="dxa"/>
            <w:vAlign w:val="center"/>
          </w:tcPr>
          <w:p>
            <w:pPr>
              <w:wordWrap w:val="0"/>
              <w:spacing w:line="440" w:lineRule="exact"/>
              <w:jc w:val="left"/>
              <w:rPr>
                <w:rFonts w:hint="eastAsia" w:ascii="宋体" w:hAnsi="宋体"/>
                <w:color w:val="000000"/>
                <w:sz w:val="24"/>
              </w:rPr>
            </w:pPr>
            <w:r>
              <w:rPr>
                <w:rFonts w:hint="eastAsia" w:ascii="宋体" w:hAnsi="宋体" w:cs="Helvetica"/>
                <w:color w:val="222222"/>
                <w:kern w:val="0"/>
                <w:sz w:val="24"/>
              </w:rPr>
              <w:t>具有建设行政主管部门颁发的</w:t>
            </w:r>
            <w:r>
              <w:rPr>
                <w:rFonts w:hint="eastAsia" w:ascii="宋体" w:hAnsi="宋体" w:cs="宋体"/>
                <w:sz w:val="24"/>
              </w:rPr>
              <w:t>建筑机电安装工程专业承包叁级（或以上）</w:t>
            </w:r>
            <w:r>
              <w:rPr>
                <w:rFonts w:hint="eastAsia" w:ascii="宋体" w:hAnsi="宋体" w:cs="Helvetica"/>
                <w:color w:val="222222"/>
                <w:kern w:val="0"/>
                <w:sz w:val="24"/>
              </w:rPr>
              <w:t>资质证书及安全生产许可证，</w:t>
            </w:r>
            <w:r>
              <w:rPr>
                <w:rFonts w:hint="eastAsia" w:ascii="宋体" w:hAnsi="宋体"/>
                <w:color w:val="000000"/>
                <w:sz w:val="24"/>
              </w:rPr>
              <w:t>提供相关证书证明资料</w:t>
            </w:r>
            <w:bookmarkStart w:id="407" w:name="_Hlk85030055"/>
            <w:r>
              <w:rPr>
                <w:rFonts w:hint="eastAsia" w:ascii="宋体" w:hAnsi="宋体"/>
                <w:color w:val="000000"/>
                <w:sz w:val="24"/>
              </w:rPr>
              <w:t>复印件</w:t>
            </w:r>
            <w:bookmarkEnd w:id="4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hint="eastAsia" w:ascii="宋体" w:hAnsi="宋体"/>
                <w:color w:val="000000"/>
                <w:sz w:val="24"/>
              </w:rPr>
            </w:pPr>
            <w:r>
              <w:rPr>
                <w:rFonts w:ascii="宋体" w:hAnsi="宋体"/>
                <w:color w:val="000000"/>
                <w:sz w:val="24"/>
              </w:rPr>
              <w:t>9</w:t>
            </w:r>
          </w:p>
        </w:tc>
        <w:tc>
          <w:tcPr>
            <w:tcW w:w="2485" w:type="dxa"/>
            <w:vAlign w:val="center"/>
          </w:tcPr>
          <w:p>
            <w:pPr>
              <w:wordWrap w:val="0"/>
              <w:spacing w:line="440" w:lineRule="exact"/>
              <w:jc w:val="left"/>
              <w:rPr>
                <w:rFonts w:hint="eastAsia" w:ascii="宋体" w:hAnsi="宋体"/>
                <w:color w:val="000000"/>
                <w:sz w:val="24"/>
              </w:rPr>
            </w:pPr>
            <w:r>
              <w:rPr>
                <w:rFonts w:hint="eastAsia" w:ascii="宋体" w:hAnsi="宋体"/>
                <w:color w:val="000000"/>
                <w:kern w:val="0"/>
                <w:sz w:val="24"/>
              </w:rPr>
              <w:t>公平竞争承诺书</w:t>
            </w:r>
          </w:p>
        </w:tc>
        <w:tc>
          <w:tcPr>
            <w:tcW w:w="5811" w:type="dxa"/>
            <w:vAlign w:val="center"/>
          </w:tcPr>
          <w:p>
            <w:pPr>
              <w:wordWrap w:val="0"/>
              <w:spacing w:line="440" w:lineRule="exact"/>
              <w:jc w:val="left"/>
              <w:rPr>
                <w:rFonts w:hint="eastAsia" w:ascii="宋体" w:hAnsi="宋体"/>
                <w:color w:val="000000"/>
                <w:sz w:val="24"/>
              </w:rPr>
            </w:pPr>
            <w:r>
              <w:rPr>
                <w:rFonts w:hint="eastAsia" w:ascii="宋体" w:hAnsi="宋体"/>
                <w:color w:val="000000"/>
                <w:kern w:val="0"/>
                <w:sz w:val="24"/>
              </w:rPr>
              <w:t>须提供《公平竞争承诺书》原件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0</w:t>
            </w:r>
          </w:p>
        </w:tc>
        <w:tc>
          <w:tcPr>
            <w:tcW w:w="2485" w:type="dxa"/>
            <w:vAlign w:val="center"/>
          </w:tcPr>
          <w:p>
            <w:pPr>
              <w:tabs>
                <w:tab w:val="left" w:pos="1092"/>
              </w:tabs>
              <w:wordWrap w:val="0"/>
              <w:adjustRightInd w:val="0"/>
              <w:snapToGrid w:val="0"/>
              <w:spacing w:line="440" w:lineRule="exact"/>
              <w:jc w:val="left"/>
              <w:rPr>
                <w:rFonts w:hint="eastAsia" w:ascii="宋体" w:hAnsi="宋体"/>
                <w:color w:val="000000"/>
                <w:sz w:val="24"/>
              </w:rPr>
            </w:pPr>
            <w:r>
              <w:rPr>
                <w:rFonts w:hint="eastAsia" w:ascii="宋体" w:hAnsi="宋体"/>
                <w:color w:val="000000"/>
                <w:sz w:val="24"/>
              </w:rPr>
              <w:t>本项目不接受联合体投标。</w:t>
            </w:r>
          </w:p>
        </w:tc>
        <w:tc>
          <w:tcPr>
            <w:tcW w:w="5811" w:type="dxa"/>
            <w:vAlign w:val="center"/>
          </w:tcPr>
          <w:p>
            <w:pPr>
              <w:wordWrap w:val="0"/>
              <w:adjustRightInd w:val="0"/>
              <w:snapToGrid w:val="0"/>
              <w:spacing w:line="440" w:lineRule="exact"/>
              <w:jc w:val="left"/>
              <w:rPr>
                <w:rFonts w:hint="eastAsia" w:ascii="宋体" w:hAnsi="宋体" w:cs="宋体"/>
                <w:color w:val="000000"/>
                <w:sz w:val="24"/>
              </w:rPr>
            </w:pPr>
            <w:r>
              <w:rPr>
                <w:rFonts w:hint="eastAsia" w:ascii="宋体" w:hAnsi="宋体" w:cs="宋体"/>
                <w:color w:val="000000"/>
                <w:sz w:val="24"/>
              </w:rPr>
              <w:t>由磋商小组审核。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84" w:type="dxa"/>
            <w:vAlign w:val="center"/>
          </w:tcPr>
          <w:p>
            <w:pPr>
              <w:spacing w:line="440" w:lineRule="exact"/>
              <w:jc w:val="center"/>
              <w:rPr>
                <w:rFonts w:hint="eastAsia" w:ascii="宋体" w:hAnsi="宋体"/>
                <w:color w:val="000000"/>
                <w:sz w:val="24"/>
              </w:rPr>
            </w:pPr>
            <w:r>
              <w:rPr>
                <w:rFonts w:hint="eastAsia" w:ascii="宋体" w:hAnsi="宋体"/>
                <w:color w:val="000000"/>
                <w:sz w:val="24"/>
              </w:rPr>
              <w:t>1</w:t>
            </w:r>
            <w:r>
              <w:rPr>
                <w:rFonts w:ascii="宋体" w:hAnsi="宋体"/>
                <w:color w:val="000000"/>
                <w:sz w:val="24"/>
              </w:rPr>
              <w:t>1</w:t>
            </w:r>
          </w:p>
        </w:tc>
        <w:tc>
          <w:tcPr>
            <w:tcW w:w="2485" w:type="dxa"/>
            <w:vAlign w:val="center"/>
          </w:tcPr>
          <w:p>
            <w:pPr>
              <w:tabs>
                <w:tab w:val="left" w:pos="1092"/>
              </w:tabs>
              <w:wordWrap w:val="0"/>
              <w:adjustRightInd w:val="0"/>
              <w:snapToGrid w:val="0"/>
              <w:spacing w:line="440" w:lineRule="exact"/>
              <w:jc w:val="left"/>
              <w:rPr>
                <w:rFonts w:hint="eastAsia" w:ascii="宋体" w:hAnsi="宋体"/>
                <w:color w:val="000000"/>
                <w:sz w:val="24"/>
              </w:rPr>
            </w:pPr>
            <w:r>
              <w:rPr>
                <w:rFonts w:hint="eastAsia" w:ascii="宋体" w:hAnsi="宋体" w:cs="宋体"/>
                <w:color w:val="000000"/>
                <w:sz w:val="24"/>
              </w:rPr>
              <w:t>已办理投标登记并领购本项目磋商文件</w:t>
            </w:r>
            <w:r>
              <w:rPr>
                <w:rFonts w:hint="eastAsia" w:ascii="宋体" w:hAnsi="宋体"/>
                <w:color w:val="000000"/>
                <w:sz w:val="24"/>
              </w:rPr>
              <w:t>的供应商</w:t>
            </w:r>
            <w:r>
              <w:rPr>
                <w:rFonts w:hint="eastAsia" w:ascii="宋体" w:hAnsi="宋体" w:cs="宋体"/>
                <w:color w:val="000000"/>
                <w:sz w:val="24"/>
              </w:rPr>
              <w:t>。</w:t>
            </w:r>
          </w:p>
        </w:tc>
        <w:tc>
          <w:tcPr>
            <w:tcW w:w="5811" w:type="dxa"/>
            <w:vAlign w:val="center"/>
          </w:tcPr>
          <w:p>
            <w:pPr>
              <w:wordWrap w:val="0"/>
              <w:adjustRightInd w:val="0"/>
              <w:snapToGrid w:val="0"/>
              <w:spacing w:line="440" w:lineRule="exact"/>
              <w:jc w:val="left"/>
              <w:rPr>
                <w:rFonts w:hint="eastAsia" w:ascii="宋体" w:hAnsi="宋体" w:cs="宋体"/>
                <w:color w:val="000000"/>
                <w:sz w:val="24"/>
              </w:rPr>
            </w:pPr>
            <w:r>
              <w:rPr>
                <w:rFonts w:hint="eastAsia" w:ascii="宋体" w:hAnsi="宋体" w:cs="宋体"/>
                <w:color w:val="000000"/>
                <w:sz w:val="24"/>
              </w:rPr>
              <w:t>以采购代理机构供应商投标登记信息为准。</w:t>
            </w:r>
          </w:p>
        </w:tc>
      </w:tr>
    </w:tbl>
    <w:p>
      <w:pPr>
        <w:spacing w:line="360" w:lineRule="auto"/>
        <w:rPr>
          <w:rFonts w:ascii="宋体" w:hAnsi="宋体" w:cs="宋体"/>
          <w:color w:val="000000"/>
          <w:sz w:val="24"/>
        </w:rPr>
      </w:pPr>
      <w:r>
        <w:rPr>
          <w:rFonts w:hint="eastAsia" w:ascii="宋体" w:hAnsi="宋体" w:cs="宋体"/>
          <w:color w:val="000000"/>
          <w:sz w:val="24"/>
        </w:rPr>
        <w:t>备注：</w:t>
      </w:r>
    </w:p>
    <w:p>
      <w:pPr>
        <w:numPr>
          <w:ilvl w:val="0"/>
          <w:numId w:val="97"/>
        </w:numPr>
        <w:spacing w:line="360" w:lineRule="auto"/>
        <w:rPr>
          <w:rFonts w:ascii="宋体" w:hAnsi="宋体" w:cs="宋体"/>
          <w:color w:val="000000"/>
          <w:sz w:val="24"/>
        </w:rPr>
      </w:pPr>
      <w:r>
        <w:rPr>
          <w:rFonts w:hint="eastAsia" w:ascii="宋体" w:hAnsi="宋体" w:cs="宋体"/>
          <w:color w:val="000000"/>
          <w:sz w:val="24"/>
        </w:rPr>
        <w:t>每一项符合的打“○”，不符合的打“×”。</w:t>
      </w:r>
    </w:p>
    <w:p>
      <w:pPr>
        <w:numPr>
          <w:ilvl w:val="0"/>
          <w:numId w:val="97"/>
        </w:numPr>
        <w:spacing w:line="360" w:lineRule="auto"/>
        <w:rPr>
          <w:rFonts w:ascii="宋体" w:hAnsi="宋体" w:cs="宋体"/>
          <w:color w:val="000000"/>
          <w:sz w:val="24"/>
        </w:rPr>
      </w:pPr>
      <w:r>
        <w:rPr>
          <w:rFonts w:hint="eastAsia" w:ascii="宋体" w:hAnsi="宋体" w:cs="宋体"/>
          <w:color w:val="000000"/>
          <w:sz w:val="24"/>
        </w:rPr>
        <w:t>“结论”一栏填写“通过”或“不通过”；任何一项出现“×”的，结论为不通过。不通过的为无效报价。</w:t>
      </w:r>
    </w:p>
    <w:p>
      <w:pPr>
        <w:numPr>
          <w:ilvl w:val="0"/>
          <w:numId w:val="97"/>
        </w:numPr>
        <w:spacing w:line="360" w:lineRule="auto"/>
        <w:rPr>
          <w:rFonts w:ascii="宋体" w:hAnsi="宋体" w:cs="宋体"/>
          <w:color w:val="000000"/>
          <w:sz w:val="24"/>
        </w:rPr>
      </w:pPr>
      <w:r>
        <w:rPr>
          <w:rFonts w:hint="eastAsia" w:ascii="宋体" w:hAnsi="宋体" w:cs="宋体"/>
          <w:color w:val="000000"/>
          <w:sz w:val="24"/>
        </w:rPr>
        <w:t>汇总时出现不同意见的，磋商小组按简单多数原则表决决定。</w:t>
      </w:r>
    </w:p>
    <w:p>
      <w:pPr>
        <w:pStyle w:val="4"/>
        <w:adjustRightInd w:val="0"/>
        <w:snapToGrid w:val="0"/>
        <w:spacing w:before="0" w:after="0" w:line="360" w:lineRule="auto"/>
        <w:ind w:left="0" w:firstLine="0"/>
        <w:rPr>
          <w:color w:val="000000"/>
          <w:sz w:val="24"/>
          <w:szCs w:val="24"/>
        </w:rPr>
      </w:pPr>
      <w:bookmarkStart w:id="408" w:name="_Toc20862"/>
      <w:bookmarkStart w:id="409" w:name="_Toc13338"/>
      <w:bookmarkStart w:id="410" w:name="_Toc525057051"/>
      <w:bookmarkStart w:id="411" w:name="_Toc3232"/>
      <w:r>
        <w:rPr>
          <w:color w:val="000000"/>
          <w:sz w:val="24"/>
          <w:szCs w:val="24"/>
        </w:rPr>
        <w:br w:type="page"/>
      </w:r>
      <w:bookmarkStart w:id="412" w:name="_Toc86851541"/>
      <w:r>
        <w:rPr>
          <w:rFonts w:hint="eastAsia"/>
          <w:color w:val="000000"/>
          <w:sz w:val="24"/>
          <w:szCs w:val="24"/>
        </w:rPr>
        <w:t>附表2：符合性审查表</w:t>
      </w:r>
      <w:bookmarkEnd w:id="408"/>
      <w:bookmarkEnd w:id="409"/>
      <w:bookmarkEnd w:id="410"/>
      <w:bookmarkEnd w:id="411"/>
      <w:bookmarkEnd w:id="412"/>
    </w:p>
    <w:tbl>
      <w:tblPr>
        <w:tblStyle w:val="42"/>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712"/>
        <w:gridCol w:w="5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755" w:type="dxa"/>
            <w:shd w:val="clear" w:color="auto" w:fill="D7D7D7"/>
            <w:vAlign w:val="center"/>
          </w:tcPr>
          <w:p>
            <w:pPr>
              <w:adjustRightInd w:val="0"/>
              <w:snapToGrid w:val="0"/>
              <w:spacing w:line="440" w:lineRule="exact"/>
              <w:jc w:val="center"/>
              <w:rPr>
                <w:rFonts w:ascii="宋体" w:hAnsi="宋体"/>
                <w:b/>
                <w:color w:val="000000"/>
                <w:sz w:val="24"/>
              </w:rPr>
            </w:pPr>
            <w:r>
              <w:rPr>
                <w:rFonts w:hint="eastAsia" w:ascii="宋体" w:hAnsi="宋体"/>
                <w:b/>
                <w:color w:val="000000"/>
                <w:sz w:val="24"/>
              </w:rPr>
              <w:t>序号</w:t>
            </w:r>
          </w:p>
        </w:tc>
        <w:tc>
          <w:tcPr>
            <w:tcW w:w="2712" w:type="dxa"/>
            <w:shd w:val="clear" w:color="auto" w:fill="D7D7D7"/>
            <w:vAlign w:val="center"/>
          </w:tcPr>
          <w:p>
            <w:pPr>
              <w:adjustRightInd w:val="0"/>
              <w:snapToGrid w:val="0"/>
              <w:spacing w:line="440" w:lineRule="exact"/>
              <w:jc w:val="center"/>
              <w:rPr>
                <w:rFonts w:ascii="宋体" w:hAnsi="宋体"/>
                <w:b/>
                <w:color w:val="000000"/>
                <w:sz w:val="24"/>
              </w:rPr>
            </w:pPr>
            <w:r>
              <w:rPr>
                <w:rFonts w:hint="eastAsia" w:ascii="宋体" w:hAnsi="宋体"/>
                <w:b/>
                <w:color w:val="000000"/>
                <w:sz w:val="24"/>
              </w:rPr>
              <w:t>审查内容</w:t>
            </w:r>
          </w:p>
        </w:tc>
        <w:tc>
          <w:tcPr>
            <w:tcW w:w="5769" w:type="dxa"/>
            <w:shd w:val="clear" w:color="auto" w:fill="D7D7D7"/>
            <w:vAlign w:val="center"/>
          </w:tcPr>
          <w:p>
            <w:pPr>
              <w:adjustRightInd w:val="0"/>
              <w:snapToGrid w:val="0"/>
              <w:spacing w:line="440" w:lineRule="exact"/>
              <w:jc w:val="center"/>
              <w:rPr>
                <w:rFonts w:ascii="宋体" w:hAnsi="宋体"/>
                <w:b/>
                <w:color w:val="000000"/>
                <w:sz w:val="24"/>
              </w:rPr>
            </w:pPr>
            <w:r>
              <w:rPr>
                <w:rFonts w:hint="eastAsia" w:ascii="宋体" w:hAnsi="宋体"/>
                <w:b/>
                <w:color w:val="000000"/>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5" w:type="dxa"/>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1</w:t>
            </w:r>
          </w:p>
        </w:tc>
        <w:tc>
          <w:tcPr>
            <w:tcW w:w="2712" w:type="dxa"/>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报价函(原件)</w:t>
            </w:r>
          </w:p>
        </w:tc>
        <w:tc>
          <w:tcPr>
            <w:tcW w:w="5769" w:type="dxa"/>
            <w:vAlign w:val="center"/>
          </w:tcPr>
          <w:p>
            <w:pPr>
              <w:adjustRightInd w:val="0"/>
              <w:snapToGrid w:val="0"/>
              <w:spacing w:line="440" w:lineRule="exact"/>
              <w:ind w:left="40" w:leftChars="19"/>
              <w:rPr>
                <w:rFonts w:ascii="宋体" w:hAnsi="宋体"/>
                <w:color w:val="000000"/>
                <w:sz w:val="24"/>
              </w:rPr>
            </w:pPr>
            <w:r>
              <w:rPr>
                <w:rFonts w:hint="eastAsia" w:ascii="宋体" w:hAnsi="宋体"/>
                <w:color w:val="000000"/>
                <w:sz w:val="24"/>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5" w:type="dxa"/>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2</w:t>
            </w:r>
          </w:p>
        </w:tc>
        <w:tc>
          <w:tcPr>
            <w:tcW w:w="2712" w:type="dxa"/>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法定代表人证明书及授权委托书(原件)</w:t>
            </w:r>
          </w:p>
          <w:p>
            <w:pPr>
              <w:adjustRightInd w:val="0"/>
              <w:snapToGrid w:val="0"/>
              <w:spacing w:line="440" w:lineRule="exact"/>
              <w:jc w:val="left"/>
              <w:rPr>
                <w:rFonts w:ascii="宋体" w:hAnsi="宋体"/>
                <w:color w:val="000000"/>
                <w:sz w:val="24"/>
              </w:rPr>
            </w:pPr>
            <w:r>
              <w:rPr>
                <w:rFonts w:hint="eastAsia" w:ascii="宋体" w:hAnsi="宋体"/>
                <w:color w:val="000000"/>
                <w:sz w:val="24"/>
              </w:rPr>
              <w:t>注：</w:t>
            </w:r>
            <w:r>
              <w:rPr>
                <w:rFonts w:hint="eastAsia" w:ascii="宋体" w:hAnsi="宋体" w:cs="宋体"/>
                <w:color w:val="000000"/>
                <w:sz w:val="24"/>
              </w:rPr>
              <w:t>法定代表人投标只须提供法定代表人证明书</w:t>
            </w:r>
          </w:p>
        </w:tc>
        <w:tc>
          <w:tcPr>
            <w:tcW w:w="5769" w:type="dxa"/>
            <w:vAlign w:val="center"/>
          </w:tcPr>
          <w:p>
            <w:pPr>
              <w:adjustRightInd w:val="0"/>
              <w:snapToGrid w:val="0"/>
              <w:spacing w:line="440" w:lineRule="exact"/>
              <w:ind w:left="40" w:leftChars="19"/>
              <w:rPr>
                <w:rFonts w:ascii="宋体" w:hAnsi="宋体"/>
                <w:color w:val="000000"/>
                <w:sz w:val="24"/>
              </w:rPr>
            </w:pPr>
            <w:r>
              <w:rPr>
                <w:rFonts w:hint="eastAsia" w:ascii="宋体" w:hAnsi="宋体"/>
                <w:color w:val="000000"/>
                <w:sz w:val="24"/>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5" w:type="dxa"/>
            <w:vMerge w:val="restart"/>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3</w:t>
            </w:r>
          </w:p>
        </w:tc>
        <w:tc>
          <w:tcPr>
            <w:tcW w:w="2712" w:type="dxa"/>
            <w:vMerge w:val="restart"/>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报价要求</w:t>
            </w:r>
          </w:p>
        </w:tc>
        <w:tc>
          <w:tcPr>
            <w:tcW w:w="5769" w:type="dxa"/>
            <w:vAlign w:val="center"/>
          </w:tcPr>
          <w:p>
            <w:pPr>
              <w:tabs>
                <w:tab w:val="left" w:pos="2880"/>
              </w:tabs>
              <w:adjustRightInd w:val="0"/>
              <w:snapToGrid w:val="0"/>
              <w:spacing w:line="440" w:lineRule="exact"/>
              <w:ind w:left="40" w:leftChars="19"/>
              <w:rPr>
                <w:rFonts w:ascii="宋体" w:hAnsi="宋体"/>
                <w:color w:val="000000"/>
                <w:sz w:val="24"/>
              </w:rPr>
            </w:pPr>
            <w:r>
              <w:rPr>
                <w:rFonts w:hint="eastAsia" w:ascii="宋体" w:hAnsi="宋体" w:cs="Tahoma"/>
                <w:color w:val="000000"/>
                <w:kern w:val="28"/>
                <w:sz w:val="24"/>
              </w:rPr>
              <w:t>首轮报价或最后报价是固定价且是唯一的，首轮报价或最后报价未超出最高限价。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5" w:type="dxa"/>
            <w:vMerge w:val="continue"/>
            <w:vAlign w:val="center"/>
          </w:tcPr>
          <w:p>
            <w:pPr>
              <w:adjustRightInd w:val="0"/>
              <w:snapToGrid w:val="0"/>
              <w:spacing w:line="440" w:lineRule="exact"/>
              <w:jc w:val="center"/>
              <w:rPr>
                <w:rFonts w:ascii="宋体" w:hAnsi="宋体"/>
                <w:color w:val="000000"/>
                <w:sz w:val="24"/>
              </w:rPr>
            </w:pPr>
          </w:p>
        </w:tc>
        <w:tc>
          <w:tcPr>
            <w:tcW w:w="2712" w:type="dxa"/>
            <w:vMerge w:val="continue"/>
            <w:vAlign w:val="center"/>
          </w:tcPr>
          <w:p>
            <w:pPr>
              <w:adjustRightInd w:val="0"/>
              <w:snapToGrid w:val="0"/>
              <w:spacing w:line="440" w:lineRule="exact"/>
              <w:jc w:val="left"/>
              <w:rPr>
                <w:rFonts w:ascii="宋体" w:hAnsi="宋体"/>
                <w:color w:val="000000"/>
                <w:sz w:val="24"/>
              </w:rPr>
            </w:pPr>
          </w:p>
        </w:tc>
        <w:tc>
          <w:tcPr>
            <w:tcW w:w="5769" w:type="dxa"/>
            <w:vAlign w:val="center"/>
          </w:tcPr>
          <w:p>
            <w:pPr>
              <w:tabs>
                <w:tab w:val="left" w:pos="2880"/>
              </w:tabs>
              <w:adjustRightInd w:val="0"/>
              <w:snapToGrid w:val="0"/>
              <w:spacing w:line="440" w:lineRule="exact"/>
              <w:ind w:left="40" w:leftChars="19"/>
              <w:rPr>
                <w:rFonts w:ascii="宋体" w:hAnsi="宋体" w:cs="Tahoma"/>
                <w:color w:val="000000"/>
                <w:kern w:val="28"/>
                <w:sz w:val="24"/>
              </w:rPr>
            </w:pPr>
            <w:r>
              <w:rPr>
                <w:rFonts w:hint="eastAsia" w:ascii="宋体" w:hAnsi="宋体" w:cs="Tahoma"/>
                <w:color w:val="000000"/>
                <w:kern w:val="28"/>
                <w:sz w:val="24"/>
              </w:rPr>
              <w:t>供应商的报价明显低于其他通过符合性审查供应商的报价，磋商小组有权要求供应商在规定时间内提供书面说明或提供相关证明材料，否则视为无效报价。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5" w:type="dxa"/>
            <w:vMerge w:val="continue"/>
            <w:vAlign w:val="center"/>
          </w:tcPr>
          <w:p>
            <w:pPr>
              <w:adjustRightInd w:val="0"/>
              <w:snapToGrid w:val="0"/>
              <w:spacing w:line="440" w:lineRule="exact"/>
              <w:jc w:val="center"/>
              <w:rPr>
                <w:rFonts w:ascii="宋体" w:hAnsi="宋体"/>
                <w:color w:val="000000"/>
                <w:sz w:val="24"/>
              </w:rPr>
            </w:pPr>
          </w:p>
        </w:tc>
        <w:tc>
          <w:tcPr>
            <w:tcW w:w="2712" w:type="dxa"/>
            <w:vMerge w:val="continue"/>
            <w:vAlign w:val="center"/>
          </w:tcPr>
          <w:p>
            <w:pPr>
              <w:adjustRightInd w:val="0"/>
              <w:snapToGrid w:val="0"/>
              <w:spacing w:line="440" w:lineRule="exact"/>
              <w:jc w:val="left"/>
              <w:rPr>
                <w:rFonts w:ascii="宋体" w:hAnsi="宋体"/>
                <w:color w:val="000000"/>
                <w:sz w:val="24"/>
              </w:rPr>
            </w:pPr>
          </w:p>
        </w:tc>
        <w:tc>
          <w:tcPr>
            <w:tcW w:w="5769" w:type="dxa"/>
            <w:vAlign w:val="center"/>
          </w:tcPr>
          <w:p>
            <w:pPr>
              <w:tabs>
                <w:tab w:val="left" w:pos="2880"/>
              </w:tabs>
              <w:adjustRightInd w:val="0"/>
              <w:snapToGrid w:val="0"/>
              <w:spacing w:line="440" w:lineRule="exact"/>
              <w:ind w:left="40" w:leftChars="19"/>
              <w:rPr>
                <w:rFonts w:ascii="宋体" w:hAnsi="宋体" w:cs="Tahoma"/>
                <w:color w:val="000000"/>
                <w:kern w:val="28"/>
                <w:sz w:val="24"/>
              </w:rPr>
            </w:pPr>
            <w:r>
              <w:rPr>
                <w:rFonts w:hint="eastAsia" w:ascii="宋体" w:hAnsi="宋体" w:cs="Tahoma"/>
                <w:color w:val="000000"/>
                <w:kern w:val="28"/>
                <w:sz w:val="24"/>
              </w:rPr>
              <w:t>磋商文件不接受提交备选方案。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5" w:type="dxa"/>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4</w:t>
            </w:r>
          </w:p>
        </w:tc>
        <w:tc>
          <w:tcPr>
            <w:tcW w:w="2712" w:type="dxa"/>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响应文件的完整性</w:t>
            </w:r>
          </w:p>
        </w:tc>
        <w:tc>
          <w:tcPr>
            <w:tcW w:w="5769" w:type="dxa"/>
            <w:vAlign w:val="center"/>
          </w:tcPr>
          <w:p>
            <w:pPr>
              <w:adjustRightInd w:val="0"/>
              <w:snapToGrid w:val="0"/>
              <w:spacing w:line="440" w:lineRule="exact"/>
              <w:rPr>
                <w:rFonts w:ascii="宋体" w:hAnsi="宋体" w:cs="Tahoma"/>
                <w:color w:val="000000"/>
                <w:kern w:val="28"/>
                <w:sz w:val="24"/>
              </w:rPr>
            </w:pPr>
            <w:r>
              <w:rPr>
                <w:rFonts w:hint="eastAsia" w:ascii="宋体" w:hAnsi="宋体" w:cs="Tahoma"/>
                <w:color w:val="000000"/>
                <w:kern w:val="28"/>
                <w:sz w:val="24"/>
              </w:rPr>
              <w:t>响应文件完整且编排有序，投标内容基本完整，无重大错漏，并按要求密封、签署、盖章。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55"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5</w:t>
            </w:r>
          </w:p>
        </w:tc>
        <w:tc>
          <w:tcPr>
            <w:tcW w:w="2712" w:type="dxa"/>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招标代理服务费支付承诺书</w:t>
            </w:r>
          </w:p>
        </w:tc>
        <w:tc>
          <w:tcPr>
            <w:tcW w:w="5769" w:type="dxa"/>
            <w:vAlign w:val="center"/>
          </w:tcPr>
          <w:p>
            <w:pPr>
              <w:spacing w:line="440" w:lineRule="exact"/>
              <w:jc w:val="left"/>
              <w:rPr>
                <w:rFonts w:ascii="宋体" w:hAnsi="宋体" w:cs="Tahoma"/>
                <w:color w:val="000000"/>
                <w:kern w:val="28"/>
                <w:sz w:val="24"/>
              </w:rPr>
            </w:pPr>
            <w:r>
              <w:rPr>
                <w:rFonts w:hint="eastAsia" w:ascii="宋体" w:hAnsi="宋体"/>
                <w:color w:val="000000"/>
                <w:sz w:val="24"/>
              </w:rPr>
              <w:t>已按磋商文件要求提交招标代理服务费支付承诺书。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55"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6</w:t>
            </w:r>
          </w:p>
        </w:tc>
        <w:tc>
          <w:tcPr>
            <w:tcW w:w="2712" w:type="dxa"/>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磋商有效期</w:t>
            </w:r>
          </w:p>
        </w:tc>
        <w:tc>
          <w:tcPr>
            <w:tcW w:w="5769" w:type="dxa"/>
            <w:vAlign w:val="center"/>
          </w:tcPr>
          <w:p>
            <w:pPr>
              <w:adjustRightInd w:val="0"/>
              <w:snapToGrid w:val="0"/>
              <w:spacing w:line="440" w:lineRule="exact"/>
              <w:rPr>
                <w:rFonts w:ascii="宋体" w:hAnsi="宋体"/>
                <w:color w:val="000000"/>
                <w:sz w:val="24"/>
              </w:rPr>
            </w:pPr>
            <w:r>
              <w:rPr>
                <w:rFonts w:hint="eastAsia" w:ascii="宋体" w:hAnsi="宋体"/>
                <w:color w:val="000000"/>
                <w:sz w:val="24"/>
              </w:rPr>
              <w:t>磋商截止日起90天。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55"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7</w:t>
            </w:r>
          </w:p>
        </w:tc>
        <w:tc>
          <w:tcPr>
            <w:tcW w:w="2712" w:type="dxa"/>
            <w:vAlign w:val="center"/>
          </w:tcPr>
          <w:p>
            <w:pPr>
              <w:adjustRightInd w:val="0"/>
              <w:snapToGrid w:val="0"/>
              <w:spacing w:line="440" w:lineRule="exact"/>
              <w:jc w:val="left"/>
              <w:rPr>
                <w:rFonts w:hint="eastAsia" w:ascii="宋体" w:hAnsi="宋体"/>
                <w:color w:val="000000"/>
                <w:sz w:val="24"/>
              </w:rPr>
            </w:pPr>
            <w:r>
              <w:rPr>
                <w:rFonts w:hint="eastAsia" w:ascii="宋体" w:hAnsi="宋体"/>
                <w:color w:val="000000"/>
                <w:sz w:val="24"/>
              </w:rPr>
              <w:t>带“★”号条款</w:t>
            </w:r>
          </w:p>
        </w:tc>
        <w:tc>
          <w:tcPr>
            <w:tcW w:w="5769" w:type="dxa"/>
            <w:vAlign w:val="center"/>
          </w:tcPr>
          <w:p>
            <w:pPr>
              <w:adjustRightInd w:val="0"/>
              <w:snapToGrid w:val="0"/>
              <w:spacing w:line="440" w:lineRule="exact"/>
              <w:rPr>
                <w:rFonts w:hint="eastAsia" w:ascii="宋体" w:hAnsi="宋体"/>
                <w:color w:val="000000"/>
                <w:sz w:val="24"/>
              </w:rPr>
            </w:pPr>
            <w:r>
              <w:rPr>
                <w:rFonts w:hint="eastAsia" w:ascii="宋体" w:hAnsi="宋体"/>
                <w:color w:val="000000"/>
                <w:sz w:val="24"/>
              </w:rPr>
              <w:t>满足磋商文件的要求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55"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8</w:t>
            </w:r>
          </w:p>
        </w:tc>
        <w:tc>
          <w:tcPr>
            <w:tcW w:w="2712" w:type="dxa"/>
            <w:vAlign w:val="center"/>
          </w:tcPr>
          <w:p>
            <w:pPr>
              <w:adjustRightInd w:val="0"/>
              <w:snapToGrid w:val="0"/>
              <w:spacing w:line="440" w:lineRule="exact"/>
              <w:jc w:val="left"/>
              <w:rPr>
                <w:rFonts w:hint="eastAsia" w:ascii="宋体" w:hAnsi="宋体"/>
                <w:color w:val="000000"/>
                <w:sz w:val="24"/>
              </w:rPr>
            </w:pPr>
            <w:r>
              <w:rPr>
                <w:rFonts w:hint="eastAsia" w:ascii="宋体" w:hAnsi="宋体"/>
                <w:color w:val="000000"/>
                <w:sz w:val="24"/>
              </w:rPr>
              <w:t>服务时间</w:t>
            </w:r>
          </w:p>
        </w:tc>
        <w:tc>
          <w:tcPr>
            <w:tcW w:w="5769" w:type="dxa"/>
            <w:vAlign w:val="center"/>
          </w:tcPr>
          <w:p>
            <w:pPr>
              <w:adjustRightInd w:val="0"/>
              <w:snapToGrid w:val="0"/>
              <w:spacing w:line="440" w:lineRule="exact"/>
              <w:rPr>
                <w:rFonts w:ascii="宋体" w:hAnsi="宋体"/>
                <w:color w:val="000000"/>
                <w:sz w:val="24"/>
              </w:rPr>
            </w:pPr>
            <w:r>
              <w:rPr>
                <w:rFonts w:hint="eastAsia" w:ascii="宋体" w:hAnsi="宋体"/>
                <w:color w:val="000000"/>
                <w:sz w:val="24"/>
              </w:rPr>
              <w:t>满足磋商文件的要求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 w:hRule="atLeast"/>
          <w:jc w:val="center"/>
        </w:trPr>
        <w:tc>
          <w:tcPr>
            <w:tcW w:w="755"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9</w:t>
            </w:r>
          </w:p>
        </w:tc>
        <w:tc>
          <w:tcPr>
            <w:tcW w:w="2712" w:type="dxa"/>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其他</w:t>
            </w:r>
          </w:p>
        </w:tc>
        <w:tc>
          <w:tcPr>
            <w:tcW w:w="5769" w:type="dxa"/>
            <w:vAlign w:val="center"/>
          </w:tcPr>
          <w:p>
            <w:pPr>
              <w:adjustRightInd w:val="0"/>
              <w:snapToGrid w:val="0"/>
              <w:spacing w:line="440" w:lineRule="exact"/>
              <w:rPr>
                <w:rFonts w:ascii="宋体" w:hAnsi="宋体"/>
                <w:color w:val="000000"/>
                <w:sz w:val="24"/>
              </w:rPr>
            </w:pPr>
            <w:r>
              <w:rPr>
                <w:rFonts w:hint="eastAsia" w:ascii="宋体" w:hAnsi="宋体"/>
                <w:color w:val="000000"/>
                <w:sz w:val="24"/>
              </w:rPr>
              <w:t>法律、法规和磋商文件规定的其他报价无效情形。</w:t>
            </w:r>
          </w:p>
        </w:tc>
      </w:tr>
    </w:tbl>
    <w:p>
      <w:pPr>
        <w:spacing w:line="360" w:lineRule="auto"/>
        <w:rPr>
          <w:rFonts w:ascii="宋体" w:hAnsi="宋体" w:cs="宋体"/>
          <w:color w:val="000000"/>
          <w:sz w:val="24"/>
        </w:rPr>
      </w:pPr>
      <w:r>
        <w:rPr>
          <w:rFonts w:hint="eastAsia" w:ascii="宋体" w:hAnsi="宋体" w:cs="宋体"/>
          <w:color w:val="000000"/>
          <w:sz w:val="24"/>
        </w:rPr>
        <w:t>备注：</w:t>
      </w:r>
    </w:p>
    <w:p>
      <w:pPr>
        <w:numPr>
          <w:ilvl w:val="0"/>
          <w:numId w:val="98"/>
        </w:numPr>
        <w:spacing w:line="360" w:lineRule="auto"/>
        <w:rPr>
          <w:rFonts w:ascii="宋体" w:hAnsi="宋体" w:cs="宋体"/>
          <w:color w:val="000000"/>
          <w:sz w:val="24"/>
        </w:rPr>
      </w:pPr>
      <w:r>
        <w:rPr>
          <w:rFonts w:hint="eastAsia" w:ascii="宋体" w:hAnsi="宋体" w:cs="宋体"/>
          <w:color w:val="000000"/>
          <w:sz w:val="24"/>
        </w:rPr>
        <w:t>每一项符合的打“○”，不符合的打“×”。</w:t>
      </w:r>
    </w:p>
    <w:p>
      <w:pPr>
        <w:numPr>
          <w:ilvl w:val="0"/>
          <w:numId w:val="98"/>
        </w:numPr>
        <w:spacing w:line="360" w:lineRule="auto"/>
        <w:rPr>
          <w:rFonts w:ascii="宋体" w:hAnsi="宋体" w:cs="宋体"/>
          <w:color w:val="000000"/>
          <w:sz w:val="24"/>
        </w:rPr>
      </w:pPr>
      <w:r>
        <w:rPr>
          <w:rFonts w:hint="eastAsia" w:ascii="宋体" w:hAnsi="宋体" w:cs="宋体"/>
          <w:color w:val="000000"/>
          <w:sz w:val="24"/>
        </w:rPr>
        <w:t>“结论”一栏填写“通过”或“不通过”；任何一项出现“×”的，结论为不通过。不通过的为无效报价。</w:t>
      </w:r>
    </w:p>
    <w:p>
      <w:pPr>
        <w:numPr>
          <w:ilvl w:val="0"/>
          <w:numId w:val="98"/>
        </w:numPr>
        <w:spacing w:line="360" w:lineRule="auto"/>
        <w:rPr>
          <w:rFonts w:ascii="宋体" w:hAnsi="宋体" w:cs="宋体"/>
          <w:color w:val="000000"/>
          <w:sz w:val="24"/>
        </w:rPr>
      </w:pPr>
      <w:r>
        <w:rPr>
          <w:rFonts w:hint="eastAsia" w:ascii="宋体" w:hAnsi="宋体" w:cs="宋体"/>
          <w:color w:val="000000"/>
          <w:sz w:val="24"/>
        </w:rPr>
        <w:t>汇总时出现不同意见的，磋商小组按简单多数原则表决决定。</w:t>
      </w:r>
    </w:p>
    <w:p>
      <w:pPr>
        <w:pStyle w:val="4"/>
        <w:adjustRightInd w:val="0"/>
        <w:snapToGrid w:val="0"/>
        <w:spacing w:before="0" w:after="0" w:line="360" w:lineRule="auto"/>
        <w:ind w:left="0" w:firstLine="0"/>
        <w:rPr>
          <w:rFonts w:ascii="宋体" w:hAnsi="宋体"/>
          <w:color w:val="000000"/>
          <w:sz w:val="24"/>
          <w:szCs w:val="24"/>
        </w:rPr>
      </w:pPr>
      <w:bookmarkStart w:id="413" w:name="_Toc4005"/>
      <w:bookmarkStart w:id="414" w:name="_Toc11860"/>
      <w:bookmarkStart w:id="415" w:name="_Toc2939"/>
      <w:bookmarkStart w:id="416" w:name="_Toc525057052"/>
      <w:r>
        <w:rPr>
          <w:rFonts w:ascii="宋体" w:hAnsi="宋体"/>
          <w:color w:val="000000"/>
          <w:sz w:val="24"/>
          <w:szCs w:val="24"/>
        </w:rPr>
        <w:br w:type="page"/>
      </w:r>
      <w:bookmarkStart w:id="417" w:name="_Toc86851542"/>
      <w:r>
        <w:rPr>
          <w:rFonts w:hint="eastAsia" w:ascii="宋体" w:hAnsi="宋体"/>
          <w:color w:val="000000"/>
          <w:sz w:val="24"/>
          <w:szCs w:val="24"/>
        </w:rPr>
        <w:t>附表3：技术、商务及价格分值分配</w:t>
      </w:r>
      <w:bookmarkEnd w:id="413"/>
      <w:bookmarkEnd w:id="414"/>
      <w:bookmarkEnd w:id="415"/>
      <w:bookmarkEnd w:id="416"/>
      <w:bookmarkEnd w:id="417"/>
    </w:p>
    <w:tbl>
      <w:tblPr>
        <w:tblStyle w:val="42"/>
        <w:tblW w:w="926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1"/>
        <w:gridCol w:w="1729"/>
        <w:gridCol w:w="1823"/>
        <w:gridCol w:w="1838"/>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2121" w:type="dxa"/>
            <w:shd w:val="clear" w:color="auto" w:fill="D7D7D7"/>
            <w:vAlign w:val="center"/>
          </w:tcPr>
          <w:p>
            <w:pPr>
              <w:spacing w:before="72" w:after="72"/>
              <w:jc w:val="center"/>
              <w:rPr>
                <w:rFonts w:ascii="宋体" w:hAnsi="宋体" w:cs="宋体"/>
                <w:b/>
                <w:bCs/>
                <w:color w:val="000000"/>
                <w:sz w:val="24"/>
              </w:rPr>
            </w:pPr>
            <w:r>
              <w:rPr>
                <w:rFonts w:hint="eastAsia" w:ascii="宋体" w:hAnsi="宋体" w:cs="宋体"/>
                <w:b/>
                <w:bCs/>
                <w:color w:val="000000"/>
                <w:sz w:val="24"/>
              </w:rPr>
              <w:t>评分项目</w:t>
            </w:r>
          </w:p>
        </w:tc>
        <w:tc>
          <w:tcPr>
            <w:tcW w:w="1729" w:type="dxa"/>
            <w:tcBorders>
              <w:right w:val="single" w:color="auto" w:sz="4" w:space="0"/>
            </w:tcBorders>
            <w:shd w:val="clear" w:color="auto" w:fill="D7D7D7"/>
            <w:vAlign w:val="center"/>
          </w:tcPr>
          <w:p>
            <w:pPr>
              <w:spacing w:before="72" w:after="72"/>
              <w:jc w:val="center"/>
              <w:rPr>
                <w:rFonts w:ascii="宋体" w:hAnsi="宋体" w:cs="宋体"/>
                <w:b/>
                <w:bCs/>
                <w:color w:val="000000"/>
                <w:sz w:val="24"/>
              </w:rPr>
            </w:pPr>
            <w:r>
              <w:rPr>
                <w:rFonts w:hint="eastAsia" w:ascii="宋体" w:hAnsi="宋体" w:cs="宋体"/>
                <w:b/>
                <w:bCs/>
                <w:color w:val="000000"/>
                <w:sz w:val="24"/>
              </w:rPr>
              <w:t>技术</w:t>
            </w:r>
          </w:p>
        </w:tc>
        <w:tc>
          <w:tcPr>
            <w:tcW w:w="1823" w:type="dxa"/>
            <w:tcBorders>
              <w:left w:val="single" w:color="auto" w:sz="4" w:space="0"/>
            </w:tcBorders>
            <w:shd w:val="clear" w:color="auto" w:fill="D7D7D7"/>
            <w:vAlign w:val="center"/>
          </w:tcPr>
          <w:p>
            <w:pPr>
              <w:spacing w:before="72" w:after="72"/>
              <w:jc w:val="center"/>
              <w:rPr>
                <w:rFonts w:ascii="宋体" w:hAnsi="宋体" w:cs="宋体"/>
                <w:b/>
                <w:bCs/>
                <w:color w:val="000000"/>
                <w:sz w:val="24"/>
              </w:rPr>
            </w:pPr>
            <w:r>
              <w:rPr>
                <w:rFonts w:hint="eastAsia" w:ascii="宋体" w:hAnsi="宋体" w:cs="宋体"/>
                <w:b/>
                <w:bCs/>
                <w:color w:val="000000"/>
                <w:sz w:val="24"/>
              </w:rPr>
              <w:t>商务</w:t>
            </w:r>
          </w:p>
        </w:tc>
        <w:tc>
          <w:tcPr>
            <w:tcW w:w="1838" w:type="dxa"/>
            <w:shd w:val="clear" w:color="auto" w:fill="D7D7D7"/>
            <w:vAlign w:val="center"/>
          </w:tcPr>
          <w:p>
            <w:pPr>
              <w:spacing w:before="72" w:after="72"/>
              <w:jc w:val="center"/>
              <w:rPr>
                <w:rFonts w:ascii="宋体" w:hAnsi="宋体" w:cs="宋体"/>
                <w:b/>
                <w:bCs/>
                <w:color w:val="000000"/>
                <w:sz w:val="24"/>
              </w:rPr>
            </w:pPr>
            <w:r>
              <w:rPr>
                <w:rFonts w:hint="eastAsia" w:ascii="宋体" w:hAnsi="宋体" w:cs="宋体"/>
                <w:b/>
                <w:bCs/>
                <w:color w:val="000000"/>
                <w:sz w:val="24"/>
              </w:rPr>
              <w:t>价格</w:t>
            </w:r>
          </w:p>
        </w:tc>
        <w:tc>
          <w:tcPr>
            <w:tcW w:w="1752" w:type="dxa"/>
            <w:shd w:val="clear" w:color="auto" w:fill="D7D7D7"/>
            <w:vAlign w:val="center"/>
          </w:tcPr>
          <w:p>
            <w:pPr>
              <w:spacing w:before="72" w:after="72"/>
              <w:jc w:val="center"/>
              <w:rPr>
                <w:rFonts w:ascii="宋体" w:hAnsi="宋体" w:cs="宋体"/>
                <w:b/>
                <w:bCs/>
                <w:color w:val="000000"/>
                <w:sz w:val="24"/>
              </w:rPr>
            </w:pPr>
            <w:r>
              <w:rPr>
                <w:rFonts w:hint="eastAsia" w:ascii="宋体" w:hAnsi="宋体" w:cs="宋体"/>
                <w:b/>
                <w:bCs/>
                <w:color w:val="000000"/>
                <w:sz w:val="24"/>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2121" w:type="dxa"/>
            <w:vAlign w:val="center"/>
          </w:tcPr>
          <w:p>
            <w:pPr>
              <w:spacing w:before="72" w:after="72"/>
              <w:jc w:val="center"/>
              <w:rPr>
                <w:rFonts w:ascii="宋体" w:hAnsi="宋体" w:cs="宋体"/>
                <w:color w:val="000000"/>
                <w:sz w:val="24"/>
              </w:rPr>
            </w:pPr>
            <w:r>
              <w:rPr>
                <w:rFonts w:hint="eastAsia" w:ascii="宋体" w:hAnsi="宋体" w:cs="宋体"/>
                <w:color w:val="000000"/>
                <w:sz w:val="24"/>
              </w:rPr>
              <w:t>分值</w:t>
            </w:r>
          </w:p>
        </w:tc>
        <w:tc>
          <w:tcPr>
            <w:tcW w:w="1729" w:type="dxa"/>
            <w:tcBorders>
              <w:right w:val="single" w:color="auto" w:sz="4" w:space="0"/>
            </w:tcBorders>
            <w:vAlign w:val="center"/>
          </w:tcPr>
          <w:p>
            <w:pPr>
              <w:spacing w:before="72" w:after="72"/>
              <w:jc w:val="center"/>
              <w:rPr>
                <w:rFonts w:ascii="宋体" w:hAnsi="宋体" w:cs="宋体"/>
                <w:color w:val="000000"/>
                <w:sz w:val="24"/>
              </w:rPr>
            </w:pPr>
            <w:r>
              <w:rPr>
                <w:rFonts w:ascii="宋体" w:hAnsi="宋体" w:cs="宋体"/>
                <w:color w:val="000000"/>
                <w:sz w:val="24"/>
              </w:rPr>
              <w:t>45</w:t>
            </w:r>
            <w:r>
              <w:rPr>
                <w:rFonts w:hint="eastAsia" w:ascii="宋体" w:hAnsi="宋体" w:cs="宋体"/>
                <w:color w:val="000000"/>
                <w:sz w:val="24"/>
              </w:rPr>
              <w:t>分</w:t>
            </w:r>
          </w:p>
        </w:tc>
        <w:tc>
          <w:tcPr>
            <w:tcW w:w="1823" w:type="dxa"/>
            <w:tcBorders>
              <w:left w:val="single" w:color="auto" w:sz="4" w:space="0"/>
            </w:tcBorders>
            <w:vAlign w:val="center"/>
          </w:tcPr>
          <w:p>
            <w:pPr>
              <w:spacing w:before="72" w:after="72"/>
              <w:jc w:val="center"/>
              <w:rPr>
                <w:rFonts w:ascii="宋体" w:hAnsi="宋体" w:cs="宋体"/>
                <w:color w:val="000000"/>
                <w:sz w:val="24"/>
              </w:rPr>
            </w:pPr>
            <w:r>
              <w:rPr>
                <w:rFonts w:ascii="宋体" w:hAnsi="宋体" w:cs="宋体"/>
                <w:color w:val="000000"/>
                <w:sz w:val="24"/>
              </w:rPr>
              <w:t>25</w:t>
            </w:r>
            <w:r>
              <w:rPr>
                <w:rFonts w:hint="eastAsia" w:ascii="宋体" w:hAnsi="宋体" w:cs="宋体"/>
                <w:color w:val="000000"/>
                <w:sz w:val="24"/>
              </w:rPr>
              <w:t>分</w:t>
            </w:r>
          </w:p>
        </w:tc>
        <w:tc>
          <w:tcPr>
            <w:tcW w:w="1838" w:type="dxa"/>
            <w:vAlign w:val="center"/>
          </w:tcPr>
          <w:p>
            <w:pPr>
              <w:spacing w:before="72" w:after="72"/>
              <w:jc w:val="center"/>
              <w:rPr>
                <w:rFonts w:ascii="宋体" w:hAnsi="宋体" w:cs="宋体"/>
                <w:color w:val="000000"/>
                <w:sz w:val="24"/>
              </w:rPr>
            </w:pPr>
            <w:r>
              <w:rPr>
                <w:rFonts w:ascii="宋体" w:hAnsi="宋体" w:cs="宋体"/>
                <w:color w:val="000000"/>
                <w:sz w:val="24"/>
              </w:rPr>
              <w:t>30</w:t>
            </w:r>
            <w:r>
              <w:rPr>
                <w:rFonts w:hint="eastAsia" w:ascii="宋体" w:hAnsi="宋体" w:cs="宋体"/>
                <w:color w:val="000000"/>
                <w:sz w:val="24"/>
              </w:rPr>
              <w:t>分</w:t>
            </w:r>
          </w:p>
        </w:tc>
        <w:tc>
          <w:tcPr>
            <w:tcW w:w="1752" w:type="dxa"/>
            <w:vAlign w:val="center"/>
          </w:tcPr>
          <w:p>
            <w:pPr>
              <w:spacing w:before="72" w:after="72"/>
              <w:jc w:val="center"/>
              <w:rPr>
                <w:rFonts w:ascii="宋体" w:hAnsi="宋体" w:cs="宋体"/>
                <w:color w:val="000000"/>
                <w:sz w:val="24"/>
              </w:rPr>
            </w:pPr>
            <w:r>
              <w:rPr>
                <w:rFonts w:hint="eastAsia" w:ascii="宋体" w:hAnsi="宋体" w:cs="宋体"/>
                <w:color w:val="000000"/>
                <w:sz w:val="24"/>
              </w:rPr>
              <w:t>100分</w:t>
            </w:r>
          </w:p>
        </w:tc>
      </w:tr>
    </w:tbl>
    <w:p>
      <w:pPr>
        <w:pStyle w:val="4"/>
        <w:adjustRightInd w:val="0"/>
        <w:snapToGrid w:val="0"/>
        <w:spacing w:before="120" w:beforeLines="50" w:after="0" w:line="360" w:lineRule="auto"/>
        <w:ind w:left="0" w:firstLine="0"/>
        <w:rPr>
          <w:rFonts w:hint="eastAsia" w:ascii="宋体" w:hAnsi="宋体"/>
          <w:color w:val="000000"/>
          <w:sz w:val="24"/>
          <w:szCs w:val="24"/>
        </w:rPr>
      </w:pPr>
      <w:bookmarkStart w:id="418" w:name="_Toc525057053"/>
      <w:bookmarkStart w:id="419" w:name="_Toc1436"/>
      <w:bookmarkStart w:id="420" w:name="_Toc15377"/>
      <w:bookmarkStart w:id="421" w:name="_Toc998"/>
      <w:bookmarkStart w:id="422" w:name="_Toc525057054"/>
      <w:bookmarkStart w:id="423" w:name="_Toc3723"/>
      <w:bookmarkStart w:id="424" w:name="_Toc18406"/>
      <w:bookmarkStart w:id="425" w:name="_Toc32545"/>
    </w:p>
    <w:p>
      <w:pPr>
        <w:pStyle w:val="4"/>
        <w:adjustRightInd w:val="0"/>
        <w:snapToGrid w:val="0"/>
        <w:spacing w:before="120" w:beforeLines="50" w:after="0" w:line="360" w:lineRule="auto"/>
        <w:ind w:left="0" w:firstLine="0"/>
        <w:rPr>
          <w:rFonts w:ascii="宋体" w:hAnsi="宋体"/>
          <w:color w:val="000000"/>
        </w:rPr>
      </w:pPr>
      <w:bookmarkStart w:id="426" w:name="_Toc86851543"/>
      <w:r>
        <w:rPr>
          <w:rFonts w:hint="eastAsia" w:ascii="宋体" w:hAnsi="宋体"/>
          <w:color w:val="000000"/>
          <w:sz w:val="24"/>
          <w:szCs w:val="24"/>
        </w:rPr>
        <w:t>附表4：商务评审表</w:t>
      </w:r>
      <w:bookmarkEnd w:id="426"/>
    </w:p>
    <w:tbl>
      <w:tblPr>
        <w:tblStyle w:val="42"/>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281"/>
        <w:gridCol w:w="6520"/>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440" w:lineRule="exact"/>
              <w:jc w:val="center"/>
              <w:rPr>
                <w:rFonts w:ascii="宋体" w:hAnsi="宋体"/>
                <w:b/>
                <w:color w:val="000000"/>
                <w:sz w:val="24"/>
              </w:rPr>
            </w:pPr>
            <w:r>
              <w:rPr>
                <w:rFonts w:hint="eastAsia" w:ascii="宋体" w:hAnsi="宋体"/>
                <w:b/>
                <w:color w:val="000000"/>
                <w:sz w:val="24"/>
              </w:rPr>
              <w:t>序号</w:t>
            </w:r>
          </w:p>
        </w:tc>
        <w:tc>
          <w:tcPr>
            <w:tcW w:w="1281" w:type="dxa"/>
            <w:tcBorders>
              <w:top w:val="single" w:color="auto" w:sz="4" w:space="0"/>
              <w:left w:val="nil"/>
              <w:bottom w:val="single" w:color="auto" w:sz="4" w:space="0"/>
              <w:right w:val="single" w:color="auto" w:sz="4" w:space="0"/>
            </w:tcBorders>
            <w:shd w:val="clear" w:color="auto" w:fill="D8D8D8"/>
            <w:vAlign w:val="center"/>
          </w:tcPr>
          <w:p>
            <w:pPr>
              <w:spacing w:line="440" w:lineRule="exact"/>
              <w:jc w:val="center"/>
              <w:rPr>
                <w:rFonts w:ascii="宋体" w:hAnsi="宋体"/>
                <w:b/>
                <w:color w:val="000000"/>
                <w:sz w:val="24"/>
              </w:rPr>
            </w:pPr>
            <w:r>
              <w:rPr>
                <w:rFonts w:hint="eastAsia" w:ascii="宋体" w:hAnsi="宋体"/>
                <w:b/>
                <w:color w:val="000000"/>
                <w:sz w:val="24"/>
              </w:rPr>
              <w:t>评分项目</w:t>
            </w:r>
          </w:p>
        </w:tc>
        <w:tc>
          <w:tcPr>
            <w:tcW w:w="6520" w:type="dxa"/>
            <w:tcBorders>
              <w:top w:val="single" w:color="auto" w:sz="4" w:space="0"/>
              <w:left w:val="nil"/>
              <w:bottom w:val="single" w:color="auto" w:sz="4" w:space="0"/>
              <w:right w:val="single" w:color="auto" w:sz="4" w:space="0"/>
            </w:tcBorders>
            <w:shd w:val="clear" w:color="auto" w:fill="D8D8D8"/>
            <w:vAlign w:val="center"/>
          </w:tcPr>
          <w:p>
            <w:pPr>
              <w:spacing w:line="440" w:lineRule="exact"/>
              <w:jc w:val="center"/>
              <w:rPr>
                <w:rFonts w:ascii="宋体" w:hAnsi="宋体"/>
                <w:b/>
                <w:color w:val="000000"/>
                <w:sz w:val="24"/>
              </w:rPr>
            </w:pPr>
            <w:r>
              <w:rPr>
                <w:rFonts w:hint="eastAsia" w:ascii="宋体" w:hAnsi="宋体"/>
                <w:b/>
                <w:color w:val="000000"/>
                <w:sz w:val="24"/>
              </w:rPr>
              <w:t>评分细则</w:t>
            </w:r>
          </w:p>
        </w:tc>
        <w:tc>
          <w:tcPr>
            <w:tcW w:w="903" w:type="dxa"/>
            <w:tcBorders>
              <w:top w:val="single" w:color="auto" w:sz="4" w:space="0"/>
              <w:left w:val="nil"/>
              <w:bottom w:val="single" w:color="auto" w:sz="4" w:space="0"/>
              <w:right w:val="single" w:color="auto" w:sz="4" w:space="0"/>
            </w:tcBorders>
            <w:shd w:val="clear" w:color="auto" w:fill="D8D8D8"/>
            <w:vAlign w:val="center"/>
          </w:tcPr>
          <w:p>
            <w:pPr>
              <w:spacing w:line="440" w:lineRule="exact"/>
              <w:jc w:val="center"/>
              <w:rPr>
                <w:rFonts w:ascii="宋体" w:hAnsi="宋体"/>
                <w:b/>
                <w:color w:val="000000"/>
                <w:sz w:val="24"/>
              </w:rPr>
            </w:pPr>
            <w:r>
              <w:rPr>
                <w:rFonts w:hint="eastAsia" w:ascii="宋体" w:hAnsi="宋体"/>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1</w:t>
            </w:r>
          </w:p>
        </w:tc>
        <w:tc>
          <w:tcPr>
            <w:tcW w:w="1281" w:type="dxa"/>
            <w:tcBorders>
              <w:top w:val="single" w:color="111111" w:sz="6" w:space="0"/>
              <w:left w:val="single" w:color="111111" w:sz="6" w:space="0"/>
              <w:bottom w:val="single" w:color="111111" w:sz="6" w:space="0"/>
              <w:right w:val="single" w:color="111111" w:sz="6" w:space="0"/>
            </w:tcBorders>
            <w:vAlign w:val="center"/>
          </w:tcPr>
          <w:p>
            <w:pPr>
              <w:autoSpaceDE w:val="0"/>
              <w:autoSpaceDN w:val="0"/>
              <w:adjustRightInd w:val="0"/>
              <w:snapToGrid w:val="0"/>
              <w:spacing w:line="440" w:lineRule="exact"/>
              <w:jc w:val="center"/>
              <w:rPr>
                <w:rFonts w:ascii="宋体" w:hAnsi="宋体" w:cs="Times New Roman"/>
                <w:color w:val="000000"/>
                <w:sz w:val="24"/>
              </w:rPr>
            </w:pPr>
            <w:r>
              <w:rPr>
                <w:rFonts w:hint="eastAsia" w:ascii="宋体" w:hAnsi="宋体" w:cs="Times New Roman"/>
                <w:color w:val="000000"/>
                <w:sz w:val="24"/>
              </w:rPr>
              <w:t>同类项目经验</w:t>
            </w:r>
          </w:p>
        </w:tc>
        <w:tc>
          <w:tcPr>
            <w:tcW w:w="6520" w:type="dxa"/>
            <w:tcBorders>
              <w:top w:val="single" w:color="111111" w:sz="6" w:space="0"/>
              <w:left w:val="nil"/>
              <w:bottom w:val="single" w:color="111111" w:sz="6" w:space="0"/>
              <w:right w:val="single" w:color="111111" w:sz="6" w:space="0"/>
            </w:tcBorders>
            <w:vAlign w:val="center"/>
          </w:tcPr>
          <w:p>
            <w:pPr>
              <w:spacing w:line="440" w:lineRule="exact"/>
              <w:rPr>
                <w:rFonts w:hint="eastAsia" w:ascii="宋体" w:hAnsi="宋体" w:cs="宋体"/>
                <w:color w:val="000000"/>
                <w:sz w:val="24"/>
              </w:rPr>
            </w:pPr>
            <w:r>
              <w:rPr>
                <w:rFonts w:hint="eastAsia" w:ascii="宋体" w:hAnsi="宋体" w:cs="宋体"/>
                <w:color w:val="000000"/>
                <w:sz w:val="24"/>
              </w:rPr>
              <w:t>报价人自201</w:t>
            </w:r>
            <w:r>
              <w:rPr>
                <w:rFonts w:ascii="宋体" w:hAnsi="宋体" w:cs="宋体"/>
                <w:color w:val="000000"/>
                <w:sz w:val="24"/>
              </w:rPr>
              <w:t>8</w:t>
            </w:r>
            <w:r>
              <w:rPr>
                <w:rFonts w:hint="eastAsia" w:ascii="宋体" w:hAnsi="宋体" w:cs="宋体"/>
                <w:color w:val="000000"/>
                <w:sz w:val="24"/>
              </w:rPr>
              <w:t>年1月1日至磋商截止之日前（以合同签订时间为准）完成的同类项目合同业绩，每提供一个得1</w:t>
            </w:r>
            <w:r>
              <w:rPr>
                <w:rFonts w:ascii="宋体" w:hAnsi="宋体" w:cs="宋体"/>
                <w:color w:val="000000"/>
                <w:sz w:val="24"/>
              </w:rPr>
              <w:t>.5</w:t>
            </w:r>
            <w:r>
              <w:rPr>
                <w:rFonts w:hint="eastAsia" w:ascii="宋体" w:hAnsi="宋体" w:cs="宋体"/>
                <w:color w:val="000000"/>
                <w:sz w:val="24"/>
              </w:rPr>
              <w:t>分，最高得</w:t>
            </w:r>
            <w:r>
              <w:rPr>
                <w:rFonts w:ascii="宋体" w:hAnsi="宋体" w:cs="宋体"/>
                <w:color w:val="000000"/>
                <w:sz w:val="24"/>
              </w:rPr>
              <w:t>6</w:t>
            </w:r>
            <w:r>
              <w:rPr>
                <w:rFonts w:hint="eastAsia" w:ascii="宋体" w:hAnsi="宋体" w:cs="宋体"/>
                <w:color w:val="000000"/>
                <w:sz w:val="24"/>
              </w:rPr>
              <w:t>分。</w:t>
            </w:r>
          </w:p>
          <w:p>
            <w:pPr>
              <w:spacing w:line="440" w:lineRule="exact"/>
              <w:rPr>
                <w:rFonts w:hAnsi="宋体"/>
                <w:color w:val="000000"/>
                <w:sz w:val="24"/>
              </w:rPr>
            </w:pPr>
            <w:r>
              <w:rPr>
                <w:rFonts w:hint="eastAsia" w:ascii="宋体" w:hAnsi="宋体" w:cs="宋体"/>
                <w:color w:val="000000"/>
                <w:sz w:val="24"/>
              </w:rPr>
              <w:t>注：须提供合同复印件并加盖报价人公章，无提供不得分。</w:t>
            </w:r>
          </w:p>
        </w:tc>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Times New Roman"/>
                <w:color w:val="000000"/>
                <w:sz w:val="24"/>
              </w:rPr>
            </w:pPr>
            <w:r>
              <w:rPr>
                <w:rFonts w:ascii="宋体" w:hAnsi="宋体" w:cs="Times New Roman"/>
                <w:color w:val="000000"/>
                <w:sz w:val="24"/>
              </w:rPr>
              <w:t>6</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sz w:val="24"/>
              </w:rPr>
            </w:pPr>
            <w:r>
              <w:rPr>
                <w:rFonts w:ascii="宋体" w:hAnsi="宋体"/>
                <w:color w:val="000000"/>
                <w:sz w:val="24"/>
              </w:rPr>
              <w:t>2</w:t>
            </w:r>
          </w:p>
        </w:tc>
        <w:tc>
          <w:tcPr>
            <w:tcW w:w="1281" w:type="dxa"/>
            <w:tcBorders>
              <w:top w:val="single" w:color="111111" w:sz="6" w:space="0"/>
              <w:left w:val="single" w:color="111111" w:sz="6" w:space="0"/>
              <w:bottom w:val="single" w:color="111111" w:sz="6" w:space="0"/>
              <w:right w:val="single" w:color="111111" w:sz="6" w:space="0"/>
            </w:tcBorders>
            <w:vAlign w:val="center"/>
          </w:tcPr>
          <w:p>
            <w:pPr>
              <w:spacing w:line="440" w:lineRule="exact"/>
              <w:ind w:left="126" w:leftChars="60"/>
              <w:jc w:val="center"/>
              <w:rPr>
                <w:rFonts w:hint="eastAsia" w:ascii="宋体" w:hAnsi="宋体"/>
                <w:bCs/>
                <w:color w:val="000000"/>
                <w:sz w:val="24"/>
              </w:rPr>
            </w:pPr>
            <w:r>
              <w:rPr>
                <w:rFonts w:hint="eastAsia" w:ascii="宋体" w:hAnsi="宋体"/>
                <w:bCs/>
                <w:color w:val="000000"/>
                <w:sz w:val="24"/>
              </w:rPr>
              <w:t>企业认证情况</w:t>
            </w:r>
          </w:p>
        </w:tc>
        <w:tc>
          <w:tcPr>
            <w:tcW w:w="6520" w:type="dxa"/>
            <w:tcBorders>
              <w:top w:val="single" w:color="111111" w:sz="6" w:space="0"/>
              <w:left w:val="nil"/>
              <w:bottom w:val="single" w:color="111111" w:sz="6" w:space="0"/>
              <w:right w:val="single" w:color="111111" w:sz="6" w:space="0"/>
            </w:tcBorders>
            <w:vAlign w:val="center"/>
          </w:tcPr>
          <w:p>
            <w:pPr>
              <w:spacing w:line="440" w:lineRule="exact"/>
              <w:rPr>
                <w:rFonts w:ascii="宋体" w:hAnsi="宋体" w:cs="宋体"/>
                <w:color w:val="000000"/>
                <w:sz w:val="24"/>
              </w:rPr>
            </w:pPr>
            <w:r>
              <w:rPr>
                <w:rFonts w:hint="eastAsia" w:ascii="宋体" w:hAnsi="宋体" w:cs="宋体"/>
                <w:color w:val="000000"/>
                <w:sz w:val="24"/>
              </w:rPr>
              <w:t>具有质量管理体系认证证书，得</w:t>
            </w:r>
            <w:r>
              <w:rPr>
                <w:rFonts w:ascii="宋体" w:hAnsi="宋体" w:cs="宋体"/>
                <w:color w:val="000000"/>
                <w:sz w:val="24"/>
              </w:rPr>
              <w:t>3</w:t>
            </w:r>
            <w:r>
              <w:rPr>
                <w:rFonts w:hint="eastAsia" w:ascii="宋体" w:hAnsi="宋体" w:cs="宋体"/>
                <w:color w:val="000000"/>
                <w:sz w:val="24"/>
              </w:rPr>
              <w:t>分；</w:t>
            </w:r>
          </w:p>
          <w:p>
            <w:pPr>
              <w:spacing w:line="440" w:lineRule="exact"/>
              <w:rPr>
                <w:rFonts w:ascii="宋体" w:hAnsi="宋体" w:cs="宋体"/>
                <w:color w:val="000000"/>
                <w:sz w:val="24"/>
              </w:rPr>
            </w:pPr>
            <w:r>
              <w:rPr>
                <w:rFonts w:hint="eastAsia" w:ascii="宋体" w:hAnsi="宋体" w:cs="宋体"/>
                <w:color w:val="000000"/>
                <w:sz w:val="24"/>
              </w:rPr>
              <w:t>具有环境管理体系认证证书，得</w:t>
            </w:r>
            <w:r>
              <w:rPr>
                <w:rFonts w:ascii="宋体" w:hAnsi="宋体" w:cs="宋体"/>
                <w:color w:val="000000"/>
                <w:sz w:val="24"/>
              </w:rPr>
              <w:t>3</w:t>
            </w:r>
            <w:r>
              <w:rPr>
                <w:rFonts w:hint="eastAsia" w:ascii="宋体" w:hAnsi="宋体" w:cs="宋体"/>
                <w:color w:val="000000"/>
                <w:sz w:val="24"/>
              </w:rPr>
              <w:t>分；</w:t>
            </w:r>
          </w:p>
          <w:p>
            <w:pPr>
              <w:spacing w:line="440" w:lineRule="exact"/>
              <w:rPr>
                <w:rFonts w:ascii="宋体" w:hAnsi="宋体" w:cs="宋体"/>
                <w:color w:val="000000"/>
                <w:sz w:val="24"/>
              </w:rPr>
            </w:pPr>
            <w:r>
              <w:rPr>
                <w:rFonts w:hint="eastAsia" w:ascii="宋体" w:hAnsi="宋体" w:cs="宋体"/>
                <w:color w:val="000000"/>
                <w:sz w:val="24"/>
              </w:rPr>
              <w:t>具有职业健康安全管理体系认证证书，得</w:t>
            </w:r>
            <w:r>
              <w:rPr>
                <w:rFonts w:ascii="宋体" w:hAnsi="宋体" w:cs="宋体"/>
                <w:color w:val="000000"/>
                <w:sz w:val="24"/>
              </w:rPr>
              <w:t>3</w:t>
            </w:r>
            <w:r>
              <w:rPr>
                <w:rFonts w:hint="eastAsia" w:ascii="宋体" w:hAnsi="宋体" w:cs="宋体"/>
                <w:color w:val="000000"/>
                <w:sz w:val="24"/>
              </w:rPr>
              <w:t>分；</w:t>
            </w:r>
          </w:p>
          <w:p>
            <w:pPr>
              <w:spacing w:line="440" w:lineRule="exact"/>
              <w:rPr>
                <w:rFonts w:hint="eastAsia" w:ascii="宋体" w:hAnsi="宋体" w:cs="宋体"/>
                <w:color w:val="000000"/>
                <w:sz w:val="24"/>
              </w:rPr>
            </w:pPr>
            <w:r>
              <w:rPr>
                <w:rFonts w:hint="eastAsia" w:ascii="宋体" w:hAnsi="宋体" w:cs="宋体"/>
                <w:color w:val="000000"/>
                <w:sz w:val="24"/>
              </w:rPr>
              <w:t>提供有效期内证书复印件加盖公章，未提供不得分。</w:t>
            </w:r>
          </w:p>
        </w:tc>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Times New Roman"/>
                <w:color w:val="000000"/>
                <w:sz w:val="24"/>
              </w:rPr>
            </w:pPr>
            <w:r>
              <w:rPr>
                <w:rFonts w:ascii="宋体" w:hAnsi="宋体" w:cs="Times New Roman"/>
                <w:color w:val="000000"/>
                <w:sz w:val="24"/>
              </w:rPr>
              <w:t>9</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sz w:val="24"/>
              </w:rPr>
            </w:pPr>
            <w:r>
              <w:rPr>
                <w:rFonts w:ascii="宋体" w:hAnsi="宋体"/>
                <w:color w:val="000000"/>
                <w:sz w:val="24"/>
              </w:rPr>
              <w:t>3</w:t>
            </w:r>
          </w:p>
        </w:tc>
        <w:tc>
          <w:tcPr>
            <w:tcW w:w="1281" w:type="dxa"/>
            <w:tcBorders>
              <w:top w:val="single" w:color="111111" w:sz="6" w:space="0"/>
              <w:left w:val="single" w:color="111111" w:sz="6" w:space="0"/>
              <w:bottom w:val="single" w:color="111111" w:sz="6" w:space="0"/>
              <w:right w:val="single" w:color="111111" w:sz="6" w:space="0"/>
            </w:tcBorders>
            <w:vAlign w:val="center"/>
          </w:tcPr>
          <w:p>
            <w:pPr>
              <w:spacing w:line="440" w:lineRule="exact"/>
              <w:ind w:left="126" w:leftChars="60"/>
              <w:jc w:val="center"/>
              <w:rPr>
                <w:rFonts w:hint="eastAsia" w:ascii="宋体" w:hAnsi="宋体"/>
                <w:bCs/>
                <w:color w:val="000000"/>
                <w:sz w:val="24"/>
              </w:rPr>
            </w:pPr>
            <w:r>
              <w:rPr>
                <w:rFonts w:hint="eastAsia" w:ascii="宋体" w:hAnsi="宋体"/>
                <w:bCs/>
                <w:color w:val="000000"/>
                <w:sz w:val="24"/>
              </w:rPr>
              <w:t>售后服务响应</w:t>
            </w:r>
          </w:p>
        </w:tc>
        <w:tc>
          <w:tcPr>
            <w:tcW w:w="6520" w:type="dxa"/>
            <w:tcBorders>
              <w:top w:val="single" w:color="111111" w:sz="6" w:space="0"/>
              <w:left w:val="nil"/>
              <w:bottom w:val="single" w:color="111111" w:sz="6" w:space="0"/>
              <w:right w:val="single" w:color="111111" w:sz="6" w:space="0"/>
            </w:tcBorders>
            <w:vAlign w:val="center"/>
          </w:tcPr>
          <w:p>
            <w:pPr>
              <w:spacing w:line="440" w:lineRule="exact"/>
              <w:rPr>
                <w:rFonts w:ascii="宋体" w:hAnsi="宋体" w:cs="宋体"/>
                <w:color w:val="000000"/>
                <w:sz w:val="24"/>
              </w:rPr>
            </w:pPr>
            <w:r>
              <w:rPr>
                <w:rFonts w:hint="eastAsia" w:ascii="宋体" w:hAnsi="宋体" w:cs="宋体"/>
                <w:color w:val="000000"/>
                <w:sz w:val="24"/>
              </w:rPr>
              <w:t>根据投标人响应承诺，以下全部满足或优于得</w:t>
            </w:r>
            <w:r>
              <w:rPr>
                <w:rFonts w:ascii="宋体" w:hAnsi="宋体" w:cs="宋体"/>
                <w:color w:val="000000"/>
                <w:sz w:val="24"/>
              </w:rPr>
              <w:t>10</w:t>
            </w:r>
            <w:r>
              <w:rPr>
                <w:rFonts w:hint="eastAsia" w:ascii="宋体" w:hAnsi="宋体" w:cs="宋体"/>
                <w:color w:val="000000"/>
                <w:sz w:val="24"/>
              </w:rPr>
              <w:t>分，其他0分。</w:t>
            </w:r>
          </w:p>
          <w:p>
            <w:pPr>
              <w:spacing w:line="440" w:lineRule="exact"/>
              <w:rPr>
                <w:rFonts w:ascii="宋体" w:hAnsi="宋体" w:cs="宋体"/>
                <w:color w:val="000000"/>
                <w:sz w:val="24"/>
              </w:rPr>
            </w:pPr>
            <w:r>
              <w:rPr>
                <w:rFonts w:hint="eastAsia" w:ascii="宋体" w:hAnsi="宋体" w:cs="宋体"/>
                <w:color w:val="000000"/>
                <w:sz w:val="24"/>
              </w:rPr>
              <w:t>响应时间：5分</w:t>
            </w:r>
            <w:r>
              <w:rPr>
                <w:rFonts w:ascii="宋体" w:hAnsi="宋体" w:cs="宋体"/>
                <w:color w:val="000000"/>
                <w:sz w:val="24"/>
              </w:rPr>
              <w:t>钟内</w:t>
            </w:r>
            <w:r>
              <w:rPr>
                <w:rFonts w:hint="eastAsia" w:ascii="宋体" w:hAnsi="宋体" w:cs="宋体"/>
                <w:color w:val="000000"/>
                <w:sz w:val="24"/>
              </w:rPr>
              <w:t>；</w:t>
            </w:r>
          </w:p>
          <w:p>
            <w:pPr>
              <w:spacing w:line="440" w:lineRule="exact"/>
              <w:rPr>
                <w:rFonts w:ascii="宋体" w:hAnsi="宋体" w:cs="宋体"/>
                <w:color w:val="000000"/>
                <w:sz w:val="24"/>
              </w:rPr>
            </w:pPr>
            <w:r>
              <w:rPr>
                <w:rFonts w:hint="eastAsia" w:ascii="宋体" w:hAnsi="宋体" w:cs="宋体"/>
                <w:color w:val="000000"/>
                <w:sz w:val="24"/>
              </w:rPr>
              <w:t>到场时间：</w:t>
            </w:r>
            <w:r>
              <w:rPr>
                <w:rFonts w:ascii="宋体" w:hAnsi="宋体" w:cs="宋体"/>
                <w:color w:val="000000"/>
                <w:sz w:val="24"/>
              </w:rPr>
              <w:t>30</w:t>
            </w:r>
            <w:r>
              <w:rPr>
                <w:rFonts w:hint="eastAsia" w:ascii="宋体" w:hAnsi="宋体" w:cs="宋体"/>
                <w:color w:val="000000"/>
                <w:sz w:val="24"/>
              </w:rPr>
              <w:t>分钟；</w:t>
            </w:r>
          </w:p>
          <w:p>
            <w:pPr>
              <w:spacing w:line="440" w:lineRule="exact"/>
              <w:rPr>
                <w:rFonts w:ascii="宋体" w:hAnsi="宋体" w:cs="宋体"/>
                <w:color w:val="000000"/>
                <w:sz w:val="24"/>
              </w:rPr>
            </w:pPr>
            <w:r>
              <w:rPr>
                <w:rFonts w:hint="eastAsia" w:ascii="宋体" w:hAnsi="宋体" w:cs="宋体"/>
                <w:color w:val="000000"/>
                <w:sz w:val="24"/>
              </w:rPr>
              <w:t>系</w:t>
            </w:r>
            <w:r>
              <w:rPr>
                <w:rFonts w:ascii="宋体" w:hAnsi="宋体" w:cs="宋体"/>
                <w:color w:val="000000"/>
                <w:sz w:val="24"/>
              </w:rPr>
              <w:t>统涉</w:t>
            </w:r>
            <w:r>
              <w:rPr>
                <w:rFonts w:hint="eastAsia" w:ascii="宋体" w:hAnsi="宋体" w:cs="宋体"/>
                <w:color w:val="000000"/>
                <w:sz w:val="24"/>
              </w:rPr>
              <w:t>及采购人关键业</w:t>
            </w:r>
            <w:r>
              <w:rPr>
                <w:rFonts w:ascii="宋体" w:hAnsi="宋体" w:cs="宋体"/>
                <w:color w:val="000000"/>
                <w:sz w:val="24"/>
              </w:rPr>
              <w:t>务运作，需在</w:t>
            </w:r>
            <w:r>
              <w:rPr>
                <w:rFonts w:hint="eastAsia" w:ascii="宋体" w:hAnsi="宋体" w:cs="宋体"/>
                <w:color w:val="000000"/>
                <w:sz w:val="24"/>
              </w:rPr>
              <w:t>15</w:t>
            </w:r>
            <w:r>
              <w:rPr>
                <w:rFonts w:ascii="宋体" w:hAnsi="宋体" w:cs="宋体"/>
                <w:color w:val="000000"/>
                <w:sz w:val="24"/>
              </w:rPr>
              <w:t>分钟</w:t>
            </w:r>
            <w:r>
              <w:rPr>
                <w:rFonts w:hint="eastAsia" w:ascii="宋体" w:hAnsi="宋体" w:cs="宋体"/>
                <w:color w:val="000000"/>
                <w:sz w:val="24"/>
              </w:rPr>
              <w:t>内</w:t>
            </w:r>
            <w:r>
              <w:rPr>
                <w:rFonts w:ascii="宋体" w:hAnsi="宋体" w:cs="宋体"/>
                <w:color w:val="000000"/>
                <w:sz w:val="24"/>
              </w:rPr>
              <w:t>到场处理</w:t>
            </w:r>
            <w:r>
              <w:rPr>
                <w:rFonts w:hint="eastAsia" w:ascii="宋体" w:hAnsi="宋体" w:cs="宋体"/>
                <w:color w:val="000000"/>
                <w:sz w:val="24"/>
              </w:rPr>
              <w:t>故障；</w:t>
            </w:r>
          </w:p>
          <w:p>
            <w:pPr>
              <w:spacing w:line="440" w:lineRule="exact"/>
              <w:rPr>
                <w:rFonts w:ascii="宋体" w:hAnsi="宋体" w:cs="宋体"/>
                <w:color w:val="000000"/>
                <w:sz w:val="24"/>
              </w:rPr>
            </w:pPr>
            <w:r>
              <w:rPr>
                <w:rFonts w:hint="eastAsia" w:ascii="宋体" w:hAnsi="宋体" w:cs="宋体"/>
                <w:color w:val="000000"/>
                <w:sz w:val="24"/>
              </w:rPr>
              <w:t>影响到业务正常开展的故障，在工作日内2个小时内解决；</w:t>
            </w:r>
          </w:p>
          <w:p>
            <w:pPr>
              <w:spacing w:line="440" w:lineRule="exact"/>
              <w:rPr>
                <w:rFonts w:ascii="宋体" w:hAnsi="宋体" w:cs="宋体"/>
                <w:color w:val="000000"/>
                <w:sz w:val="24"/>
              </w:rPr>
            </w:pPr>
            <w:r>
              <w:rPr>
                <w:rFonts w:hint="eastAsia" w:ascii="宋体" w:hAnsi="宋体" w:cs="宋体"/>
                <w:color w:val="000000"/>
                <w:sz w:val="24"/>
              </w:rPr>
              <w:t>不影响业务正常开展的故障，在工作日内4个小时内解决。</w:t>
            </w:r>
          </w:p>
          <w:p>
            <w:pPr>
              <w:spacing w:line="440" w:lineRule="exact"/>
              <w:rPr>
                <w:rFonts w:hint="eastAsia" w:ascii="宋体" w:hAnsi="宋体" w:cs="宋体"/>
                <w:color w:val="000000"/>
                <w:sz w:val="24"/>
              </w:rPr>
            </w:pPr>
            <w:r>
              <w:rPr>
                <w:rFonts w:hint="eastAsia" w:ascii="宋体" w:hAnsi="宋体" w:cs="宋体"/>
                <w:color w:val="000000"/>
                <w:sz w:val="24"/>
              </w:rPr>
              <w:t>注：提供加盖投标人公章的承诺函（格式自定）。</w:t>
            </w:r>
          </w:p>
        </w:tc>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Times New Roman"/>
                <w:color w:val="000000"/>
                <w:sz w:val="24"/>
              </w:rPr>
            </w:pPr>
            <w:r>
              <w:rPr>
                <w:rFonts w:ascii="宋体" w:hAnsi="宋体" w:cs="Times New Roman"/>
                <w:color w:val="000000"/>
                <w:sz w:val="24"/>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861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合计</w:t>
            </w:r>
          </w:p>
        </w:tc>
        <w:tc>
          <w:tcPr>
            <w:tcW w:w="90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25</w:t>
            </w:r>
            <w:r>
              <w:rPr>
                <w:rFonts w:hint="eastAsia" w:ascii="宋体" w:hAnsi="宋体"/>
                <w:color w:val="000000"/>
                <w:sz w:val="24"/>
              </w:rPr>
              <w:t>分</w:t>
            </w:r>
          </w:p>
        </w:tc>
      </w:tr>
    </w:tbl>
    <w:p>
      <w:pPr>
        <w:adjustRightInd w:val="0"/>
        <w:snapToGrid w:val="0"/>
        <w:spacing w:line="360" w:lineRule="auto"/>
        <w:rPr>
          <w:rFonts w:ascii="宋体" w:hAnsi="宋体" w:cs="宋体"/>
          <w:color w:val="000000"/>
          <w:sz w:val="24"/>
        </w:rPr>
      </w:pPr>
      <w:r>
        <w:rPr>
          <w:rFonts w:hint="eastAsia" w:ascii="宋体" w:hAnsi="宋体" w:cs="宋体"/>
          <w:color w:val="000000"/>
          <w:sz w:val="24"/>
        </w:rPr>
        <w:t>注：</w:t>
      </w:r>
    </w:p>
    <w:p>
      <w:pPr>
        <w:numPr>
          <w:ilvl w:val="0"/>
          <w:numId w:val="99"/>
        </w:numPr>
        <w:adjustRightInd w:val="0"/>
        <w:snapToGrid w:val="0"/>
        <w:spacing w:line="360" w:lineRule="auto"/>
        <w:rPr>
          <w:rFonts w:ascii="宋体" w:hAnsi="宋体" w:cs="宋体"/>
          <w:color w:val="000000"/>
          <w:sz w:val="24"/>
        </w:rPr>
      </w:pPr>
      <w:r>
        <w:rPr>
          <w:rFonts w:hint="eastAsia" w:ascii="宋体" w:hAnsi="宋体" w:cs="宋体"/>
          <w:color w:val="000000"/>
          <w:sz w:val="24"/>
        </w:rPr>
        <w:t>上表中要求提供证明材料的，供应商必须按要求提供并加盖公章，否则计0分。</w:t>
      </w:r>
    </w:p>
    <w:p>
      <w:pPr>
        <w:numPr>
          <w:ilvl w:val="0"/>
          <w:numId w:val="99"/>
        </w:numPr>
        <w:adjustRightInd w:val="0"/>
        <w:snapToGrid w:val="0"/>
        <w:spacing w:line="360" w:lineRule="auto"/>
        <w:rPr>
          <w:rFonts w:ascii="宋体" w:hAnsi="宋体" w:cs="宋体"/>
          <w:color w:val="000000"/>
          <w:sz w:val="24"/>
        </w:rPr>
      </w:pPr>
      <w:r>
        <w:rPr>
          <w:rFonts w:hint="eastAsia" w:ascii="宋体" w:hAnsi="宋体" w:cs="宋体"/>
          <w:color w:val="000000"/>
          <w:sz w:val="24"/>
        </w:rPr>
        <w:t>各评委按规定的范围内进行量化打分，并统计总分。</w:t>
      </w:r>
    </w:p>
    <w:p>
      <w:pPr>
        <w:pStyle w:val="4"/>
        <w:adjustRightInd w:val="0"/>
        <w:snapToGrid w:val="0"/>
        <w:spacing w:before="120" w:beforeLines="50" w:after="0" w:line="360" w:lineRule="auto"/>
        <w:ind w:left="0" w:firstLine="0"/>
        <w:rPr>
          <w:rFonts w:hint="eastAsia" w:ascii="宋体" w:hAnsi="宋体"/>
          <w:color w:val="000000"/>
          <w:sz w:val="24"/>
          <w:szCs w:val="24"/>
        </w:rPr>
      </w:pPr>
      <w:r>
        <w:rPr>
          <w:rFonts w:ascii="宋体" w:hAnsi="宋体"/>
          <w:color w:val="000000"/>
          <w:sz w:val="24"/>
          <w:szCs w:val="24"/>
        </w:rPr>
        <w:br w:type="page"/>
      </w:r>
      <w:bookmarkStart w:id="427" w:name="_Toc86851544"/>
      <w:r>
        <w:rPr>
          <w:rFonts w:hint="eastAsia" w:ascii="宋体" w:hAnsi="宋体"/>
          <w:color w:val="000000"/>
          <w:sz w:val="24"/>
          <w:szCs w:val="24"/>
        </w:rPr>
        <w:t>附表5：技术评审表</w:t>
      </w:r>
      <w:bookmarkEnd w:id="418"/>
      <w:bookmarkEnd w:id="419"/>
      <w:bookmarkEnd w:id="420"/>
      <w:bookmarkEnd w:id="421"/>
      <w:bookmarkEnd w:id="427"/>
    </w:p>
    <w:tbl>
      <w:tblPr>
        <w:tblStyle w:val="42"/>
        <w:tblW w:w="9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28"/>
        <w:gridCol w:w="1407"/>
        <w:gridCol w:w="620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49" w:hRule="atLeast"/>
          <w:tblHeader/>
          <w:jc w:val="center"/>
        </w:trPr>
        <w:tc>
          <w:tcPr>
            <w:tcW w:w="828" w:type="dxa"/>
            <w:shd w:val="clear" w:color="auto" w:fill="E0E0E0"/>
            <w:vAlign w:val="center"/>
          </w:tcPr>
          <w:p>
            <w:pPr>
              <w:snapToGrid w:val="0"/>
              <w:jc w:val="center"/>
              <w:rPr>
                <w:rFonts w:ascii="宋体" w:hAnsi="宋体" w:cs="Times New Roman"/>
                <w:b/>
                <w:color w:val="000000"/>
                <w:sz w:val="24"/>
              </w:rPr>
            </w:pPr>
            <w:r>
              <w:rPr>
                <w:rFonts w:hint="eastAsia" w:ascii="宋体" w:hAnsi="宋体" w:cs="Times New Roman"/>
                <w:b/>
                <w:color w:val="000000"/>
                <w:sz w:val="24"/>
              </w:rPr>
              <w:t>序号</w:t>
            </w:r>
          </w:p>
        </w:tc>
        <w:tc>
          <w:tcPr>
            <w:tcW w:w="1407" w:type="dxa"/>
            <w:shd w:val="clear" w:color="auto" w:fill="E0E0E0"/>
            <w:vAlign w:val="center"/>
          </w:tcPr>
          <w:p>
            <w:pPr>
              <w:snapToGrid w:val="0"/>
              <w:jc w:val="center"/>
              <w:rPr>
                <w:rFonts w:ascii="宋体" w:hAnsi="宋体" w:cs="Times New Roman"/>
                <w:b/>
                <w:color w:val="000000"/>
                <w:sz w:val="24"/>
              </w:rPr>
            </w:pPr>
            <w:r>
              <w:rPr>
                <w:rFonts w:ascii="宋体" w:hAnsi="宋体" w:cs="Times New Roman"/>
                <w:b/>
                <w:color w:val="000000"/>
                <w:sz w:val="24"/>
              </w:rPr>
              <w:t>评审项目</w:t>
            </w:r>
          </w:p>
        </w:tc>
        <w:tc>
          <w:tcPr>
            <w:tcW w:w="6200" w:type="dxa"/>
            <w:shd w:val="clear" w:color="auto" w:fill="E0E0E0"/>
            <w:vAlign w:val="center"/>
          </w:tcPr>
          <w:p>
            <w:pPr>
              <w:snapToGrid w:val="0"/>
              <w:jc w:val="center"/>
              <w:rPr>
                <w:rFonts w:ascii="宋体" w:hAnsi="宋体" w:cs="Times New Roman"/>
                <w:b/>
                <w:color w:val="000000"/>
                <w:sz w:val="24"/>
              </w:rPr>
            </w:pPr>
            <w:r>
              <w:rPr>
                <w:rFonts w:ascii="宋体" w:hAnsi="宋体" w:cs="Times New Roman"/>
                <w:b/>
                <w:color w:val="000000"/>
                <w:sz w:val="24"/>
              </w:rPr>
              <w:t>评分标准</w:t>
            </w:r>
          </w:p>
        </w:tc>
        <w:tc>
          <w:tcPr>
            <w:tcW w:w="886" w:type="dxa"/>
            <w:shd w:val="clear" w:color="auto" w:fill="E0E0E0"/>
            <w:vAlign w:val="center"/>
          </w:tcPr>
          <w:p>
            <w:pPr>
              <w:widowControl/>
              <w:snapToGrid w:val="0"/>
              <w:jc w:val="center"/>
              <w:rPr>
                <w:rFonts w:ascii="宋体" w:hAnsi="宋体" w:cs="Times New Roman"/>
                <w:b/>
                <w:color w:val="000000"/>
                <w:sz w:val="24"/>
              </w:rPr>
            </w:pPr>
            <w:r>
              <w:rPr>
                <w:rFonts w:ascii="宋体" w:hAnsi="宋体" w:cs="Times New Roman"/>
                <w:b/>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828" w:type="dxa"/>
            <w:vAlign w:val="center"/>
          </w:tcPr>
          <w:p>
            <w:pPr>
              <w:pStyle w:val="62"/>
              <w:widowControl w:val="0"/>
              <w:spacing w:line="440" w:lineRule="exact"/>
              <w:jc w:val="center"/>
              <w:rPr>
                <w:rFonts w:ascii="宋体" w:hAnsi="宋体"/>
                <w:color w:val="000000"/>
                <w:sz w:val="24"/>
                <w:szCs w:val="24"/>
              </w:rPr>
            </w:pPr>
            <w:r>
              <w:rPr>
                <w:rFonts w:hint="eastAsia" w:ascii="宋体" w:hAnsi="宋体"/>
                <w:color w:val="000000"/>
                <w:sz w:val="24"/>
                <w:szCs w:val="24"/>
              </w:rPr>
              <w:t>1</w:t>
            </w:r>
          </w:p>
        </w:tc>
        <w:tc>
          <w:tcPr>
            <w:tcW w:w="1407"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技术方案</w:t>
            </w:r>
          </w:p>
        </w:tc>
        <w:tc>
          <w:tcPr>
            <w:tcW w:w="6200" w:type="dxa"/>
            <w:vAlign w:val="top"/>
          </w:tcPr>
          <w:p>
            <w:pPr>
              <w:widowControl/>
              <w:jc w:val="left"/>
              <w:rPr>
                <w:rFonts w:ascii="宋体" w:hAnsi="宋体" w:cs="宋体"/>
                <w:color w:val="000000"/>
                <w:kern w:val="0"/>
                <w:sz w:val="24"/>
              </w:rPr>
            </w:pPr>
            <w:r>
              <w:rPr>
                <w:rFonts w:hint="eastAsia" w:ascii="宋体" w:hAnsi="宋体" w:cs="宋体"/>
                <w:color w:val="000000"/>
                <w:kern w:val="0"/>
                <w:sz w:val="24"/>
              </w:rPr>
              <w:t>①技术方案科学合理，方案具体、针对性强，与原系统保留的设备融合性强，得20分；</w:t>
            </w:r>
          </w:p>
          <w:p>
            <w:pPr>
              <w:widowControl/>
              <w:jc w:val="left"/>
              <w:rPr>
                <w:rFonts w:ascii="宋体" w:hAnsi="宋体" w:cs="宋体"/>
                <w:color w:val="000000"/>
                <w:kern w:val="0"/>
                <w:sz w:val="24"/>
              </w:rPr>
            </w:pPr>
            <w:r>
              <w:rPr>
                <w:rFonts w:hint="eastAsia" w:ascii="宋体" w:hAnsi="宋体" w:cs="宋体"/>
                <w:color w:val="000000"/>
                <w:kern w:val="0"/>
                <w:sz w:val="24"/>
              </w:rPr>
              <w:t>②技术方案基本合理，方案基本完整、具有针对性，与原系统保留的设备基本融合性，得1</w:t>
            </w:r>
            <w:r>
              <w:rPr>
                <w:rFonts w:ascii="宋体" w:hAnsi="宋体" w:cs="宋体"/>
                <w:color w:val="000000"/>
                <w:kern w:val="0"/>
                <w:sz w:val="24"/>
              </w:rPr>
              <w:t>2</w:t>
            </w:r>
            <w:r>
              <w:rPr>
                <w:rFonts w:hint="eastAsia" w:ascii="宋体" w:hAnsi="宋体" w:cs="宋体"/>
                <w:color w:val="000000"/>
                <w:kern w:val="0"/>
                <w:sz w:val="24"/>
              </w:rPr>
              <w:t>分；</w:t>
            </w:r>
          </w:p>
          <w:p>
            <w:pPr>
              <w:widowControl/>
              <w:jc w:val="left"/>
              <w:rPr>
                <w:rFonts w:ascii="宋体" w:hAnsi="宋体" w:cs="宋体"/>
                <w:color w:val="000000"/>
                <w:kern w:val="0"/>
                <w:sz w:val="24"/>
              </w:rPr>
            </w:pPr>
            <w:r>
              <w:rPr>
                <w:rFonts w:hint="eastAsia" w:ascii="宋体" w:hAnsi="宋体" w:cs="宋体"/>
                <w:color w:val="000000"/>
                <w:kern w:val="0"/>
                <w:sz w:val="24"/>
              </w:rPr>
              <w:t>③技术方案一般，方案一般、不具备针对性或针对性较差强，与原系统保留的设备融合性一般，得</w:t>
            </w:r>
            <w:r>
              <w:rPr>
                <w:rFonts w:ascii="宋体" w:hAnsi="宋体" w:cs="宋体"/>
                <w:color w:val="000000"/>
                <w:kern w:val="0"/>
                <w:sz w:val="24"/>
              </w:rPr>
              <w:t>6</w:t>
            </w:r>
            <w:r>
              <w:rPr>
                <w:rFonts w:hint="eastAsia" w:ascii="宋体" w:hAnsi="宋体" w:cs="宋体"/>
                <w:color w:val="000000"/>
                <w:kern w:val="0"/>
                <w:sz w:val="24"/>
              </w:rPr>
              <w:t>分；</w:t>
            </w:r>
          </w:p>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④无提供相应内容不得分。</w:t>
            </w:r>
          </w:p>
        </w:tc>
        <w:tc>
          <w:tcPr>
            <w:tcW w:w="886" w:type="dxa"/>
            <w:vAlign w:val="center"/>
          </w:tcPr>
          <w:p>
            <w:pPr>
              <w:spacing w:line="440" w:lineRule="exact"/>
              <w:jc w:val="center"/>
              <w:rPr>
                <w:rFonts w:hint="eastAsia" w:ascii="宋体" w:hAnsi="宋体" w:cs="Times New Roman"/>
                <w:color w:val="000000"/>
                <w:sz w:val="24"/>
              </w:rPr>
            </w:pPr>
            <w:r>
              <w:rPr>
                <w:rFonts w:ascii="宋体" w:hAnsi="宋体" w:cs="Times New Roman"/>
                <w:color w:val="000000"/>
                <w:sz w:val="24"/>
              </w:rPr>
              <w:t>20</w:t>
            </w:r>
            <w:r>
              <w:rPr>
                <w:rFonts w:hint="eastAsia" w:ascii="宋体" w:hAnsi="宋体" w:cs="Times New Roman"/>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76" w:hRule="atLeast"/>
          <w:jc w:val="center"/>
        </w:trPr>
        <w:tc>
          <w:tcPr>
            <w:tcW w:w="828" w:type="dxa"/>
            <w:vAlign w:val="center"/>
          </w:tcPr>
          <w:p>
            <w:pPr>
              <w:pStyle w:val="62"/>
              <w:widowControl w:val="0"/>
              <w:spacing w:line="440" w:lineRule="exact"/>
              <w:jc w:val="center"/>
              <w:rPr>
                <w:rFonts w:ascii="宋体" w:hAnsi="宋体"/>
                <w:color w:val="000000"/>
                <w:sz w:val="24"/>
                <w:szCs w:val="24"/>
              </w:rPr>
            </w:pPr>
            <w:r>
              <w:rPr>
                <w:rFonts w:hint="eastAsia" w:ascii="宋体" w:hAnsi="宋体"/>
                <w:color w:val="000000"/>
                <w:sz w:val="24"/>
                <w:szCs w:val="24"/>
              </w:rPr>
              <w:t>2</w:t>
            </w:r>
          </w:p>
        </w:tc>
        <w:tc>
          <w:tcPr>
            <w:tcW w:w="1407" w:type="dxa"/>
            <w:vAlign w:val="center"/>
          </w:tcPr>
          <w:p>
            <w:pPr>
              <w:spacing w:line="440" w:lineRule="exact"/>
              <w:jc w:val="center"/>
              <w:rPr>
                <w:rFonts w:ascii="宋体" w:hAnsi="宋体" w:cs="Times New Roman"/>
                <w:color w:val="000000"/>
                <w:sz w:val="24"/>
              </w:rPr>
            </w:pPr>
            <w:r>
              <w:rPr>
                <w:rFonts w:hint="eastAsia" w:ascii="宋体" w:hAnsi="宋体" w:cs="宋体"/>
                <w:bCs/>
                <w:color w:val="000000"/>
                <w:sz w:val="24"/>
              </w:rPr>
              <w:t>项目实施</w:t>
            </w:r>
          </w:p>
        </w:tc>
        <w:tc>
          <w:tcPr>
            <w:tcW w:w="6200" w:type="dxa"/>
            <w:vAlign w:val="top"/>
          </w:tcPr>
          <w:p>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①方案详细具体、具有针对性、可操作性强得5分；</w:t>
            </w:r>
          </w:p>
          <w:p>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②方案一般、针对性一般、可操作性一般得3分；</w:t>
            </w:r>
          </w:p>
          <w:p>
            <w:pPr>
              <w:widowControl/>
              <w:spacing w:line="440" w:lineRule="exact"/>
              <w:jc w:val="left"/>
              <w:rPr>
                <w:rFonts w:hint="eastAsia" w:ascii="宋体" w:hAnsi="宋体" w:cs="宋体"/>
                <w:color w:val="000000"/>
                <w:kern w:val="0"/>
                <w:sz w:val="24"/>
              </w:rPr>
            </w:pPr>
            <w:r>
              <w:rPr>
                <w:rFonts w:hint="eastAsia" w:ascii="宋体" w:hAnsi="宋体" w:cs="宋体"/>
                <w:color w:val="000000"/>
                <w:kern w:val="0"/>
                <w:sz w:val="24"/>
              </w:rPr>
              <w:t>③方案不具有针对性、可操作较差得1分；</w:t>
            </w:r>
          </w:p>
          <w:p>
            <w:pPr>
              <w:widowControl/>
              <w:spacing w:line="440" w:lineRule="exact"/>
              <w:jc w:val="left"/>
              <w:rPr>
                <w:rFonts w:ascii="宋体" w:hAnsi="宋体" w:cs="Times New Roman"/>
                <w:color w:val="000000"/>
                <w:sz w:val="24"/>
              </w:rPr>
            </w:pPr>
            <w:r>
              <w:rPr>
                <w:rFonts w:hint="eastAsia" w:ascii="宋体" w:hAnsi="宋体" w:cs="宋体"/>
                <w:color w:val="000000"/>
                <w:kern w:val="0"/>
                <w:sz w:val="24"/>
              </w:rPr>
              <w:t>④无提供相应方案得0分。</w:t>
            </w:r>
          </w:p>
        </w:tc>
        <w:tc>
          <w:tcPr>
            <w:tcW w:w="886" w:type="dxa"/>
            <w:vAlign w:val="center"/>
          </w:tcPr>
          <w:p>
            <w:pPr>
              <w:spacing w:line="440" w:lineRule="exact"/>
              <w:jc w:val="center"/>
              <w:rPr>
                <w:rFonts w:ascii="宋体" w:hAnsi="宋体" w:cs="Times New Roman"/>
                <w:color w:val="000000"/>
                <w:sz w:val="24"/>
              </w:rPr>
            </w:pPr>
            <w:r>
              <w:rPr>
                <w:rFonts w:hint="eastAsia" w:ascii="宋体" w:hAnsi="宋体" w:cs="Times New Roman"/>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11" w:hRule="atLeast"/>
          <w:jc w:val="center"/>
        </w:trPr>
        <w:tc>
          <w:tcPr>
            <w:tcW w:w="828" w:type="dxa"/>
            <w:vAlign w:val="center"/>
          </w:tcPr>
          <w:p>
            <w:pPr>
              <w:pStyle w:val="62"/>
              <w:widowControl w:val="0"/>
              <w:spacing w:line="440" w:lineRule="exact"/>
              <w:jc w:val="center"/>
              <w:rPr>
                <w:rFonts w:ascii="宋体" w:hAnsi="宋体"/>
                <w:color w:val="000000"/>
                <w:sz w:val="24"/>
                <w:szCs w:val="24"/>
              </w:rPr>
            </w:pPr>
            <w:r>
              <w:rPr>
                <w:rFonts w:hint="eastAsia" w:ascii="宋体" w:hAnsi="宋体"/>
                <w:color w:val="000000"/>
                <w:sz w:val="24"/>
                <w:szCs w:val="24"/>
              </w:rPr>
              <w:t>3</w:t>
            </w:r>
          </w:p>
        </w:tc>
        <w:tc>
          <w:tcPr>
            <w:tcW w:w="1407" w:type="dxa"/>
            <w:vAlign w:val="center"/>
          </w:tcPr>
          <w:p>
            <w:pPr>
              <w:spacing w:line="440" w:lineRule="exact"/>
              <w:jc w:val="center"/>
              <w:rPr>
                <w:rFonts w:ascii="宋体" w:hAnsi="宋体" w:cs="Times New Roman"/>
                <w:color w:val="000000"/>
                <w:sz w:val="24"/>
              </w:rPr>
            </w:pPr>
            <w:r>
              <w:rPr>
                <w:rFonts w:hint="eastAsia" w:ascii="宋体" w:hAnsi="宋体" w:cs="Times New Roman"/>
                <w:color w:val="000000"/>
                <w:sz w:val="24"/>
              </w:rPr>
              <w:t>服务承诺及培训计划</w:t>
            </w:r>
          </w:p>
        </w:tc>
        <w:tc>
          <w:tcPr>
            <w:tcW w:w="6200" w:type="dxa"/>
            <w:vAlign w:val="center"/>
          </w:tcPr>
          <w:p>
            <w:pPr>
              <w:widowControl/>
              <w:spacing w:line="440" w:lineRule="exact"/>
              <w:jc w:val="left"/>
              <w:rPr>
                <w:rFonts w:hint="eastAsia" w:ascii="宋体" w:hAnsi="宋体" w:cs="宋体"/>
                <w:color w:val="000000"/>
                <w:sz w:val="24"/>
              </w:rPr>
            </w:pPr>
            <w:r>
              <w:rPr>
                <w:rFonts w:hint="eastAsia" w:ascii="宋体" w:hAnsi="宋体" w:cs="宋体"/>
                <w:color w:val="000000"/>
                <w:sz w:val="24"/>
              </w:rPr>
              <w:t>①售后服务承诺全面，应急措施完善具体，实施周期、保修期合理，培训方案完整可行得5分；</w:t>
            </w:r>
          </w:p>
          <w:p>
            <w:pPr>
              <w:widowControl/>
              <w:spacing w:line="440" w:lineRule="exact"/>
              <w:jc w:val="left"/>
              <w:rPr>
                <w:rFonts w:hint="eastAsia" w:ascii="宋体" w:hAnsi="宋体" w:cs="宋体"/>
                <w:color w:val="000000"/>
                <w:sz w:val="24"/>
              </w:rPr>
            </w:pPr>
            <w:r>
              <w:rPr>
                <w:rFonts w:hint="eastAsia" w:ascii="宋体" w:hAnsi="宋体" w:cs="宋体"/>
                <w:color w:val="000000"/>
                <w:sz w:val="24"/>
              </w:rPr>
              <w:t>②售后服务承诺、应急措施较完善，实施周期、保修期基本合理，培训方案基本完整可行得3分；</w:t>
            </w:r>
          </w:p>
          <w:p>
            <w:pPr>
              <w:widowControl/>
              <w:spacing w:line="440" w:lineRule="exact"/>
              <w:jc w:val="left"/>
              <w:rPr>
                <w:rFonts w:hint="eastAsia" w:ascii="宋体" w:hAnsi="宋体" w:cs="宋体"/>
                <w:color w:val="000000"/>
                <w:sz w:val="24"/>
              </w:rPr>
            </w:pPr>
            <w:r>
              <w:rPr>
                <w:rFonts w:hint="eastAsia" w:ascii="宋体" w:hAnsi="宋体" w:cs="宋体"/>
                <w:color w:val="000000"/>
                <w:sz w:val="24"/>
              </w:rPr>
              <w:t>③售后服务承诺、应急措施一般，实施周期、保修期不太合理，培训方案基本可行性得1分；</w:t>
            </w:r>
          </w:p>
          <w:p>
            <w:pPr>
              <w:spacing w:line="440" w:lineRule="exact"/>
              <w:rPr>
                <w:rFonts w:ascii="宋体" w:hAnsi="宋体" w:cs="Times New Roman"/>
                <w:color w:val="000000"/>
                <w:sz w:val="24"/>
              </w:rPr>
            </w:pPr>
            <w:r>
              <w:rPr>
                <w:rFonts w:hint="eastAsia" w:ascii="宋体" w:hAnsi="宋体" w:cs="宋体"/>
                <w:color w:val="000000"/>
                <w:sz w:val="24"/>
              </w:rPr>
              <w:t>④无提供相应内容或缺项不得分。</w:t>
            </w:r>
          </w:p>
        </w:tc>
        <w:tc>
          <w:tcPr>
            <w:tcW w:w="886" w:type="dxa"/>
            <w:vAlign w:val="center"/>
          </w:tcPr>
          <w:p>
            <w:pPr>
              <w:spacing w:line="440" w:lineRule="exact"/>
              <w:jc w:val="center"/>
              <w:rPr>
                <w:rFonts w:ascii="宋体" w:hAnsi="宋体" w:cs="Times New Roman"/>
                <w:color w:val="000000"/>
                <w:sz w:val="24"/>
              </w:rPr>
            </w:pPr>
            <w:r>
              <w:rPr>
                <w:rFonts w:hint="eastAsia" w:ascii="宋体" w:hAnsi="宋体" w:cs="Times New Roman"/>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11" w:hRule="atLeast"/>
          <w:jc w:val="center"/>
        </w:trPr>
        <w:tc>
          <w:tcPr>
            <w:tcW w:w="828" w:type="dxa"/>
            <w:vAlign w:val="center"/>
          </w:tcPr>
          <w:p>
            <w:pPr>
              <w:pStyle w:val="62"/>
              <w:widowControl w:val="0"/>
              <w:spacing w:line="440" w:lineRule="exact"/>
              <w:jc w:val="center"/>
              <w:rPr>
                <w:rFonts w:ascii="宋体" w:hAnsi="宋体"/>
                <w:color w:val="000000"/>
                <w:sz w:val="24"/>
                <w:szCs w:val="24"/>
              </w:rPr>
            </w:pPr>
            <w:r>
              <w:rPr>
                <w:rFonts w:hint="eastAsia" w:ascii="宋体" w:hAnsi="宋体"/>
                <w:color w:val="000000"/>
                <w:sz w:val="24"/>
                <w:szCs w:val="24"/>
              </w:rPr>
              <w:t>4</w:t>
            </w:r>
          </w:p>
        </w:tc>
        <w:tc>
          <w:tcPr>
            <w:tcW w:w="1407" w:type="dxa"/>
            <w:vAlign w:val="center"/>
          </w:tcPr>
          <w:p>
            <w:pPr>
              <w:spacing w:line="440" w:lineRule="exact"/>
              <w:jc w:val="center"/>
              <w:rPr>
                <w:rFonts w:hint="eastAsia" w:ascii="宋体" w:hAnsi="宋体" w:cs="Times New Roman"/>
                <w:color w:val="000000"/>
                <w:sz w:val="24"/>
              </w:rPr>
            </w:pPr>
            <w:r>
              <w:rPr>
                <w:rFonts w:hint="eastAsia" w:ascii="宋体" w:hAnsi="宋体" w:cs="Times New Roman"/>
                <w:color w:val="000000"/>
                <w:sz w:val="24"/>
              </w:rPr>
              <w:t>设备招标参数响应情况</w:t>
            </w:r>
          </w:p>
        </w:tc>
        <w:tc>
          <w:tcPr>
            <w:tcW w:w="6200" w:type="dxa"/>
            <w:vAlign w:val="center"/>
          </w:tcPr>
          <w:p>
            <w:pPr>
              <w:widowControl/>
              <w:spacing w:line="440" w:lineRule="exact"/>
              <w:jc w:val="left"/>
              <w:rPr>
                <w:rFonts w:hint="eastAsia" w:ascii="宋体" w:hAnsi="宋体" w:cs="宋体"/>
                <w:color w:val="000000"/>
                <w:sz w:val="24"/>
              </w:rPr>
            </w:pPr>
            <w:r>
              <w:rPr>
                <w:rFonts w:hint="eastAsia" w:ascii="宋体" w:hAnsi="宋体" w:cs="宋体"/>
                <w:color w:val="000000"/>
                <w:sz w:val="24"/>
              </w:rPr>
              <w:t>①产品品牌选型以及各项技术性能参数与原系统的总体要求相匹配程度高，融合性能程度强得15分：</w:t>
            </w:r>
          </w:p>
          <w:p>
            <w:pPr>
              <w:widowControl/>
              <w:spacing w:line="440" w:lineRule="exact"/>
              <w:jc w:val="left"/>
              <w:rPr>
                <w:rFonts w:hint="eastAsia" w:ascii="宋体" w:hAnsi="宋体" w:cs="宋体"/>
                <w:color w:val="000000"/>
                <w:sz w:val="24"/>
              </w:rPr>
            </w:pPr>
            <w:r>
              <w:rPr>
                <w:rFonts w:hint="eastAsia" w:ascii="宋体" w:hAnsi="宋体" w:cs="宋体"/>
                <w:color w:val="000000"/>
                <w:sz w:val="24"/>
              </w:rPr>
              <w:t>②产品品牌选型以及各项技术性能参数与原系统的总体要求基本相匹配程度，融合性能程度一般得10分：</w:t>
            </w:r>
          </w:p>
          <w:p>
            <w:pPr>
              <w:widowControl/>
              <w:spacing w:line="440" w:lineRule="exact"/>
              <w:jc w:val="left"/>
              <w:rPr>
                <w:rFonts w:hint="eastAsia" w:ascii="宋体" w:hAnsi="宋体" w:cs="宋体"/>
                <w:color w:val="000000"/>
                <w:sz w:val="24"/>
              </w:rPr>
            </w:pPr>
            <w:r>
              <w:rPr>
                <w:rFonts w:hint="eastAsia" w:ascii="宋体" w:hAnsi="宋体" w:cs="宋体"/>
                <w:color w:val="000000"/>
                <w:sz w:val="24"/>
              </w:rPr>
              <w:t>③产品品牌选型以及各项技术性能参数与原系统的总体要求相匹配程度差，融合性能程度不高得5分：</w:t>
            </w:r>
          </w:p>
        </w:tc>
        <w:tc>
          <w:tcPr>
            <w:tcW w:w="886" w:type="dxa"/>
            <w:vAlign w:val="center"/>
          </w:tcPr>
          <w:p>
            <w:pPr>
              <w:spacing w:line="440" w:lineRule="exact"/>
              <w:jc w:val="center"/>
              <w:rPr>
                <w:rFonts w:ascii="宋体" w:hAnsi="宋体" w:cs="Times New Roman"/>
                <w:color w:val="000000"/>
                <w:sz w:val="24"/>
              </w:rPr>
            </w:pPr>
            <w:r>
              <w:rPr>
                <w:rFonts w:hint="eastAsia" w:ascii="宋体" w:hAnsi="宋体" w:cs="Times New Roman"/>
                <w:color w:val="000000"/>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11" w:hRule="atLeast"/>
          <w:jc w:val="center"/>
        </w:trPr>
        <w:tc>
          <w:tcPr>
            <w:tcW w:w="8435" w:type="dxa"/>
            <w:gridSpan w:val="3"/>
            <w:vAlign w:val="center"/>
          </w:tcPr>
          <w:p>
            <w:pPr>
              <w:spacing w:line="440" w:lineRule="exact"/>
              <w:jc w:val="center"/>
              <w:rPr>
                <w:rFonts w:ascii="宋体" w:hAnsi="宋体" w:cs="Times New Roman"/>
                <w:color w:val="000000"/>
                <w:sz w:val="24"/>
              </w:rPr>
            </w:pPr>
            <w:r>
              <w:rPr>
                <w:rFonts w:hint="eastAsia" w:ascii="宋体" w:hAnsi="宋体" w:cs="Times New Roman"/>
                <w:color w:val="000000"/>
                <w:sz w:val="24"/>
              </w:rPr>
              <w:t>合计</w:t>
            </w:r>
          </w:p>
        </w:tc>
        <w:tc>
          <w:tcPr>
            <w:tcW w:w="886" w:type="dxa"/>
            <w:vAlign w:val="center"/>
          </w:tcPr>
          <w:p>
            <w:pPr>
              <w:spacing w:line="440" w:lineRule="exact"/>
              <w:jc w:val="center"/>
              <w:rPr>
                <w:rFonts w:ascii="宋体" w:hAnsi="宋体" w:cs="Times New Roman"/>
                <w:color w:val="000000"/>
                <w:sz w:val="24"/>
              </w:rPr>
            </w:pPr>
            <w:r>
              <w:rPr>
                <w:rFonts w:ascii="宋体" w:hAnsi="宋体" w:cs="Times New Roman"/>
                <w:color w:val="000000"/>
                <w:sz w:val="24"/>
              </w:rPr>
              <w:t>45</w:t>
            </w:r>
            <w:r>
              <w:rPr>
                <w:rFonts w:hint="eastAsia" w:ascii="宋体" w:hAnsi="宋体" w:cs="Times New Roman"/>
                <w:color w:val="000000"/>
                <w:sz w:val="24"/>
              </w:rPr>
              <w:t>分</w:t>
            </w:r>
          </w:p>
        </w:tc>
      </w:tr>
    </w:tbl>
    <w:p>
      <w:pPr>
        <w:adjustRightInd w:val="0"/>
        <w:snapToGrid w:val="0"/>
        <w:spacing w:line="360" w:lineRule="auto"/>
        <w:rPr>
          <w:rFonts w:ascii="宋体" w:hAnsi="宋体" w:cs="宋体"/>
          <w:color w:val="000000"/>
          <w:sz w:val="24"/>
        </w:rPr>
      </w:pPr>
      <w:r>
        <w:rPr>
          <w:rFonts w:hint="eastAsia" w:ascii="宋体" w:hAnsi="宋体" w:cs="宋体"/>
          <w:color w:val="000000"/>
          <w:sz w:val="24"/>
        </w:rPr>
        <w:t>注：</w:t>
      </w:r>
    </w:p>
    <w:p>
      <w:pPr>
        <w:numPr>
          <w:ilvl w:val="0"/>
          <w:numId w:val="100"/>
        </w:numPr>
        <w:adjustRightInd w:val="0"/>
        <w:snapToGrid w:val="0"/>
        <w:spacing w:line="360" w:lineRule="auto"/>
        <w:rPr>
          <w:rFonts w:hint="eastAsia" w:ascii="宋体" w:hAnsi="宋体" w:cs="宋体"/>
          <w:color w:val="000000"/>
          <w:sz w:val="24"/>
        </w:rPr>
      </w:pPr>
      <w:r>
        <w:rPr>
          <w:rFonts w:hint="eastAsia" w:ascii="宋体" w:hAnsi="宋体" w:cs="宋体"/>
          <w:color w:val="000000"/>
          <w:sz w:val="24"/>
        </w:rPr>
        <w:t>上表中如要求提供证明材料的，供应商必须按要求提供并加盖公章，否则计0分。</w:t>
      </w:r>
    </w:p>
    <w:p>
      <w:pPr>
        <w:numPr>
          <w:ilvl w:val="0"/>
          <w:numId w:val="100"/>
        </w:numPr>
        <w:adjustRightInd w:val="0"/>
        <w:snapToGrid w:val="0"/>
        <w:spacing w:line="360" w:lineRule="auto"/>
        <w:rPr>
          <w:rFonts w:ascii="宋体" w:hAnsi="宋体" w:cs="宋体"/>
          <w:color w:val="000000"/>
          <w:sz w:val="24"/>
        </w:rPr>
      </w:pPr>
      <w:r>
        <w:rPr>
          <w:rFonts w:hint="eastAsia" w:ascii="宋体" w:hAnsi="宋体" w:cs="宋体"/>
          <w:color w:val="000000"/>
          <w:sz w:val="24"/>
        </w:rPr>
        <w:t>各评委按规定的范围内进行量化打分，并统计总分。</w:t>
      </w:r>
      <w:bookmarkEnd w:id="422"/>
      <w:bookmarkEnd w:id="423"/>
      <w:bookmarkEnd w:id="424"/>
      <w:bookmarkEnd w:id="425"/>
    </w:p>
    <w:p>
      <w:pPr>
        <w:pStyle w:val="4"/>
        <w:adjustRightInd w:val="0"/>
        <w:snapToGrid w:val="0"/>
        <w:spacing w:before="0" w:after="0" w:line="360" w:lineRule="auto"/>
        <w:ind w:hanging="720"/>
        <w:rPr>
          <w:color w:val="000000"/>
          <w:sz w:val="24"/>
          <w:szCs w:val="24"/>
        </w:rPr>
      </w:pPr>
      <w:bookmarkStart w:id="428" w:name="_Toc525057055"/>
      <w:bookmarkStart w:id="429" w:name="_Toc24774"/>
      <w:bookmarkStart w:id="430" w:name="_Toc3976"/>
      <w:r>
        <w:rPr>
          <w:color w:val="000000"/>
          <w:sz w:val="24"/>
          <w:szCs w:val="24"/>
        </w:rPr>
        <w:br w:type="page"/>
      </w:r>
      <w:bookmarkStart w:id="431" w:name="_Toc86851545"/>
      <w:r>
        <w:rPr>
          <w:rFonts w:hint="eastAsia"/>
          <w:color w:val="000000"/>
          <w:sz w:val="24"/>
          <w:szCs w:val="24"/>
        </w:rPr>
        <w:t>附表6：价格评审表</w:t>
      </w:r>
      <w:bookmarkEnd w:id="428"/>
      <w:bookmarkEnd w:id="429"/>
      <w:bookmarkEnd w:id="430"/>
      <w:bookmarkEnd w:id="431"/>
    </w:p>
    <w:tbl>
      <w:tblPr>
        <w:tblStyle w:val="42"/>
        <w:tblW w:w="8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68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blHeader/>
          <w:jc w:val="center"/>
        </w:trPr>
        <w:tc>
          <w:tcPr>
            <w:tcW w:w="1679" w:type="dxa"/>
            <w:shd w:val="clear" w:color="auto" w:fill="D9D9D9"/>
            <w:vAlign w:val="center"/>
          </w:tcPr>
          <w:p>
            <w:pPr>
              <w:jc w:val="center"/>
              <w:rPr>
                <w:b/>
                <w:bCs/>
                <w:color w:val="000000"/>
                <w:sz w:val="24"/>
              </w:rPr>
            </w:pPr>
            <w:r>
              <w:rPr>
                <w:b/>
                <w:bCs/>
                <w:color w:val="000000"/>
                <w:sz w:val="24"/>
              </w:rPr>
              <w:t>评分项目</w:t>
            </w:r>
          </w:p>
        </w:tc>
        <w:tc>
          <w:tcPr>
            <w:tcW w:w="6864" w:type="dxa"/>
            <w:shd w:val="clear" w:color="auto" w:fill="D9D9D9"/>
            <w:vAlign w:val="center"/>
          </w:tcPr>
          <w:p>
            <w:pPr>
              <w:jc w:val="center"/>
              <w:rPr>
                <w:b/>
                <w:bCs/>
                <w:color w:val="000000"/>
                <w:sz w:val="24"/>
              </w:rPr>
            </w:pPr>
            <w:r>
              <w:rPr>
                <w:b/>
                <w:bCs/>
                <w:color w:val="000000"/>
                <w:sz w:val="24"/>
              </w:rPr>
              <w:t>评分</w:t>
            </w:r>
            <w:r>
              <w:rPr>
                <w:rFonts w:hint="eastAsia"/>
                <w:b/>
                <w:bCs/>
                <w:color w:val="000000"/>
                <w:sz w:val="24"/>
              </w:rPr>
              <w:t>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38" w:hRule="atLeast"/>
          <w:tblHeader/>
          <w:jc w:val="center"/>
        </w:trPr>
        <w:tc>
          <w:tcPr>
            <w:tcW w:w="1679" w:type="dxa"/>
            <w:vAlign w:val="center"/>
          </w:tcPr>
          <w:p>
            <w:pPr>
              <w:jc w:val="center"/>
              <w:rPr>
                <w:color w:val="000000"/>
                <w:sz w:val="24"/>
              </w:rPr>
            </w:pPr>
            <w:r>
              <w:rPr>
                <w:rFonts w:hint="eastAsia"/>
                <w:color w:val="000000"/>
                <w:sz w:val="24"/>
              </w:rPr>
              <w:t>最后总报价</w:t>
            </w:r>
          </w:p>
        </w:tc>
        <w:tc>
          <w:tcPr>
            <w:tcW w:w="6864" w:type="dxa"/>
            <w:vAlign w:val="center"/>
          </w:tcPr>
          <w:p>
            <w:pPr>
              <w:spacing w:line="400" w:lineRule="exact"/>
              <w:rPr>
                <w:rFonts w:hint="eastAsia"/>
                <w:color w:val="000000"/>
                <w:sz w:val="24"/>
              </w:rPr>
            </w:pPr>
            <w:r>
              <w:rPr>
                <w:rFonts w:hint="eastAsia" w:ascii="宋体" w:hAnsi="宋体" w:cs="宋体"/>
                <w:color w:val="000000"/>
                <w:sz w:val="24"/>
                <w:lang w:val="zh-CN"/>
              </w:rPr>
              <w:t>价格评审采用低价优先法计算，即满足磋商文件要求（通过资格性审查及符合性审查）且最后磋商报价最低的报价（指修正后报价，下同）为磋商基准价，其价格分为满分。其他供应商的价格分统一按照下列公式计算：磋商报价得分=(磋商基准价/最后磋商报价)×价格分值</w:t>
            </w:r>
          </w:p>
        </w:tc>
      </w:tr>
    </w:tbl>
    <w:p>
      <w:pPr>
        <w:rPr>
          <w:rFonts w:hint="eastAsia" w:ascii="宋体" w:hAnsi="宋体" w:cs="宋体"/>
          <w:color w:val="000000"/>
          <w:sz w:val="24"/>
          <w:lang w:val="zh-CN"/>
        </w:rPr>
      </w:pPr>
      <w:bookmarkStart w:id="432" w:name="_Toc423021951"/>
    </w:p>
    <w:p>
      <w:pPr>
        <w:rPr>
          <w:rFonts w:hint="eastAsia"/>
          <w:color w:val="000000"/>
        </w:rPr>
      </w:pPr>
    </w:p>
    <w:p>
      <w:pPr>
        <w:rPr>
          <w:rFonts w:hint="eastAsia"/>
          <w:color w:val="000000"/>
        </w:rPr>
      </w:pPr>
    </w:p>
    <w:p>
      <w:pPr>
        <w:rPr>
          <w:rFonts w:hint="eastAsia"/>
          <w:color w:val="000000"/>
        </w:rPr>
      </w:pPr>
    </w:p>
    <w:bookmarkEnd w:id="432"/>
    <w:p>
      <w:pPr>
        <w:pStyle w:val="2"/>
        <w:numPr>
          <w:ilvl w:val="0"/>
          <w:numId w:val="83"/>
        </w:numPr>
        <w:jc w:val="center"/>
        <w:rPr>
          <w:color w:val="000000"/>
        </w:rPr>
      </w:pPr>
      <w:bookmarkStart w:id="433" w:name="_Toc183316721"/>
      <w:bookmarkStart w:id="434" w:name="_Toc182886660"/>
      <w:bookmarkStart w:id="435" w:name="_Toc372468320"/>
      <w:bookmarkStart w:id="436" w:name="_Toc423021952"/>
      <w:bookmarkStart w:id="437" w:name="_Toc16117"/>
      <w:r>
        <w:rPr>
          <w:rStyle w:val="41"/>
          <w:rFonts w:cs="Times New Roman"/>
          <w:b w:val="0"/>
          <w:bCs w:val="0"/>
          <w:color w:val="000000"/>
          <w:kern w:val="2"/>
        </w:rPr>
        <w:br w:type="page"/>
      </w:r>
      <w:bookmarkStart w:id="438" w:name="_Toc86851546"/>
      <w:r>
        <w:rPr>
          <w:rFonts w:hint="eastAsia"/>
          <w:color w:val="000000"/>
        </w:rPr>
        <w:t>合同格式</w:t>
      </w:r>
      <w:bookmarkEnd w:id="433"/>
      <w:bookmarkEnd w:id="434"/>
      <w:bookmarkEnd w:id="435"/>
      <w:bookmarkEnd w:id="436"/>
      <w:bookmarkEnd w:id="437"/>
      <w:bookmarkEnd w:id="438"/>
    </w:p>
    <w:p>
      <w:pPr>
        <w:spacing w:line="360" w:lineRule="auto"/>
        <w:ind w:left="-2" w:leftChars="-1"/>
        <w:rPr>
          <w:rFonts w:ascii="宋体" w:hAnsi="宋体" w:cs="Times New Roman"/>
          <w:b/>
          <w:szCs w:val="20"/>
        </w:rPr>
      </w:pPr>
      <w:r>
        <w:rPr>
          <w:rFonts w:hint="eastAsia" w:ascii="宋体" w:hAnsi="宋体" w:cs="Times New Roman"/>
          <w:b/>
          <w:szCs w:val="20"/>
        </w:rPr>
        <w:t>注：本合同条款仅供参考，甲乙双方可根据实际情况进行补充。</w:t>
      </w:r>
    </w:p>
    <w:p>
      <w:pPr>
        <w:ind w:firstLine="480" w:firstLineChars="200"/>
        <w:rPr>
          <w:rFonts w:ascii="宋体" w:hAnsi="宋体" w:cs="Times New Roman"/>
          <w:smallCaps/>
          <w:sz w:val="24"/>
          <w:szCs w:val="20"/>
        </w:rPr>
      </w:pPr>
    </w:p>
    <w:p>
      <w:pPr>
        <w:spacing w:line="360" w:lineRule="auto"/>
        <w:rPr>
          <w:rFonts w:ascii="宋体" w:hAnsi="宋体" w:cs="宋体"/>
          <w:b/>
          <w:bCs/>
          <w:szCs w:val="20"/>
        </w:rPr>
      </w:pPr>
      <w:bookmarkStart w:id="439" w:name="_Hlk83832058"/>
    </w:p>
    <w:p>
      <w:pPr>
        <w:spacing w:line="360" w:lineRule="auto"/>
        <w:rPr>
          <w:rFonts w:ascii="宋体" w:hAnsi="宋体" w:cs="宋体"/>
          <w:b/>
          <w:bCs/>
          <w:szCs w:val="20"/>
        </w:rPr>
      </w:pPr>
    </w:p>
    <w:p>
      <w:pPr>
        <w:spacing w:line="360" w:lineRule="auto"/>
        <w:rPr>
          <w:rFonts w:ascii="宋体" w:hAnsi="宋体" w:cs="宋体"/>
          <w:b/>
          <w:bCs/>
          <w:szCs w:val="20"/>
        </w:rPr>
      </w:pPr>
    </w:p>
    <w:p>
      <w:pPr>
        <w:spacing w:line="360" w:lineRule="auto"/>
        <w:jc w:val="center"/>
        <w:rPr>
          <w:rFonts w:ascii="宋体" w:hAnsi="宋体" w:cs="宋体"/>
          <w:b/>
          <w:bCs/>
          <w:sz w:val="30"/>
          <w:szCs w:val="30"/>
        </w:rPr>
      </w:pPr>
      <w:r>
        <w:rPr>
          <w:rFonts w:hint="eastAsia" w:ascii="宋体" w:hAnsi="宋体" w:cs="宋体"/>
          <w:b/>
          <w:bCs/>
          <w:sz w:val="30"/>
          <w:szCs w:val="30"/>
        </w:rPr>
        <w:t>广州市天河区机关事务管理局</w:t>
      </w:r>
    </w:p>
    <w:p>
      <w:pPr>
        <w:spacing w:line="360" w:lineRule="auto"/>
        <w:rPr>
          <w:rFonts w:ascii="宋体" w:hAnsi="宋体" w:cs="宋体"/>
          <w:b/>
          <w:bCs/>
          <w:szCs w:val="21"/>
        </w:rPr>
      </w:pPr>
      <w:r>
        <w:rPr>
          <w:rFonts w:hint="eastAsia" w:ascii="宋体" w:hAnsi="宋体" w:cs="宋体"/>
          <w:b/>
          <w:bCs/>
          <w:szCs w:val="20"/>
        </w:rPr>
        <w:t xml:space="preserve"> </w:t>
      </w:r>
    </w:p>
    <w:p>
      <w:pPr>
        <w:spacing w:line="360" w:lineRule="auto"/>
        <w:jc w:val="center"/>
        <w:rPr>
          <w:rFonts w:ascii="宋体" w:hAnsi="宋体" w:cs="宋体"/>
          <w:b/>
          <w:bCs/>
          <w:sz w:val="48"/>
          <w:szCs w:val="48"/>
        </w:rPr>
      </w:pPr>
      <w:r>
        <w:rPr>
          <w:rFonts w:hint="eastAsia" w:ascii="宋体" w:hAnsi="宋体" w:cs="宋体"/>
          <w:b/>
          <w:bCs/>
          <w:sz w:val="48"/>
          <w:szCs w:val="48"/>
        </w:rPr>
        <w:t>合 同 书</w:t>
      </w:r>
    </w:p>
    <w:p>
      <w:pPr>
        <w:spacing w:line="360" w:lineRule="auto"/>
        <w:jc w:val="center"/>
        <w:rPr>
          <w:rFonts w:ascii="宋体" w:hAnsi="宋体" w:cs="宋体"/>
          <w:b/>
          <w:bCs/>
          <w:sz w:val="36"/>
          <w:szCs w:val="36"/>
        </w:rPr>
      </w:pPr>
      <w:r>
        <w:rPr>
          <w:rFonts w:hint="eastAsia" w:ascii="宋体" w:hAnsi="宋体" w:cs="宋体"/>
          <w:b/>
          <w:bCs/>
          <w:sz w:val="36"/>
          <w:szCs w:val="36"/>
        </w:rPr>
        <w:t xml:space="preserve"> </w:t>
      </w:r>
    </w:p>
    <w:p>
      <w:pPr>
        <w:spacing w:line="360" w:lineRule="auto"/>
        <w:rPr>
          <w:rFonts w:ascii="宋体" w:hAnsi="宋体" w:cs="宋体"/>
          <w:b/>
          <w:bCs/>
          <w:szCs w:val="21"/>
        </w:rPr>
      </w:pPr>
      <w:r>
        <w:rPr>
          <w:rFonts w:hint="eastAsia" w:ascii="宋体" w:hAnsi="宋体" w:cs="宋体"/>
          <w:b/>
          <w:bCs/>
          <w:szCs w:val="20"/>
        </w:rPr>
        <w:t xml:space="preserve"> </w:t>
      </w:r>
    </w:p>
    <w:p>
      <w:pPr>
        <w:spacing w:line="360" w:lineRule="auto"/>
        <w:rPr>
          <w:rFonts w:ascii="宋体" w:hAnsi="宋体" w:cs="宋体"/>
          <w:b/>
          <w:bCs/>
          <w:szCs w:val="20"/>
        </w:rPr>
      </w:pPr>
      <w:r>
        <w:rPr>
          <w:rFonts w:hint="eastAsia" w:ascii="宋体" w:hAnsi="宋体" w:cs="宋体"/>
          <w:b/>
          <w:bCs/>
          <w:szCs w:val="20"/>
        </w:rPr>
        <w:t xml:space="preserve"> </w:t>
      </w:r>
    </w:p>
    <w:p>
      <w:pPr>
        <w:spacing w:line="360" w:lineRule="auto"/>
        <w:rPr>
          <w:rFonts w:ascii="宋体" w:hAnsi="宋体" w:cs="宋体"/>
          <w:b/>
          <w:bCs/>
          <w:szCs w:val="20"/>
        </w:rPr>
      </w:pPr>
      <w:r>
        <w:rPr>
          <w:rFonts w:hint="eastAsia" w:ascii="宋体" w:hAnsi="宋体" w:cs="宋体"/>
          <w:b/>
          <w:bCs/>
          <w:szCs w:val="20"/>
        </w:rPr>
        <w:t xml:space="preserve"> </w:t>
      </w:r>
    </w:p>
    <w:p>
      <w:pPr>
        <w:spacing w:line="360" w:lineRule="auto"/>
        <w:rPr>
          <w:rFonts w:ascii="宋体" w:hAnsi="宋体" w:cs="宋体"/>
          <w:b/>
          <w:bCs/>
          <w:szCs w:val="20"/>
        </w:rPr>
      </w:pPr>
    </w:p>
    <w:p>
      <w:pPr>
        <w:spacing w:line="360" w:lineRule="auto"/>
        <w:rPr>
          <w:rFonts w:ascii="宋体" w:hAnsi="宋体" w:cs="宋体"/>
          <w:b/>
          <w:bCs/>
          <w:szCs w:val="20"/>
        </w:rPr>
      </w:pPr>
      <w:r>
        <w:rPr>
          <w:rFonts w:hint="eastAsia" w:ascii="宋体" w:hAnsi="宋体" w:cs="宋体"/>
          <w:b/>
          <w:bCs/>
          <w:szCs w:val="20"/>
        </w:rPr>
        <w:t xml:space="preserve"> </w:t>
      </w:r>
    </w:p>
    <w:tbl>
      <w:tblPr>
        <w:tblStyle w:val="42"/>
        <w:tblW w:w="6038" w:type="dxa"/>
        <w:jc w:val="center"/>
        <w:tblInd w:w="0" w:type="dxa"/>
        <w:tblLayout w:type="fixed"/>
        <w:tblCellMar>
          <w:top w:w="0" w:type="dxa"/>
          <w:left w:w="108" w:type="dxa"/>
          <w:bottom w:w="0" w:type="dxa"/>
          <w:right w:w="108" w:type="dxa"/>
        </w:tblCellMar>
      </w:tblPr>
      <w:tblGrid>
        <w:gridCol w:w="6038"/>
      </w:tblGrid>
      <w:tr>
        <w:tblPrEx>
          <w:tblLayout w:type="fixed"/>
          <w:tblCellMar>
            <w:top w:w="0" w:type="dxa"/>
            <w:left w:w="108" w:type="dxa"/>
            <w:bottom w:w="0" w:type="dxa"/>
            <w:right w:w="108" w:type="dxa"/>
          </w:tblCellMar>
        </w:tblPrEx>
        <w:trPr>
          <w:trHeight w:val="457" w:hRule="atLeast"/>
          <w:jc w:val="center"/>
        </w:trPr>
        <w:tc>
          <w:tcPr>
            <w:tcW w:w="6038" w:type="dxa"/>
            <w:tcBorders>
              <w:top w:val="nil"/>
              <w:left w:val="nil"/>
              <w:bottom w:val="nil"/>
              <w:right w:val="nil"/>
            </w:tcBorders>
            <w:vAlign w:val="top"/>
          </w:tcPr>
          <w:p>
            <w:pPr>
              <w:spacing w:line="360" w:lineRule="auto"/>
              <w:rPr>
                <w:rFonts w:ascii="宋体" w:hAnsi="宋体" w:cs="宋体"/>
                <w:b/>
                <w:bCs/>
                <w:szCs w:val="21"/>
              </w:rPr>
            </w:pPr>
            <w:r>
              <w:rPr>
                <w:rFonts w:hint="eastAsia" w:ascii="宋体" w:hAnsi="宋体" w:cs="宋体"/>
                <w:b/>
                <w:bCs/>
                <w:szCs w:val="20"/>
              </w:rPr>
              <w:t>合同编号：</w:t>
            </w:r>
            <w:r>
              <w:rPr>
                <w:rFonts w:hint="eastAsia" w:ascii="宋体" w:hAnsi="宋体" w:cs="宋体"/>
                <w:b/>
                <w:bCs/>
                <w:szCs w:val="20"/>
                <w:u w:val="single"/>
              </w:rPr>
              <w:t xml:space="preserve">                          </w:t>
            </w:r>
          </w:p>
          <w:p>
            <w:pPr>
              <w:spacing w:line="360" w:lineRule="auto"/>
              <w:rPr>
                <w:rFonts w:ascii="宋体" w:hAnsi="宋体" w:cs="宋体"/>
                <w:b/>
                <w:bCs/>
                <w:szCs w:val="20"/>
                <w:u w:val="single"/>
              </w:rPr>
            </w:pPr>
          </w:p>
          <w:p>
            <w:pPr>
              <w:spacing w:line="360" w:lineRule="auto"/>
              <w:rPr>
                <w:rFonts w:ascii="宋体" w:hAnsi="宋体" w:cs="宋体"/>
                <w:b/>
                <w:bCs/>
                <w:szCs w:val="20"/>
              </w:rPr>
            </w:pPr>
            <w:r>
              <w:rPr>
                <w:rFonts w:hint="eastAsia" w:ascii="宋体" w:hAnsi="宋体" w:cs="宋体"/>
                <w:b/>
                <w:bCs/>
                <w:szCs w:val="20"/>
              </w:rPr>
              <w:t xml:space="preserve">项目编号： </w:t>
            </w:r>
            <w:r>
              <w:rPr>
                <w:rFonts w:hint="eastAsia" w:ascii="宋体" w:hAnsi="宋体" w:cs="宋体"/>
                <w:b/>
                <w:bCs/>
                <w:szCs w:val="20"/>
                <w:u w:val="single"/>
              </w:rPr>
              <w:t xml:space="preserve">                         </w:t>
            </w:r>
          </w:p>
          <w:p>
            <w:pPr>
              <w:spacing w:line="360" w:lineRule="auto"/>
              <w:rPr>
                <w:rFonts w:ascii="宋体" w:hAnsi="宋体" w:cs="宋体"/>
                <w:b/>
                <w:bCs/>
                <w:szCs w:val="21"/>
                <w:u w:val="single"/>
              </w:rPr>
            </w:pPr>
          </w:p>
        </w:tc>
      </w:tr>
      <w:tr>
        <w:tblPrEx>
          <w:tblLayout w:type="fixed"/>
          <w:tblCellMar>
            <w:top w:w="0" w:type="dxa"/>
            <w:left w:w="108" w:type="dxa"/>
            <w:bottom w:w="0" w:type="dxa"/>
            <w:right w:w="108" w:type="dxa"/>
          </w:tblCellMar>
        </w:tblPrEx>
        <w:trPr>
          <w:trHeight w:val="457" w:hRule="atLeast"/>
          <w:jc w:val="center"/>
        </w:trPr>
        <w:tc>
          <w:tcPr>
            <w:tcW w:w="6038" w:type="dxa"/>
            <w:tcBorders>
              <w:top w:val="nil"/>
              <w:left w:val="nil"/>
              <w:bottom w:val="nil"/>
              <w:right w:val="nil"/>
            </w:tcBorders>
            <w:vAlign w:val="top"/>
          </w:tcPr>
          <w:p>
            <w:pPr>
              <w:spacing w:line="360" w:lineRule="auto"/>
              <w:rPr>
                <w:rFonts w:ascii="宋体" w:hAnsi="宋体" w:cs="宋体"/>
                <w:b/>
                <w:bCs/>
                <w:szCs w:val="21"/>
                <w:u w:val="single"/>
              </w:rPr>
            </w:pPr>
            <w:r>
              <w:rPr>
                <w:rFonts w:hint="eastAsia" w:ascii="宋体" w:hAnsi="宋体" w:cs="宋体"/>
                <w:b/>
                <w:bCs/>
                <w:szCs w:val="20"/>
              </w:rPr>
              <w:t>项目名称：</w:t>
            </w:r>
            <w:r>
              <w:rPr>
                <w:rFonts w:hint="eastAsia" w:ascii="宋体" w:hAnsi="宋体" w:cs="宋体"/>
                <w:b/>
                <w:bCs/>
                <w:szCs w:val="20"/>
                <w:u w:val="single"/>
              </w:rPr>
              <w:t xml:space="preserve"> </w:t>
            </w:r>
            <w:r>
              <w:rPr>
                <w:rFonts w:ascii="宋体" w:hAnsi="宋体" w:cs="宋体"/>
                <w:b/>
                <w:bCs/>
                <w:szCs w:val="20"/>
                <w:u w:val="single"/>
              </w:rPr>
              <w:t xml:space="preserve">                            </w:t>
            </w:r>
          </w:p>
          <w:p>
            <w:pPr>
              <w:spacing w:line="360" w:lineRule="auto"/>
              <w:rPr>
                <w:rFonts w:ascii="宋体" w:hAnsi="宋体" w:cs="宋体"/>
                <w:b/>
                <w:bCs/>
                <w:szCs w:val="21"/>
              </w:rPr>
            </w:pPr>
          </w:p>
        </w:tc>
      </w:tr>
      <w:tr>
        <w:tblPrEx>
          <w:tblLayout w:type="fixed"/>
          <w:tblCellMar>
            <w:top w:w="0" w:type="dxa"/>
            <w:left w:w="108" w:type="dxa"/>
            <w:bottom w:w="0" w:type="dxa"/>
            <w:right w:w="108" w:type="dxa"/>
          </w:tblCellMar>
        </w:tblPrEx>
        <w:trPr>
          <w:trHeight w:val="471" w:hRule="atLeast"/>
          <w:jc w:val="center"/>
        </w:trPr>
        <w:tc>
          <w:tcPr>
            <w:tcW w:w="6038" w:type="dxa"/>
            <w:tcBorders>
              <w:top w:val="nil"/>
              <w:left w:val="nil"/>
              <w:bottom w:val="nil"/>
              <w:right w:val="nil"/>
            </w:tcBorders>
            <w:vAlign w:val="top"/>
          </w:tcPr>
          <w:p>
            <w:pPr>
              <w:spacing w:line="360" w:lineRule="auto"/>
              <w:rPr>
                <w:rFonts w:ascii="宋体" w:hAnsi="宋体" w:cs="宋体"/>
                <w:b/>
                <w:bCs/>
                <w:szCs w:val="21"/>
              </w:rPr>
            </w:pPr>
          </w:p>
        </w:tc>
      </w:tr>
    </w:tbl>
    <w:p>
      <w:pPr>
        <w:spacing w:line="360" w:lineRule="auto"/>
        <w:rPr>
          <w:rFonts w:ascii="宋体" w:hAnsi="宋体" w:cs="宋体"/>
          <w:szCs w:val="21"/>
        </w:rPr>
      </w:pPr>
      <w:r>
        <w:rPr>
          <w:rFonts w:hint="eastAsia" w:ascii="宋体" w:hAnsi="宋体" w:cs="宋体"/>
          <w:szCs w:val="20"/>
        </w:rPr>
        <w:t xml:space="preserve"> </w:t>
      </w:r>
    </w:p>
    <w:p>
      <w:pPr>
        <w:spacing w:line="360" w:lineRule="auto"/>
        <w:rPr>
          <w:rFonts w:ascii="宋体" w:hAnsi="宋体" w:cs="宋体"/>
          <w:szCs w:val="20"/>
        </w:rPr>
      </w:pPr>
      <w:r>
        <w:rPr>
          <w:rFonts w:hint="eastAsia" w:ascii="宋体" w:hAnsi="宋体" w:cs="宋体"/>
          <w:szCs w:val="20"/>
        </w:rPr>
        <w:t xml:space="preserve"> </w:t>
      </w:r>
    </w:p>
    <w:p>
      <w:pPr>
        <w:widowControl/>
        <w:jc w:val="left"/>
        <w:rPr>
          <w:rFonts w:ascii="宋体" w:hAnsi="宋体" w:cs="宋体"/>
          <w:szCs w:val="20"/>
        </w:rPr>
      </w:pPr>
      <w:r>
        <w:rPr>
          <w:rFonts w:ascii="宋体" w:hAnsi="宋体" w:cs="宋体"/>
          <w:szCs w:val="20"/>
        </w:rPr>
        <w:br w:type="page"/>
      </w:r>
    </w:p>
    <w:p>
      <w:pPr>
        <w:spacing w:line="360" w:lineRule="auto"/>
        <w:rPr>
          <w:rFonts w:ascii="宋体" w:hAnsi="宋体" w:cs="宋体"/>
          <w:szCs w:val="20"/>
        </w:rPr>
      </w:pPr>
      <w:r>
        <w:rPr>
          <w:rFonts w:hint="eastAsia" w:ascii="宋体" w:hAnsi="宋体" w:cs="宋体"/>
          <w:b/>
          <w:bCs/>
          <w:szCs w:val="20"/>
        </w:rPr>
        <w:t>甲  方（采购人）：</w:t>
      </w:r>
      <w:r>
        <w:rPr>
          <w:rFonts w:hint="eastAsia" w:ascii="宋体" w:hAnsi="宋体" w:cs="宋体"/>
          <w:szCs w:val="20"/>
        </w:rPr>
        <w:t xml:space="preserve">广州市天河区机关事务管理局           法定代表人：       </w:t>
      </w:r>
    </w:p>
    <w:p>
      <w:pPr>
        <w:spacing w:line="360" w:lineRule="auto"/>
        <w:rPr>
          <w:rFonts w:ascii="宋体" w:hAnsi="宋体" w:cs="宋体"/>
          <w:szCs w:val="21"/>
        </w:rPr>
      </w:pPr>
      <w:r>
        <w:rPr>
          <w:rFonts w:hint="eastAsia" w:ascii="宋体" w:hAnsi="宋体" w:cs="宋体"/>
          <w:szCs w:val="21"/>
        </w:rPr>
        <w:t xml:space="preserve">统一社会信用代码:                </w:t>
      </w:r>
    </w:p>
    <w:p>
      <w:pPr>
        <w:spacing w:line="360" w:lineRule="auto"/>
        <w:rPr>
          <w:rFonts w:ascii="宋体" w:hAnsi="宋体" w:cs="宋体"/>
          <w:szCs w:val="21"/>
        </w:rPr>
      </w:pPr>
      <w:r>
        <w:rPr>
          <w:rFonts w:hint="eastAsia" w:ascii="宋体" w:hAnsi="宋体" w:cs="宋体"/>
          <w:szCs w:val="21"/>
        </w:rPr>
        <w:t xml:space="preserve">开户行及账号：       </w:t>
      </w:r>
    </w:p>
    <w:p>
      <w:pPr>
        <w:spacing w:line="360" w:lineRule="auto"/>
        <w:rPr>
          <w:rFonts w:ascii="宋体" w:hAnsi="宋体" w:cs="宋体"/>
          <w:szCs w:val="21"/>
        </w:rPr>
      </w:pPr>
      <w:r>
        <w:rPr>
          <w:rFonts w:hint="eastAsia" w:ascii="宋体" w:hAnsi="宋体" w:cs="宋体"/>
          <w:szCs w:val="21"/>
        </w:rPr>
        <w:t xml:space="preserve">注册地址：              ；电话：       </w:t>
      </w:r>
    </w:p>
    <w:p>
      <w:pPr>
        <w:spacing w:line="360" w:lineRule="auto"/>
        <w:rPr>
          <w:rFonts w:ascii="宋体" w:hAnsi="宋体" w:cs="宋体"/>
          <w:szCs w:val="21"/>
        </w:rPr>
      </w:pPr>
      <w:r>
        <w:rPr>
          <w:rFonts w:hint="eastAsia" w:ascii="宋体" w:hAnsi="宋体" w:cs="宋体"/>
          <w:szCs w:val="21"/>
        </w:rPr>
        <w:t xml:space="preserve">联系人：                 联系电话：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b/>
          <w:bCs/>
          <w:szCs w:val="21"/>
        </w:rPr>
        <w:t xml:space="preserve">乙  方（中标人）：                          </w:t>
      </w:r>
      <w:r>
        <w:rPr>
          <w:rFonts w:hint="eastAsia" w:ascii="宋体" w:hAnsi="宋体" w:cs="宋体"/>
          <w:szCs w:val="21"/>
        </w:rPr>
        <w:t xml:space="preserve">    法定代表人： </w:t>
      </w:r>
    </w:p>
    <w:p>
      <w:pPr>
        <w:spacing w:line="360" w:lineRule="auto"/>
        <w:rPr>
          <w:rFonts w:ascii="宋体" w:hAnsi="宋体" w:cs="宋体"/>
          <w:szCs w:val="21"/>
        </w:rPr>
      </w:pPr>
      <w:r>
        <w:rPr>
          <w:rFonts w:hint="eastAsia" w:ascii="宋体" w:hAnsi="宋体" w:cs="宋体"/>
          <w:szCs w:val="21"/>
        </w:rPr>
        <w:t xml:space="preserve">统一社会信用代码:                </w:t>
      </w:r>
    </w:p>
    <w:p>
      <w:pPr>
        <w:spacing w:line="360" w:lineRule="auto"/>
        <w:rPr>
          <w:rFonts w:ascii="宋体" w:hAnsi="宋体" w:cs="宋体"/>
          <w:szCs w:val="21"/>
        </w:rPr>
      </w:pPr>
      <w:r>
        <w:rPr>
          <w:rFonts w:hint="eastAsia" w:ascii="宋体" w:hAnsi="宋体" w:cs="宋体"/>
          <w:szCs w:val="21"/>
        </w:rPr>
        <w:t xml:space="preserve">开户行及账号：       </w:t>
      </w:r>
    </w:p>
    <w:p>
      <w:pPr>
        <w:spacing w:line="360" w:lineRule="auto"/>
        <w:rPr>
          <w:rFonts w:ascii="宋体" w:hAnsi="宋体" w:cs="宋体"/>
          <w:szCs w:val="21"/>
        </w:rPr>
      </w:pPr>
      <w:r>
        <w:rPr>
          <w:rFonts w:hint="eastAsia" w:ascii="宋体" w:hAnsi="宋体" w:cs="宋体"/>
          <w:szCs w:val="21"/>
        </w:rPr>
        <w:t xml:space="preserve">注册地址：              ；电话：       </w:t>
      </w:r>
    </w:p>
    <w:p>
      <w:pPr>
        <w:spacing w:line="360" w:lineRule="auto"/>
        <w:rPr>
          <w:rFonts w:ascii="宋体" w:hAnsi="宋体" w:cs="宋体"/>
          <w:szCs w:val="21"/>
        </w:rPr>
      </w:pPr>
      <w:r>
        <w:rPr>
          <w:rFonts w:hint="eastAsia" w:ascii="宋体" w:hAnsi="宋体" w:cs="宋体"/>
          <w:szCs w:val="21"/>
        </w:rPr>
        <w:t xml:space="preserve">联系人：                 联系电话：       </w:t>
      </w:r>
    </w:p>
    <w:p>
      <w:pPr>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根据</w:t>
      </w:r>
      <w:r>
        <w:rPr>
          <w:rFonts w:hint="eastAsia" w:ascii="宋体" w:hAnsi="宋体" w:cs="宋体"/>
          <w:szCs w:val="21"/>
          <w:u w:val="single"/>
        </w:rPr>
        <w:t xml:space="preserve">                          采购项目 </w:t>
      </w:r>
      <w:r>
        <w:rPr>
          <w:rFonts w:hint="eastAsia" w:ascii="宋体" w:hAnsi="宋体" w:cs="宋体"/>
          <w:szCs w:val="21"/>
        </w:rPr>
        <w:t>（项目编号：</w:t>
      </w:r>
      <w:r>
        <w:rPr>
          <w:rFonts w:hint="eastAsia" w:ascii="宋体" w:hAnsi="宋体" w:cs="宋体"/>
          <w:bCs/>
          <w:szCs w:val="21"/>
        </w:rPr>
        <w:t xml:space="preserve">             </w:t>
      </w:r>
      <w:r>
        <w:rPr>
          <w:rFonts w:hint="eastAsia" w:ascii="宋体" w:hAnsi="宋体" w:cs="宋体"/>
          <w:szCs w:val="21"/>
        </w:rPr>
        <w:t>）的采购结果，按照《中华人民共和国政府采购法》及其实施条例、《中华人民共和国民法典》的规定，经双方协商，本着平等互利和诚实信用的原则，一致同意签订本合同如下。</w:t>
      </w:r>
    </w:p>
    <w:p>
      <w:pPr>
        <w:spacing w:line="360" w:lineRule="auto"/>
        <w:rPr>
          <w:rFonts w:cs="Times New Roman"/>
          <w:b/>
          <w:bCs/>
          <w:szCs w:val="21"/>
        </w:rPr>
      </w:pPr>
      <w:r>
        <w:rPr>
          <w:rFonts w:hint="eastAsia" w:cs="Times New Roman"/>
          <w:b/>
          <w:bCs/>
          <w:szCs w:val="21"/>
        </w:rPr>
        <w:t xml:space="preserve">一、货物内容 </w:t>
      </w:r>
    </w:p>
    <w:tbl>
      <w:tblPr>
        <w:tblStyle w:val="4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60"/>
        <w:gridCol w:w="1099"/>
        <w:gridCol w:w="3751"/>
        <w:gridCol w:w="826"/>
        <w:gridCol w:w="687"/>
        <w:gridCol w:w="109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00" w:hRule="atLeast"/>
          <w:tblHeader/>
        </w:trPr>
        <w:tc>
          <w:tcPr>
            <w:tcW w:w="660" w:type="dxa"/>
            <w:vAlign w:val="center"/>
          </w:tcPr>
          <w:p>
            <w:pPr>
              <w:snapToGrid w:val="0"/>
              <w:spacing w:line="360" w:lineRule="auto"/>
              <w:jc w:val="center"/>
              <w:rPr>
                <w:rFonts w:ascii="宋体" w:hAnsi="宋体" w:cs="宋体"/>
                <w:bCs/>
                <w:sz w:val="18"/>
                <w:szCs w:val="21"/>
              </w:rPr>
            </w:pPr>
            <w:r>
              <w:rPr>
                <w:rFonts w:hint="eastAsia" w:ascii="宋体" w:hAnsi="宋体" w:cs="宋体"/>
                <w:bCs/>
                <w:sz w:val="18"/>
                <w:szCs w:val="20"/>
              </w:rPr>
              <w:t>序号</w:t>
            </w:r>
          </w:p>
        </w:tc>
        <w:tc>
          <w:tcPr>
            <w:tcW w:w="1099" w:type="dxa"/>
            <w:vAlign w:val="center"/>
          </w:tcPr>
          <w:p>
            <w:pPr>
              <w:snapToGrid w:val="0"/>
              <w:spacing w:line="360" w:lineRule="auto"/>
              <w:jc w:val="center"/>
              <w:rPr>
                <w:rFonts w:ascii="宋体" w:hAnsi="宋体" w:cs="宋体"/>
                <w:bCs/>
                <w:sz w:val="18"/>
                <w:szCs w:val="21"/>
              </w:rPr>
            </w:pPr>
            <w:r>
              <w:rPr>
                <w:rFonts w:hint="eastAsia" w:ascii="宋体" w:hAnsi="宋体" w:cs="宋体"/>
                <w:bCs/>
                <w:sz w:val="18"/>
                <w:szCs w:val="20"/>
              </w:rPr>
              <w:t>商品名称</w:t>
            </w:r>
          </w:p>
        </w:tc>
        <w:tc>
          <w:tcPr>
            <w:tcW w:w="3751" w:type="dxa"/>
            <w:vAlign w:val="center"/>
          </w:tcPr>
          <w:p>
            <w:pPr>
              <w:snapToGrid w:val="0"/>
              <w:spacing w:line="360" w:lineRule="auto"/>
              <w:jc w:val="center"/>
              <w:rPr>
                <w:rFonts w:ascii="宋体" w:hAnsi="宋体" w:cs="宋体"/>
                <w:bCs/>
                <w:sz w:val="18"/>
                <w:szCs w:val="21"/>
              </w:rPr>
            </w:pPr>
            <w:r>
              <w:rPr>
                <w:rFonts w:hint="eastAsia" w:ascii="宋体" w:hAnsi="宋体" w:cs="宋体"/>
                <w:bCs/>
                <w:sz w:val="18"/>
                <w:szCs w:val="20"/>
              </w:rPr>
              <w:t>品牌、规格型号、配置（性能参数）</w:t>
            </w:r>
          </w:p>
        </w:tc>
        <w:tc>
          <w:tcPr>
            <w:tcW w:w="826" w:type="dxa"/>
            <w:vAlign w:val="center"/>
          </w:tcPr>
          <w:p>
            <w:pPr>
              <w:snapToGrid w:val="0"/>
              <w:spacing w:line="360" w:lineRule="auto"/>
              <w:jc w:val="center"/>
              <w:rPr>
                <w:rFonts w:ascii="宋体" w:hAnsi="宋体" w:cs="宋体"/>
                <w:bCs/>
                <w:sz w:val="18"/>
                <w:szCs w:val="21"/>
              </w:rPr>
            </w:pPr>
            <w:r>
              <w:rPr>
                <w:rFonts w:hint="eastAsia" w:ascii="宋体" w:hAnsi="宋体" w:cs="宋体"/>
                <w:bCs/>
                <w:sz w:val="18"/>
                <w:szCs w:val="20"/>
              </w:rPr>
              <w:t>制造商</w:t>
            </w:r>
          </w:p>
        </w:tc>
        <w:tc>
          <w:tcPr>
            <w:tcW w:w="687" w:type="dxa"/>
            <w:vAlign w:val="center"/>
          </w:tcPr>
          <w:p>
            <w:pPr>
              <w:snapToGrid w:val="0"/>
              <w:spacing w:line="360" w:lineRule="auto"/>
              <w:jc w:val="center"/>
              <w:rPr>
                <w:rFonts w:ascii="宋体" w:hAnsi="宋体" w:cs="宋体"/>
                <w:bCs/>
                <w:sz w:val="18"/>
                <w:szCs w:val="21"/>
              </w:rPr>
            </w:pPr>
            <w:r>
              <w:rPr>
                <w:rFonts w:hint="eastAsia" w:ascii="宋体" w:hAnsi="宋体" w:cs="宋体"/>
                <w:bCs/>
                <w:sz w:val="18"/>
                <w:szCs w:val="20"/>
              </w:rPr>
              <w:t>数量</w:t>
            </w:r>
          </w:p>
        </w:tc>
        <w:tc>
          <w:tcPr>
            <w:tcW w:w="1099" w:type="dxa"/>
            <w:vAlign w:val="center"/>
          </w:tcPr>
          <w:p>
            <w:pPr>
              <w:snapToGrid w:val="0"/>
              <w:spacing w:line="360" w:lineRule="auto"/>
              <w:jc w:val="center"/>
              <w:rPr>
                <w:rFonts w:ascii="宋体" w:hAnsi="宋体" w:cs="宋体"/>
                <w:bCs/>
                <w:sz w:val="18"/>
                <w:szCs w:val="21"/>
              </w:rPr>
            </w:pPr>
            <w:r>
              <w:rPr>
                <w:rFonts w:hint="eastAsia" w:ascii="宋体" w:hAnsi="宋体" w:cs="宋体"/>
                <w:bCs/>
                <w:sz w:val="18"/>
                <w:szCs w:val="20"/>
              </w:rPr>
              <w:t>单价(元)</w:t>
            </w:r>
          </w:p>
        </w:tc>
        <w:tc>
          <w:tcPr>
            <w:tcW w:w="1116" w:type="dxa"/>
            <w:vAlign w:val="center"/>
          </w:tcPr>
          <w:p>
            <w:pPr>
              <w:snapToGrid w:val="0"/>
              <w:spacing w:line="360" w:lineRule="auto"/>
              <w:jc w:val="center"/>
              <w:rPr>
                <w:rFonts w:ascii="宋体" w:hAnsi="宋体" w:cs="宋体"/>
                <w:bCs/>
                <w:sz w:val="18"/>
                <w:szCs w:val="21"/>
              </w:rPr>
            </w:pPr>
            <w:r>
              <w:rPr>
                <w:rFonts w:hint="eastAsia" w:ascii="宋体" w:hAnsi="宋体" w:cs="宋体"/>
                <w:bCs/>
                <w:sz w:val="18"/>
                <w:szCs w:val="20"/>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trPr>
        <w:tc>
          <w:tcPr>
            <w:tcW w:w="660" w:type="dxa"/>
            <w:vAlign w:val="center"/>
          </w:tcPr>
          <w:p>
            <w:pPr>
              <w:snapToGrid w:val="0"/>
              <w:spacing w:line="360" w:lineRule="auto"/>
              <w:rPr>
                <w:rFonts w:ascii="宋体" w:hAnsi="宋体" w:cs="宋体"/>
                <w:b/>
                <w:sz w:val="18"/>
                <w:szCs w:val="18"/>
              </w:rPr>
            </w:pPr>
          </w:p>
        </w:tc>
        <w:tc>
          <w:tcPr>
            <w:tcW w:w="1099" w:type="dxa"/>
            <w:vAlign w:val="center"/>
          </w:tcPr>
          <w:p>
            <w:pPr>
              <w:snapToGrid w:val="0"/>
              <w:spacing w:line="360" w:lineRule="auto"/>
              <w:rPr>
                <w:rFonts w:ascii="宋体" w:hAnsi="宋体" w:cs="宋体"/>
                <w:b/>
                <w:sz w:val="18"/>
                <w:szCs w:val="18"/>
              </w:rPr>
            </w:pPr>
          </w:p>
        </w:tc>
        <w:tc>
          <w:tcPr>
            <w:tcW w:w="3751" w:type="dxa"/>
            <w:vAlign w:val="center"/>
          </w:tcPr>
          <w:p>
            <w:pPr>
              <w:snapToGrid w:val="0"/>
              <w:rPr>
                <w:rFonts w:ascii="宋体" w:hAnsi="宋体" w:cs="宋体"/>
                <w:sz w:val="18"/>
                <w:szCs w:val="18"/>
              </w:rPr>
            </w:pPr>
          </w:p>
        </w:tc>
        <w:tc>
          <w:tcPr>
            <w:tcW w:w="826" w:type="dxa"/>
            <w:vAlign w:val="center"/>
          </w:tcPr>
          <w:p>
            <w:pPr>
              <w:snapToGrid w:val="0"/>
              <w:spacing w:line="360" w:lineRule="auto"/>
              <w:jc w:val="center"/>
              <w:rPr>
                <w:rFonts w:ascii="宋体" w:hAnsi="宋体" w:cs="宋体"/>
                <w:sz w:val="18"/>
                <w:szCs w:val="18"/>
              </w:rPr>
            </w:pPr>
          </w:p>
        </w:tc>
        <w:tc>
          <w:tcPr>
            <w:tcW w:w="687" w:type="dxa"/>
            <w:vAlign w:val="center"/>
          </w:tcPr>
          <w:p>
            <w:pPr>
              <w:snapToGrid w:val="0"/>
              <w:spacing w:line="360" w:lineRule="auto"/>
              <w:rPr>
                <w:rFonts w:ascii="宋体" w:hAnsi="宋体" w:cs="宋体"/>
                <w:sz w:val="18"/>
                <w:szCs w:val="18"/>
              </w:rPr>
            </w:pPr>
          </w:p>
        </w:tc>
        <w:tc>
          <w:tcPr>
            <w:tcW w:w="1099" w:type="dxa"/>
            <w:vAlign w:val="center"/>
          </w:tcPr>
          <w:p>
            <w:pPr>
              <w:snapToGrid w:val="0"/>
              <w:spacing w:line="360" w:lineRule="auto"/>
              <w:jc w:val="right"/>
              <w:rPr>
                <w:rFonts w:ascii="宋体" w:hAnsi="宋体" w:cs="宋体"/>
                <w:sz w:val="18"/>
                <w:szCs w:val="18"/>
              </w:rPr>
            </w:pPr>
          </w:p>
        </w:tc>
        <w:tc>
          <w:tcPr>
            <w:tcW w:w="1116" w:type="dxa"/>
            <w:vAlign w:val="center"/>
          </w:tcPr>
          <w:p>
            <w:pPr>
              <w:snapToGrid w:val="0"/>
              <w:spacing w:line="360" w:lineRule="auto"/>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04" w:hRule="atLeast"/>
        </w:trPr>
        <w:tc>
          <w:tcPr>
            <w:tcW w:w="660" w:type="dxa"/>
            <w:vAlign w:val="center"/>
          </w:tcPr>
          <w:p>
            <w:pPr>
              <w:snapToGrid w:val="0"/>
              <w:spacing w:line="360" w:lineRule="auto"/>
              <w:rPr>
                <w:rFonts w:ascii="宋体" w:hAnsi="宋体" w:cs="宋体"/>
                <w:b/>
                <w:sz w:val="18"/>
                <w:szCs w:val="18"/>
              </w:rPr>
            </w:pPr>
          </w:p>
        </w:tc>
        <w:tc>
          <w:tcPr>
            <w:tcW w:w="1099" w:type="dxa"/>
            <w:vAlign w:val="center"/>
          </w:tcPr>
          <w:p>
            <w:pPr>
              <w:snapToGrid w:val="0"/>
              <w:spacing w:line="360" w:lineRule="auto"/>
              <w:rPr>
                <w:rFonts w:ascii="宋体" w:hAnsi="宋体" w:cs="宋体"/>
                <w:b/>
                <w:sz w:val="18"/>
                <w:szCs w:val="18"/>
              </w:rPr>
            </w:pPr>
          </w:p>
        </w:tc>
        <w:tc>
          <w:tcPr>
            <w:tcW w:w="3751" w:type="dxa"/>
            <w:vAlign w:val="center"/>
          </w:tcPr>
          <w:p>
            <w:pPr>
              <w:snapToGrid w:val="0"/>
              <w:rPr>
                <w:rFonts w:ascii="宋体" w:hAnsi="宋体" w:cs="宋体"/>
                <w:sz w:val="18"/>
                <w:szCs w:val="18"/>
              </w:rPr>
            </w:pPr>
          </w:p>
        </w:tc>
        <w:tc>
          <w:tcPr>
            <w:tcW w:w="826" w:type="dxa"/>
            <w:vAlign w:val="center"/>
          </w:tcPr>
          <w:p>
            <w:pPr>
              <w:snapToGrid w:val="0"/>
              <w:spacing w:line="360" w:lineRule="auto"/>
              <w:jc w:val="center"/>
              <w:rPr>
                <w:rFonts w:ascii="宋体" w:hAnsi="宋体" w:cs="宋体"/>
                <w:sz w:val="18"/>
                <w:szCs w:val="18"/>
              </w:rPr>
            </w:pPr>
          </w:p>
        </w:tc>
        <w:tc>
          <w:tcPr>
            <w:tcW w:w="687" w:type="dxa"/>
            <w:vAlign w:val="center"/>
          </w:tcPr>
          <w:p>
            <w:pPr>
              <w:snapToGrid w:val="0"/>
              <w:spacing w:line="360" w:lineRule="auto"/>
              <w:rPr>
                <w:rFonts w:ascii="宋体" w:hAnsi="宋体" w:cs="宋体"/>
                <w:sz w:val="18"/>
                <w:szCs w:val="18"/>
              </w:rPr>
            </w:pPr>
          </w:p>
        </w:tc>
        <w:tc>
          <w:tcPr>
            <w:tcW w:w="1099" w:type="dxa"/>
            <w:vAlign w:val="center"/>
          </w:tcPr>
          <w:p>
            <w:pPr>
              <w:snapToGrid w:val="0"/>
              <w:spacing w:line="360" w:lineRule="auto"/>
              <w:jc w:val="right"/>
              <w:rPr>
                <w:rFonts w:ascii="宋体" w:hAnsi="宋体" w:cs="宋体"/>
                <w:sz w:val="18"/>
                <w:szCs w:val="18"/>
              </w:rPr>
            </w:pPr>
          </w:p>
        </w:tc>
        <w:tc>
          <w:tcPr>
            <w:tcW w:w="1116" w:type="dxa"/>
            <w:tcBorders>
              <w:right w:val="single" w:color="auto" w:sz="4" w:space="0"/>
            </w:tcBorders>
            <w:vAlign w:val="center"/>
          </w:tcPr>
          <w:p>
            <w:pPr>
              <w:snapToGrid w:val="0"/>
              <w:spacing w:line="360" w:lineRule="auto"/>
              <w:jc w:val="righ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96" w:hRule="atLeast"/>
        </w:trPr>
        <w:tc>
          <w:tcPr>
            <w:tcW w:w="9238" w:type="dxa"/>
            <w:gridSpan w:val="7"/>
            <w:vAlign w:val="center"/>
          </w:tcPr>
          <w:p>
            <w:pPr>
              <w:snapToGrid w:val="0"/>
              <w:spacing w:line="360" w:lineRule="auto"/>
              <w:jc w:val="center"/>
              <w:rPr>
                <w:rFonts w:ascii="宋体" w:hAnsi="宋体" w:cs="宋体"/>
                <w:b/>
                <w:szCs w:val="20"/>
              </w:rPr>
            </w:pPr>
            <w:r>
              <w:rPr>
                <w:rFonts w:hint="eastAsia" w:ascii="宋体" w:hAnsi="宋体" w:cs="宋体"/>
                <w:b/>
                <w:szCs w:val="20"/>
              </w:rPr>
              <w:t>合计总额：</w:t>
            </w:r>
            <w:r>
              <w:rPr>
                <w:rFonts w:hint="eastAsia" w:ascii="宋体" w:hAnsi="宋体" w:cs="宋体"/>
                <w:b/>
                <w:szCs w:val="20"/>
                <w:u w:val="single"/>
              </w:rPr>
              <w:t xml:space="preserve">￥ </w:t>
            </w:r>
            <w:r>
              <w:rPr>
                <w:rFonts w:ascii="宋体" w:hAnsi="宋体" w:cs="宋体"/>
                <w:b/>
                <w:szCs w:val="20"/>
                <w:u w:val="single"/>
              </w:rPr>
              <w:t xml:space="preserve">       </w:t>
            </w:r>
            <w:r>
              <w:rPr>
                <w:rFonts w:hint="eastAsia" w:ascii="宋体" w:hAnsi="宋体" w:cs="宋体"/>
                <w:b/>
                <w:szCs w:val="20"/>
              </w:rPr>
              <w:t>； （大写）人民币</w:t>
            </w:r>
            <w:r>
              <w:rPr>
                <w:rFonts w:hint="eastAsia" w:ascii="宋体" w:hAnsi="宋体" w:cs="宋体"/>
                <w:b/>
                <w:szCs w:val="20"/>
                <w:u w:val="single"/>
              </w:rPr>
              <w:t xml:space="preserve">       元整</w:t>
            </w:r>
          </w:p>
        </w:tc>
      </w:tr>
    </w:tbl>
    <w:p>
      <w:pPr>
        <w:snapToGrid w:val="0"/>
        <w:spacing w:line="360" w:lineRule="auto"/>
        <w:ind w:firstLine="420" w:firstLineChars="200"/>
        <w:rPr>
          <w:rFonts w:ascii="宋体" w:hAnsi="宋体" w:cs="宋体"/>
          <w:szCs w:val="21"/>
        </w:rPr>
      </w:pPr>
      <w:r>
        <w:rPr>
          <w:rFonts w:hint="eastAsia" w:ascii="宋体" w:hAnsi="宋体" w:cs="宋体"/>
          <w:szCs w:val="21"/>
        </w:rPr>
        <w:t>注：货物名称内容必须与投标文件中货物名称内容一致。</w:t>
      </w:r>
    </w:p>
    <w:p>
      <w:pPr>
        <w:spacing w:line="360" w:lineRule="auto"/>
        <w:rPr>
          <w:rFonts w:cs="Times New Roman"/>
          <w:b/>
          <w:bCs/>
          <w:szCs w:val="21"/>
        </w:rPr>
      </w:pPr>
      <w:r>
        <w:rPr>
          <w:rFonts w:hint="eastAsia" w:cs="Times New Roman"/>
          <w:b/>
          <w:bCs/>
          <w:szCs w:val="21"/>
        </w:rPr>
        <w:t>二、合同金额</w:t>
      </w:r>
    </w:p>
    <w:p>
      <w:pPr>
        <w:adjustRightInd w:val="0"/>
        <w:snapToGrid w:val="0"/>
        <w:spacing w:line="360" w:lineRule="auto"/>
        <w:ind w:firstLine="420" w:firstLineChars="200"/>
        <w:rPr>
          <w:rFonts w:ascii="宋体" w:hAnsi="宋体" w:cs="宋体"/>
          <w:szCs w:val="20"/>
        </w:rPr>
      </w:pPr>
      <w:r>
        <w:rPr>
          <w:rFonts w:hint="eastAsia" w:ascii="宋体" w:hAnsi="宋体" w:cs="宋体"/>
          <w:szCs w:val="20"/>
        </w:rPr>
        <w:t>合同金额为:</w:t>
      </w:r>
      <w:r>
        <w:rPr>
          <w:rFonts w:hint="eastAsia" w:ascii="宋体" w:hAnsi="宋体" w:cs="宋体"/>
          <w:b/>
          <w:szCs w:val="20"/>
        </w:rPr>
        <w:t>￥</w:t>
      </w:r>
      <w:r>
        <w:rPr>
          <w:rFonts w:ascii="宋体" w:hAnsi="宋体" w:cs="宋体"/>
          <w:szCs w:val="20"/>
          <w:u w:val="single"/>
        </w:rPr>
        <w:t xml:space="preserve">        </w:t>
      </w:r>
      <w:r>
        <w:rPr>
          <w:rFonts w:hint="eastAsia" w:ascii="宋体" w:hAnsi="宋体" w:cs="宋体"/>
          <w:szCs w:val="20"/>
        </w:rPr>
        <w:t>，（大写）人民币</w:t>
      </w:r>
      <w:r>
        <w:rPr>
          <w:rFonts w:hint="eastAsia" w:ascii="宋体" w:hAnsi="宋体" w:cs="宋体"/>
          <w:bCs/>
          <w:szCs w:val="20"/>
          <w:u w:val="single"/>
        </w:rPr>
        <w:t xml:space="preserve">            元整</w:t>
      </w:r>
      <w:r>
        <w:rPr>
          <w:rFonts w:hint="eastAsia" w:ascii="宋体" w:hAnsi="宋体" w:cs="宋体"/>
          <w:bCs/>
          <w:szCs w:val="20"/>
        </w:rPr>
        <w:t>，总价包干。</w:t>
      </w:r>
    </w:p>
    <w:p>
      <w:pPr>
        <w:adjustRightInd w:val="0"/>
        <w:snapToGrid w:val="0"/>
        <w:spacing w:line="360" w:lineRule="auto"/>
        <w:ind w:firstLine="420" w:firstLineChars="200"/>
        <w:rPr>
          <w:rFonts w:ascii="宋体" w:hAnsi="宋体" w:cs="宋体"/>
          <w:szCs w:val="20"/>
        </w:rPr>
      </w:pPr>
      <w:r>
        <w:rPr>
          <w:rFonts w:hint="eastAsia" w:ascii="宋体" w:hAnsi="宋体" w:cs="宋体"/>
          <w:szCs w:val="20"/>
        </w:rPr>
        <w:t>合同金额包括并不限于为完成本次项目建设任务过程中所有可能发生的费用、验收费用、培训费用和售后免费服务费用，即包括设备、制造、包装、运输及保险、安装及安装辅料、装卸、调试、验收、培训、随机附件、标配工具、设备正常使用所需的配件、质保期服务、一切技术服务和售后服务费用及合同实施执行过程中的不可预见费用等所有的含税费用。</w:t>
      </w:r>
    </w:p>
    <w:p>
      <w:pPr>
        <w:spacing w:line="360" w:lineRule="auto"/>
        <w:rPr>
          <w:rFonts w:cs="Times New Roman"/>
          <w:b/>
          <w:bCs/>
          <w:szCs w:val="21"/>
        </w:rPr>
      </w:pPr>
      <w:r>
        <w:rPr>
          <w:rFonts w:hint="eastAsia" w:cs="Times New Roman"/>
          <w:b/>
          <w:bCs/>
          <w:szCs w:val="21"/>
        </w:rPr>
        <w:t>三、设备要求</w:t>
      </w:r>
    </w:p>
    <w:p>
      <w:pPr>
        <w:numPr>
          <w:ilvl w:val="0"/>
          <w:numId w:val="101"/>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货物为原制造商制造的全新产品，整机无污染，无侵权行为、表面无划损、无任何缺陷隐患，在中国境内可依常规安全合法使用。</w:t>
      </w:r>
    </w:p>
    <w:p>
      <w:pPr>
        <w:numPr>
          <w:ilvl w:val="0"/>
          <w:numId w:val="101"/>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交付验收标准依次序对照适用标准为：①符合中华人民共和国国家安全质量标准、环保标准或行业标准；②符合招标文件和响应承诺中甲方认可的合理最佳配置、参数及各项要求；③货物来源官方标准。</w:t>
      </w:r>
    </w:p>
    <w:p>
      <w:pPr>
        <w:numPr>
          <w:ilvl w:val="0"/>
          <w:numId w:val="101"/>
        </w:numPr>
        <w:tabs>
          <w:tab w:val="left" w:pos="735"/>
        </w:tabs>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货物为原厂商未启封全新包装，具有出厂合格证，序列号、包装箱号与出厂批号一致，并可追索查阅。</w:t>
      </w:r>
    </w:p>
    <w:p>
      <w:pPr>
        <w:numPr>
          <w:ilvl w:val="0"/>
          <w:numId w:val="101"/>
        </w:numPr>
        <w:tabs>
          <w:tab w:val="left" w:pos="360"/>
        </w:tabs>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乙方应将关键主机设备的用户手册、保修手册、有关单证资料及配备件、随机工具等交付给甲方，使用操作及安全须知等重要资料应附有中文说明。</w:t>
      </w:r>
    </w:p>
    <w:p>
      <w:pPr>
        <w:spacing w:line="360" w:lineRule="auto"/>
        <w:rPr>
          <w:rFonts w:cs="Times New Roman"/>
          <w:b/>
          <w:bCs/>
          <w:szCs w:val="21"/>
        </w:rPr>
      </w:pPr>
      <w:r>
        <w:rPr>
          <w:rFonts w:hint="eastAsia" w:cs="Times New Roman"/>
          <w:b/>
          <w:bCs/>
          <w:szCs w:val="21"/>
        </w:rPr>
        <w:t>四、实施交付要求</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交货时间：合同签订之日起</w:t>
      </w:r>
      <w:r>
        <w:rPr>
          <w:rFonts w:hint="eastAsia" w:ascii="宋体" w:hAnsi="宋体" w:cs="宋体"/>
          <w:szCs w:val="21"/>
          <w:u w:val="single"/>
        </w:rPr>
        <w:t xml:space="preserve"> 1</w:t>
      </w:r>
      <w:r>
        <w:rPr>
          <w:rFonts w:ascii="宋体" w:hAnsi="宋体" w:cs="宋体"/>
          <w:szCs w:val="21"/>
          <w:u w:val="single"/>
        </w:rPr>
        <w:t>5</w:t>
      </w:r>
      <w:r>
        <w:rPr>
          <w:rFonts w:hint="eastAsia" w:ascii="宋体" w:hAnsi="宋体" w:cs="宋体"/>
          <w:szCs w:val="21"/>
          <w:u w:val="single"/>
        </w:rPr>
        <w:t>自然日内</w:t>
      </w:r>
      <w:r>
        <w:rPr>
          <w:rFonts w:hint="eastAsia" w:ascii="宋体" w:hAnsi="宋体" w:cs="宋体"/>
          <w:b/>
          <w:szCs w:val="21"/>
          <w:u w:val="single"/>
        </w:rPr>
        <w:t xml:space="preserve"> </w:t>
      </w:r>
      <w:r>
        <w:rPr>
          <w:rFonts w:hint="eastAsia" w:ascii="宋体" w:hAnsi="宋体" w:cs="宋体"/>
          <w:szCs w:val="21"/>
        </w:rPr>
        <w:t>完成设备到货、安装部署、系统测试并交付甲方使用。</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交货地点：乙方免费送货上门，交货地址：广州市内甲方指定地点。</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乙方所提供的产品与技术指标项响应完全相符的全新原装产品。</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所有货物在开箱检验时必须完好，无破损，配置与装箱单相符。数量及性能不低于甲方采购需求书中提出的要求。</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设备的包装均应有良好的防湿、防锈、防雨、防腐及防碰撞的措施。凡由于包装不良造成的损失和由此产生的费用均由中标供应商承担。</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设备的安装调试：因本项目实施的会场在正常工作时间段可能无法腾空施工，乙方必须承诺提供非工作时间段施工服务（包括晚上、周末），每次施工后如碰到会议使用要求需及时恢复会场音频条件，保障甲方所有会场在施工期间任意时刻音频系统持续可用。</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乙方负责设备的安装调试，一切费用由乙方负责</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乙方安装时须对各安装场地的其他设备、设施有良好保护措施，如因保护措施不当造成采购人损失的，乙方应负责赔偿。</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乙方要与甲方、其他会场保障单位密切配合，保障会场音频系统可用性。</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乙方要服从本项目监理公司的监理。</w:t>
      </w:r>
    </w:p>
    <w:p>
      <w:pPr>
        <w:numPr>
          <w:ilvl w:val="0"/>
          <w:numId w:val="102"/>
        </w:numPr>
        <w:autoSpaceDE w:val="0"/>
        <w:autoSpaceDN w:val="0"/>
        <w:adjustRightInd w:val="0"/>
        <w:snapToGrid w:val="0"/>
        <w:spacing w:line="360" w:lineRule="auto"/>
        <w:ind w:firstLine="425"/>
        <w:rPr>
          <w:rFonts w:ascii="宋体" w:hAnsi="宋体" w:cs="宋体"/>
          <w:szCs w:val="21"/>
        </w:rPr>
      </w:pPr>
      <w:r>
        <w:rPr>
          <w:rFonts w:hint="eastAsia" w:ascii="宋体" w:hAnsi="宋体" w:cs="宋体"/>
          <w:szCs w:val="21"/>
        </w:rPr>
        <w:t>本合同项目不得转包，非主体项目报经采购同意转包的除外。</w:t>
      </w:r>
    </w:p>
    <w:p>
      <w:pPr>
        <w:spacing w:line="360" w:lineRule="auto"/>
        <w:rPr>
          <w:rFonts w:cs="Times New Roman"/>
          <w:b/>
          <w:bCs/>
          <w:szCs w:val="21"/>
        </w:rPr>
      </w:pPr>
      <w:r>
        <w:rPr>
          <w:rFonts w:hint="eastAsia" w:cs="Times New Roman"/>
          <w:b/>
          <w:bCs/>
          <w:szCs w:val="21"/>
        </w:rPr>
        <w:t>五、付款方式</w:t>
      </w:r>
    </w:p>
    <w:p>
      <w:pPr>
        <w:spacing w:line="360" w:lineRule="auto"/>
        <w:ind w:firstLine="420" w:firstLineChars="200"/>
        <w:rPr>
          <w:rFonts w:ascii="宋体" w:hAnsi="宋体" w:cs="宋体"/>
          <w:szCs w:val="21"/>
        </w:rPr>
      </w:pPr>
      <w:r>
        <w:rPr>
          <w:rFonts w:hint="eastAsia" w:ascii="宋体" w:hAnsi="宋体" w:cs="宋体"/>
          <w:szCs w:val="21"/>
        </w:rPr>
        <w:t>1.合同签订后的5个工作日内，甲方向财政支付部门申请办理预付合同总价</w:t>
      </w:r>
      <w:r>
        <w:rPr>
          <w:rFonts w:ascii="宋体" w:hAnsi="宋体" w:cs="宋体"/>
          <w:szCs w:val="21"/>
        </w:rPr>
        <w:t>5</w:t>
      </w:r>
      <w:r>
        <w:rPr>
          <w:rFonts w:hint="eastAsia" w:ascii="宋体" w:hAnsi="宋体" w:cs="宋体"/>
          <w:szCs w:val="21"/>
        </w:rPr>
        <w:t>0%的付款手续。</w:t>
      </w:r>
    </w:p>
    <w:p>
      <w:pPr>
        <w:spacing w:line="360" w:lineRule="auto"/>
        <w:ind w:firstLine="420" w:firstLineChars="200"/>
        <w:rPr>
          <w:rFonts w:ascii="宋体" w:hAnsi="宋体" w:cs="宋体"/>
          <w:szCs w:val="21"/>
        </w:rPr>
      </w:pPr>
      <w:r>
        <w:rPr>
          <w:rFonts w:hint="eastAsia" w:ascii="宋体" w:hAnsi="宋体" w:cs="宋体"/>
          <w:szCs w:val="21"/>
        </w:rPr>
        <w:t>2.当项目主要设备到货并通过业主开箱验收后的 5 个工作日内，甲方向财政支付部门申请办理支付合同总价</w:t>
      </w:r>
      <w:r>
        <w:rPr>
          <w:rFonts w:ascii="宋体" w:hAnsi="宋体" w:cs="宋体"/>
          <w:szCs w:val="21"/>
        </w:rPr>
        <w:t>40</w:t>
      </w:r>
      <w:r>
        <w:rPr>
          <w:rFonts w:hint="eastAsia" w:ascii="宋体" w:hAnsi="宋体" w:cs="宋体"/>
          <w:szCs w:val="21"/>
        </w:rPr>
        <w:t>%的进度款手续。</w:t>
      </w:r>
    </w:p>
    <w:p>
      <w:pPr>
        <w:spacing w:line="360" w:lineRule="auto"/>
        <w:ind w:firstLine="420" w:firstLineChars="200"/>
        <w:rPr>
          <w:rFonts w:ascii="宋体" w:hAnsi="宋体" w:cs="宋体"/>
          <w:szCs w:val="21"/>
        </w:rPr>
      </w:pPr>
      <w:r>
        <w:rPr>
          <w:rFonts w:hint="eastAsia" w:ascii="宋体" w:hAnsi="宋体" w:cs="宋体"/>
          <w:szCs w:val="21"/>
        </w:rPr>
        <w:t>3.项目所有工作全部完成，并经甲方组织的合同验收通过后的5个工作日内，甲方向财政支付部门申请办理支付合同总价</w:t>
      </w:r>
      <w:r>
        <w:rPr>
          <w:rFonts w:ascii="宋体" w:hAnsi="宋体" w:cs="宋体"/>
          <w:szCs w:val="21"/>
        </w:rPr>
        <w:t>10</w:t>
      </w:r>
      <w:r>
        <w:rPr>
          <w:rFonts w:hint="eastAsia" w:ascii="宋体" w:hAnsi="宋体" w:cs="宋体"/>
          <w:szCs w:val="21"/>
        </w:rPr>
        <w:t>%的进度款手续。</w:t>
      </w:r>
    </w:p>
    <w:p>
      <w:pPr>
        <w:spacing w:line="360" w:lineRule="auto"/>
        <w:rPr>
          <w:rFonts w:cs="Times New Roman"/>
          <w:b/>
          <w:bCs/>
          <w:szCs w:val="21"/>
        </w:rPr>
      </w:pPr>
      <w:r>
        <w:rPr>
          <w:rFonts w:hint="eastAsia" w:cs="Times New Roman"/>
          <w:b/>
          <w:bCs/>
          <w:szCs w:val="21"/>
        </w:rPr>
        <w:t>六、质保期及售后服务要求</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售后服务期</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中标供应商需为本项目所提供的设备自通过采购人（或监理单位）开箱验收合格之次日起为期1年的售后服务，所有费用已包含在投标报价中。</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售后服务期（质保期）内，若本项目所含存储设备发生硬件故障需进行更换时，中标人应免费进行更换。</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售后服务响应要求</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响应时间：5分钟内；</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到场时间：30分钟,系统涉及采购人关键业务运作，需在15分钟内到场处理故障。</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影响到业务正常开展的故障，在工作日内2个小时内解决。</w:t>
      </w:r>
    </w:p>
    <w:p>
      <w:pPr>
        <w:tabs>
          <w:tab w:val="left" w:pos="720"/>
          <w:tab w:val="left" w:pos="900"/>
        </w:tabs>
        <w:spacing w:line="360" w:lineRule="auto"/>
        <w:ind w:firstLine="420" w:firstLineChars="200"/>
        <w:rPr>
          <w:rFonts w:ascii="宋体" w:hAnsi="宋体" w:cs="宋体"/>
          <w:szCs w:val="21"/>
        </w:rPr>
      </w:pPr>
      <w:r>
        <w:rPr>
          <w:rFonts w:hint="eastAsia" w:ascii="宋体" w:hAnsi="宋体" w:cs="宋体"/>
          <w:szCs w:val="21"/>
        </w:rPr>
        <w:t>不影响业务正常开展的故障，在工作日内4个小时内解决；</w:t>
      </w:r>
    </w:p>
    <w:p>
      <w:pPr>
        <w:spacing w:line="360" w:lineRule="auto"/>
        <w:rPr>
          <w:rFonts w:cs="Times New Roman"/>
          <w:b/>
          <w:bCs/>
          <w:szCs w:val="21"/>
        </w:rPr>
      </w:pPr>
      <w:r>
        <w:rPr>
          <w:rFonts w:hint="eastAsia" w:cs="Times New Roman"/>
          <w:b/>
          <w:bCs/>
          <w:szCs w:val="21"/>
        </w:rPr>
        <w:t>七、验收</w:t>
      </w:r>
    </w:p>
    <w:p>
      <w:pPr>
        <w:spacing w:line="360" w:lineRule="auto"/>
        <w:ind w:firstLine="420" w:firstLineChars="200"/>
        <w:rPr>
          <w:rFonts w:ascii="宋体" w:hAnsi="宋体" w:cs="Times New Roman"/>
          <w:szCs w:val="21"/>
        </w:rPr>
      </w:pPr>
      <w:r>
        <w:rPr>
          <w:rFonts w:hint="eastAsia" w:ascii="宋体" w:hAnsi="宋体" w:cs="Times New Roman"/>
          <w:szCs w:val="21"/>
        </w:rPr>
        <w:t>设备到场后，采购人（或监理单位）对设备进行开箱验收，检查设备完好性。验收应在双方共同参加下进行。验收时如果发现所交付的设备有短装、次品、损坏或其它不符合本合同规定的情形，采购</w:t>
      </w:r>
      <w:r>
        <w:rPr>
          <w:rFonts w:ascii="宋体" w:hAnsi="宋体" w:cs="Times New Roman"/>
          <w:szCs w:val="21"/>
        </w:rPr>
        <w:t>人</w:t>
      </w:r>
      <w:r>
        <w:rPr>
          <w:rFonts w:hint="eastAsia" w:ascii="宋体" w:hAnsi="宋体" w:cs="Times New Roman"/>
          <w:szCs w:val="21"/>
        </w:rPr>
        <w:t>应做出详尽的现场记录，或由双方签署备忘录。此现场记录或备忘录可用作补充、缺失和更换损坏部件的有效证据。由此产生的有关费用由中</w:t>
      </w:r>
      <w:r>
        <w:rPr>
          <w:rFonts w:ascii="宋体" w:hAnsi="宋体" w:cs="Times New Roman"/>
          <w:szCs w:val="21"/>
        </w:rPr>
        <w:t>标供应</w:t>
      </w:r>
      <w:r>
        <w:rPr>
          <w:rFonts w:hint="eastAsia" w:ascii="宋体" w:hAnsi="宋体" w:cs="Times New Roman"/>
          <w:szCs w:val="21"/>
        </w:rPr>
        <w:t>商承担，验收期限相应顺延。</w:t>
      </w:r>
    </w:p>
    <w:p>
      <w:pPr>
        <w:spacing w:line="360" w:lineRule="auto"/>
        <w:ind w:firstLine="420" w:firstLineChars="200"/>
        <w:rPr>
          <w:rFonts w:ascii="宋体" w:hAnsi="宋体" w:cs="Times New Roman"/>
          <w:szCs w:val="21"/>
        </w:rPr>
      </w:pPr>
      <w:r>
        <w:rPr>
          <w:rFonts w:hint="eastAsia" w:ascii="宋体" w:hAnsi="宋体" w:cs="Times New Roman"/>
          <w:szCs w:val="21"/>
        </w:rPr>
        <w:t>如果设备运输和安装调试过程中因事故造成货物短缺、损坏，中</w:t>
      </w:r>
      <w:r>
        <w:rPr>
          <w:rFonts w:ascii="宋体" w:hAnsi="宋体" w:cs="Times New Roman"/>
          <w:szCs w:val="21"/>
        </w:rPr>
        <w:t>标供应</w:t>
      </w:r>
      <w:r>
        <w:rPr>
          <w:rFonts w:hint="eastAsia" w:ascii="宋体" w:hAnsi="宋体" w:cs="Times New Roman"/>
          <w:szCs w:val="21"/>
        </w:rPr>
        <w:t>商应及时安排换装，以保证设备安装调试的成功完成。换货的相关费用由中</w:t>
      </w:r>
      <w:r>
        <w:rPr>
          <w:rFonts w:ascii="宋体" w:hAnsi="宋体" w:cs="Times New Roman"/>
          <w:szCs w:val="21"/>
        </w:rPr>
        <w:t>标供应</w:t>
      </w:r>
      <w:r>
        <w:rPr>
          <w:rFonts w:hint="eastAsia" w:ascii="宋体" w:hAnsi="宋体" w:cs="Times New Roman"/>
          <w:szCs w:val="21"/>
        </w:rPr>
        <w:t>商承担。</w:t>
      </w:r>
    </w:p>
    <w:p>
      <w:pPr>
        <w:spacing w:line="360" w:lineRule="auto"/>
        <w:ind w:firstLine="420" w:firstLineChars="200"/>
        <w:rPr>
          <w:rFonts w:ascii="宋体" w:hAnsi="宋体" w:cs="Times New Roman"/>
          <w:szCs w:val="21"/>
        </w:rPr>
      </w:pPr>
      <w:r>
        <w:rPr>
          <w:rFonts w:hint="eastAsia" w:ascii="宋体" w:hAnsi="宋体" w:cs="Times New Roman"/>
          <w:szCs w:val="21"/>
        </w:rPr>
        <w:t>设备安装调试完成后</w:t>
      </w:r>
      <w:r>
        <w:rPr>
          <w:rFonts w:ascii="宋体" w:hAnsi="宋体" w:cs="Times New Roman"/>
          <w:szCs w:val="21"/>
        </w:rPr>
        <w:t>提交项目</w:t>
      </w:r>
      <w:r>
        <w:rPr>
          <w:rFonts w:hint="eastAsia" w:ascii="宋体" w:hAnsi="宋体" w:cs="Times New Roman"/>
          <w:szCs w:val="21"/>
        </w:rPr>
        <w:t>合同验收。合同验收由采</w:t>
      </w:r>
      <w:r>
        <w:rPr>
          <w:rFonts w:ascii="宋体" w:hAnsi="宋体" w:cs="Times New Roman"/>
          <w:szCs w:val="21"/>
        </w:rPr>
        <w:t>购人</w:t>
      </w:r>
      <w:r>
        <w:rPr>
          <w:rFonts w:hint="eastAsia" w:ascii="宋体" w:hAnsi="宋体" w:cs="Times New Roman"/>
          <w:szCs w:val="21"/>
        </w:rPr>
        <w:t>单位、监理单位、施工单位参与验收。验收内容包括施工质量、技术和资料。施工质量按照设备安装质量的要求进行验收；技术按照招标文件对各子系统技术指标的要求进行验收；资料验收要求资料内容齐全、标记正确、文字清楚、数据准确、图文表一致。</w:t>
      </w:r>
    </w:p>
    <w:p>
      <w:pPr>
        <w:spacing w:line="360" w:lineRule="auto"/>
        <w:rPr>
          <w:rFonts w:cs="Times New Roman"/>
          <w:b/>
          <w:bCs/>
          <w:szCs w:val="21"/>
        </w:rPr>
      </w:pPr>
      <w:r>
        <w:rPr>
          <w:rFonts w:hint="eastAsia" w:cs="Times New Roman"/>
          <w:b/>
          <w:bCs/>
          <w:szCs w:val="21"/>
        </w:rPr>
        <w:t>八、培训要求</w:t>
      </w:r>
    </w:p>
    <w:p>
      <w:pPr>
        <w:spacing w:line="360" w:lineRule="auto"/>
        <w:ind w:firstLine="420" w:firstLineChars="200"/>
        <w:rPr>
          <w:rFonts w:ascii="宋体" w:hAnsi="宋体" w:cs="Times New Roman"/>
          <w:szCs w:val="21"/>
        </w:rPr>
      </w:pPr>
      <w:r>
        <w:rPr>
          <w:rFonts w:hint="eastAsia" w:ascii="宋体" w:hAnsi="宋体" w:cs="Times New Roman"/>
          <w:szCs w:val="21"/>
        </w:rPr>
        <w:t>供应商应在验收前提供现场专业技术培训服务。在投标文件中详细描述培训的组织和实施办法及培训内容与时间。</w:t>
      </w:r>
    </w:p>
    <w:p>
      <w:pPr>
        <w:spacing w:line="360" w:lineRule="auto"/>
        <w:ind w:firstLine="420" w:firstLineChars="200"/>
        <w:rPr>
          <w:rFonts w:ascii="宋体" w:hAnsi="宋体" w:cs="Times New Roman"/>
          <w:szCs w:val="21"/>
        </w:rPr>
      </w:pPr>
      <w:r>
        <w:rPr>
          <w:rFonts w:hint="eastAsia" w:ascii="宋体" w:hAnsi="宋体" w:cs="Times New Roman"/>
          <w:szCs w:val="21"/>
        </w:rPr>
        <w:t>所有培训以中文进行。该培训将教会学员在日常和紧急情况下如何操作系统、设备运维流程、运维体。培训教员的简历连同培训计划一并提交业主，业主认为培训教员不合格可要求更换。</w:t>
      </w:r>
    </w:p>
    <w:p>
      <w:pPr>
        <w:spacing w:line="360" w:lineRule="auto"/>
        <w:ind w:firstLine="420" w:firstLineChars="200"/>
        <w:rPr>
          <w:rFonts w:ascii="宋体" w:hAnsi="宋体" w:cs="Times New Roman"/>
          <w:szCs w:val="21"/>
        </w:rPr>
      </w:pPr>
      <w:r>
        <w:rPr>
          <w:rFonts w:hint="eastAsia" w:ascii="宋体" w:hAnsi="宋体" w:cs="Times New Roman"/>
          <w:szCs w:val="21"/>
        </w:rPr>
        <w:t>在系统完工测试之前为业主技术人员进行现场培训，该培训包括正常操作程序和怎样处理紧急情况。在培训工作开始前向业主免费提供所有中文培训资料，包括中文操作、维修手册。</w:t>
      </w:r>
    </w:p>
    <w:p>
      <w:pPr>
        <w:spacing w:line="360" w:lineRule="auto"/>
        <w:rPr>
          <w:rFonts w:cs="Times New Roman"/>
          <w:b/>
          <w:bCs/>
          <w:szCs w:val="21"/>
        </w:rPr>
      </w:pPr>
      <w:r>
        <w:rPr>
          <w:rFonts w:hint="eastAsia" w:cs="Times New Roman"/>
          <w:b/>
          <w:bCs/>
          <w:szCs w:val="21"/>
        </w:rPr>
        <w:t>九、违约责任与赔偿损失</w:t>
      </w:r>
    </w:p>
    <w:p>
      <w:pPr>
        <w:spacing w:line="360" w:lineRule="auto"/>
        <w:ind w:firstLine="420" w:firstLineChars="200"/>
        <w:rPr>
          <w:rFonts w:ascii="宋体" w:hAnsi="宋体" w:cs="Times New Roman"/>
          <w:szCs w:val="21"/>
        </w:rPr>
      </w:pPr>
      <w:r>
        <w:rPr>
          <w:rFonts w:hint="eastAsia" w:ascii="宋体" w:hAnsi="宋体" w:cs="Times New Roman"/>
          <w:szCs w:val="21"/>
        </w:rPr>
        <w:t>乙方交付的货物不符合招标文件、投标文件或本合同规定的，甲方有权拒收，并且乙方须向甲方支付本合同总价1%的违约金。</w:t>
      </w:r>
    </w:p>
    <w:p>
      <w:pPr>
        <w:spacing w:line="360" w:lineRule="auto"/>
        <w:ind w:firstLine="420" w:firstLineChars="200"/>
        <w:rPr>
          <w:rFonts w:ascii="宋体" w:hAnsi="宋体" w:cs="Times New Roman"/>
          <w:szCs w:val="21"/>
        </w:rPr>
      </w:pPr>
      <w:r>
        <w:rPr>
          <w:rFonts w:hint="eastAsia" w:ascii="宋体" w:hAnsi="宋体" w:cs="Times New Roman"/>
          <w:szCs w:val="21"/>
        </w:rPr>
        <w:t>乙方未能按本合同规定的交货时间交付货物的，从逾期之日起每日按本合同总价1‰的数额向甲方支付违约金；逾期15天以上（含15天）的，甲方有权终止合同，由此造成的甲方经济损失由乙方承担。</w:t>
      </w:r>
    </w:p>
    <w:p>
      <w:pPr>
        <w:spacing w:line="360" w:lineRule="auto"/>
        <w:ind w:firstLine="420" w:firstLineChars="200"/>
        <w:rPr>
          <w:rFonts w:ascii="宋体" w:hAnsi="宋体" w:cs="Times New Roman"/>
          <w:szCs w:val="21"/>
        </w:rPr>
      </w:pPr>
      <w:r>
        <w:rPr>
          <w:rFonts w:hint="eastAsia" w:ascii="宋体" w:hAnsi="宋体" w:cs="Times New Roman"/>
          <w:szCs w:val="21"/>
        </w:rPr>
        <w:t>甲方自收到发票后30日内将资金支付到合同约定的乙方账户，不得以机构变动、人员更替、政策调整等为由延迟付款，不得将采购文件和合同中未规定的义务作为向乙方付款的条件，甲方逾期付款，则每日按应付未付款的万分之一向乙方偿付违约金，累计违约金总额不超过应付未付款金额的百分之三。</w:t>
      </w:r>
    </w:p>
    <w:p>
      <w:pPr>
        <w:spacing w:line="360" w:lineRule="auto"/>
        <w:ind w:firstLine="420" w:firstLineChars="200"/>
        <w:rPr>
          <w:rFonts w:ascii="宋体" w:hAnsi="宋体" w:cs="Times New Roman"/>
          <w:szCs w:val="21"/>
        </w:rPr>
      </w:pPr>
      <w:r>
        <w:rPr>
          <w:rFonts w:hint="eastAsia" w:ascii="宋体" w:hAnsi="宋体" w:cs="Times New Roman"/>
          <w:szCs w:val="21"/>
        </w:rPr>
        <w:t>对于因甲方原因导致变更、中止或者终止政府采购合同的，甲方对供应商受到的损失予以等价赔偿（补偿）</w:t>
      </w:r>
    </w:p>
    <w:p>
      <w:pPr>
        <w:spacing w:line="360" w:lineRule="auto"/>
        <w:ind w:firstLine="420" w:firstLineChars="200"/>
        <w:rPr>
          <w:rFonts w:ascii="宋体" w:hAnsi="宋体" w:cs="Times New Roman"/>
          <w:szCs w:val="21"/>
        </w:rPr>
      </w:pPr>
      <w:r>
        <w:rPr>
          <w:rFonts w:hint="eastAsia" w:ascii="宋体" w:hAnsi="宋体" w:cs="Times New Roman"/>
          <w:szCs w:val="21"/>
        </w:rPr>
        <w:t>其它违约责任按《中华人民共和国民法典》处理。</w:t>
      </w:r>
    </w:p>
    <w:p>
      <w:pPr>
        <w:spacing w:line="360" w:lineRule="auto"/>
        <w:rPr>
          <w:rFonts w:cs="Times New Roman"/>
          <w:b/>
          <w:bCs/>
          <w:szCs w:val="21"/>
        </w:rPr>
      </w:pPr>
      <w:r>
        <w:rPr>
          <w:rFonts w:hint="eastAsia" w:cs="Times New Roman"/>
          <w:b/>
          <w:bCs/>
          <w:szCs w:val="21"/>
        </w:rPr>
        <w:t>十、争议的解决</w:t>
      </w:r>
    </w:p>
    <w:p>
      <w:pPr>
        <w:snapToGrid w:val="0"/>
        <w:spacing w:line="360" w:lineRule="auto"/>
        <w:ind w:firstLine="420" w:firstLineChars="200"/>
        <w:rPr>
          <w:rFonts w:ascii="宋体" w:hAnsi="宋体" w:cs="宋体"/>
          <w:szCs w:val="21"/>
        </w:rPr>
      </w:pPr>
      <w:r>
        <w:rPr>
          <w:rFonts w:hint="eastAsia" w:ascii="宋体" w:hAnsi="宋体" w:cs="宋体"/>
          <w:szCs w:val="21"/>
        </w:rPr>
        <w:t>合同执行过程中发生的任何争议，如双方不能通过友好协商解决，甲、乙双方一致同意向</w:t>
      </w:r>
      <w:r>
        <w:rPr>
          <w:rFonts w:hint="eastAsia" w:ascii="宋体" w:hAnsi="宋体" w:cs="宋体"/>
          <w:szCs w:val="20"/>
        </w:rPr>
        <w:t>任意一方</w:t>
      </w:r>
      <w:r>
        <w:rPr>
          <w:rFonts w:hint="eastAsia" w:ascii="宋体" w:hAnsi="宋体" w:cs="宋体"/>
          <w:szCs w:val="21"/>
        </w:rPr>
        <w:t>所在地人民法院提起诉讼。</w:t>
      </w:r>
    </w:p>
    <w:p>
      <w:pPr>
        <w:spacing w:line="360" w:lineRule="auto"/>
        <w:rPr>
          <w:rFonts w:cs="Times New Roman"/>
          <w:b/>
          <w:bCs/>
          <w:szCs w:val="21"/>
        </w:rPr>
      </w:pPr>
      <w:r>
        <w:rPr>
          <w:rFonts w:hint="eastAsia" w:cs="Times New Roman"/>
          <w:b/>
          <w:bCs/>
          <w:szCs w:val="21"/>
        </w:rPr>
        <w:t>十一、不可抗力</w:t>
      </w:r>
    </w:p>
    <w:p>
      <w:pPr>
        <w:snapToGrid w:val="0"/>
        <w:spacing w:line="360" w:lineRule="auto"/>
        <w:ind w:firstLine="420" w:firstLineChars="200"/>
        <w:rPr>
          <w:rFonts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cs="Times New Roman"/>
          <w:b/>
          <w:bCs/>
          <w:szCs w:val="21"/>
        </w:rPr>
      </w:pPr>
      <w:r>
        <w:rPr>
          <w:rFonts w:hint="eastAsia" w:cs="Times New Roman"/>
          <w:b/>
          <w:bCs/>
          <w:szCs w:val="21"/>
        </w:rPr>
        <w:t>十二、税费</w:t>
      </w:r>
    </w:p>
    <w:p>
      <w:pPr>
        <w:snapToGrid w:val="0"/>
        <w:spacing w:line="360" w:lineRule="auto"/>
        <w:ind w:firstLine="420" w:firstLineChars="200"/>
        <w:rPr>
          <w:rFonts w:ascii="宋体" w:hAnsi="宋体" w:cs="宋体"/>
          <w:szCs w:val="21"/>
        </w:rPr>
      </w:pPr>
      <w:r>
        <w:rPr>
          <w:rFonts w:hint="eastAsia" w:ascii="宋体" w:hAnsi="宋体" w:cs="宋体"/>
          <w:szCs w:val="21"/>
        </w:rPr>
        <w:t>在中国境内、外发生的与本合同执行有关的一切税费均由乙方负担。乙方根据合同约定向甲方提供与支付金额相符的有效增值税专用发票，且收款方、出具发票方和合同乙方名称必须一致。</w:t>
      </w:r>
    </w:p>
    <w:p>
      <w:pPr>
        <w:spacing w:line="360" w:lineRule="auto"/>
        <w:rPr>
          <w:rFonts w:cs="Times New Roman"/>
          <w:b/>
          <w:bCs/>
          <w:szCs w:val="21"/>
        </w:rPr>
      </w:pPr>
      <w:r>
        <w:rPr>
          <w:rFonts w:hint="eastAsia" w:cs="Times New Roman"/>
          <w:b/>
          <w:bCs/>
          <w:szCs w:val="21"/>
        </w:rPr>
        <w:t>十三、其它</w:t>
      </w:r>
    </w:p>
    <w:p>
      <w:pPr>
        <w:numPr>
          <w:ilvl w:val="0"/>
          <w:numId w:val="103"/>
        </w:numPr>
        <w:autoSpaceDE w:val="0"/>
        <w:autoSpaceDN w:val="0"/>
        <w:adjustRightInd w:val="0"/>
        <w:snapToGrid w:val="0"/>
        <w:spacing w:line="360" w:lineRule="auto"/>
        <w:rPr>
          <w:rFonts w:ascii="宋体" w:hAnsi="宋体" w:cs="宋体"/>
          <w:szCs w:val="21"/>
        </w:rPr>
      </w:pPr>
      <w:r>
        <w:rPr>
          <w:rFonts w:hint="eastAsia" w:ascii="宋体" w:hAnsi="宋体" w:cs="宋体"/>
          <w:szCs w:val="21"/>
        </w:rPr>
        <w:t>本合同所有附件、招标文件、投标文件、中标通知书均为合同的有效组成部分，与本合同具有同等法律效力。</w:t>
      </w:r>
    </w:p>
    <w:p>
      <w:pPr>
        <w:numPr>
          <w:ilvl w:val="0"/>
          <w:numId w:val="103"/>
        </w:numPr>
        <w:autoSpaceDE w:val="0"/>
        <w:autoSpaceDN w:val="0"/>
        <w:adjustRightInd w:val="0"/>
        <w:snapToGrid w:val="0"/>
        <w:spacing w:line="360" w:lineRule="auto"/>
        <w:rPr>
          <w:rFonts w:ascii="宋体" w:hAnsi="宋体" w:cs="宋体"/>
          <w:szCs w:val="21"/>
        </w:rPr>
      </w:pPr>
      <w:r>
        <w:rPr>
          <w:rFonts w:hint="eastAsia" w:ascii="宋体" w:hAnsi="宋体" w:cs="宋体"/>
          <w:szCs w:val="21"/>
        </w:rPr>
        <w:t>在执行本合同的过程中，所有经双方签署确认的文件（包括会议纪要、补充协议、往来信函）即成为本合同的有效组成部分。</w:t>
      </w:r>
    </w:p>
    <w:p>
      <w:pPr>
        <w:numPr>
          <w:ilvl w:val="0"/>
          <w:numId w:val="103"/>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如一方地址、电话、传真号码有变更，应在变更当日内书面通知对方，否则，应承担相应责任。 </w:t>
      </w:r>
    </w:p>
    <w:p>
      <w:pPr>
        <w:numPr>
          <w:ilvl w:val="0"/>
          <w:numId w:val="103"/>
        </w:numPr>
        <w:autoSpaceDE w:val="0"/>
        <w:autoSpaceDN w:val="0"/>
        <w:adjustRightInd w:val="0"/>
        <w:snapToGrid w:val="0"/>
        <w:spacing w:line="360" w:lineRule="auto"/>
        <w:rPr>
          <w:rFonts w:ascii="宋体" w:hAnsi="宋体" w:cs="宋体"/>
          <w:szCs w:val="21"/>
        </w:rPr>
      </w:pPr>
      <w:r>
        <w:rPr>
          <w:rFonts w:hint="eastAsia" w:ascii="宋体" w:hAnsi="宋体" w:cs="宋体"/>
          <w:szCs w:val="21"/>
        </w:rPr>
        <w:t>除甲方事先书面同意外，乙方不得部分或全部转让其应履行的合同项下的义务。</w:t>
      </w:r>
    </w:p>
    <w:p>
      <w:pPr>
        <w:spacing w:line="360" w:lineRule="auto"/>
        <w:rPr>
          <w:rFonts w:cs="Times New Roman"/>
          <w:b/>
          <w:bCs/>
          <w:szCs w:val="21"/>
        </w:rPr>
      </w:pPr>
      <w:r>
        <w:rPr>
          <w:rFonts w:hint="eastAsia" w:cs="Times New Roman"/>
          <w:b/>
          <w:bCs/>
          <w:szCs w:val="21"/>
        </w:rPr>
        <w:t>十四、合同生效</w:t>
      </w:r>
    </w:p>
    <w:p>
      <w:pPr>
        <w:numPr>
          <w:ilvl w:val="0"/>
          <w:numId w:val="104"/>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合同自甲乙双方法人代表或其授权代表签字盖章之日起生效。</w:t>
      </w:r>
    </w:p>
    <w:p>
      <w:pPr>
        <w:numPr>
          <w:ilvl w:val="0"/>
          <w:numId w:val="104"/>
        </w:numPr>
        <w:autoSpaceDE w:val="0"/>
        <w:autoSpaceDN w:val="0"/>
        <w:adjustRightInd w:val="0"/>
        <w:snapToGrid w:val="0"/>
        <w:spacing w:line="360" w:lineRule="auto"/>
        <w:rPr>
          <w:rFonts w:ascii="宋体" w:hAnsi="宋体" w:cs="宋体"/>
          <w:szCs w:val="21"/>
        </w:rPr>
      </w:pPr>
      <w:r>
        <w:rPr>
          <w:rFonts w:hint="eastAsia" w:ascii="宋体" w:hAnsi="宋体" w:cs="宋体"/>
          <w:szCs w:val="21"/>
        </w:rPr>
        <w:t>合同壹式</w:t>
      </w:r>
      <w:r>
        <w:rPr>
          <w:rFonts w:hint="eastAsia" w:ascii="宋体" w:hAnsi="宋体" w:cs="宋体"/>
          <w:szCs w:val="21"/>
          <w:u w:val="single"/>
        </w:rPr>
        <w:t xml:space="preserve"> 陆 </w:t>
      </w:r>
      <w:r>
        <w:rPr>
          <w:rFonts w:hint="eastAsia" w:ascii="宋体" w:hAnsi="宋体" w:cs="宋体"/>
          <w:szCs w:val="21"/>
        </w:rPr>
        <w:t>份，其中：甲方执</w:t>
      </w:r>
      <w:r>
        <w:rPr>
          <w:rFonts w:hint="eastAsia" w:ascii="宋体" w:hAnsi="宋体" w:cs="宋体"/>
          <w:szCs w:val="21"/>
          <w:u w:val="single"/>
        </w:rPr>
        <w:t xml:space="preserve"> 叁 </w:t>
      </w:r>
      <w:r>
        <w:rPr>
          <w:rFonts w:hint="eastAsia" w:ascii="宋体" w:hAnsi="宋体" w:cs="宋体"/>
          <w:szCs w:val="21"/>
        </w:rPr>
        <w:t>份，乙方执</w:t>
      </w:r>
      <w:r>
        <w:rPr>
          <w:rFonts w:hint="eastAsia" w:ascii="宋体" w:hAnsi="宋体" w:cs="宋体"/>
          <w:szCs w:val="21"/>
          <w:u w:val="single"/>
        </w:rPr>
        <w:t xml:space="preserve"> 叁 </w:t>
      </w:r>
      <w:r>
        <w:rPr>
          <w:rFonts w:hint="eastAsia" w:ascii="宋体" w:hAnsi="宋体" w:cs="宋体"/>
          <w:szCs w:val="21"/>
        </w:rPr>
        <w:t>份。具有同等法律效力。</w:t>
      </w:r>
    </w:p>
    <w:p>
      <w:pPr>
        <w:snapToGrid w:val="0"/>
        <w:spacing w:line="360" w:lineRule="auto"/>
        <w:ind w:left="5880" w:hanging="5880" w:hangingChars="2800"/>
        <w:rPr>
          <w:rFonts w:ascii="宋体" w:hAnsi="宋体" w:cs="宋体"/>
          <w:szCs w:val="21"/>
        </w:rPr>
      </w:pPr>
    </w:p>
    <w:p>
      <w:pPr>
        <w:snapToGrid w:val="0"/>
        <w:spacing w:line="360" w:lineRule="auto"/>
        <w:ind w:left="5880" w:hanging="5880" w:hangingChars="2800"/>
        <w:rPr>
          <w:rFonts w:ascii="宋体" w:hAnsi="宋体" w:cs="宋体"/>
          <w:szCs w:val="21"/>
        </w:rPr>
      </w:pPr>
      <w:r>
        <w:rPr>
          <w:rFonts w:hint="eastAsia" w:ascii="宋体" w:hAnsi="宋体" w:cs="宋体"/>
          <w:szCs w:val="21"/>
        </w:rPr>
        <w:t xml:space="preserve">甲方（盖章）： </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 xml:space="preserve">乙方（盖章）： </w:t>
      </w:r>
    </w:p>
    <w:p>
      <w:pPr>
        <w:snapToGrid w:val="0"/>
        <w:spacing w:line="360" w:lineRule="auto"/>
        <w:ind w:left="735" w:hanging="735" w:hangingChars="350"/>
        <w:rPr>
          <w:rFonts w:ascii="宋体" w:hAnsi="宋体" w:cs="宋体"/>
          <w:szCs w:val="21"/>
        </w:rPr>
      </w:pPr>
    </w:p>
    <w:p>
      <w:pPr>
        <w:snapToGrid w:val="0"/>
        <w:spacing w:line="360" w:lineRule="auto"/>
        <w:ind w:left="735" w:hanging="735" w:hangingChars="350"/>
        <w:rPr>
          <w:rFonts w:ascii="宋体" w:hAnsi="宋体" w:cs="宋体"/>
          <w:szCs w:val="21"/>
        </w:rPr>
      </w:pPr>
      <w:r>
        <w:rPr>
          <w:rFonts w:hint="eastAsia" w:ascii="宋体" w:hAnsi="宋体" w:cs="宋体"/>
          <w:szCs w:val="21"/>
        </w:rPr>
        <w:t xml:space="preserve">法人代表（或授权代表）：                     法人代表（或授权代表）： </w:t>
      </w:r>
    </w:p>
    <w:p>
      <w:pPr>
        <w:snapToGrid w:val="0"/>
        <w:spacing w:line="360" w:lineRule="auto"/>
        <w:rPr>
          <w:rFonts w:ascii="宋体" w:hAnsi="宋体" w:cs="宋体"/>
          <w:szCs w:val="21"/>
        </w:rPr>
      </w:pPr>
    </w:p>
    <w:p>
      <w:pPr>
        <w:snapToGrid w:val="0"/>
        <w:spacing w:line="360" w:lineRule="auto"/>
        <w:rPr>
          <w:rFonts w:ascii="宋体" w:hAnsi="宋体" w:cs="宋体"/>
          <w:sz w:val="24"/>
          <w:szCs w:val="20"/>
        </w:rPr>
      </w:pPr>
      <w:r>
        <w:rPr>
          <w:rFonts w:hint="eastAsia" w:ascii="宋体" w:hAnsi="宋体" w:cs="宋体"/>
          <w:szCs w:val="21"/>
          <w:lang w:eastAsia="zh-CN"/>
        </w:rPr>
        <w:t>签订</w:t>
      </w:r>
      <w:r>
        <w:rPr>
          <w:rFonts w:hint="eastAsia" w:ascii="宋体" w:hAnsi="宋体" w:cs="宋体"/>
          <w:szCs w:val="21"/>
        </w:rPr>
        <w:t xml:space="preserve">日期：      年    月    日             </w:t>
      </w:r>
      <w:r>
        <w:rPr>
          <w:rFonts w:ascii="宋体" w:hAnsi="宋体" w:cs="宋体"/>
          <w:szCs w:val="21"/>
        </w:rPr>
        <w:t xml:space="preserve">  </w:t>
      </w:r>
      <w:r>
        <w:rPr>
          <w:rFonts w:hint="eastAsia" w:ascii="宋体" w:hAnsi="宋体" w:cs="宋体"/>
          <w:szCs w:val="21"/>
          <w:lang w:eastAsia="zh-CN"/>
        </w:rPr>
        <w:t>签订</w:t>
      </w:r>
      <w:r>
        <w:rPr>
          <w:rFonts w:hint="eastAsia" w:ascii="宋体" w:hAnsi="宋体" w:cs="宋体"/>
          <w:szCs w:val="21"/>
        </w:rPr>
        <w:t xml:space="preserve">日期：     年    月    日 </w:t>
      </w:r>
      <w:bookmarkEnd w:id="439"/>
    </w:p>
    <w:p>
      <w:pPr>
        <w:spacing w:line="540" w:lineRule="exact"/>
        <w:ind w:firstLine="434" w:firstLineChars="207"/>
        <w:jc w:val="left"/>
        <w:rPr>
          <w:rFonts w:ascii="宋体" w:hAnsi="宋体"/>
          <w:color w:val="000000"/>
          <w:szCs w:val="21"/>
        </w:rPr>
      </w:pPr>
    </w:p>
    <w:p>
      <w:pPr>
        <w:spacing w:line="540" w:lineRule="exact"/>
        <w:ind w:firstLine="434" w:firstLineChars="207"/>
        <w:jc w:val="left"/>
        <w:rPr>
          <w:rFonts w:hint="eastAsia" w:ascii="宋体" w:hAnsi="宋体"/>
          <w:color w:val="000000"/>
          <w:szCs w:val="21"/>
        </w:rPr>
      </w:pPr>
    </w:p>
    <w:p>
      <w:pPr>
        <w:spacing w:line="440" w:lineRule="exact"/>
        <w:ind w:firstLine="480" w:firstLineChars="200"/>
        <w:rPr>
          <w:rFonts w:ascii="宋体" w:hAnsi="宋体" w:cs="ËÎÌå"/>
          <w:color w:val="000000"/>
          <w:kern w:val="0"/>
          <w:sz w:val="24"/>
        </w:rPr>
      </w:pPr>
    </w:p>
    <w:p>
      <w:pPr>
        <w:spacing w:line="360" w:lineRule="auto"/>
        <w:ind w:firstLine="883" w:firstLineChars="200"/>
        <w:jc w:val="center"/>
        <w:rPr>
          <w:rFonts w:hint="eastAsia" w:ascii="宋体" w:hAnsi="宋体"/>
          <w:b/>
          <w:color w:val="000000"/>
          <w:sz w:val="44"/>
          <w:szCs w:val="44"/>
        </w:rPr>
      </w:pPr>
      <w:r>
        <w:rPr>
          <w:rFonts w:ascii="宋体" w:hAnsi="宋体"/>
          <w:b/>
          <w:color w:val="000000"/>
          <w:sz w:val="44"/>
          <w:szCs w:val="44"/>
        </w:rPr>
        <w:br w:type="page"/>
      </w:r>
      <w:bookmarkStart w:id="440" w:name="_Hlk84859764"/>
      <w:r>
        <w:rPr>
          <w:rFonts w:hint="eastAsia" w:ascii="宋体" w:hAnsi="宋体"/>
          <w:b/>
          <w:color w:val="000000"/>
          <w:sz w:val="44"/>
          <w:szCs w:val="44"/>
        </w:rPr>
        <w:t>廉洁从业责任书</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甲方：广州市天河区机关事务管理局</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 xml:space="preserve">乙方： </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为规范甲乙双方的行为，维护公平竞争，建立健全防治商业贿赂长效机制，深入推进反腐倡廉工作。根据国家有关法律法规和机关事务管理局有关规定，经双方协商，签订本廉洁从业责任书。</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第一条甲乙双方共同责任</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一、严格遵守国家有关法律法规以及廉洁从业的有关规定。</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二、严格遵守商业道德和市场规则，共同营造公平公正的商务交易环境。</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三、加强有关人员的管理和廉洁从业教育，自觉抵制不廉洁行为。在商务活动中发现对方存在违纪违规行为，应及时向监察部门或司法机关举报。</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第二条甲方及其人员的责任</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一、不得索要或接受乙方及其相关单位和人员提供的回扣、礼金、有价证券、支付凭证、贵重物品等。</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二、不得在乙方相关单位报销任何应由甲方或个人支付的费用。</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三、不得违反规定在乙方及期相关单位投资入股，不得向乙方单位及人员借款或委托买卖股票、债券等。</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四、不得要求、暗示和接受乙方及其相关单位和个人为其购买或装修住房、婚丧嫁娶、配偶和子女的上学或工作安排以及出国（境）、旅游等提供方便。</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五、不得参加乙方及其相关单位安排的可能影响公正执行公务的宴请及健身娱乐等活动。</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六、不得接受乙方及其相关单位购置或提供的通讯工具、交通工具和高档办公用品。</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七、不得利用职权通过乙方及其相关单位为其配偶、子女及其他人谋取不正当利益。</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八、不得违反规定在乙方或乙方相关单位兼职和领取兼职工资及报酬；不得利用甲方的商业秘密、业务渠道等谋取个人利益，或将其提供泄漏给乙方及其它企业和个人。</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九、不得利用职权和工作之便向乙方提出上述各项规定禁止事项或要求之外的与工作业务无关的事项或要求。</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第三条乙方及其人员的责任：</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一、不得向甲方及其人员提供回扣、礼金、有价证券、支付凭证、贵重物品。</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二、不得为甲方及其人员报销应由甲方或个人支付的费用。</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三、不得为甲方人员投资入股、个人借款或买卖股票、债券等提供方便。</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四、不得为甲方人员购买或装修住房、婚丧嫁娶、配偶子女上学或工作安排以及出国（境）、旅游提供方便。</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五、不得为甲方人员安排有可能影响公正执行公务的宴请、健身娱乐等活动。</w:t>
      </w:r>
    </w:p>
    <w:p>
      <w:pPr>
        <w:spacing w:line="360" w:lineRule="auto"/>
        <w:ind w:firstLine="480" w:firstLineChars="200"/>
        <w:jc w:val="left"/>
        <w:rPr>
          <w:rFonts w:hint="eastAsia" w:ascii="宋体" w:hAnsi="宋体" w:cs="宋体"/>
          <w:color w:val="000000"/>
          <w:sz w:val="24"/>
        </w:rPr>
      </w:pPr>
      <w:r>
        <w:rPr>
          <w:rFonts w:hint="eastAsia" w:ascii="宋体" w:hAnsi="宋体"/>
          <w:color w:val="000000"/>
          <w:sz w:val="24"/>
        </w:rPr>
        <w:t>六、不得为甲方及其人员购置或提供通讯工具、交通</w:t>
      </w:r>
      <w:r>
        <w:rPr>
          <w:rFonts w:hint="eastAsia" w:ascii="宋体" w:hAnsi="宋体" w:cs="宋体"/>
          <w:color w:val="000000"/>
          <w:sz w:val="24"/>
        </w:rPr>
        <w:t>工具和高档办公用品。</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七、不得为甲方人员配偶、子女及其他亲属谋取不正当利益提供方便。</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八、不得违反规定安排甲方人员在乙方或乙方机关、企业兼职或领取兼职工资及报酬，不得利用非法手段向甲方人员打探有关涉及甲方的商业秘密、业务渠道等。</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九、甲方对涉嫌不廉洁的商业行为进行调查时，乙方有配合甲方提供证据、作证的义务。</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十、未经甲方书面同意，乙方不得向任何新闻媒体、第三人述及有关甲方廉洁从业方面的评价、信息。</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第四条违约责任：</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一、甲方及其人员有违反本责任书第一条、第二条规定的，按照管理权限，依据有关法律法规给予有关人员纪律处分或组织处理，涉嫌犯罪的，移交司法机关追究刑事责任。</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二、乙方及其人员违反责任书第一条、第三条规定的，根据具体情节和造成的后果，甲方除有权要求乙方赔偿由此造成的甲方损失外，还将分别在甲方内部给予通报，限制或禁止与其交易的处理；涉嫌犯罪的，建议司法机关追究刑事责任。</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第五条本责任书经双方签署后生效。</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甲乙双方通过招标投标或其他方式签订交易合同，本责任书作为交易合同的附件，与合同具有同等法律效力；如双方未签订交易合同，本责任书独立有效。</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第六条甲乙双方及其人员在合同履行完毕后，发生或发现违反本责任书的行为，仍按本责任书规定处理。</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第七条本责任书一式六份，甲方</w:t>
      </w:r>
      <w:r>
        <w:rPr>
          <w:rFonts w:ascii="宋体" w:hAnsi="宋体" w:cs="宋体"/>
          <w:color w:val="000000"/>
          <w:sz w:val="24"/>
        </w:rPr>
        <w:t>执</w:t>
      </w:r>
      <w:r>
        <w:rPr>
          <w:rFonts w:hint="eastAsia" w:ascii="宋体" w:hAnsi="宋体" w:cs="宋体"/>
          <w:szCs w:val="21"/>
          <w:u w:val="single"/>
        </w:rPr>
        <w:t>叁</w:t>
      </w:r>
      <w:r>
        <w:rPr>
          <w:rFonts w:ascii="宋体" w:hAnsi="宋体" w:cs="宋体"/>
          <w:color w:val="000000"/>
          <w:sz w:val="24"/>
        </w:rPr>
        <w:t>份</w:t>
      </w:r>
      <w:r>
        <w:rPr>
          <w:rFonts w:hint="eastAsia" w:ascii="宋体" w:hAnsi="宋体" w:cs="宋体"/>
          <w:color w:val="000000"/>
          <w:sz w:val="24"/>
        </w:rPr>
        <w:t>、乙方执</w:t>
      </w:r>
      <w:r>
        <w:rPr>
          <w:rFonts w:hint="eastAsia" w:ascii="宋体" w:hAnsi="宋体" w:cs="宋体"/>
          <w:szCs w:val="21"/>
          <w:u w:val="single"/>
        </w:rPr>
        <w:t>叁</w:t>
      </w:r>
      <w:r>
        <w:rPr>
          <w:rFonts w:hint="eastAsia" w:ascii="宋体" w:hAnsi="宋体" w:cs="宋体"/>
          <w:color w:val="000000"/>
          <w:sz w:val="24"/>
        </w:rPr>
        <w:t>份，具有同等法律效力。</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甲方单位（盖章）：   </w:t>
      </w:r>
      <w:r>
        <w:rPr>
          <w:rFonts w:ascii="宋体" w:hAnsi="宋体" w:cs="宋体"/>
          <w:color w:val="000000"/>
          <w:sz w:val="24"/>
        </w:rPr>
        <w:t xml:space="preserve">               </w:t>
      </w:r>
      <w:r>
        <w:rPr>
          <w:rFonts w:hint="eastAsia" w:ascii="宋体" w:hAnsi="宋体" w:cs="宋体"/>
          <w:color w:val="000000"/>
          <w:sz w:val="24"/>
        </w:rPr>
        <w:t xml:space="preserve">乙方单位（盖章）： </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法人代表（授权委托人）：            法人代表（授权委托人）：</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日期：     年   月    日           日期：    年    月  日</w:t>
      </w:r>
      <w:bookmarkEnd w:id="440"/>
    </w:p>
    <w:p>
      <w:pPr>
        <w:pStyle w:val="2"/>
        <w:jc w:val="center"/>
        <w:rPr>
          <w:color w:val="000000"/>
        </w:rPr>
      </w:pPr>
      <w:bookmarkStart w:id="441" w:name="_Toc50737323"/>
      <w:bookmarkStart w:id="442" w:name="_Toc50691025"/>
      <w:bookmarkStart w:id="443" w:name="_Toc87417453"/>
      <w:bookmarkStart w:id="444" w:name="_Toc50736471"/>
      <w:bookmarkStart w:id="445" w:name="_Toc50737291"/>
      <w:bookmarkStart w:id="446" w:name="_Toc182886662"/>
      <w:bookmarkStart w:id="447" w:name="_Toc168288374"/>
      <w:bookmarkStart w:id="448" w:name="_Toc183316722"/>
      <w:bookmarkStart w:id="449" w:name="_Toc372468321"/>
      <w:bookmarkStart w:id="450" w:name="_Toc423021953"/>
      <w:bookmarkStart w:id="451" w:name="_Toc28392"/>
      <w:r>
        <w:rPr>
          <w:color w:val="000000"/>
        </w:rPr>
        <w:br w:type="page"/>
      </w:r>
      <w:bookmarkStart w:id="452" w:name="_Toc86851547"/>
      <w:r>
        <w:rPr>
          <w:rFonts w:hint="eastAsia"/>
          <w:color w:val="000000"/>
        </w:rPr>
        <w:t xml:space="preserve">第六章 </w:t>
      </w:r>
      <w:bookmarkEnd w:id="441"/>
      <w:bookmarkEnd w:id="442"/>
      <w:bookmarkEnd w:id="443"/>
      <w:bookmarkEnd w:id="444"/>
      <w:bookmarkEnd w:id="445"/>
      <w:r>
        <w:rPr>
          <w:rFonts w:hint="eastAsia"/>
          <w:color w:val="000000"/>
        </w:rPr>
        <w:t>响应文件格式</w:t>
      </w:r>
      <w:bookmarkEnd w:id="446"/>
      <w:bookmarkEnd w:id="447"/>
      <w:bookmarkEnd w:id="448"/>
      <w:bookmarkEnd w:id="449"/>
      <w:bookmarkEnd w:id="450"/>
      <w:bookmarkEnd w:id="451"/>
      <w:bookmarkEnd w:id="452"/>
    </w:p>
    <w:p>
      <w:pPr>
        <w:rPr>
          <w:rFonts w:hint="eastAsia" w:eastAsia="仿宋_GB2312"/>
          <w:color w:val="000000"/>
        </w:rPr>
      </w:pPr>
      <w:bookmarkStart w:id="453" w:name="_Toc196294633"/>
      <w:bookmarkStart w:id="454" w:name="_Toc183316723"/>
      <w:bookmarkStart w:id="455" w:name="_Toc182886663"/>
    </w:p>
    <w:p>
      <w:pPr>
        <w:jc w:val="center"/>
        <w:rPr>
          <w:rFonts w:hint="eastAsia" w:ascii="黑体" w:eastAsia="黑体"/>
          <w:color w:val="000000"/>
          <w:sz w:val="57"/>
        </w:rPr>
      </w:pPr>
      <w:r>
        <w:rPr>
          <w:rFonts w:hint="eastAsia" w:ascii="黑体" w:eastAsia="黑体"/>
          <w:color w:val="000000"/>
          <w:sz w:val="57"/>
        </w:rPr>
        <w:t>广州市政府采购</w:t>
      </w:r>
    </w:p>
    <w:p>
      <w:pPr>
        <w:jc w:val="center"/>
        <w:rPr>
          <w:rFonts w:ascii="黑体" w:eastAsia="黑体"/>
          <w:color w:val="000000"/>
          <w:sz w:val="57"/>
        </w:rPr>
      </w:pPr>
    </w:p>
    <w:p>
      <w:pPr>
        <w:jc w:val="center"/>
        <w:rPr>
          <w:rFonts w:ascii="黑体" w:eastAsia="黑体"/>
          <w:color w:val="000000"/>
          <w:sz w:val="57"/>
        </w:rPr>
      </w:pPr>
      <w:r>
        <w:rPr>
          <w:rFonts w:hint="eastAsia" w:ascii="黑体" w:eastAsia="黑体"/>
          <w:color w:val="000000"/>
          <w:sz w:val="57"/>
        </w:rPr>
        <w:t>响应文件</w:t>
      </w:r>
    </w:p>
    <w:p>
      <w:pPr>
        <w:jc w:val="center"/>
        <w:rPr>
          <w:rFonts w:ascii="黑体" w:eastAsia="黑体"/>
          <w:color w:val="000000"/>
          <w:sz w:val="57"/>
        </w:rPr>
      </w:pPr>
    </w:p>
    <w:p>
      <w:pPr>
        <w:jc w:val="center"/>
        <w:rPr>
          <w:color w:val="000000"/>
          <w:sz w:val="47"/>
        </w:rPr>
      </w:pPr>
      <w:r>
        <w:rPr>
          <w:rFonts w:hint="eastAsia"/>
          <w:color w:val="000000"/>
          <w:sz w:val="47"/>
        </w:rPr>
        <w:t>（正本/副本）</w:t>
      </w:r>
    </w:p>
    <w:p>
      <w:pPr>
        <w:rPr>
          <w:color w:val="000000"/>
        </w:rPr>
      </w:pPr>
    </w:p>
    <w:p>
      <w:pPr>
        <w:rPr>
          <w:color w:val="000000"/>
        </w:rPr>
      </w:pPr>
    </w:p>
    <w:p>
      <w:pPr>
        <w:rPr>
          <w:color w:val="000000"/>
        </w:rPr>
      </w:pPr>
    </w:p>
    <w:p>
      <w:pPr>
        <w:rPr>
          <w:color w:val="000000"/>
        </w:rPr>
      </w:pPr>
    </w:p>
    <w:p>
      <w:pPr>
        <w:adjustRightInd w:val="0"/>
        <w:snapToGrid w:val="0"/>
        <w:spacing w:line="360" w:lineRule="auto"/>
        <w:rPr>
          <w:color w:val="000000"/>
          <w:sz w:val="28"/>
          <w:szCs w:val="28"/>
        </w:rPr>
      </w:pPr>
      <w:r>
        <w:rPr>
          <w:rFonts w:hint="eastAsia"/>
          <w:color w:val="000000"/>
          <w:sz w:val="28"/>
          <w:szCs w:val="28"/>
        </w:rPr>
        <w:t xml:space="preserve">项目名称： </w:t>
      </w:r>
    </w:p>
    <w:p>
      <w:pPr>
        <w:adjustRightInd w:val="0"/>
        <w:snapToGrid w:val="0"/>
        <w:spacing w:line="360" w:lineRule="auto"/>
        <w:rPr>
          <w:color w:val="000000"/>
          <w:sz w:val="28"/>
          <w:szCs w:val="28"/>
        </w:rPr>
      </w:pPr>
      <w:r>
        <w:rPr>
          <w:rFonts w:hint="eastAsia"/>
          <w:color w:val="000000"/>
          <w:sz w:val="28"/>
          <w:szCs w:val="28"/>
        </w:rPr>
        <w:t xml:space="preserve">项目编号： </w:t>
      </w:r>
    </w:p>
    <w:p>
      <w:pPr>
        <w:adjustRightInd w:val="0"/>
        <w:snapToGrid w:val="0"/>
        <w:spacing w:line="360" w:lineRule="auto"/>
        <w:rPr>
          <w:color w:val="000000"/>
          <w:sz w:val="28"/>
          <w:szCs w:val="28"/>
        </w:rPr>
      </w:pPr>
    </w:p>
    <w:p>
      <w:pPr>
        <w:adjustRightInd w:val="0"/>
        <w:snapToGrid w:val="0"/>
        <w:spacing w:line="360" w:lineRule="auto"/>
        <w:rPr>
          <w:color w:val="000000"/>
          <w:sz w:val="28"/>
          <w:szCs w:val="28"/>
        </w:rPr>
      </w:pPr>
    </w:p>
    <w:p>
      <w:pPr>
        <w:adjustRightInd w:val="0"/>
        <w:snapToGrid w:val="0"/>
        <w:spacing w:line="360" w:lineRule="auto"/>
        <w:rPr>
          <w:color w:val="000000"/>
          <w:sz w:val="28"/>
          <w:szCs w:val="28"/>
        </w:rPr>
      </w:pPr>
    </w:p>
    <w:p>
      <w:pPr>
        <w:adjustRightInd w:val="0"/>
        <w:snapToGrid w:val="0"/>
        <w:spacing w:line="360" w:lineRule="auto"/>
        <w:rPr>
          <w:color w:val="000000"/>
          <w:sz w:val="28"/>
          <w:szCs w:val="28"/>
        </w:rPr>
      </w:pPr>
    </w:p>
    <w:p>
      <w:pPr>
        <w:adjustRightInd w:val="0"/>
        <w:snapToGrid w:val="0"/>
        <w:spacing w:line="360" w:lineRule="auto"/>
        <w:rPr>
          <w:color w:val="000000"/>
          <w:sz w:val="28"/>
          <w:szCs w:val="28"/>
        </w:rPr>
      </w:pPr>
    </w:p>
    <w:p>
      <w:pPr>
        <w:adjustRightInd w:val="0"/>
        <w:snapToGrid w:val="0"/>
        <w:spacing w:line="360" w:lineRule="auto"/>
        <w:rPr>
          <w:color w:val="000000"/>
          <w:sz w:val="28"/>
          <w:szCs w:val="28"/>
        </w:rPr>
      </w:pPr>
      <w:r>
        <w:rPr>
          <w:rFonts w:hint="eastAsia"/>
          <w:color w:val="000000"/>
          <w:sz w:val="28"/>
          <w:szCs w:val="28"/>
        </w:rPr>
        <w:t xml:space="preserve">报价供应商名称：                </w:t>
      </w:r>
    </w:p>
    <w:p>
      <w:pPr>
        <w:adjustRightInd w:val="0"/>
        <w:snapToGrid w:val="0"/>
        <w:spacing w:line="360" w:lineRule="auto"/>
        <w:rPr>
          <w:color w:val="000000"/>
          <w:sz w:val="28"/>
          <w:szCs w:val="28"/>
        </w:rPr>
      </w:pPr>
      <w:r>
        <w:rPr>
          <w:rFonts w:hint="eastAsia"/>
          <w:color w:val="000000"/>
          <w:sz w:val="28"/>
          <w:szCs w:val="28"/>
        </w:rPr>
        <w:t>日期：    年      月      日</w:t>
      </w:r>
    </w:p>
    <w:bookmarkEnd w:id="453"/>
    <w:bookmarkEnd w:id="454"/>
    <w:bookmarkEnd w:id="455"/>
    <w:p>
      <w:pPr>
        <w:pStyle w:val="4"/>
        <w:numPr>
          <w:ilvl w:val="0"/>
          <w:numId w:val="105"/>
        </w:numPr>
        <w:adjustRightInd w:val="0"/>
        <w:snapToGrid w:val="0"/>
        <w:spacing w:before="0" w:after="0" w:line="360" w:lineRule="auto"/>
        <w:jc w:val="center"/>
        <w:rPr>
          <w:color w:val="000000"/>
        </w:rPr>
      </w:pPr>
      <w:bookmarkStart w:id="456" w:name="_Toc26694"/>
      <w:r>
        <w:rPr>
          <w:b w:val="0"/>
          <w:bCs w:val="0"/>
          <w:color w:val="000000"/>
          <w:sz w:val="21"/>
          <w:szCs w:val="24"/>
        </w:rPr>
        <w:br w:type="page"/>
      </w:r>
      <w:bookmarkEnd w:id="456"/>
      <w:bookmarkStart w:id="457" w:name="_Toc27409"/>
      <w:bookmarkStart w:id="458" w:name="_Toc21505"/>
      <w:bookmarkStart w:id="459" w:name="_Toc86851548"/>
      <w:r>
        <w:rPr>
          <w:rFonts w:hint="eastAsia"/>
          <w:color w:val="000000"/>
        </w:rPr>
        <w:t>资格性审查自查表</w:t>
      </w:r>
      <w:bookmarkEnd w:id="457"/>
      <w:bookmarkEnd w:id="458"/>
      <w:bookmarkEnd w:id="459"/>
    </w:p>
    <w:tbl>
      <w:tblPr>
        <w:tblStyle w:val="4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274"/>
        <w:gridCol w:w="160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blHeader/>
        </w:trPr>
        <w:tc>
          <w:tcPr>
            <w:tcW w:w="775" w:type="dxa"/>
            <w:shd w:val="clear" w:color="auto" w:fill="D7D7D7"/>
            <w:vAlign w:val="center"/>
          </w:tcPr>
          <w:p>
            <w:pPr>
              <w:adjustRightInd w:val="0"/>
              <w:snapToGrid w:val="0"/>
              <w:jc w:val="center"/>
              <w:rPr>
                <w:rFonts w:ascii="宋体" w:hAnsi="宋体"/>
                <w:b/>
                <w:color w:val="000000"/>
                <w:sz w:val="24"/>
              </w:rPr>
            </w:pPr>
            <w:r>
              <w:rPr>
                <w:rFonts w:hint="eastAsia" w:ascii="宋体" w:hAnsi="宋体"/>
                <w:b/>
                <w:color w:val="000000"/>
                <w:sz w:val="24"/>
              </w:rPr>
              <w:t>序号</w:t>
            </w:r>
          </w:p>
        </w:tc>
        <w:tc>
          <w:tcPr>
            <w:tcW w:w="5274" w:type="dxa"/>
            <w:shd w:val="clear" w:color="auto" w:fill="D7D7D7"/>
            <w:vAlign w:val="center"/>
          </w:tcPr>
          <w:p>
            <w:pPr>
              <w:adjustRightInd w:val="0"/>
              <w:snapToGrid w:val="0"/>
              <w:jc w:val="center"/>
              <w:rPr>
                <w:rFonts w:ascii="宋体" w:hAnsi="宋体"/>
                <w:b/>
                <w:color w:val="000000"/>
                <w:sz w:val="24"/>
              </w:rPr>
            </w:pPr>
            <w:r>
              <w:rPr>
                <w:rFonts w:hint="eastAsia" w:ascii="宋体" w:hAnsi="宋体"/>
                <w:b/>
                <w:color w:val="000000"/>
                <w:sz w:val="24"/>
              </w:rPr>
              <w:t>审查内容</w:t>
            </w:r>
          </w:p>
        </w:tc>
        <w:tc>
          <w:tcPr>
            <w:tcW w:w="1602" w:type="dxa"/>
            <w:shd w:val="clear" w:color="auto" w:fill="D7D7D7"/>
            <w:vAlign w:val="center"/>
          </w:tcPr>
          <w:p>
            <w:pPr>
              <w:adjustRightInd w:val="0"/>
              <w:snapToGrid w:val="0"/>
              <w:jc w:val="center"/>
              <w:rPr>
                <w:rFonts w:ascii="宋体" w:hAnsi="宋体"/>
                <w:b/>
                <w:color w:val="000000"/>
                <w:sz w:val="24"/>
              </w:rPr>
            </w:pPr>
            <w:r>
              <w:rPr>
                <w:rFonts w:hint="eastAsia"/>
                <w:b/>
                <w:bCs/>
                <w:color w:val="000000"/>
                <w:sz w:val="24"/>
              </w:rPr>
              <w:t>自查结论</w:t>
            </w:r>
          </w:p>
        </w:tc>
        <w:tc>
          <w:tcPr>
            <w:tcW w:w="1587" w:type="dxa"/>
            <w:shd w:val="clear" w:color="auto" w:fill="D7D7D7"/>
            <w:vAlign w:val="center"/>
          </w:tcPr>
          <w:p>
            <w:pPr>
              <w:adjustRightInd w:val="0"/>
              <w:snapToGrid w:val="0"/>
              <w:ind w:left="-171"/>
              <w:jc w:val="center"/>
              <w:rPr>
                <w:b/>
                <w:bCs/>
                <w:color w:val="000000"/>
                <w:sz w:val="24"/>
              </w:rPr>
            </w:pPr>
            <w:r>
              <w:rPr>
                <w:rFonts w:hint="eastAsia"/>
                <w:b/>
                <w:bCs/>
                <w:color w:val="000000"/>
                <w:sz w:val="24"/>
              </w:rPr>
              <w:t>证明材料</w:t>
            </w:r>
          </w:p>
          <w:p>
            <w:pPr>
              <w:adjustRightInd w:val="0"/>
              <w:snapToGrid w:val="0"/>
              <w:jc w:val="center"/>
              <w:rPr>
                <w:rFonts w:ascii="宋体" w:hAnsi="宋体"/>
                <w:b/>
                <w:color w:val="000000"/>
                <w:sz w:val="24"/>
              </w:rPr>
            </w:pPr>
            <w:r>
              <w:rPr>
                <w:rFonts w:hint="eastAsia"/>
                <w:b/>
                <w:bCs/>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1</w:t>
            </w:r>
          </w:p>
        </w:tc>
        <w:tc>
          <w:tcPr>
            <w:tcW w:w="5274" w:type="dxa"/>
            <w:shd w:val="clear" w:color="auto" w:fill="auto"/>
            <w:vAlign w:val="center"/>
          </w:tcPr>
          <w:p>
            <w:pPr>
              <w:spacing w:line="440" w:lineRule="exact"/>
              <w:jc w:val="left"/>
              <w:rPr>
                <w:rFonts w:ascii="宋体" w:hAnsi="宋体" w:cs="Tahoma"/>
                <w:color w:val="000000"/>
                <w:sz w:val="24"/>
              </w:rPr>
            </w:pPr>
            <w:r>
              <w:rPr>
                <w:rFonts w:hint="eastAsia" w:ascii="宋体" w:hAnsi="宋体" w:cs="宋体"/>
                <w:color w:val="000000"/>
                <w:sz w:val="24"/>
              </w:rPr>
              <w:t>具有独立承担民事责任能力的在中华人民共和国境内注册的法人或其他组织</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s="Tahoma"/>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s="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2</w:t>
            </w:r>
          </w:p>
        </w:tc>
        <w:tc>
          <w:tcPr>
            <w:tcW w:w="5274" w:type="dxa"/>
            <w:shd w:val="clear" w:color="auto" w:fill="auto"/>
            <w:vAlign w:val="center"/>
          </w:tcPr>
          <w:p>
            <w:pPr>
              <w:spacing w:line="440" w:lineRule="exact"/>
              <w:jc w:val="left"/>
              <w:rPr>
                <w:rFonts w:ascii="宋体" w:hAnsi="宋体" w:cs="宋体"/>
                <w:color w:val="000000"/>
                <w:sz w:val="24"/>
              </w:rPr>
            </w:pPr>
            <w:r>
              <w:rPr>
                <w:rFonts w:hint="eastAsia" w:ascii="宋体" w:hAnsi="宋体" w:cs="宋体"/>
                <w:color w:val="000000"/>
                <w:sz w:val="24"/>
              </w:rPr>
              <w:t>有依法缴纳税收和社会保障资金的良好记录</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3</w:t>
            </w:r>
          </w:p>
        </w:tc>
        <w:tc>
          <w:tcPr>
            <w:tcW w:w="5274" w:type="dxa"/>
            <w:shd w:val="clear" w:color="auto" w:fill="auto"/>
            <w:vAlign w:val="center"/>
          </w:tcPr>
          <w:p>
            <w:pPr>
              <w:spacing w:line="440" w:lineRule="exact"/>
              <w:jc w:val="left"/>
              <w:rPr>
                <w:rFonts w:hint="eastAsia" w:ascii="宋体" w:hAnsi="宋体" w:cs="宋体"/>
                <w:b/>
                <w:bCs/>
                <w:color w:val="000000"/>
                <w:sz w:val="24"/>
              </w:rPr>
            </w:pPr>
            <w:r>
              <w:rPr>
                <w:rFonts w:hint="eastAsia" w:ascii="宋体" w:hAnsi="宋体" w:cs="宋体"/>
                <w:color w:val="000000"/>
                <w:sz w:val="24"/>
              </w:rPr>
              <w:t>具有良好的商业信誉和健全的财务会计制度</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4</w:t>
            </w:r>
          </w:p>
        </w:tc>
        <w:tc>
          <w:tcPr>
            <w:tcW w:w="5274" w:type="dxa"/>
            <w:shd w:val="clear" w:color="auto" w:fill="auto"/>
            <w:vAlign w:val="center"/>
          </w:tcPr>
          <w:p>
            <w:pPr>
              <w:spacing w:line="440" w:lineRule="exact"/>
              <w:jc w:val="left"/>
              <w:rPr>
                <w:rFonts w:ascii="宋体" w:hAnsi="宋体"/>
                <w:color w:val="000000"/>
                <w:sz w:val="24"/>
              </w:rPr>
            </w:pPr>
            <w:r>
              <w:rPr>
                <w:rFonts w:hint="eastAsia" w:ascii="宋体" w:hAnsi="宋体" w:cs="宋体"/>
                <w:color w:val="000000"/>
                <w:sz w:val="24"/>
              </w:rPr>
              <w:t>履行合同所必须的设备和专业技术能力</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5</w:t>
            </w:r>
          </w:p>
        </w:tc>
        <w:tc>
          <w:tcPr>
            <w:tcW w:w="5274" w:type="dxa"/>
            <w:shd w:val="clear" w:color="auto" w:fill="auto"/>
            <w:vAlign w:val="center"/>
          </w:tcPr>
          <w:p>
            <w:pPr>
              <w:spacing w:line="440" w:lineRule="exact"/>
              <w:rPr>
                <w:rFonts w:ascii="宋体" w:hAnsi="宋体"/>
                <w:color w:val="000000"/>
                <w:sz w:val="24"/>
              </w:rPr>
            </w:pPr>
            <w:r>
              <w:rPr>
                <w:rFonts w:hint="eastAsia" w:ascii="宋体" w:hAnsi="宋体" w:cs="宋体"/>
                <w:color w:val="000000"/>
                <w:sz w:val="24"/>
              </w:rPr>
              <w:t>参加采购活动前3年内，在经营活动中没有重大违法记录</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6</w:t>
            </w:r>
          </w:p>
        </w:tc>
        <w:tc>
          <w:tcPr>
            <w:tcW w:w="5274" w:type="dxa"/>
            <w:shd w:val="clear" w:color="auto" w:fill="auto"/>
            <w:vAlign w:val="center"/>
          </w:tcPr>
          <w:p>
            <w:pPr>
              <w:spacing w:line="440" w:lineRule="exact"/>
              <w:rPr>
                <w:rFonts w:ascii="宋体" w:hAnsi="宋体"/>
                <w:color w:val="000000"/>
                <w:sz w:val="24"/>
              </w:rPr>
            </w:pPr>
            <w:r>
              <w:rPr>
                <w:rFonts w:hint="eastAsia" w:ascii="宋体" w:hAnsi="宋体" w:cs="Tahoma"/>
                <w:sz w:val="24"/>
              </w:rPr>
              <w:t>供应商必须符合法律、行政法规规定的其他条件</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7</w:t>
            </w:r>
          </w:p>
        </w:tc>
        <w:tc>
          <w:tcPr>
            <w:tcW w:w="5274" w:type="dxa"/>
            <w:shd w:val="clear" w:color="auto" w:fill="auto"/>
            <w:vAlign w:val="center"/>
          </w:tcPr>
          <w:p>
            <w:pPr>
              <w:spacing w:line="440" w:lineRule="exact"/>
              <w:rPr>
                <w:rFonts w:hint="eastAsia" w:ascii="宋体" w:hAnsi="宋体" w:cs="宋体"/>
                <w:b/>
                <w:bCs/>
                <w:color w:val="000000"/>
                <w:sz w:val="24"/>
              </w:rPr>
            </w:pPr>
            <w:r>
              <w:rPr>
                <w:rFonts w:hint="eastAsia" w:ascii="宋体" w:hAnsi="宋体"/>
                <w:color w:val="000000"/>
                <w:sz w:val="24"/>
              </w:rPr>
              <w:t>信用记录</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hint="eastAsia" w:ascii="宋体" w:hAnsi="宋体"/>
                <w:color w:val="000000"/>
                <w:sz w:val="24"/>
              </w:rPr>
            </w:pPr>
            <w:r>
              <w:rPr>
                <w:rFonts w:hint="eastAsia" w:ascii="宋体" w:hAnsi="宋体"/>
                <w:color w:val="000000"/>
                <w:sz w:val="24"/>
              </w:rPr>
              <w:t>8</w:t>
            </w:r>
          </w:p>
        </w:tc>
        <w:tc>
          <w:tcPr>
            <w:tcW w:w="5274" w:type="dxa"/>
            <w:shd w:val="clear" w:color="auto" w:fill="auto"/>
            <w:vAlign w:val="center"/>
          </w:tcPr>
          <w:p>
            <w:pPr>
              <w:spacing w:line="440" w:lineRule="exact"/>
              <w:rPr>
                <w:rFonts w:hint="eastAsia" w:ascii="宋体" w:hAnsi="宋体"/>
                <w:color w:val="000000"/>
                <w:sz w:val="24"/>
              </w:rPr>
            </w:pPr>
            <w:r>
              <w:rPr>
                <w:rFonts w:hint="eastAsia" w:ascii="宋体" w:hAnsi="宋体"/>
                <w:color w:val="000000"/>
                <w:sz w:val="24"/>
              </w:rPr>
              <w:t>本项目的特定资格要求</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ascii="宋体" w:hAnsi="宋体"/>
                <w:color w:val="000000"/>
                <w:sz w:val="24"/>
              </w:rPr>
              <w:t>9</w:t>
            </w:r>
          </w:p>
        </w:tc>
        <w:tc>
          <w:tcPr>
            <w:tcW w:w="5274" w:type="dxa"/>
            <w:shd w:val="clear" w:color="auto" w:fill="auto"/>
            <w:vAlign w:val="center"/>
          </w:tcPr>
          <w:p>
            <w:pPr>
              <w:wordWrap w:val="0"/>
              <w:spacing w:line="440" w:lineRule="exact"/>
              <w:jc w:val="left"/>
              <w:rPr>
                <w:rFonts w:ascii="宋体" w:hAnsi="宋体" w:cs="宋体"/>
                <w:color w:val="000000"/>
                <w:sz w:val="24"/>
              </w:rPr>
            </w:pPr>
            <w:r>
              <w:rPr>
                <w:rFonts w:ascii="宋体" w:hAnsi="宋体"/>
                <w:color w:val="000000"/>
                <w:sz w:val="24"/>
              </w:rPr>
              <w:t>《公平竞争承诺书》</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0</w:t>
            </w:r>
          </w:p>
        </w:tc>
        <w:tc>
          <w:tcPr>
            <w:tcW w:w="5274" w:type="dxa"/>
            <w:shd w:val="clear" w:color="auto" w:fill="auto"/>
            <w:vAlign w:val="center"/>
          </w:tcPr>
          <w:p>
            <w:pPr>
              <w:wordWrap w:val="0"/>
              <w:spacing w:line="440" w:lineRule="exact"/>
              <w:jc w:val="left"/>
              <w:rPr>
                <w:rFonts w:hint="eastAsia" w:ascii="宋体" w:hAnsi="宋体"/>
                <w:color w:val="000000"/>
                <w:sz w:val="24"/>
              </w:rPr>
            </w:pPr>
            <w:r>
              <w:rPr>
                <w:rFonts w:hint="eastAsia" w:ascii="宋体" w:hAnsi="宋体"/>
                <w:color w:val="000000"/>
                <w:sz w:val="24"/>
              </w:rPr>
              <w:t>本项目不接受联合体报价</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75" w:type="dxa"/>
            <w:shd w:val="clear" w:color="auto" w:fill="auto"/>
            <w:vAlign w:val="center"/>
          </w:tcPr>
          <w:p>
            <w:pPr>
              <w:adjustRightInd w:val="0"/>
              <w:snapToGrid w:val="0"/>
              <w:spacing w:line="41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1</w:t>
            </w:r>
          </w:p>
        </w:tc>
        <w:tc>
          <w:tcPr>
            <w:tcW w:w="5274" w:type="dxa"/>
            <w:shd w:val="clear" w:color="auto" w:fill="auto"/>
            <w:vAlign w:val="center"/>
          </w:tcPr>
          <w:p>
            <w:pPr>
              <w:tabs>
                <w:tab w:val="left" w:pos="1092"/>
              </w:tabs>
              <w:wordWrap w:val="0"/>
              <w:adjustRightInd w:val="0"/>
              <w:snapToGrid w:val="0"/>
              <w:spacing w:line="440" w:lineRule="exact"/>
              <w:jc w:val="left"/>
              <w:rPr>
                <w:rFonts w:ascii="宋体" w:hAnsi="宋体"/>
                <w:color w:val="000000"/>
                <w:sz w:val="24"/>
              </w:rPr>
            </w:pPr>
            <w:r>
              <w:rPr>
                <w:rFonts w:hint="eastAsia" w:ascii="宋体" w:hAnsi="宋体" w:cs="宋体"/>
                <w:color w:val="000000"/>
                <w:sz w:val="24"/>
              </w:rPr>
              <w:t>已办理投标登记并领购本项目磋商文件</w:t>
            </w:r>
            <w:r>
              <w:rPr>
                <w:rFonts w:hint="eastAsia" w:ascii="宋体" w:hAnsi="宋体"/>
                <w:color w:val="000000"/>
                <w:sz w:val="24"/>
              </w:rPr>
              <w:t>的供应商</w:t>
            </w:r>
          </w:p>
        </w:tc>
        <w:tc>
          <w:tcPr>
            <w:tcW w:w="1602" w:type="dxa"/>
            <w:shd w:val="clear" w:color="auto" w:fill="FFFFFF"/>
            <w:vAlign w:val="center"/>
          </w:tcPr>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10" w:lineRule="exact"/>
              <w:ind w:left="-171" w:firstLine="170" w:firstLineChars="71"/>
              <w:jc w:val="left"/>
              <w:rPr>
                <w:rFonts w:ascii="宋体" w:hAnsi="宋体"/>
                <w:color w:val="000000"/>
                <w:sz w:val="24"/>
              </w:rPr>
            </w:pPr>
            <w:r>
              <w:rPr>
                <w:rFonts w:hint="eastAsia" w:ascii="宋体" w:hAnsi="宋体"/>
                <w:color w:val="000000"/>
                <w:sz w:val="24"/>
              </w:rPr>
              <w:t>□不通过</w:t>
            </w:r>
          </w:p>
        </w:tc>
        <w:tc>
          <w:tcPr>
            <w:tcW w:w="1587" w:type="dxa"/>
            <w:shd w:val="clear" w:color="auto" w:fill="FFFFFF"/>
            <w:vAlign w:val="center"/>
          </w:tcPr>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10" w:lineRule="exact"/>
              <w:ind w:left="-171"/>
              <w:jc w:val="center"/>
              <w:rPr>
                <w:rFonts w:ascii="宋体" w:hAnsi="宋体"/>
                <w:color w:val="000000"/>
                <w:sz w:val="24"/>
              </w:rPr>
            </w:pPr>
            <w:r>
              <w:rPr>
                <w:rFonts w:hint="eastAsia" w:ascii="宋体" w:hAnsi="宋体"/>
                <w:color w:val="000000"/>
                <w:sz w:val="24"/>
              </w:rPr>
              <w:t>第（）页</w:t>
            </w:r>
          </w:p>
        </w:tc>
      </w:tr>
    </w:tbl>
    <w:p>
      <w:pPr>
        <w:spacing w:line="360" w:lineRule="auto"/>
        <w:ind w:left="-359" w:leftChars="-171" w:firstLine="360" w:firstLineChars="150"/>
        <w:rPr>
          <w:color w:val="000000"/>
          <w:sz w:val="24"/>
        </w:rPr>
      </w:pPr>
      <w:r>
        <w:rPr>
          <w:rFonts w:hint="eastAsia"/>
          <w:color w:val="000000"/>
          <w:sz w:val="24"/>
        </w:rPr>
        <w:t>注：1、上表内容将作为供应商资格性审查的重要内容之一，供应商必须严格按照上表所列要求在响应文件中对应如实提供，对资格性审查证明文件的任何缺漏和不符合项将会直接导致报价无效。2、供应商根据自查结论在对应的□打“√”。</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ascii="宋体" w:hAnsi="宋体" w:cs="宋体"/>
          <w:color w:val="000000"/>
          <w:sz w:val="24"/>
        </w:rPr>
      </w:pPr>
      <w:r>
        <w:rPr>
          <w:rFonts w:hint="eastAsia" w:ascii="宋体" w:hAnsi="宋体" w:cs="宋体"/>
          <w:color w:val="000000"/>
          <w:sz w:val="24"/>
        </w:rPr>
        <w:t>日期：   年   月   日</w:t>
      </w:r>
    </w:p>
    <w:p>
      <w:pPr>
        <w:pStyle w:val="4"/>
        <w:numPr>
          <w:ilvl w:val="0"/>
          <w:numId w:val="105"/>
        </w:numPr>
        <w:adjustRightInd w:val="0"/>
        <w:snapToGrid w:val="0"/>
        <w:spacing w:before="0" w:after="0" w:line="360" w:lineRule="auto"/>
        <w:jc w:val="center"/>
        <w:rPr>
          <w:color w:val="000000"/>
        </w:rPr>
      </w:pPr>
      <w:bookmarkStart w:id="460" w:name="_Toc1677"/>
      <w:r>
        <w:rPr>
          <w:color w:val="000000"/>
        </w:rPr>
        <w:br w:type="page"/>
      </w:r>
      <w:bookmarkStart w:id="461" w:name="_Toc86851549"/>
      <w:r>
        <w:rPr>
          <w:rFonts w:hint="eastAsia"/>
          <w:color w:val="000000"/>
        </w:rPr>
        <w:t>符合性审查自查表</w:t>
      </w:r>
      <w:bookmarkEnd w:id="460"/>
      <w:bookmarkEnd w:id="461"/>
    </w:p>
    <w:tbl>
      <w:tblPr>
        <w:tblStyle w:val="42"/>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146"/>
        <w:gridCol w:w="3471"/>
        <w:gridCol w:w="1398"/>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blHeader/>
          <w:jc w:val="center"/>
        </w:trPr>
        <w:tc>
          <w:tcPr>
            <w:tcW w:w="808" w:type="dxa"/>
            <w:shd w:val="clear" w:color="auto" w:fill="D7D7D7"/>
            <w:vAlign w:val="center"/>
          </w:tcPr>
          <w:p>
            <w:pPr>
              <w:adjustRightInd w:val="0"/>
              <w:snapToGrid w:val="0"/>
              <w:jc w:val="center"/>
              <w:rPr>
                <w:rFonts w:ascii="宋体" w:hAnsi="宋体"/>
                <w:b/>
                <w:bCs/>
                <w:color w:val="000000"/>
                <w:sz w:val="24"/>
              </w:rPr>
            </w:pPr>
            <w:r>
              <w:rPr>
                <w:rFonts w:hint="eastAsia" w:ascii="宋体" w:hAnsi="宋体"/>
                <w:b/>
                <w:color w:val="000000"/>
                <w:sz w:val="24"/>
              </w:rPr>
              <w:t>序号</w:t>
            </w:r>
          </w:p>
        </w:tc>
        <w:tc>
          <w:tcPr>
            <w:tcW w:w="2146" w:type="dxa"/>
            <w:shd w:val="clear" w:color="auto" w:fill="D7D7D7"/>
            <w:vAlign w:val="center"/>
          </w:tcPr>
          <w:p>
            <w:pPr>
              <w:adjustRightInd w:val="0"/>
              <w:snapToGrid w:val="0"/>
              <w:jc w:val="center"/>
              <w:rPr>
                <w:rFonts w:ascii="宋体" w:hAnsi="宋体"/>
                <w:b/>
                <w:bCs/>
                <w:color w:val="000000"/>
                <w:sz w:val="24"/>
              </w:rPr>
            </w:pPr>
            <w:r>
              <w:rPr>
                <w:rFonts w:hint="eastAsia" w:ascii="宋体" w:hAnsi="宋体"/>
                <w:b/>
                <w:color w:val="000000"/>
                <w:sz w:val="24"/>
              </w:rPr>
              <w:t>审查内容</w:t>
            </w:r>
          </w:p>
        </w:tc>
        <w:tc>
          <w:tcPr>
            <w:tcW w:w="3471" w:type="dxa"/>
            <w:shd w:val="clear" w:color="auto" w:fill="D7D7D7"/>
            <w:vAlign w:val="center"/>
          </w:tcPr>
          <w:p>
            <w:pPr>
              <w:adjustRightInd w:val="0"/>
              <w:snapToGrid w:val="0"/>
              <w:jc w:val="center"/>
              <w:rPr>
                <w:rFonts w:ascii="宋体" w:hAnsi="宋体"/>
                <w:b/>
                <w:bCs/>
                <w:color w:val="000000"/>
                <w:sz w:val="24"/>
              </w:rPr>
            </w:pPr>
            <w:r>
              <w:rPr>
                <w:rFonts w:hint="eastAsia" w:ascii="宋体" w:hAnsi="宋体"/>
                <w:b/>
                <w:color w:val="000000"/>
                <w:sz w:val="24"/>
              </w:rPr>
              <w:t>审查标准</w:t>
            </w:r>
          </w:p>
        </w:tc>
        <w:tc>
          <w:tcPr>
            <w:tcW w:w="1398" w:type="dxa"/>
            <w:shd w:val="clear" w:color="auto" w:fill="D7D7D7"/>
            <w:vAlign w:val="center"/>
          </w:tcPr>
          <w:p>
            <w:pPr>
              <w:adjustRightInd w:val="0"/>
              <w:snapToGrid w:val="0"/>
              <w:jc w:val="center"/>
              <w:rPr>
                <w:rFonts w:ascii="宋体" w:hAnsi="宋体"/>
                <w:b/>
                <w:bCs/>
                <w:color w:val="000000"/>
                <w:sz w:val="24"/>
              </w:rPr>
            </w:pPr>
            <w:r>
              <w:rPr>
                <w:rFonts w:hint="eastAsia" w:ascii="宋体" w:hAnsi="宋体"/>
                <w:b/>
                <w:bCs/>
                <w:color w:val="000000"/>
                <w:sz w:val="24"/>
              </w:rPr>
              <w:t>自查结论</w:t>
            </w:r>
          </w:p>
        </w:tc>
        <w:tc>
          <w:tcPr>
            <w:tcW w:w="1413" w:type="dxa"/>
            <w:shd w:val="clear" w:color="auto" w:fill="D7D7D7"/>
            <w:vAlign w:val="center"/>
          </w:tcPr>
          <w:p>
            <w:pPr>
              <w:adjustRightInd w:val="0"/>
              <w:snapToGrid w:val="0"/>
              <w:ind w:left="-171"/>
              <w:jc w:val="center"/>
              <w:rPr>
                <w:rFonts w:ascii="宋体" w:hAnsi="宋体"/>
                <w:b/>
                <w:bCs/>
                <w:color w:val="000000"/>
                <w:sz w:val="24"/>
              </w:rPr>
            </w:pPr>
            <w:r>
              <w:rPr>
                <w:rFonts w:hint="eastAsia" w:ascii="宋体" w:hAnsi="宋体"/>
                <w:b/>
                <w:bCs/>
                <w:color w:val="000000"/>
                <w:sz w:val="24"/>
              </w:rPr>
              <w:t>证明材料</w:t>
            </w:r>
          </w:p>
          <w:p>
            <w:pPr>
              <w:adjustRightInd w:val="0"/>
              <w:snapToGrid w:val="0"/>
              <w:jc w:val="center"/>
              <w:rPr>
                <w:rFonts w:ascii="宋体" w:hAnsi="宋体"/>
                <w:b/>
                <w:bCs/>
                <w:color w:val="000000"/>
                <w:sz w:val="24"/>
              </w:rPr>
            </w:pPr>
            <w:r>
              <w:rPr>
                <w:rFonts w:hint="eastAsia" w:ascii="宋体" w:hAnsi="宋体"/>
                <w:b/>
                <w:bCs/>
                <w:color w:val="00000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1</w:t>
            </w:r>
          </w:p>
        </w:tc>
        <w:tc>
          <w:tcPr>
            <w:tcW w:w="2146" w:type="dxa"/>
            <w:vAlign w:val="center"/>
          </w:tcPr>
          <w:p>
            <w:pPr>
              <w:adjustRightInd w:val="0"/>
              <w:snapToGrid w:val="0"/>
              <w:spacing w:line="440" w:lineRule="exact"/>
              <w:jc w:val="center"/>
              <w:rPr>
                <w:rFonts w:ascii="宋体" w:hAnsi="宋体"/>
                <w:color w:val="000000"/>
              </w:rPr>
            </w:pPr>
            <w:r>
              <w:rPr>
                <w:rFonts w:hint="eastAsia" w:ascii="宋体" w:hAnsi="宋体"/>
                <w:color w:val="000000"/>
                <w:sz w:val="24"/>
              </w:rPr>
              <w:t>报价函(原件)</w:t>
            </w:r>
          </w:p>
        </w:tc>
        <w:tc>
          <w:tcPr>
            <w:tcW w:w="3471" w:type="dxa"/>
            <w:vAlign w:val="center"/>
          </w:tcPr>
          <w:p>
            <w:pPr>
              <w:adjustRightInd w:val="0"/>
              <w:snapToGrid w:val="0"/>
              <w:spacing w:line="440" w:lineRule="exact"/>
              <w:ind w:left="40" w:leftChars="19"/>
              <w:rPr>
                <w:rFonts w:ascii="宋体" w:hAnsi="宋体"/>
                <w:color w:val="000000"/>
              </w:rPr>
            </w:pPr>
            <w:r>
              <w:rPr>
                <w:rFonts w:hint="eastAsia" w:ascii="宋体" w:hAnsi="宋体"/>
                <w:color w:val="000000"/>
                <w:sz w:val="24"/>
              </w:rPr>
              <w:t>按对应格式文件填写、签署、盖章。</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2</w:t>
            </w:r>
          </w:p>
        </w:tc>
        <w:tc>
          <w:tcPr>
            <w:tcW w:w="2146" w:type="dxa"/>
            <w:vAlign w:val="center"/>
          </w:tcPr>
          <w:p>
            <w:pPr>
              <w:adjustRightInd w:val="0"/>
              <w:snapToGrid w:val="0"/>
              <w:spacing w:line="440" w:lineRule="exact"/>
              <w:jc w:val="left"/>
              <w:rPr>
                <w:rFonts w:ascii="宋体" w:hAnsi="宋体"/>
                <w:color w:val="000000"/>
                <w:sz w:val="24"/>
              </w:rPr>
            </w:pPr>
            <w:r>
              <w:rPr>
                <w:rFonts w:hint="eastAsia" w:ascii="宋体" w:hAnsi="宋体"/>
                <w:color w:val="000000"/>
                <w:sz w:val="24"/>
              </w:rPr>
              <w:t>法定代表人证明书及授权委托书(原件)</w:t>
            </w:r>
          </w:p>
          <w:p>
            <w:pPr>
              <w:adjustRightInd w:val="0"/>
              <w:snapToGrid w:val="0"/>
              <w:spacing w:line="440" w:lineRule="exact"/>
              <w:jc w:val="left"/>
              <w:rPr>
                <w:rFonts w:ascii="宋体" w:hAnsi="宋体"/>
                <w:color w:val="000000"/>
              </w:rPr>
            </w:pPr>
            <w:r>
              <w:rPr>
                <w:rFonts w:hint="eastAsia" w:ascii="宋体" w:hAnsi="宋体"/>
                <w:color w:val="000000"/>
                <w:sz w:val="24"/>
              </w:rPr>
              <w:t>注：</w:t>
            </w:r>
            <w:r>
              <w:rPr>
                <w:rFonts w:hint="eastAsia" w:ascii="宋体" w:hAnsi="宋体" w:cs="宋体"/>
                <w:color w:val="000000"/>
                <w:sz w:val="24"/>
              </w:rPr>
              <w:t>法定代表人投标只须提供法定代表人证明书</w:t>
            </w:r>
          </w:p>
        </w:tc>
        <w:tc>
          <w:tcPr>
            <w:tcW w:w="3471" w:type="dxa"/>
            <w:vAlign w:val="center"/>
          </w:tcPr>
          <w:p>
            <w:pPr>
              <w:adjustRightInd w:val="0"/>
              <w:snapToGrid w:val="0"/>
              <w:spacing w:line="440" w:lineRule="exact"/>
              <w:ind w:left="40" w:leftChars="19"/>
              <w:rPr>
                <w:rFonts w:ascii="宋体" w:hAnsi="宋体"/>
                <w:color w:val="000000"/>
              </w:rPr>
            </w:pPr>
            <w:r>
              <w:rPr>
                <w:rFonts w:hint="eastAsia" w:ascii="宋体" w:hAnsi="宋体"/>
                <w:color w:val="000000"/>
                <w:sz w:val="24"/>
              </w:rPr>
              <w:t>按对应格式文件签署、盖章。</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restart"/>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3</w:t>
            </w:r>
          </w:p>
        </w:tc>
        <w:tc>
          <w:tcPr>
            <w:tcW w:w="2146" w:type="dxa"/>
            <w:vMerge w:val="restart"/>
            <w:vAlign w:val="center"/>
          </w:tcPr>
          <w:p>
            <w:pPr>
              <w:adjustRightInd w:val="0"/>
              <w:snapToGrid w:val="0"/>
              <w:spacing w:line="440" w:lineRule="exact"/>
              <w:jc w:val="center"/>
              <w:rPr>
                <w:rFonts w:ascii="宋体" w:hAnsi="宋体"/>
                <w:color w:val="000000"/>
              </w:rPr>
            </w:pPr>
            <w:r>
              <w:rPr>
                <w:rFonts w:hint="eastAsia" w:ascii="宋体" w:hAnsi="宋体"/>
                <w:color w:val="000000"/>
                <w:sz w:val="24"/>
              </w:rPr>
              <w:t>报价要求</w:t>
            </w:r>
          </w:p>
        </w:tc>
        <w:tc>
          <w:tcPr>
            <w:tcW w:w="3471" w:type="dxa"/>
            <w:vAlign w:val="center"/>
          </w:tcPr>
          <w:p>
            <w:pPr>
              <w:tabs>
                <w:tab w:val="left" w:pos="2880"/>
              </w:tabs>
              <w:adjustRightInd w:val="0"/>
              <w:snapToGrid w:val="0"/>
              <w:spacing w:line="440" w:lineRule="exact"/>
              <w:ind w:left="40" w:leftChars="19"/>
              <w:rPr>
                <w:rFonts w:ascii="宋体" w:hAnsi="宋体"/>
                <w:color w:val="000000"/>
              </w:rPr>
            </w:pPr>
            <w:r>
              <w:rPr>
                <w:rFonts w:hint="eastAsia" w:ascii="宋体" w:hAnsi="宋体" w:cs="Tahoma"/>
                <w:color w:val="000000"/>
                <w:kern w:val="28"/>
                <w:sz w:val="24"/>
              </w:rPr>
              <w:t>首轮报价或最后报价是固定价且是唯一的，首轮报价或最后报价未超出最高限价。</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continue"/>
            <w:vAlign w:val="center"/>
          </w:tcPr>
          <w:p>
            <w:pPr>
              <w:adjustRightInd w:val="0"/>
              <w:snapToGrid w:val="0"/>
              <w:spacing w:line="440" w:lineRule="exact"/>
              <w:jc w:val="center"/>
              <w:rPr>
                <w:rFonts w:ascii="宋体" w:hAnsi="宋体"/>
                <w:color w:val="000000"/>
                <w:sz w:val="24"/>
              </w:rPr>
            </w:pPr>
          </w:p>
        </w:tc>
        <w:tc>
          <w:tcPr>
            <w:tcW w:w="2146" w:type="dxa"/>
            <w:vMerge w:val="continue"/>
            <w:vAlign w:val="center"/>
          </w:tcPr>
          <w:p>
            <w:pPr>
              <w:adjustRightInd w:val="0"/>
              <w:snapToGrid w:val="0"/>
              <w:spacing w:line="440" w:lineRule="exact"/>
              <w:jc w:val="center"/>
              <w:rPr>
                <w:rFonts w:ascii="宋体" w:hAnsi="宋体"/>
                <w:color w:val="000000"/>
              </w:rPr>
            </w:pPr>
          </w:p>
        </w:tc>
        <w:tc>
          <w:tcPr>
            <w:tcW w:w="3471" w:type="dxa"/>
            <w:vAlign w:val="center"/>
          </w:tcPr>
          <w:p>
            <w:pPr>
              <w:tabs>
                <w:tab w:val="left" w:pos="2880"/>
              </w:tabs>
              <w:adjustRightInd w:val="0"/>
              <w:snapToGrid w:val="0"/>
              <w:spacing w:line="440" w:lineRule="exact"/>
              <w:ind w:left="40" w:leftChars="19"/>
              <w:rPr>
                <w:rFonts w:ascii="宋体" w:hAnsi="宋体"/>
                <w:color w:val="000000"/>
              </w:rPr>
            </w:pPr>
            <w:r>
              <w:rPr>
                <w:rFonts w:hint="eastAsia" w:ascii="宋体" w:hAnsi="宋体" w:cs="Tahoma"/>
                <w:color w:val="000000"/>
                <w:kern w:val="28"/>
                <w:sz w:val="24"/>
              </w:rPr>
              <w:t>供应商的报价明显低于其他通过符合性审查供应商的报价，磋商小组有权要求供应商在规定时间内提供书面说明或提供相关证明材料，否则视为无效报价。</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continue"/>
            <w:vAlign w:val="center"/>
          </w:tcPr>
          <w:p>
            <w:pPr>
              <w:adjustRightInd w:val="0"/>
              <w:snapToGrid w:val="0"/>
              <w:spacing w:line="440" w:lineRule="exact"/>
              <w:jc w:val="center"/>
              <w:rPr>
                <w:rFonts w:ascii="宋体" w:hAnsi="宋体"/>
                <w:color w:val="000000"/>
                <w:sz w:val="24"/>
              </w:rPr>
            </w:pPr>
          </w:p>
        </w:tc>
        <w:tc>
          <w:tcPr>
            <w:tcW w:w="2146" w:type="dxa"/>
            <w:vMerge w:val="continue"/>
            <w:vAlign w:val="center"/>
          </w:tcPr>
          <w:p>
            <w:pPr>
              <w:adjustRightInd w:val="0"/>
              <w:snapToGrid w:val="0"/>
              <w:spacing w:line="440" w:lineRule="exact"/>
              <w:jc w:val="center"/>
              <w:rPr>
                <w:rFonts w:ascii="宋体" w:hAnsi="宋体"/>
                <w:color w:val="000000"/>
              </w:rPr>
            </w:pPr>
          </w:p>
        </w:tc>
        <w:tc>
          <w:tcPr>
            <w:tcW w:w="3471" w:type="dxa"/>
            <w:vAlign w:val="center"/>
          </w:tcPr>
          <w:p>
            <w:pPr>
              <w:tabs>
                <w:tab w:val="left" w:pos="2880"/>
              </w:tabs>
              <w:adjustRightInd w:val="0"/>
              <w:snapToGrid w:val="0"/>
              <w:spacing w:line="440" w:lineRule="exact"/>
              <w:ind w:left="40" w:leftChars="19"/>
              <w:rPr>
                <w:rFonts w:ascii="宋体" w:hAnsi="宋体"/>
                <w:color w:val="000000"/>
              </w:rPr>
            </w:pPr>
            <w:r>
              <w:rPr>
                <w:rFonts w:hint="eastAsia" w:ascii="宋体" w:hAnsi="宋体" w:cs="Tahoma"/>
                <w:color w:val="000000"/>
                <w:kern w:val="28"/>
                <w:sz w:val="24"/>
              </w:rPr>
              <w:t>磋商文件不接受提交备选方案。</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4</w:t>
            </w:r>
          </w:p>
        </w:tc>
        <w:tc>
          <w:tcPr>
            <w:tcW w:w="2146" w:type="dxa"/>
            <w:vAlign w:val="center"/>
          </w:tcPr>
          <w:p>
            <w:pPr>
              <w:adjustRightInd w:val="0"/>
              <w:snapToGrid w:val="0"/>
              <w:spacing w:line="440" w:lineRule="exact"/>
              <w:jc w:val="center"/>
              <w:rPr>
                <w:rFonts w:ascii="宋体" w:hAnsi="宋体"/>
                <w:color w:val="000000"/>
              </w:rPr>
            </w:pPr>
            <w:r>
              <w:rPr>
                <w:rFonts w:hint="eastAsia" w:ascii="宋体" w:hAnsi="宋体"/>
                <w:color w:val="000000"/>
                <w:sz w:val="24"/>
              </w:rPr>
              <w:t>响应文件的完整性</w:t>
            </w:r>
          </w:p>
        </w:tc>
        <w:tc>
          <w:tcPr>
            <w:tcW w:w="3471" w:type="dxa"/>
            <w:vAlign w:val="center"/>
          </w:tcPr>
          <w:p>
            <w:pPr>
              <w:adjustRightInd w:val="0"/>
              <w:snapToGrid w:val="0"/>
              <w:spacing w:line="440" w:lineRule="exact"/>
              <w:rPr>
                <w:rFonts w:ascii="宋体" w:hAnsi="宋体"/>
                <w:color w:val="000000"/>
              </w:rPr>
            </w:pPr>
            <w:r>
              <w:rPr>
                <w:rFonts w:hint="eastAsia" w:ascii="宋体" w:hAnsi="宋体" w:cs="Tahoma"/>
                <w:color w:val="000000"/>
                <w:kern w:val="28"/>
                <w:sz w:val="24"/>
              </w:rPr>
              <w:t>响应文件完整且编排有序，投标内容基本完整，无重大错漏，并按要求密封、签署、盖章。</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5</w:t>
            </w:r>
          </w:p>
        </w:tc>
        <w:tc>
          <w:tcPr>
            <w:tcW w:w="2146" w:type="dxa"/>
            <w:vAlign w:val="center"/>
          </w:tcPr>
          <w:p>
            <w:pPr>
              <w:adjustRightInd w:val="0"/>
              <w:snapToGrid w:val="0"/>
              <w:spacing w:line="440" w:lineRule="exact"/>
              <w:jc w:val="center"/>
              <w:rPr>
                <w:rFonts w:ascii="宋体" w:hAnsi="宋体"/>
                <w:color w:val="000000"/>
              </w:rPr>
            </w:pPr>
            <w:r>
              <w:rPr>
                <w:rFonts w:hint="eastAsia" w:ascii="宋体" w:hAnsi="宋体"/>
                <w:color w:val="000000"/>
                <w:sz w:val="24"/>
              </w:rPr>
              <w:t>招标代理服务费支付承诺书</w:t>
            </w:r>
          </w:p>
        </w:tc>
        <w:tc>
          <w:tcPr>
            <w:tcW w:w="3471" w:type="dxa"/>
            <w:vAlign w:val="center"/>
          </w:tcPr>
          <w:p>
            <w:pPr>
              <w:spacing w:line="440" w:lineRule="exact"/>
              <w:jc w:val="left"/>
              <w:rPr>
                <w:rFonts w:ascii="宋体" w:hAnsi="宋体"/>
                <w:color w:val="000000"/>
              </w:rPr>
            </w:pPr>
            <w:r>
              <w:rPr>
                <w:rFonts w:hint="eastAsia" w:ascii="宋体" w:hAnsi="宋体"/>
                <w:color w:val="000000"/>
                <w:sz w:val="24"/>
              </w:rPr>
              <w:t>已按磋商文件要求提交招标代理服务费支付承诺书。</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6</w:t>
            </w:r>
          </w:p>
        </w:tc>
        <w:tc>
          <w:tcPr>
            <w:tcW w:w="2146" w:type="dxa"/>
            <w:vAlign w:val="center"/>
          </w:tcPr>
          <w:p>
            <w:pPr>
              <w:adjustRightInd w:val="0"/>
              <w:snapToGrid w:val="0"/>
              <w:spacing w:line="440" w:lineRule="exact"/>
              <w:jc w:val="center"/>
              <w:rPr>
                <w:rFonts w:ascii="宋体" w:hAnsi="宋体"/>
                <w:color w:val="000000"/>
              </w:rPr>
            </w:pPr>
            <w:r>
              <w:rPr>
                <w:rFonts w:hint="eastAsia" w:ascii="宋体" w:hAnsi="宋体"/>
                <w:color w:val="000000"/>
                <w:sz w:val="24"/>
              </w:rPr>
              <w:t>磋商有效期</w:t>
            </w:r>
          </w:p>
        </w:tc>
        <w:tc>
          <w:tcPr>
            <w:tcW w:w="3471" w:type="dxa"/>
            <w:vAlign w:val="center"/>
          </w:tcPr>
          <w:p>
            <w:pPr>
              <w:adjustRightInd w:val="0"/>
              <w:snapToGrid w:val="0"/>
              <w:spacing w:line="440" w:lineRule="exact"/>
              <w:rPr>
                <w:rFonts w:ascii="宋体" w:hAnsi="宋体"/>
                <w:color w:val="000000"/>
              </w:rPr>
            </w:pPr>
            <w:r>
              <w:rPr>
                <w:rFonts w:hint="eastAsia" w:ascii="宋体" w:hAnsi="宋体"/>
                <w:color w:val="000000"/>
                <w:sz w:val="24"/>
              </w:rPr>
              <w:t>磋商截止日起90天。</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firstLine="240" w:firstLineChars="100"/>
              <w:jc w:val="center"/>
              <w:rPr>
                <w:rFonts w:ascii="宋体" w:hAnsi="宋体"/>
                <w:color w:val="000000"/>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7</w:t>
            </w:r>
          </w:p>
        </w:tc>
        <w:tc>
          <w:tcPr>
            <w:tcW w:w="2146"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带“★”号条款</w:t>
            </w:r>
          </w:p>
        </w:tc>
        <w:tc>
          <w:tcPr>
            <w:tcW w:w="3471" w:type="dxa"/>
            <w:vAlign w:val="center"/>
          </w:tcPr>
          <w:p>
            <w:pPr>
              <w:adjustRightInd w:val="0"/>
              <w:snapToGrid w:val="0"/>
              <w:spacing w:line="440" w:lineRule="exact"/>
              <w:rPr>
                <w:rFonts w:hint="eastAsia" w:ascii="宋体" w:hAnsi="宋体"/>
                <w:color w:val="000000"/>
                <w:sz w:val="24"/>
              </w:rPr>
            </w:pPr>
            <w:r>
              <w:rPr>
                <w:rFonts w:hint="eastAsia" w:ascii="宋体" w:hAnsi="宋体"/>
                <w:color w:val="000000"/>
                <w:sz w:val="24"/>
              </w:rPr>
              <w:t>满足磋商文件的要求</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firstLine="240" w:firstLineChars="100"/>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8</w:t>
            </w:r>
          </w:p>
        </w:tc>
        <w:tc>
          <w:tcPr>
            <w:tcW w:w="2146"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服务时间</w:t>
            </w:r>
          </w:p>
        </w:tc>
        <w:tc>
          <w:tcPr>
            <w:tcW w:w="3471" w:type="dxa"/>
            <w:vAlign w:val="center"/>
          </w:tcPr>
          <w:p>
            <w:pPr>
              <w:adjustRightInd w:val="0"/>
              <w:snapToGrid w:val="0"/>
              <w:spacing w:line="440" w:lineRule="exact"/>
              <w:rPr>
                <w:rFonts w:ascii="宋体" w:hAnsi="宋体"/>
                <w:color w:val="000000"/>
                <w:sz w:val="24"/>
              </w:rPr>
            </w:pPr>
            <w:r>
              <w:rPr>
                <w:rFonts w:hint="eastAsia" w:ascii="宋体" w:hAnsi="宋体"/>
                <w:color w:val="000000"/>
                <w:sz w:val="24"/>
              </w:rPr>
              <w:t>满足磋商文件的要求</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firstLine="240" w:firstLineChars="100"/>
              <w:jc w:val="center"/>
              <w:rPr>
                <w:rFonts w:ascii="宋体" w:hAnsi="宋体"/>
                <w:color w:val="000000"/>
                <w:sz w:val="24"/>
              </w:rPr>
            </w:pPr>
            <w:r>
              <w:rPr>
                <w:rFonts w:hint="eastAsia" w:ascii="宋体" w:hAnsi="宋体"/>
                <w:color w:val="000000"/>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Align w:val="center"/>
          </w:tcPr>
          <w:p>
            <w:pPr>
              <w:adjustRightInd w:val="0"/>
              <w:snapToGrid w:val="0"/>
              <w:spacing w:line="440" w:lineRule="exact"/>
              <w:jc w:val="center"/>
              <w:rPr>
                <w:rFonts w:hint="eastAsia" w:ascii="宋体" w:hAnsi="宋体"/>
                <w:color w:val="000000"/>
                <w:sz w:val="24"/>
              </w:rPr>
            </w:pPr>
            <w:r>
              <w:rPr>
                <w:rFonts w:hint="eastAsia" w:ascii="宋体" w:hAnsi="宋体"/>
                <w:color w:val="000000"/>
                <w:sz w:val="24"/>
              </w:rPr>
              <w:t>9</w:t>
            </w:r>
          </w:p>
        </w:tc>
        <w:tc>
          <w:tcPr>
            <w:tcW w:w="2146" w:type="dxa"/>
            <w:vAlign w:val="center"/>
          </w:tcPr>
          <w:p>
            <w:pPr>
              <w:adjustRightInd w:val="0"/>
              <w:snapToGrid w:val="0"/>
              <w:spacing w:line="440" w:lineRule="exact"/>
              <w:jc w:val="center"/>
              <w:rPr>
                <w:rFonts w:ascii="宋体" w:hAnsi="宋体"/>
                <w:color w:val="000000"/>
                <w:sz w:val="24"/>
              </w:rPr>
            </w:pPr>
            <w:r>
              <w:rPr>
                <w:rFonts w:hint="eastAsia" w:ascii="宋体" w:hAnsi="宋体"/>
                <w:color w:val="000000"/>
                <w:sz w:val="24"/>
              </w:rPr>
              <w:t>其他</w:t>
            </w:r>
          </w:p>
        </w:tc>
        <w:tc>
          <w:tcPr>
            <w:tcW w:w="3471" w:type="dxa"/>
            <w:vAlign w:val="center"/>
          </w:tcPr>
          <w:p>
            <w:pPr>
              <w:adjustRightInd w:val="0"/>
              <w:snapToGrid w:val="0"/>
              <w:spacing w:line="440" w:lineRule="exact"/>
              <w:rPr>
                <w:rFonts w:ascii="宋体" w:hAnsi="宋体"/>
                <w:color w:val="000000"/>
                <w:sz w:val="24"/>
              </w:rPr>
            </w:pPr>
            <w:r>
              <w:rPr>
                <w:rFonts w:hint="eastAsia" w:ascii="宋体" w:hAnsi="宋体"/>
                <w:color w:val="000000"/>
                <w:sz w:val="24"/>
              </w:rPr>
              <w:t>法律、法规和磋商文件规定的其他报价无效情形。</w:t>
            </w:r>
          </w:p>
        </w:tc>
        <w:tc>
          <w:tcPr>
            <w:tcW w:w="1398" w:type="dxa"/>
            <w:vAlign w:val="center"/>
          </w:tcPr>
          <w:p>
            <w:pPr>
              <w:adjustRightInd w:val="0"/>
              <w:snapToGrid w:val="0"/>
              <w:spacing w:line="440" w:lineRule="exact"/>
              <w:ind w:left="-171" w:firstLine="170" w:firstLineChars="71"/>
              <w:jc w:val="left"/>
              <w:rPr>
                <w:rFonts w:ascii="宋体" w:hAnsi="宋体"/>
                <w:color w:val="000000"/>
                <w:sz w:val="24"/>
              </w:rPr>
            </w:pPr>
            <w:r>
              <w:rPr>
                <w:rFonts w:hint="eastAsia" w:ascii="宋体" w:hAnsi="宋体"/>
                <w:color w:val="000000"/>
                <w:sz w:val="24"/>
              </w:rPr>
              <w:t>□通过</w:t>
            </w:r>
          </w:p>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□不通过</w:t>
            </w:r>
          </w:p>
        </w:tc>
        <w:tc>
          <w:tcPr>
            <w:tcW w:w="1413" w:type="dxa"/>
            <w:vAlign w:val="center"/>
          </w:tcPr>
          <w:p>
            <w:pPr>
              <w:adjustRightInd w:val="0"/>
              <w:snapToGrid w:val="0"/>
              <w:spacing w:line="440" w:lineRule="exact"/>
              <w:ind w:left="-171"/>
              <w:jc w:val="center"/>
              <w:rPr>
                <w:rFonts w:ascii="宋体" w:hAnsi="宋体"/>
                <w:color w:val="000000"/>
                <w:sz w:val="24"/>
              </w:rPr>
            </w:pPr>
            <w:r>
              <w:rPr>
                <w:rFonts w:hint="eastAsia" w:ascii="宋体" w:hAnsi="宋体"/>
                <w:color w:val="000000"/>
                <w:sz w:val="24"/>
              </w:rPr>
              <w:t>见响应文件</w:t>
            </w:r>
          </w:p>
          <w:p>
            <w:pPr>
              <w:adjustRightInd w:val="0"/>
              <w:snapToGrid w:val="0"/>
              <w:spacing w:line="440" w:lineRule="exact"/>
              <w:ind w:left="-171" w:firstLine="240" w:firstLineChars="100"/>
              <w:jc w:val="center"/>
              <w:rPr>
                <w:rFonts w:ascii="宋体" w:hAnsi="宋体"/>
                <w:color w:val="000000"/>
                <w:sz w:val="24"/>
              </w:rPr>
            </w:pPr>
            <w:r>
              <w:rPr>
                <w:rFonts w:hint="eastAsia" w:ascii="宋体" w:hAnsi="宋体"/>
                <w:color w:val="000000"/>
                <w:sz w:val="24"/>
              </w:rPr>
              <w:t>第（）页</w:t>
            </w:r>
          </w:p>
        </w:tc>
      </w:tr>
    </w:tbl>
    <w:p>
      <w:pPr>
        <w:adjustRightInd w:val="0"/>
        <w:snapToGrid w:val="0"/>
        <w:spacing w:line="440" w:lineRule="exact"/>
        <w:ind w:left="-359" w:leftChars="-171" w:firstLine="360" w:firstLineChars="150"/>
        <w:rPr>
          <w:color w:val="000000"/>
          <w:sz w:val="24"/>
        </w:rPr>
      </w:pPr>
      <w:r>
        <w:rPr>
          <w:rFonts w:hint="eastAsia"/>
          <w:color w:val="000000"/>
          <w:sz w:val="24"/>
        </w:rPr>
        <w:t>注：1、上表内容将作为供应商符合性审查的重要内容之一，供应商必须严格按照上表所列要求在响应文件中对应如实提供，对符合性审查证明文件的任何缺漏和不符合项将会直接导致报价无效。2、供应商根据自查结论在对应的□打“√”。</w:t>
      </w:r>
    </w:p>
    <w:p>
      <w:pPr>
        <w:adjustRightInd w:val="0"/>
        <w:snapToGrid w:val="0"/>
        <w:spacing w:before="72" w:after="72" w:line="480" w:lineRule="auto"/>
        <w:ind w:firstLine="2520" w:firstLineChars="1050"/>
        <w:rPr>
          <w:rFonts w:ascii="宋体" w:hAnsi="宋体" w:cs="宋体"/>
          <w:color w:val="000000"/>
          <w:sz w:val="24"/>
        </w:rPr>
      </w:pP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ascii="宋体" w:hAnsi="宋体" w:cs="宋体"/>
          <w:color w:val="000000"/>
          <w:sz w:val="24"/>
        </w:rPr>
      </w:pPr>
      <w:r>
        <w:rPr>
          <w:rFonts w:hint="eastAsia" w:ascii="宋体" w:hAnsi="宋体" w:cs="宋体"/>
          <w:color w:val="000000"/>
          <w:sz w:val="24"/>
        </w:rPr>
        <w:t>日期：   年   月   日</w:t>
      </w:r>
    </w:p>
    <w:p>
      <w:pPr>
        <w:pStyle w:val="4"/>
        <w:numPr>
          <w:ilvl w:val="0"/>
          <w:numId w:val="105"/>
        </w:numPr>
        <w:jc w:val="center"/>
        <w:rPr>
          <w:color w:val="000000"/>
        </w:rPr>
      </w:pPr>
      <w:bookmarkStart w:id="462" w:name="_Toc13915"/>
      <w:bookmarkStart w:id="463" w:name="_Toc29972"/>
      <w:r>
        <w:rPr>
          <w:color w:val="000000"/>
        </w:rPr>
        <w:br w:type="page"/>
      </w:r>
      <w:bookmarkStart w:id="464" w:name="_Toc86851550"/>
      <w:r>
        <w:rPr>
          <w:rFonts w:hint="eastAsia"/>
          <w:color w:val="000000"/>
        </w:rPr>
        <w:t>商务评审自查表</w:t>
      </w:r>
      <w:bookmarkEnd w:id="462"/>
      <w:bookmarkEnd w:id="463"/>
      <w:bookmarkEnd w:id="464"/>
    </w:p>
    <w:tbl>
      <w:tblPr>
        <w:tblStyle w:val="42"/>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31" w:type="dxa"/>
            <w:shd w:val="clear" w:color="auto" w:fill="CCCCCC"/>
            <w:vAlign w:val="center"/>
          </w:tcPr>
          <w:p>
            <w:pPr>
              <w:jc w:val="center"/>
              <w:rPr>
                <w:b/>
                <w:bCs/>
                <w:color w:val="000000"/>
                <w:sz w:val="24"/>
              </w:rPr>
            </w:pPr>
            <w:r>
              <w:rPr>
                <w:rFonts w:hint="eastAsia"/>
                <w:b/>
                <w:bCs/>
                <w:color w:val="000000"/>
                <w:sz w:val="24"/>
              </w:rPr>
              <w:t>序号</w:t>
            </w:r>
          </w:p>
        </w:tc>
        <w:tc>
          <w:tcPr>
            <w:tcW w:w="4560" w:type="dxa"/>
            <w:shd w:val="clear" w:color="auto" w:fill="CCCCCC"/>
            <w:vAlign w:val="center"/>
          </w:tcPr>
          <w:p>
            <w:pPr>
              <w:jc w:val="center"/>
              <w:rPr>
                <w:b/>
                <w:bCs/>
                <w:color w:val="000000"/>
                <w:sz w:val="24"/>
              </w:rPr>
            </w:pPr>
            <w:r>
              <w:rPr>
                <w:rFonts w:hint="eastAsia"/>
                <w:b/>
                <w:bCs/>
                <w:color w:val="000000"/>
                <w:sz w:val="24"/>
              </w:rPr>
              <w:t>评审分项</w:t>
            </w:r>
          </w:p>
        </w:tc>
        <w:tc>
          <w:tcPr>
            <w:tcW w:w="3180" w:type="dxa"/>
            <w:shd w:val="clear" w:color="auto" w:fill="CCCCCC"/>
            <w:vAlign w:val="center"/>
          </w:tcPr>
          <w:p>
            <w:pPr>
              <w:jc w:val="center"/>
              <w:rPr>
                <w:b/>
                <w:bCs/>
                <w:color w:val="000000"/>
                <w:sz w:val="24"/>
              </w:rPr>
            </w:pPr>
            <w:r>
              <w:rPr>
                <w:rFonts w:hint="eastAsia"/>
                <w:b/>
                <w:bCs/>
                <w:color w:val="000000"/>
                <w:sz w:val="24"/>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2</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3</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4</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5</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6</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7</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8</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9</w:t>
            </w:r>
          </w:p>
        </w:tc>
        <w:tc>
          <w:tcPr>
            <w:tcW w:w="4560" w:type="dxa"/>
            <w:vAlign w:val="center"/>
          </w:tcPr>
          <w:p>
            <w:pPr>
              <w:rPr>
                <w:color w:val="000000"/>
                <w:sz w:val="24"/>
              </w:rPr>
            </w:pPr>
          </w:p>
        </w:tc>
        <w:tc>
          <w:tcPr>
            <w:tcW w:w="3180"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w:t>
            </w:r>
          </w:p>
        </w:tc>
        <w:tc>
          <w:tcPr>
            <w:tcW w:w="4560" w:type="dxa"/>
            <w:vAlign w:val="center"/>
          </w:tcPr>
          <w:p>
            <w:pPr>
              <w:rPr>
                <w:color w:val="000000"/>
                <w:sz w:val="24"/>
              </w:rPr>
            </w:pPr>
          </w:p>
        </w:tc>
        <w:tc>
          <w:tcPr>
            <w:tcW w:w="3180" w:type="dxa"/>
            <w:vAlign w:val="center"/>
          </w:tcPr>
          <w:p>
            <w:pPr>
              <w:rPr>
                <w:color w:val="000000"/>
                <w:sz w:val="24"/>
              </w:rPr>
            </w:pPr>
          </w:p>
        </w:tc>
      </w:tr>
    </w:tbl>
    <w:p>
      <w:pPr>
        <w:spacing w:before="120" w:beforeLines="50" w:line="360" w:lineRule="auto"/>
        <w:rPr>
          <w:color w:val="000000"/>
          <w:sz w:val="24"/>
        </w:rPr>
      </w:pPr>
      <w:r>
        <w:rPr>
          <w:rFonts w:hint="eastAsia"/>
          <w:color w:val="000000"/>
          <w:sz w:val="24"/>
        </w:rPr>
        <w:t>注：报价供应商应根据《商务评审表》的各项内容填写此表。</w:t>
      </w:r>
    </w:p>
    <w:p>
      <w:pPr>
        <w:rPr>
          <w:color w:val="000000"/>
        </w:rPr>
      </w:pPr>
    </w:p>
    <w:p>
      <w:pPr>
        <w:rPr>
          <w:color w:val="000000"/>
        </w:rPr>
      </w:pPr>
    </w:p>
    <w:p>
      <w:pPr>
        <w:rPr>
          <w:color w:val="000000"/>
        </w:rPr>
      </w:pPr>
    </w:p>
    <w:p>
      <w:pPr>
        <w:rPr>
          <w:color w:val="000000"/>
        </w:rPr>
      </w:pPr>
    </w:p>
    <w:p>
      <w:pPr>
        <w:rPr>
          <w:color w:val="000000"/>
        </w:rPr>
      </w:pP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eastAsia="仿宋_GB2312"/>
          <w:b/>
          <w:color w:val="000000"/>
          <w:sz w:val="24"/>
        </w:rPr>
      </w:pPr>
      <w:r>
        <w:rPr>
          <w:rFonts w:hint="eastAsia" w:ascii="宋体" w:hAnsi="宋体" w:cs="宋体"/>
          <w:color w:val="000000"/>
          <w:sz w:val="24"/>
        </w:rPr>
        <w:t>日期：   年   月   日</w:t>
      </w:r>
    </w:p>
    <w:p>
      <w:pPr>
        <w:pStyle w:val="4"/>
        <w:numPr>
          <w:ilvl w:val="0"/>
          <w:numId w:val="105"/>
        </w:numPr>
        <w:jc w:val="center"/>
        <w:rPr>
          <w:color w:val="000000"/>
        </w:rPr>
      </w:pPr>
      <w:bookmarkStart w:id="465" w:name="_Toc12301"/>
      <w:bookmarkStart w:id="466" w:name="_Toc19576"/>
      <w:r>
        <w:rPr>
          <w:color w:val="000000"/>
        </w:rPr>
        <w:br w:type="page"/>
      </w:r>
      <w:bookmarkStart w:id="467" w:name="_Toc86851551"/>
      <w:r>
        <w:rPr>
          <w:rFonts w:hint="eastAsia"/>
          <w:color w:val="000000"/>
        </w:rPr>
        <w:t>技术评审自查表</w:t>
      </w:r>
      <w:bookmarkEnd w:id="465"/>
      <w:bookmarkEnd w:id="466"/>
      <w:bookmarkEnd w:id="467"/>
    </w:p>
    <w:tbl>
      <w:tblPr>
        <w:tblStyle w:val="42"/>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031" w:type="dxa"/>
            <w:shd w:val="clear" w:color="auto" w:fill="CCCCCC"/>
            <w:vAlign w:val="center"/>
          </w:tcPr>
          <w:p>
            <w:pPr>
              <w:jc w:val="center"/>
              <w:rPr>
                <w:b/>
                <w:bCs/>
                <w:color w:val="000000"/>
                <w:sz w:val="24"/>
              </w:rPr>
            </w:pPr>
            <w:r>
              <w:rPr>
                <w:rFonts w:hint="eastAsia"/>
                <w:b/>
                <w:bCs/>
                <w:color w:val="000000"/>
                <w:sz w:val="24"/>
              </w:rPr>
              <w:t>序号</w:t>
            </w:r>
          </w:p>
        </w:tc>
        <w:tc>
          <w:tcPr>
            <w:tcW w:w="4560" w:type="dxa"/>
            <w:shd w:val="clear" w:color="auto" w:fill="CCCCCC"/>
            <w:vAlign w:val="center"/>
          </w:tcPr>
          <w:p>
            <w:pPr>
              <w:jc w:val="center"/>
              <w:rPr>
                <w:b/>
                <w:bCs/>
                <w:color w:val="000000"/>
                <w:sz w:val="24"/>
              </w:rPr>
            </w:pPr>
            <w:r>
              <w:rPr>
                <w:rFonts w:hint="eastAsia"/>
                <w:b/>
                <w:bCs/>
                <w:color w:val="000000"/>
                <w:sz w:val="24"/>
              </w:rPr>
              <w:t>评审分项</w:t>
            </w:r>
          </w:p>
        </w:tc>
        <w:tc>
          <w:tcPr>
            <w:tcW w:w="3129" w:type="dxa"/>
            <w:shd w:val="clear" w:color="auto" w:fill="CCCCCC"/>
            <w:vAlign w:val="center"/>
          </w:tcPr>
          <w:p>
            <w:pPr>
              <w:jc w:val="center"/>
              <w:rPr>
                <w:b/>
                <w:bCs/>
                <w:color w:val="000000"/>
                <w:sz w:val="24"/>
              </w:rPr>
            </w:pPr>
            <w:r>
              <w:rPr>
                <w:rFonts w:hint="eastAsia"/>
                <w:b/>
                <w:bCs/>
                <w:color w:val="000000"/>
                <w:sz w:val="24"/>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2</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3</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4</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5</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6</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7</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8</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9</w:t>
            </w:r>
          </w:p>
        </w:tc>
        <w:tc>
          <w:tcPr>
            <w:tcW w:w="4560" w:type="dxa"/>
            <w:vAlign w:val="center"/>
          </w:tcPr>
          <w:p>
            <w:pPr>
              <w:rPr>
                <w:color w:val="000000"/>
                <w:sz w:val="24"/>
              </w:rPr>
            </w:pPr>
          </w:p>
        </w:tc>
        <w:tc>
          <w:tcPr>
            <w:tcW w:w="3129" w:type="dxa"/>
            <w:vAlign w:val="center"/>
          </w:tcPr>
          <w:p>
            <w:pPr>
              <w:rPr>
                <w:color w:val="000000"/>
                <w:sz w:val="24"/>
              </w:rPr>
            </w:pPr>
            <w:r>
              <w:rPr>
                <w:rFonts w:hint="eastAsia"/>
                <w:color w:val="000000"/>
                <w:sz w:val="24"/>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031" w:type="dxa"/>
            <w:vAlign w:val="center"/>
          </w:tcPr>
          <w:p>
            <w:pPr>
              <w:jc w:val="center"/>
              <w:rPr>
                <w:rFonts w:ascii="宋体" w:hAnsi="宋体" w:cs="宋体"/>
                <w:color w:val="000000"/>
                <w:sz w:val="24"/>
              </w:rPr>
            </w:pPr>
            <w:r>
              <w:rPr>
                <w:rFonts w:hint="eastAsia" w:ascii="宋体" w:hAnsi="宋体" w:cs="宋体"/>
                <w:color w:val="000000"/>
                <w:sz w:val="24"/>
              </w:rPr>
              <w:t>…</w:t>
            </w:r>
          </w:p>
        </w:tc>
        <w:tc>
          <w:tcPr>
            <w:tcW w:w="4560" w:type="dxa"/>
            <w:vAlign w:val="center"/>
          </w:tcPr>
          <w:p>
            <w:pPr>
              <w:rPr>
                <w:color w:val="000000"/>
                <w:sz w:val="24"/>
              </w:rPr>
            </w:pPr>
          </w:p>
        </w:tc>
        <w:tc>
          <w:tcPr>
            <w:tcW w:w="3129" w:type="dxa"/>
            <w:vAlign w:val="center"/>
          </w:tcPr>
          <w:p>
            <w:pPr>
              <w:rPr>
                <w:color w:val="000000"/>
                <w:sz w:val="24"/>
              </w:rPr>
            </w:pPr>
          </w:p>
        </w:tc>
      </w:tr>
    </w:tbl>
    <w:p>
      <w:pPr>
        <w:spacing w:before="120" w:beforeLines="50" w:line="360" w:lineRule="auto"/>
        <w:rPr>
          <w:color w:val="000000"/>
          <w:sz w:val="24"/>
        </w:rPr>
      </w:pPr>
      <w:r>
        <w:rPr>
          <w:rFonts w:hint="eastAsia"/>
          <w:color w:val="000000"/>
          <w:sz w:val="24"/>
        </w:rPr>
        <w:t>注：报价供应商应根据《技术评审表》的各项内容填写此表。</w:t>
      </w:r>
    </w:p>
    <w:p>
      <w:pPr>
        <w:rPr>
          <w:color w:val="000000"/>
        </w:rPr>
      </w:pPr>
    </w:p>
    <w:p>
      <w:pPr>
        <w:rPr>
          <w:color w:val="000000"/>
        </w:rPr>
      </w:pPr>
    </w:p>
    <w:p>
      <w:pPr>
        <w:rPr>
          <w:color w:val="000000"/>
        </w:rPr>
      </w:pPr>
    </w:p>
    <w:p>
      <w:pPr>
        <w:rPr>
          <w:color w:val="000000"/>
        </w:rPr>
      </w:pPr>
    </w:p>
    <w:p>
      <w:pPr>
        <w:rPr>
          <w:color w:val="000000"/>
        </w:rPr>
      </w:pP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eastAsia="仿宋_GB2312"/>
          <w:b/>
          <w:color w:val="000000"/>
          <w:sz w:val="24"/>
        </w:rPr>
      </w:pPr>
      <w:r>
        <w:rPr>
          <w:rFonts w:hint="eastAsia" w:ascii="宋体" w:hAnsi="宋体" w:cs="宋体"/>
          <w:color w:val="000000"/>
          <w:sz w:val="24"/>
        </w:rPr>
        <w:t>日期：   年   月   日</w:t>
      </w:r>
    </w:p>
    <w:p>
      <w:pPr>
        <w:pStyle w:val="4"/>
        <w:numPr>
          <w:ilvl w:val="0"/>
          <w:numId w:val="106"/>
        </w:numPr>
        <w:jc w:val="center"/>
        <w:rPr>
          <w:color w:val="000000"/>
        </w:rPr>
      </w:pPr>
      <w:bookmarkStart w:id="468" w:name="_Toc381489424"/>
      <w:bookmarkStart w:id="469" w:name="_Toc423021954"/>
      <w:bookmarkStart w:id="470" w:name="_Toc9365"/>
      <w:r>
        <w:rPr>
          <w:b w:val="0"/>
          <w:bCs w:val="0"/>
          <w:color w:val="000000"/>
          <w:sz w:val="21"/>
          <w:szCs w:val="24"/>
        </w:rPr>
        <w:br w:type="page"/>
      </w:r>
      <w:bookmarkEnd w:id="468"/>
      <w:bookmarkEnd w:id="469"/>
      <w:bookmarkEnd w:id="470"/>
      <w:bookmarkStart w:id="471" w:name="_Toc17764"/>
      <w:bookmarkStart w:id="472" w:name="_Toc86851552"/>
      <w:r>
        <w:rPr>
          <w:rFonts w:hint="eastAsia"/>
          <w:color w:val="000000"/>
        </w:rPr>
        <w:t>报价函</w:t>
      </w:r>
      <w:bookmarkEnd w:id="471"/>
      <w:bookmarkEnd w:id="472"/>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致：广东重工建设监理有限公司</w:t>
      </w:r>
    </w:p>
    <w:p>
      <w:pPr>
        <w:tabs>
          <w:tab w:val="left" w:pos="7740"/>
        </w:tabs>
        <w:autoSpaceDE w:val="0"/>
        <w:autoSpaceDN w:val="0"/>
        <w:adjustRightInd w:val="0"/>
        <w:snapToGrid w:val="0"/>
        <w:spacing w:line="360" w:lineRule="auto"/>
        <w:ind w:right="26" w:firstLine="480" w:firstLineChars="200"/>
        <w:rPr>
          <w:rFonts w:ascii="宋体" w:hAnsi="宋体" w:cs="宋体"/>
          <w:color w:val="000000"/>
          <w:kern w:val="0"/>
          <w:sz w:val="24"/>
        </w:rPr>
      </w:pPr>
      <w:bookmarkStart w:id="473" w:name="_Toc124256789"/>
      <w:bookmarkStart w:id="474" w:name="_Toc159221038"/>
      <w:bookmarkStart w:id="475" w:name="_Toc183316726"/>
      <w:bookmarkStart w:id="476" w:name="_Toc182886666"/>
      <w:bookmarkStart w:id="477" w:name="_Toc196294645"/>
      <w:r>
        <w:rPr>
          <w:rFonts w:hint="eastAsia" w:ascii="宋体" w:hAnsi="宋体" w:cs="宋体"/>
          <w:color w:val="000000"/>
          <w:kern w:val="0"/>
          <w:sz w:val="24"/>
        </w:rPr>
        <w:t>依据贵方</w:t>
      </w:r>
      <w:r>
        <w:rPr>
          <w:rFonts w:hint="eastAsia" w:ascii="宋体" w:hAnsi="宋体" w:cs="宋体"/>
          <w:color w:val="000000"/>
          <w:sz w:val="24"/>
        </w:rPr>
        <w:t>采购</w:t>
      </w:r>
      <w:r>
        <w:rPr>
          <w:rFonts w:hint="eastAsia" w:ascii="宋体" w:hAnsi="宋体" w:cs="宋体"/>
          <w:color w:val="000000"/>
          <w:sz w:val="24"/>
          <w:u w:val="single"/>
        </w:rPr>
        <w:t xml:space="preserve">项目名称（项目编号：) </w:t>
      </w:r>
      <w:r>
        <w:rPr>
          <w:rFonts w:hint="eastAsia" w:ascii="宋体" w:hAnsi="宋体" w:cs="宋体"/>
          <w:color w:val="000000"/>
          <w:kern w:val="0"/>
          <w:sz w:val="24"/>
        </w:rPr>
        <w:t>的报价邀请，我方代表</w:t>
      </w:r>
      <w:r>
        <w:rPr>
          <w:rFonts w:hint="eastAsia" w:ascii="宋体" w:hAnsi="宋体" w:cs="宋体"/>
          <w:color w:val="000000"/>
          <w:sz w:val="24"/>
          <w:u w:val="single"/>
        </w:rPr>
        <w:t>（姓名、职务）</w:t>
      </w:r>
      <w:r>
        <w:rPr>
          <w:rFonts w:hint="eastAsia" w:ascii="宋体" w:hAnsi="宋体" w:cs="宋体"/>
          <w:color w:val="000000"/>
          <w:kern w:val="0"/>
          <w:sz w:val="24"/>
        </w:rPr>
        <w:t>经正式授权并代表</w:t>
      </w:r>
      <w:r>
        <w:rPr>
          <w:rFonts w:hint="eastAsia" w:ascii="宋体" w:hAnsi="宋体" w:cs="宋体"/>
          <w:color w:val="000000"/>
          <w:sz w:val="24"/>
          <w:u w:val="single"/>
        </w:rPr>
        <w:t>（报价供应商名称、地址）</w:t>
      </w:r>
      <w:r>
        <w:rPr>
          <w:rFonts w:hint="eastAsia" w:ascii="宋体" w:hAnsi="宋体" w:cs="宋体"/>
          <w:color w:val="000000"/>
          <w:kern w:val="0"/>
          <w:sz w:val="24"/>
        </w:rPr>
        <w:t>提交下述文件正本</w:t>
      </w:r>
      <w:r>
        <w:rPr>
          <w:rFonts w:hint="eastAsia" w:ascii="宋体" w:hAnsi="宋体" w:cs="宋体"/>
          <w:color w:val="000000"/>
          <w:kern w:val="0"/>
          <w:sz w:val="24"/>
          <w:u w:val="single"/>
        </w:rPr>
        <w:t xml:space="preserve">   </w:t>
      </w:r>
      <w:r>
        <w:rPr>
          <w:rFonts w:hint="eastAsia" w:ascii="宋体" w:hAnsi="宋体" w:cs="宋体"/>
          <w:color w:val="000000"/>
          <w:kern w:val="0"/>
          <w:sz w:val="24"/>
        </w:rPr>
        <w:t>份，副本</w:t>
      </w:r>
      <w:r>
        <w:rPr>
          <w:rFonts w:hint="eastAsia" w:ascii="宋体" w:hAnsi="宋体" w:cs="宋体"/>
          <w:color w:val="000000"/>
          <w:kern w:val="0"/>
          <w:sz w:val="24"/>
          <w:u w:val="single"/>
        </w:rPr>
        <w:t xml:space="preserve">   </w:t>
      </w:r>
      <w:r>
        <w:rPr>
          <w:rFonts w:hint="eastAsia" w:ascii="宋体" w:hAnsi="宋体" w:cs="宋体"/>
          <w:color w:val="000000"/>
          <w:kern w:val="0"/>
          <w:sz w:val="24"/>
        </w:rPr>
        <w:t>份。</w:t>
      </w:r>
    </w:p>
    <w:p>
      <w:pPr>
        <w:tabs>
          <w:tab w:val="left" w:pos="7740"/>
        </w:tabs>
        <w:autoSpaceDE w:val="0"/>
        <w:autoSpaceDN w:val="0"/>
        <w:adjustRightInd w:val="0"/>
        <w:snapToGrid w:val="0"/>
        <w:spacing w:line="360" w:lineRule="auto"/>
        <w:ind w:right="26" w:firstLine="480" w:firstLineChars="200"/>
        <w:rPr>
          <w:rFonts w:ascii="宋体" w:hAnsi="宋体" w:cs="宋体"/>
          <w:color w:val="000000"/>
          <w:kern w:val="0"/>
          <w:sz w:val="24"/>
        </w:rPr>
      </w:pPr>
      <w:r>
        <w:rPr>
          <w:rFonts w:hint="eastAsia" w:ascii="宋体" w:hAnsi="宋体" w:cs="宋体"/>
          <w:color w:val="000000"/>
          <w:kern w:val="0"/>
          <w:sz w:val="24"/>
        </w:rPr>
        <w:t>在此，我方声明如下：</w:t>
      </w:r>
    </w:p>
    <w:p>
      <w:pPr>
        <w:numPr>
          <w:ilvl w:val="0"/>
          <w:numId w:val="107"/>
        </w:numPr>
        <w:tabs>
          <w:tab w:val="left" w:pos="7740"/>
        </w:tabs>
        <w:adjustRightInd w:val="0"/>
        <w:snapToGrid w:val="0"/>
        <w:spacing w:line="360" w:lineRule="auto"/>
        <w:rPr>
          <w:rFonts w:ascii="宋体" w:hAnsi="宋体" w:cs="宋体"/>
          <w:color w:val="000000"/>
          <w:sz w:val="24"/>
        </w:rPr>
      </w:pPr>
      <w:r>
        <w:rPr>
          <w:rFonts w:hint="eastAsia" w:ascii="宋体" w:hAnsi="宋体" w:cs="宋体"/>
          <w:color w:val="000000"/>
          <w:sz w:val="24"/>
        </w:rPr>
        <w:t>同意并接受磋商文件的各项要求，遵守磋商文件中的各项规定，按磋商文件的要求提供报价。</w:t>
      </w:r>
    </w:p>
    <w:p>
      <w:pPr>
        <w:numPr>
          <w:ilvl w:val="0"/>
          <w:numId w:val="107"/>
        </w:numPr>
        <w:tabs>
          <w:tab w:val="left" w:pos="7740"/>
        </w:tabs>
        <w:adjustRightInd w:val="0"/>
        <w:snapToGrid w:val="0"/>
        <w:spacing w:line="360" w:lineRule="auto"/>
        <w:rPr>
          <w:rFonts w:ascii="宋体" w:hAnsi="宋体" w:cs="宋体"/>
          <w:color w:val="000000"/>
          <w:sz w:val="24"/>
        </w:rPr>
      </w:pPr>
      <w:r>
        <w:rPr>
          <w:rFonts w:hint="eastAsia" w:ascii="宋体" w:hAnsi="宋体" w:cs="宋体"/>
          <w:color w:val="000000"/>
          <w:sz w:val="24"/>
        </w:rPr>
        <w:t>磋商有效期为递交响应文件之日起</w:t>
      </w:r>
      <w:r>
        <w:rPr>
          <w:rFonts w:hint="eastAsia" w:ascii="宋体" w:hAnsi="宋体" w:cs="宋体"/>
          <w:color w:val="000000"/>
          <w:sz w:val="24"/>
          <w:u w:val="single"/>
        </w:rPr>
        <w:t xml:space="preserve"> 90 </w:t>
      </w:r>
      <w:r>
        <w:rPr>
          <w:rFonts w:hint="eastAsia" w:ascii="宋体" w:hAnsi="宋体" w:cs="宋体"/>
          <w:color w:val="000000"/>
          <w:sz w:val="24"/>
        </w:rPr>
        <w:t>天，成交人磋商有效期延至合同验收之日。</w:t>
      </w:r>
    </w:p>
    <w:p>
      <w:pPr>
        <w:numPr>
          <w:ilvl w:val="0"/>
          <w:numId w:val="107"/>
        </w:numPr>
        <w:tabs>
          <w:tab w:val="left" w:pos="7740"/>
        </w:tabs>
        <w:adjustRightInd w:val="0"/>
        <w:snapToGrid w:val="0"/>
        <w:spacing w:line="360" w:lineRule="auto"/>
        <w:rPr>
          <w:rFonts w:ascii="宋体" w:hAnsi="宋体" w:cs="宋体"/>
          <w:color w:val="000000"/>
          <w:sz w:val="24"/>
        </w:rPr>
      </w:pPr>
      <w:r>
        <w:rPr>
          <w:rFonts w:hint="eastAsia" w:ascii="宋体" w:hAnsi="宋体" w:cs="宋体"/>
          <w:color w:val="000000"/>
          <w:sz w:val="24"/>
        </w:rPr>
        <w:t>我方已经详细地阅读了全部磋商文件及其附件，包括澄清及参考文件(如果有的话)。我方已完全清晰理解磋商文件的要求，不存在任何含糊不清和误解之处，同意放弃对这些文件所提出的异议和质疑的权利。</w:t>
      </w:r>
    </w:p>
    <w:p>
      <w:pPr>
        <w:numPr>
          <w:ilvl w:val="0"/>
          <w:numId w:val="107"/>
        </w:numPr>
        <w:tabs>
          <w:tab w:val="left" w:pos="7740"/>
        </w:tabs>
        <w:adjustRightInd w:val="0"/>
        <w:snapToGrid w:val="0"/>
        <w:spacing w:line="360" w:lineRule="auto"/>
        <w:rPr>
          <w:rFonts w:ascii="宋体" w:hAnsi="宋体" w:cs="宋体"/>
          <w:color w:val="000000"/>
          <w:sz w:val="24"/>
        </w:rPr>
      </w:pPr>
      <w:r>
        <w:rPr>
          <w:rFonts w:hint="eastAsia" w:ascii="宋体" w:hAnsi="宋体" w:cs="宋体"/>
          <w:color w:val="000000"/>
          <w:sz w:val="24"/>
        </w:rPr>
        <w:t>我方已毫无保留地向贵方提供一切所需的证明材料。</w:t>
      </w:r>
    </w:p>
    <w:p>
      <w:pPr>
        <w:numPr>
          <w:ilvl w:val="0"/>
          <w:numId w:val="107"/>
        </w:numPr>
        <w:tabs>
          <w:tab w:val="left" w:pos="7740"/>
        </w:tabs>
        <w:adjustRightInd w:val="0"/>
        <w:snapToGrid w:val="0"/>
        <w:spacing w:line="360" w:lineRule="auto"/>
        <w:rPr>
          <w:rFonts w:ascii="宋体" w:hAnsi="宋体" w:cs="宋体"/>
          <w:color w:val="000000"/>
          <w:sz w:val="24"/>
        </w:rPr>
      </w:pPr>
      <w:r>
        <w:rPr>
          <w:rFonts w:hint="eastAsia" w:ascii="宋体" w:hAnsi="宋体" w:cs="宋体"/>
          <w:color w:val="000000"/>
          <w:sz w:val="24"/>
        </w:rPr>
        <w:t>我方承诺在本次报价响应中提供的一切文件，无论是原件还是复印件均为真实和准确的，绝无任何虚假、伪造和夸大的成份，否则，愿承担相应的后果和法律责任。</w:t>
      </w:r>
    </w:p>
    <w:p>
      <w:pPr>
        <w:numPr>
          <w:ilvl w:val="0"/>
          <w:numId w:val="107"/>
        </w:numPr>
        <w:tabs>
          <w:tab w:val="left" w:pos="7740"/>
        </w:tabs>
        <w:adjustRightInd w:val="0"/>
        <w:snapToGrid w:val="0"/>
        <w:spacing w:line="360" w:lineRule="auto"/>
        <w:rPr>
          <w:rFonts w:ascii="宋体" w:hAnsi="宋体" w:cs="宋体"/>
          <w:color w:val="000000"/>
          <w:sz w:val="24"/>
        </w:rPr>
      </w:pPr>
      <w:r>
        <w:rPr>
          <w:rFonts w:hint="eastAsia" w:ascii="宋体" w:hAnsi="宋体" w:cs="宋体"/>
          <w:color w:val="000000"/>
          <w:sz w:val="24"/>
        </w:rPr>
        <w:t>我方完全服从和尊重磋商小组所作的评定结果，同时清楚理解到报价最低并非意味着必定获得成交资格。</w:t>
      </w:r>
    </w:p>
    <w:p>
      <w:pPr>
        <w:numPr>
          <w:ilvl w:val="0"/>
          <w:numId w:val="107"/>
        </w:numPr>
        <w:tabs>
          <w:tab w:val="left" w:pos="7740"/>
        </w:tabs>
        <w:adjustRightInd w:val="0"/>
        <w:snapToGrid w:val="0"/>
        <w:spacing w:line="360" w:lineRule="auto"/>
        <w:rPr>
          <w:rFonts w:ascii="宋体" w:hAnsi="宋体" w:cs="宋体"/>
          <w:color w:val="000000"/>
          <w:sz w:val="24"/>
        </w:rPr>
      </w:pPr>
      <w:r>
        <w:rPr>
          <w:rFonts w:hint="eastAsia" w:ascii="宋体" w:hAnsi="宋体" w:cs="宋体"/>
          <w:color w:val="000000"/>
          <w:sz w:val="24"/>
        </w:rPr>
        <w:t>我方同意按磋商文件规定向招标代理机构缴纳招标代理服务费。</w:t>
      </w:r>
    </w:p>
    <w:p>
      <w:pPr>
        <w:adjustRightInd w:val="0"/>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备注：本报价函内容不得擅自删改，否则视为无效报价。</w:t>
      </w:r>
    </w:p>
    <w:p>
      <w:pPr>
        <w:tabs>
          <w:tab w:val="left" w:pos="7740"/>
        </w:tabs>
        <w:adjustRightInd w:val="0"/>
        <w:snapToGrid w:val="0"/>
        <w:spacing w:line="360" w:lineRule="auto"/>
        <w:ind w:left="420"/>
        <w:rPr>
          <w:rFonts w:ascii="宋体" w:hAnsi="宋体" w:cs="宋体"/>
          <w:color w:val="000000"/>
          <w:sz w:val="24"/>
        </w:rPr>
      </w:pP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 xml:space="preserve">地址：                           电话：     </w:t>
      </w: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传真：                           电子邮件：</w:t>
      </w: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 xml:space="preserve">开户银行：                           </w:t>
      </w: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 xml:space="preserve">帐号：                               </w:t>
      </w: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 xml:space="preserve"> </w:t>
      </w: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报价供应商名称（加盖公章）：</w:t>
      </w: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 xml:space="preserve">报价供应商法定代表人或其授权代表（签字或盖章）：         </w:t>
      </w:r>
    </w:p>
    <w:p>
      <w:pPr>
        <w:tabs>
          <w:tab w:val="left" w:pos="7740"/>
        </w:tabs>
        <w:autoSpaceDE w:val="0"/>
        <w:autoSpaceDN w:val="0"/>
        <w:adjustRightInd w:val="0"/>
        <w:snapToGrid w:val="0"/>
        <w:spacing w:line="360" w:lineRule="auto"/>
        <w:ind w:right="246" w:firstLine="480" w:firstLineChars="200"/>
        <w:rPr>
          <w:rFonts w:ascii="宋体" w:hAnsi="宋体" w:cs="宋体"/>
          <w:color w:val="000000"/>
          <w:kern w:val="0"/>
          <w:sz w:val="24"/>
        </w:rPr>
      </w:pPr>
      <w:r>
        <w:rPr>
          <w:rFonts w:hint="eastAsia" w:ascii="宋体" w:hAnsi="宋体" w:cs="宋体"/>
          <w:color w:val="000000"/>
          <w:kern w:val="0"/>
          <w:sz w:val="24"/>
        </w:rPr>
        <w:t xml:space="preserve">日期：                                   </w:t>
      </w:r>
    </w:p>
    <w:bookmarkEnd w:id="473"/>
    <w:bookmarkEnd w:id="474"/>
    <w:bookmarkEnd w:id="475"/>
    <w:bookmarkEnd w:id="476"/>
    <w:bookmarkEnd w:id="477"/>
    <w:p>
      <w:pPr>
        <w:pStyle w:val="4"/>
        <w:numPr>
          <w:ilvl w:val="0"/>
          <w:numId w:val="106"/>
        </w:numPr>
        <w:jc w:val="center"/>
        <w:rPr>
          <w:color w:val="000000"/>
        </w:rPr>
      </w:pPr>
      <w:bookmarkStart w:id="478" w:name="_Toc423021956"/>
      <w:bookmarkStart w:id="479" w:name="_Toc381489426"/>
      <w:bookmarkStart w:id="480" w:name="_Toc32599"/>
      <w:bookmarkStart w:id="481" w:name="_Toc10426"/>
      <w:r>
        <w:rPr>
          <w:color w:val="000000"/>
        </w:rPr>
        <w:br w:type="page"/>
      </w:r>
      <w:bookmarkStart w:id="482" w:name="_Toc86851553"/>
      <w:r>
        <w:rPr>
          <w:rFonts w:hint="eastAsia"/>
          <w:color w:val="000000"/>
        </w:rPr>
        <w:t>关于资格的声明函</w:t>
      </w:r>
      <w:bookmarkEnd w:id="478"/>
      <w:bookmarkEnd w:id="479"/>
      <w:bookmarkEnd w:id="480"/>
      <w:bookmarkEnd w:id="481"/>
      <w:bookmarkEnd w:id="482"/>
    </w:p>
    <w:p>
      <w:pPr>
        <w:spacing w:before="120" w:beforeLines="50" w:after="120" w:afterLines="50" w:line="360" w:lineRule="auto"/>
        <w:rPr>
          <w:rFonts w:ascii="宋体" w:hAnsi="宋体" w:cs="宋体"/>
          <w:b/>
          <w:color w:val="000000"/>
          <w:sz w:val="24"/>
        </w:rPr>
      </w:pPr>
      <w:r>
        <w:rPr>
          <w:rFonts w:hint="eastAsia" w:ascii="宋体" w:hAnsi="宋体" w:cs="宋体"/>
          <w:b/>
          <w:color w:val="000000"/>
          <w:sz w:val="24"/>
        </w:rPr>
        <w:t>致：广东重工建设监理有限公司</w:t>
      </w:r>
    </w:p>
    <w:p>
      <w:pPr>
        <w:spacing w:before="72" w:after="72" w:line="360" w:lineRule="auto"/>
        <w:ind w:firstLine="480" w:firstLineChars="200"/>
        <w:rPr>
          <w:rFonts w:ascii="宋体" w:hAnsi="宋体" w:cs="宋体"/>
          <w:color w:val="000000"/>
          <w:sz w:val="24"/>
        </w:rPr>
      </w:pPr>
      <w:r>
        <w:rPr>
          <w:rFonts w:hint="eastAsia" w:ascii="宋体" w:hAnsi="宋体" w:cs="宋体"/>
          <w:color w:val="000000"/>
          <w:sz w:val="24"/>
        </w:rPr>
        <w:t>关于贵方采购</w:t>
      </w:r>
      <w:r>
        <w:rPr>
          <w:rFonts w:hint="eastAsia" w:ascii="宋体" w:hAnsi="宋体" w:cs="宋体"/>
          <w:color w:val="000000"/>
          <w:sz w:val="24"/>
          <w:u w:val="single"/>
        </w:rPr>
        <w:t xml:space="preserve">  （项目名称） （项目编号：      ）</w:t>
      </w:r>
      <w:r>
        <w:rPr>
          <w:rFonts w:hint="eastAsia" w:ascii="宋体" w:hAnsi="宋体" w:cs="宋体"/>
          <w:color w:val="000000"/>
          <w:sz w:val="24"/>
        </w:rPr>
        <w:t>，本单位愿意提交响应文件，并证明提交的下列文件和说明是准确的和真实的，</w:t>
      </w:r>
      <w:r>
        <w:rPr>
          <w:rFonts w:ascii="宋体" w:hAnsi="宋体" w:cs="宋体"/>
          <w:color w:val="000000"/>
          <w:sz w:val="24"/>
        </w:rPr>
        <w:t>现声明如下：</w:t>
      </w:r>
    </w:p>
    <w:p>
      <w:pPr>
        <w:numPr>
          <w:ilvl w:val="0"/>
          <w:numId w:val="108"/>
        </w:numPr>
        <w:spacing w:before="72" w:after="72" w:line="360" w:lineRule="auto"/>
        <w:rPr>
          <w:rFonts w:ascii="宋体" w:hAnsi="宋体"/>
          <w:color w:val="000000"/>
          <w:sz w:val="24"/>
        </w:rPr>
      </w:pPr>
      <w:r>
        <w:rPr>
          <w:rFonts w:ascii="宋体" w:hAnsi="宋体"/>
          <w:color w:val="000000"/>
          <w:sz w:val="24"/>
        </w:rPr>
        <w:t>本单位具备《中华人民共和国政府采购法》第二十二条资格条件，并已清楚</w:t>
      </w:r>
      <w:r>
        <w:rPr>
          <w:rFonts w:hint="eastAsia" w:ascii="宋体" w:hAnsi="宋体"/>
          <w:color w:val="000000"/>
          <w:kern w:val="28"/>
          <w:sz w:val="24"/>
        </w:rPr>
        <w:t>磋商文件</w:t>
      </w:r>
      <w:r>
        <w:rPr>
          <w:rFonts w:ascii="宋体" w:hAnsi="宋体"/>
          <w:color w:val="000000"/>
          <w:sz w:val="24"/>
        </w:rPr>
        <w:t>的要求及有关文件规定。</w:t>
      </w:r>
    </w:p>
    <w:p>
      <w:pPr>
        <w:numPr>
          <w:ilvl w:val="0"/>
          <w:numId w:val="108"/>
        </w:numPr>
        <w:spacing w:before="72" w:after="72" w:line="360" w:lineRule="auto"/>
        <w:rPr>
          <w:rFonts w:ascii="宋体" w:hAnsi="宋体"/>
          <w:color w:val="000000"/>
          <w:sz w:val="24"/>
        </w:rPr>
      </w:pPr>
      <w:r>
        <w:rPr>
          <w:rFonts w:ascii="宋体" w:hAnsi="宋体"/>
          <w:color w:val="000000"/>
          <w:sz w:val="24"/>
        </w:rPr>
        <w:t>本单位具有履行合同所必需的设备和专业技术能力，且参加政府采购活动前3年内在经营活动中没有重大违法记录，符合法律、行政法规规定的其他条件。否则，由此所造成的损失、不良后果及法律责任，一律由我单位承担。</w:t>
      </w:r>
    </w:p>
    <w:p>
      <w:pPr>
        <w:numPr>
          <w:ilvl w:val="0"/>
          <w:numId w:val="108"/>
        </w:numPr>
        <w:spacing w:before="72" w:after="72" w:line="360" w:lineRule="auto"/>
        <w:rPr>
          <w:rFonts w:ascii="宋体" w:hAnsi="宋体"/>
          <w:color w:val="000000"/>
          <w:sz w:val="24"/>
        </w:rPr>
      </w:pPr>
      <w:r>
        <w:rPr>
          <w:rFonts w:ascii="宋体" w:hAnsi="宋体"/>
          <w:color w:val="000000"/>
          <w:sz w:val="24"/>
        </w:rPr>
        <w:t>本单位的法定代表人或单位负责人与所参投的本采购项目包组的其他投标人的法定代表人或单位负责人不为同一人且与其他投标人之间不存在直接控股、管理关系。</w:t>
      </w:r>
    </w:p>
    <w:p>
      <w:pPr>
        <w:numPr>
          <w:ilvl w:val="0"/>
          <w:numId w:val="108"/>
        </w:numPr>
        <w:spacing w:before="72" w:after="72" w:line="360" w:lineRule="auto"/>
        <w:rPr>
          <w:rFonts w:ascii="宋体" w:hAnsi="宋体"/>
          <w:color w:val="000000"/>
          <w:sz w:val="24"/>
        </w:rPr>
      </w:pPr>
      <w:r>
        <w:rPr>
          <w:rFonts w:ascii="宋体" w:hAnsi="宋体"/>
          <w:color w:val="000000"/>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pPr>
        <w:numPr>
          <w:ilvl w:val="0"/>
          <w:numId w:val="108"/>
        </w:numPr>
        <w:spacing w:before="72" w:after="72" w:line="360" w:lineRule="auto"/>
        <w:rPr>
          <w:rFonts w:hint="eastAsia" w:ascii="宋体" w:hAnsi="宋体"/>
          <w:color w:val="000000"/>
          <w:sz w:val="24"/>
        </w:rPr>
      </w:pPr>
      <w:r>
        <w:rPr>
          <w:rFonts w:hint="eastAsia" w:ascii="宋体" w:hAnsi="宋体"/>
          <w:color w:val="000000"/>
          <w:sz w:val="24"/>
        </w:rPr>
        <w:t>为非联合体报价。</w:t>
      </w:r>
    </w:p>
    <w:p>
      <w:pPr>
        <w:numPr>
          <w:ilvl w:val="0"/>
          <w:numId w:val="108"/>
        </w:numPr>
        <w:spacing w:before="72" w:after="72" w:line="360" w:lineRule="auto"/>
        <w:rPr>
          <w:rFonts w:ascii="宋体" w:hAnsi="宋体" w:cs="宋体"/>
          <w:color w:val="000000"/>
          <w:sz w:val="24"/>
        </w:rPr>
      </w:pPr>
      <w:r>
        <w:rPr>
          <w:rFonts w:hint="eastAsia" w:ascii="宋体" w:hAnsi="宋体" w:cs="宋体"/>
          <w:color w:val="000000"/>
          <w:sz w:val="24"/>
        </w:rPr>
        <w:t>已办理投标登记并领购本项目磋商文件。</w:t>
      </w:r>
    </w:p>
    <w:p>
      <w:pPr>
        <w:spacing w:before="72" w:after="72" w:line="360" w:lineRule="auto"/>
        <w:ind w:firstLine="480" w:firstLineChars="200"/>
        <w:rPr>
          <w:rFonts w:ascii="宋体" w:hAnsi="宋体" w:cs="宋体"/>
          <w:color w:val="000000"/>
          <w:sz w:val="24"/>
        </w:rPr>
      </w:pPr>
      <w:r>
        <w:rPr>
          <w:rFonts w:hint="eastAsia" w:ascii="宋体" w:hAnsi="宋体" w:cs="宋体"/>
          <w:color w:val="000000"/>
          <w:sz w:val="24"/>
        </w:rPr>
        <w:t>本单位保证全部响应文件和问题的回答是真实和有效的，并对所提供资料的真实性负责。</w:t>
      </w:r>
      <w:r>
        <w:rPr>
          <w:rFonts w:ascii="宋体" w:hAnsi="宋体" w:cs="宋体"/>
          <w:color w:val="000000"/>
          <w:sz w:val="24"/>
        </w:rPr>
        <w:t>本次招标采购活动中，如有违法、违规、弄虚作假行为，所造成的损失、不良后果及法律责任，一律由我单位承担。</w:t>
      </w:r>
    </w:p>
    <w:p>
      <w:pPr>
        <w:spacing w:line="360" w:lineRule="auto"/>
        <w:ind w:firstLine="420"/>
        <w:rPr>
          <w:rFonts w:hint="eastAsia" w:ascii="宋体" w:hAnsi="宋体"/>
          <w:b/>
          <w:color w:val="000000"/>
          <w:szCs w:val="21"/>
        </w:rPr>
      </w:pPr>
      <w:r>
        <w:rPr>
          <w:rFonts w:ascii="宋体" w:hAnsi="宋体"/>
          <w:b/>
          <w:color w:val="000000"/>
          <w:szCs w:val="21"/>
        </w:rPr>
        <w:t>特此声明！</w:t>
      </w:r>
    </w:p>
    <w:p>
      <w:pPr>
        <w:spacing w:before="72" w:after="72" w:line="360" w:lineRule="auto"/>
        <w:rPr>
          <w:rFonts w:ascii="宋体" w:hAnsi="宋体" w:cs="宋体"/>
          <w:color w:val="000000"/>
          <w:sz w:val="24"/>
        </w:rPr>
      </w:pPr>
      <w:r>
        <w:rPr>
          <w:rFonts w:hint="eastAsia" w:ascii="宋体" w:hAnsi="宋体" w:cs="宋体"/>
          <w:color w:val="000000"/>
          <w:sz w:val="24"/>
        </w:rPr>
        <w:t xml:space="preserve">                                          </w:t>
      </w:r>
    </w:p>
    <w:p>
      <w:pPr>
        <w:adjustRightInd w:val="0"/>
        <w:snapToGrid w:val="0"/>
        <w:spacing w:before="72" w:after="72" w:line="480" w:lineRule="auto"/>
        <w:ind w:firstLine="2520" w:firstLineChars="1050"/>
        <w:rPr>
          <w:rFonts w:ascii="宋体" w:hAnsi="宋体" w:cs="宋体"/>
          <w:color w:val="000000"/>
          <w:sz w:val="24"/>
          <w:u w:val="single"/>
        </w:rPr>
      </w:pPr>
      <w:bookmarkStart w:id="483" w:name="_Toc423021960"/>
      <w:bookmarkStart w:id="484" w:name="_Toc22784"/>
      <w:bookmarkStart w:id="485" w:name="_Toc197799988"/>
      <w:bookmarkStart w:id="486" w:name="_Toc381489429"/>
      <w:bookmarkStart w:id="487" w:name="_Toc196294648"/>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ascii="宋体" w:hAnsi="宋体" w:cs="宋体"/>
          <w:color w:val="000000"/>
          <w:sz w:val="24"/>
        </w:rPr>
      </w:pPr>
      <w:r>
        <w:rPr>
          <w:rFonts w:hint="eastAsia" w:ascii="宋体" w:hAnsi="宋体" w:cs="宋体"/>
          <w:color w:val="000000"/>
          <w:sz w:val="24"/>
        </w:rPr>
        <w:t>日期：   年   月   日</w:t>
      </w:r>
    </w:p>
    <w:p>
      <w:pPr>
        <w:tabs>
          <w:tab w:val="left" w:pos="567"/>
        </w:tabs>
        <w:adjustRightInd w:val="0"/>
        <w:snapToGrid w:val="0"/>
        <w:spacing w:line="360" w:lineRule="auto"/>
        <w:rPr>
          <w:rFonts w:ascii="宋体" w:hAnsi="宋体"/>
          <w:b/>
          <w:color w:val="000000"/>
          <w:szCs w:val="21"/>
        </w:rPr>
      </w:pPr>
      <w:r>
        <w:rPr>
          <w:rFonts w:ascii="宋体" w:hAnsi="宋体" w:cs="宋体"/>
          <w:color w:val="000000"/>
          <w:sz w:val="24"/>
        </w:rPr>
        <w:br w:type="page"/>
      </w:r>
      <w:r>
        <w:rPr>
          <w:rFonts w:ascii="宋体" w:hAnsi="宋体"/>
          <w:b/>
          <w:color w:val="000000"/>
          <w:szCs w:val="21"/>
        </w:rPr>
        <w:t>附件：</w:t>
      </w:r>
    </w:p>
    <w:p>
      <w:pPr>
        <w:numPr>
          <w:ilvl w:val="0"/>
          <w:numId w:val="109"/>
        </w:numPr>
        <w:tabs>
          <w:tab w:val="left" w:pos="426"/>
        </w:tabs>
        <w:adjustRightInd w:val="0"/>
        <w:snapToGrid w:val="0"/>
        <w:spacing w:line="360" w:lineRule="auto"/>
        <w:rPr>
          <w:rFonts w:ascii="宋体" w:hAnsi="宋体"/>
          <w:color w:val="000000"/>
          <w:szCs w:val="21"/>
        </w:rPr>
      </w:pPr>
      <w:r>
        <w:rPr>
          <w:rFonts w:hint="eastAsia" w:ascii="宋体" w:hAnsi="宋体"/>
          <w:color w:val="000000"/>
          <w:szCs w:val="21"/>
        </w:rPr>
        <w:t>提供营业执照（或事业单位法人证书，或社会团体法人登记证书，或执业许可证）复印件；</w:t>
      </w:r>
    </w:p>
    <w:p>
      <w:pPr>
        <w:numPr>
          <w:ilvl w:val="0"/>
          <w:numId w:val="109"/>
        </w:numPr>
        <w:tabs>
          <w:tab w:val="left" w:pos="426"/>
        </w:tabs>
        <w:adjustRightInd w:val="0"/>
        <w:snapToGrid w:val="0"/>
        <w:spacing w:line="360" w:lineRule="auto"/>
        <w:rPr>
          <w:rFonts w:ascii="宋体" w:hAnsi="宋体"/>
          <w:color w:val="000000"/>
          <w:szCs w:val="21"/>
        </w:rPr>
      </w:pPr>
      <w:r>
        <w:rPr>
          <w:rFonts w:hint="eastAsia" w:ascii="宋体" w:hAnsi="宋体"/>
          <w:color w:val="000000"/>
          <w:szCs w:val="21"/>
        </w:rPr>
        <w:t>有依法缴纳税收和社会保障资金的良好记录：提供近半年任意一个月的依法缴纳税收的证明（纳税凭证）复印件及依法缴纳社会保险的证明（缴费凭证）复印件，如依法免税的或不需要缴纳社会保障资金的，应提供相应文件证明其依法免税或提供相应文件证明其依法不需要缴纳社会保障资金，若已对接“粤省事”“粤商通”“粤信签”等系统的，可提供通过系统提取的相关信息证明文件；无法通过系统提取相关信息的，可提供书面承诺声明函</w:t>
      </w:r>
      <w:r>
        <w:rPr>
          <w:rFonts w:ascii="宋体" w:hAnsi="宋体"/>
          <w:color w:val="000000"/>
          <w:szCs w:val="21"/>
        </w:rPr>
        <w:t>；</w:t>
      </w:r>
    </w:p>
    <w:p>
      <w:pPr>
        <w:numPr>
          <w:ilvl w:val="0"/>
          <w:numId w:val="109"/>
        </w:numPr>
        <w:tabs>
          <w:tab w:val="left" w:pos="426"/>
        </w:tabs>
        <w:adjustRightInd w:val="0"/>
        <w:snapToGrid w:val="0"/>
        <w:spacing w:line="360" w:lineRule="auto"/>
        <w:rPr>
          <w:rFonts w:ascii="宋体" w:hAnsi="宋体"/>
          <w:color w:val="000000"/>
          <w:szCs w:val="21"/>
        </w:rPr>
      </w:pPr>
      <w:r>
        <w:rPr>
          <w:rFonts w:hint="eastAsia" w:ascii="宋体" w:hAnsi="宋体"/>
          <w:color w:val="000000"/>
          <w:szCs w:val="21"/>
        </w:rPr>
        <w:t>具有良好的商业信誉和健全的财务会计制度：提供2020年度财务状况报告复印件（如成立不满一年的企业，提供成立至今的月或季度财务状况报告复印件），或银行出具的资信证明材料复印件；若已对接“粤省事”“粤商通”“粤信签”等系统的，可提供通过系统提取的相关信息证明文件；无法通过系统提取相关信息的，可提供书面承诺声明函（提供《关于资格的声明函》）</w:t>
      </w:r>
      <w:r>
        <w:rPr>
          <w:rFonts w:ascii="宋体" w:hAnsi="宋体"/>
          <w:color w:val="000000"/>
          <w:szCs w:val="21"/>
        </w:rPr>
        <w:t>；</w:t>
      </w:r>
    </w:p>
    <w:p>
      <w:pPr>
        <w:numPr>
          <w:ilvl w:val="0"/>
          <w:numId w:val="109"/>
        </w:numPr>
        <w:tabs>
          <w:tab w:val="left" w:pos="426"/>
        </w:tabs>
        <w:adjustRightInd w:val="0"/>
        <w:snapToGrid w:val="0"/>
        <w:spacing w:line="360" w:lineRule="auto"/>
        <w:rPr>
          <w:rFonts w:ascii="宋体" w:hAnsi="宋体"/>
          <w:color w:val="000000"/>
          <w:szCs w:val="21"/>
        </w:rPr>
      </w:pPr>
      <w:r>
        <w:rPr>
          <w:rFonts w:hint="eastAsia" w:ascii="宋体" w:hAnsi="宋体" w:cs="Helvetica"/>
          <w:color w:val="222222"/>
          <w:kern w:val="0"/>
          <w:sz w:val="24"/>
        </w:rPr>
        <w:t>具有建设行政主管部门颁发的</w:t>
      </w:r>
      <w:r>
        <w:rPr>
          <w:rFonts w:hint="eastAsia" w:ascii="宋体" w:hAnsi="宋体" w:cs="宋体"/>
          <w:sz w:val="24"/>
        </w:rPr>
        <w:t>建筑机电安装工程专业承包叁级（或以上）</w:t>
      </w:r>
      <w:r>
        <w:rPr>
          <w:rFonts w:hint="eastAsia" w:ascii="宋体" w:hAnsi="宋体" w:cs="Helvetica"/>
          <w:color w:val="222222"/>
          <w:kern w:val="0"/>
          <w:sz w:val="24"/>
        </w:rPr>
        <w:t>资质证书及安全生产许可证，</w:t>
      </w:r>
      <w:r>
        <w:rPr>
          <w:rFonts w:hint="eastAsia" w:ascii="宋体" w:hAnsi="宋体"/>
          <w:color w:val="000000"/>
          <w:sz w:val="24"/>
        </w:rPr>
        <w:t>提供相关证书证明资料复印件。</w:t>
      </w:r>
    </w:p>
    <w:p>
      <w:pPr>
        <w:tabs>
          <w:tab w:val="left" w:pos="426"/>
        </w:tabs>
        <w:adjustRightInd w:val="0"/>
        <w:snapToGrid w:val="0"/>
        <w:spacing w:line="360" w:lineRule="auto"/>
        <w:ind w:left="420"/>
        <w:rPr>
          <w:rFonts w:ascii="宋体" w:hAnsi="宋体"/>
          <w:bCs/>
          <w:color w:val="000000"/>
          <w:szCs w:val="21"/>
        </w:rPr>
      </w:pPr>
    </w:p>
    <w:p>
      <w:pPr>
        <w:spacing w:line="360" w:lineRule="auto"/>
        <w:ind w:firstLine="420"/>
        <w:rPr>
          <w:rFonts w:hint="eastAsia" w:ascii="宋体" w:hAnsi="宋体"/>
          <w:b/>
          <w:bCs/>
          <w:color w:val="000000"/>
          <w:sz w:val="32"/>
          <w:szCs w:val="32"/>
        </w:rPr>
      </w:pPr>
      <w:r>
        <w:rPr>
          <w:rFonts w:ascii="宋体" w:hAnsi="宋体"/>
          <w:b/>
          <w:bCs/>
          <w:color w:val="000000"/>
          <w:sz w:val="32"/>
          <w:szCs w:val="32"/>
        </w:rPr>
        <w:t>注：所提供的证明文件复印件须并加盖公章</w:t>
      </w:r>
      <w:r>
        <w:rPr>
          <w:rFonts w:hint="eastAsia" w:ascii="宋体" w:hAnsi="宋体"/>
          <w:b/>
          <w:bCs/>
          <w:color w:val="000000"/>
          <w:sz w:val="32"/>
          <w:szCs w:val="32"/>
        </w:rPr>
        <w:t>，不符合要求或未提供相关证明文件，作无效标处理。</w:t>
      </w:r>
    </w:p>
    <w:p>
      <w:pPr>
        <w:spacing w:before="72" w:after="72" w:line="400" w:lineRule="exact"/>
        <w:ind w:firstLine="2520" w:firstLineChars="1050"/>
        <w:rPr>
          <w:rFonts w:ascii="宋体" w:hAnsi="宋体" w:cs="宋体"/>
          <w:color w:val="000000"/>
          <w:sz w:val="24"/>
        </w:rPr>
      </w:pPr>
    </w:p>
    <w:p>
      <w:pPr>
        <w:pStyle w:val="4"/>
        <w:numPr>
          <w:ilvl w:val="0"/>
          <w:numId w:val="106"/>
        </w:numPr>
        <w:jc w:val="center"/>
        <w:rPr>
          <w:color w:val="000000"/>
        </w:rPr>
      </w:pPr>
      <w:bookmarkStart w:id="488" w:name="_Toc10890"/>
      <w:r>
        <w:rPr>
          <w:rFonts w:cs="Times New Roman"/>
          <w:b w:val="0"/>
          <w:bCs w:val="0"/>
          <w:color w:val="000000"/>
          <w:sz w:val="21"/>
          <w:szCs w:val="22"/>
        </w:rPr>
        <w:br w:type="page"/>
      </w:r>
      <w:bookmarkStart w:id="489" w:name="_Toc86851554"/>
      <w:r>
        <w:rPr>
          <w:rFonts w:hint="eastAsia"/>
          <w:color w:val="000000"/>
        </w:rPr>
        <w:t>法定代表人证明书和法定代表人授权委托书</w:t>
      </w:r>
      <w:bookmarkEnd w:id="483"/>
      <w:bookmarkEnd w:id="484"/>
      <w:bookmarkEnd w:id="488"/>
      <w:bookmarkEnd w:id="489"/>
    </w:p>
    <w:p>
      <w:pPr>
        <w:tabs>
          <w:tab w:val="left" w:pos="0"/>
        </w:tabs>
        <w:spacing w:before="72" w:after="72" w:line="360" w:lineRule="auto"/>
        <w:ind w:left="420"/>
        <w:jc w:val="center"/>
        <w:rPr>
          <w:rFonts w:ascii="宋体" w:hAnsi="宋体" w:cs="宋体"/>
          <w:color w:val="000000"/>
          <w:sz w:val="30"/>
          <w:szCs w:val="30"/>
        </w:rPr>
      </w:pPr>
      <w:r>
        <w:rPr>
          <w:rFonts w:hint="eastAsia" w:ascii="宋体" w:hAnsi="宋体" w:cs="宋体"/>
          <w:b/>
          <w:color w:val="000000"/>
          <w:kern w:val="44"/>
          <w:sz w:val="30"/>
          <w:szCs w:val="30"/>
        </w:rPr>
        <w:t>法定代表人证明书</w:t>
      </w:r>
    </w:p>
    <w:p>
      <w:pPr>
        <w:adjustRightInd w:val="0"/>
        <w:snapToGrid w:val="0"/>
        <w:spacing w:before="120" w:beforeLines="50" w:after="120" w:afterLines="50" w:line="360" w:lineRule="auto"/>
        <w:rPr>
          <w:rFonts w:ascii="宋体" w:hAnsi="宋体" w:cs="宋体"/>
          <w:b/>
          <w:color w:val="000000"/>
          <w:sz w:val="24"/>
        </w:rPr>
      </w:pPr>
      <w:r>
        <w:rPr>
          <w:rFonts w:hint="eastAsia" w:ascii="宋体" w:hAnsi="宋体" w:cs="宋体"/>
          <w:b/>
          <w:color w:val="000000"/>
          <w:sz w:val="24"/>
        </w:rPr>
        <w:t>致：广东重工建设监理有限公司</w:t>
      </w:r>
    </w:p>
    <w:p>
      <w:pPr>
        <w:spacing w:before="72" w:after="72"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同志，现任我单位</w:t>
      </w:r>
      <w:r>
        <w:rPr>
          <w:rFonts w:hint="eastAsia" w:ascii="宋体" w:hAnsi="宋体" w:cs="宋体"/>
          <w:color w:val="000000"/>
          <w:sz w:val="24"/>
          <w:u w:val="single"/>
        </w:rPr>
        <w:t>　　　　　　　</w:t>
      </w:r>
      <w:r>
        <w:rPr>
          <w:rFonts w:hint="eastAsia" w:ascii="宋体" w:hAnsi="宋体" w:cs="宋体"/>
          <w:color w:val="000000"/>
          <w:sz w:val="24"/>
        </w:rPr>
        <w:t>职务，为法定代表人，特此证明。</w:t>
      </w:r>
    </w:p>
    <w:p>
      <w:pPr>
        <w:spacing w:before="72" w:after="72" w:line="360" w:lineRule="auto"/>
        <w:ind w:firstLine="480" w:firstLineChars="200"/>
        <w:rPr>
          <w:rFonts w:ascii="宋体" w:hAnsi="宋体" w:cs="宋体"/>
          <w:color w:val="000000"/>
          <w:sz w:val="24"/>
        </w:rPr>
      </w:pPr>
      <w:r>
        <w:rPr>
          <w:rFonts w:hint="eastAsia" w:ascii="宋体" w:hAnsi="宋体" w:cs="宋体"/>
          <w:color w:val="000000"/>
          <w:sz w:val="24"/>
        </w:rPr>
        <w:t>本证明书有效期与本公司响应文件中标注的磋商有效期相同。</w:t>
      </w:r>
    </w:p>
    <w:p>
      <w:pPr>
        <w:spacing w:before="72" w:after="72" w:line="360" w:lineRule="auto"/>
        <w:ind w:firstLine="480" w:firstLineChars="200"/>
        <w:rPr>
          <w:rFonts w:ascii="宋体" w:hAnsi="宋体" w:cs="宋体"/>
          <w:b/>
          <w:color w:val="000000"/>
          <w:sz w:val="24"/>
        </w:rPr>
      </w:pPr>
      <w:r>
        <w:rPr>
          <w:rFonts w:hint="eastAsia" w:ascii="宋体" w:hAnsi="宋体" w:cs="宋体"/>
          <w:color w:val="000000"/>
          <w:sz w:val="24"/>
        </w:rPr>
        <w:t xml:space="preserve">   </w:t>
      </w:r>
    </w:p>
    <w:p>
      <w:pPr>
        <w:spacing w:before="72" w:after="72" w:line="360" w:lineRule="auto"/>
        <w:ind w:firstLine="420" w:firstLineChars="200"/>
        <w:rPr>
          <w:rFonts w:ascii="宋体" w:hAnsi="宋体" w:cs="宋体"/>
          <w:color w:val="000000"/>
          <w:szCs w:val="21"/>
        </w:rPr>
      </w:pPr>
    </w:p>
    <w:p>
      <w:pPr>
        <w:spacing w:before="72" w:after="72" w:line="360" w:lineRule="auto"/>
        <w:rPr>
          <w:rFonts w:ascii="宋体" w:hAnsi="宋体" w:cs="宋体"/>
          <w:color w:val="000000"/>
          <w:sz w:val="24"/>
        </w:rPr>
      </w:pPr>
      <w:r>
        <w:rPr>
          <w:rFonts w:hint="eastAsia" w:ascii="宋体" w:hAnsi="宋体" w:cs="宋体"/>
          <w:color w:val="000000"/>
          <w:sz w:val="24"/>
        </w:rPr>
        <w:t>报价供应商名称（加盖公章）：</w:t>
      </w:r>
    </w:p>
    <w:p>
      <w:pPr>
        <w:spacing w:before="240" w:beforeLines="100"/>
        <w:rPr>
          <w:rFonts w:ascii="宋体" w:hAnsi="宋体" w:cs="宋体"/>
          <w:b/>
          <w:bCs/>
          <w:color w:val="000000"/>
          <w:sz w:val="28"/>
          <w:szCs w:val="28"/>
        </w:rPr>
      </w:pPr>
      <w:r>
        <w:rPr>
          <w:rFonts w:hint="eastAsia" w:ascii="宋体" w:hAnsi="宋体" w:cs="宋体"/>
          <w:color w:val="000000"/>
          <w:sz w:val="24"/>
        </w:rPr>
        <w:t>日期：</w:t>
      </w:r>
      <w:r>
        <w:rPr>
          <w:rFonts w:hint="eastAsia" w:ascii="宋体" w:hAnsi="宋体" w:cs="宋体"/>
          <w:bCs/>
          <w:color w:val="000000"/>
          <w:sz w:val="24"/>
        </w:rPr>
        <w:t xml:space="preserve">    年    月    日</w:t>
      </w:r>
    </w:p>
    <w:p>
      <w:pPr>
        <w:spacing w:before="72" w:after="72" w:line="360" w:lineRule="auto"/>
        <w:ind w:firstLine="480" w:firstLineChars="200"/>
        <w:rPr>
          <w:rFonts w:ascii="宋体" w:hAnsi="宋体" w:cs="宋体"/>
          <w:color w:val="000000"/>
          <w:sz w:val="24"/>
        </w:rPr>
      </w:pPr>
    </w:p>
    <w:p>
      <w:pPr>
        <w:spacing w:before="72" w:after="72" w:line="360" w:lineRule="auto"/>
        <w:ind w:firstLine="480" w:firstLineChars="200"/>
        <w:rPr>
          <w:rFonts w:ascii="宋体" w:hAnsi="宋体" w:cs="宋体"/>
          <w:color w:val="000000"/>
          <w:sz w:val="24"/>
        </w:rPr>
      </w:pPr>
    </w:p>
    <w:p>
      <w:pPr>
        <w:pStyle w:val="22"/>
        <w:spacing w:before="72" w:after="72" w:line="360" w:lineRule="auto"/>
        <w:rPr>
          <w:rFonts w:hAnsi="宋体" w:cs="宋体"/>
          <w:b/>
          <w:color w:val="000000"/>
          <w:sz w:val="24"/>
        </w:rPr>
      </w:pPr>
      <w:r>
        <w:rPr>
          <w:rFonts w:hint="eastAsia" w:hAnsi="宋体" w:cs="宋体"/>
          <w:b/>
          <w:color w:val="000000"/>
          <w:sz w:val="24"/>
        </w:rPr>
        <w:t>附法人身份证粘贴处（正反面）</w:t>
      </w:r>
    </w:p>
    <w:p>
      <w:pPr>
        <w:spacing w:before="72" w:after="72" w:line="360" w:lineRule="auto"/>
        <w:rPr>
          <w:rFonts w:ascii="宋体" w:hAnsi="宋体" w:cs="宋体"/>
          <w:b/>
          <w:bCs/>
          <w:color w:val="000000"/>
          <w:sz w:val="24"/>
        </w:rPr>
      </w:pPr>
      <w:r>
        <w:rPr>
          <w:rFonts w:ascii="宋体" w:hAnsi="宋体" w:cs="宋体"/>
          <w:b/>
          <w:bCs/>
          <w:color w:val="000000"/>
          <w:sz w:val="24"/>
        </w:rPr>
        <mc:AlternateContent>
          <mc:Choice Requires="wps">
            <w:drawing>
              <wp:anchor distT="0" distB="0" distL="114300" distR="114300" simplePos="0" relativeHeight="251660288" behindDoc="0" locked="0" layoutInCell="1" allowOverlap="1">
                <wp:simplePos x="0" y="0"/>
                <wp:positionH relativeFrom="column">
                  <wp:posOffset>2647950</wp:posOffset>
                </wp:positionH>
                <wp:positionV relativeFrom="paragraph">
                  <wp:posOffset>62865</wp:posOffset>
                </wp:positionV>
                <wp:extent cx="2628900" cy="1755140"/>
                <wp:effectExtent l="4445" t="4445" r="14605" b="12065"/>
                <wp:wrapNone/>
                <wp:docPr id="3" name="矩形 8"/>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wrap="square" upright="1"/>
                    </wps:wsp>
                  </a:graphicData>
                </a:graphic>
              </wp:anchor>
            </w:drawing>
          </mc:Choice>
          <mc:Fallback>
            <w:pict>
              <v:rect id="矩形 8" o:spid="_x0000_s1026" o:spt="1" style="position:absolute;left:0pt;margin-left:208.5pt;margin-top:4.95pt;height:138.2pt;width:207pt;z-index:251660288;mso-width-relative:page;mso-height-relative:page;" fillcolor="#FFFFFF" filled="t" stroked="t" coordsize="21600,21600" o:gfxdata="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Sn+mjXAAAACQEAAA8AAAAAAAAAAQAgAAAAIgAAAGRycy9kb3ducmV2LnhtbFBLAQIU&#10;ABQAAAAIAIdO4kDcHGtI9AEAAOoDAAAOAAAAAAAAAAEAIAAAACYBAABkcnMvZTJvRG9jLnhtbFBL&#10;BQYAAAAABgAGAFkBAACMBQ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r>
        <w:rPr>
          <w:rFonts w:ascii="宋体" w:hAnsi="宋体" w:cs="宋体"/>
          <w:b/>
          <w:bCs/>
          <w:color w:val="000000"/>
          <w:sz w:val="24"/>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39370</wp:posOffset>
                </wp:positionV>
                <wp:extent cx="2628900" cy="1755140"/>
                <wp:effectExtent l="4445" t="4445" r="14605" b="12065"/>
                <wp:wrapNone/>
                <wp:docPr id="4" name="矩形 9"/>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wrap="square" upright="1"/>
                    </wps:wsp>
                  </a:graphicData>
                </a:graphic>
              </wp:anchor>
            </w:drawing>
          </mc:Choice>
          <mc:Fallback>
            <w:pict>
              <v:rect id="矩形 9" o:spid="_x0000_s1026" o:spt="1" style="position:absolute;left:0pt;margin-left:-32.25pt;margin-top:3.1pt;height:138.2pt;width:207pt;z-index:251661312;mso-width-relative:page;mso-height-relative:page;" fillcolor="#FFFFFF" filled="t" stroked="t" coordsize="21600,21600" o:gfxdata="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Y0OvXAAAACQEAAA8AAAAAAAAAAQAgAAAAIgAAAGRycy9kb3ducmV2LnhtbFBLAQIU&#10;ABQAAAAIAIdO4kA+aD/O9AEAAOoDAAAOAAAAAAAAAAEAIAAAACYBAABkcnMvZTJvRG9jLnhtbFBL&#10;BQYAAAAABgAGAFkBAACMBQAAAAA=&#10;">
                <v:fill on="t" focussize="0,0"/>
                <v:stroke color="#000000" joinstyle="miter"/>
                <v:imagedata o:title=""/>
                <o:lock v:ext="edit" aspectratio="f"/>
                <v:textbox>
                  <w:txbxContent>
                    <w:p>
                      <w:pPr>
                        <w:spacing w:before="72" w:after="72"/>
                        <w:jc w:val="center"/>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tabs>
          <w:tab w:val="left" w:pos="0"/>
        </w:tabs>
        <w:spacing w:before="72" w:after="72" w:line="360" w:lineRule="auto"/>
        <w:ind w:left="420"/>
        <w:jc w:val="center"/>
        <w:rPr>
          <w:rFonts w:ascii="宋体" w:hAnsi="宋体" w:cs="宋体"/>
          <w:b/>
          <w:color w:val="000000"/>
          <w:kern w:val="44"/>
          <w:sz w:val="30"/>
          <w:szCs w:val="30"/>
        </w:rPr>
      </w:pPr>
      <w:bookmarkStart w:id="490" w:name="_Toc417738414"/>
      <w:bookmarkStart w:id="491" w:name="_Toc381489428"/>
      <w:bookmarkStart w:id="492" w:name="_Toc414383247"/>
      <w:bookmarkStart w:id="493" w:name="_Toc413372470"/>
      <w:bookmarkStart w:id="494" w:name="_Toc413404716"/>
      <w:bookmarkStart w:id="495" w:name="_Toc415494949"/>
      <w:bookmarkStart w:id="496" w:name="_Toc414383032"/>
      <w:bookmarkStart w:id="497" w:name="_Toc413373063"/>
      <w:bookmarkStart w:id="498" w:name="_Toc415496511"/>
      <w:r>
        <w:rPr>
          <w:rFonts w:ascii="宋体" w:hAnsi="宋体" w:cs="宋体"/>
          <w:b/>
          <w:bCs/>
          <w:color w:val="000000"/>
          <w:sz w:val="24"/>
        </w:rPr>
        <w:br w:type="page"/>
      </w:r>
      <w:r>
        <w:rPr>
          <w:rFonts w:hint="eastAsia" w:ascii="宋体" w:hAnsi="宋体" w:cs="宋体"/>
          <w:b/>
          <w:color w:val="000000"/>
          <w:kern w:val="44"/>
          <w:sz w:val="30"/>
          <w:szCs w:val="30"/>
        </w:rPr>
        <w:t>法定代表人授权委托书</w:t>
      </w:r>
      <w:bookmarkEnd w:id="490"/>
      <w:bookmarkEnd w:id="491"/>
      <w:bookmarkEnd w:id="492"/>
      <w:bookmarkEnd w:id="493"/>
      <w:bookmarkEnd w:id="494"/>
      <w:bookmarkEnd w:id="495"/>
      <w:bookmarkEnd w:id="496"/>
      <w:bookmarkEnd w:id="497"/>
      <w:bookmarkEnd w:id="498"/>
    </w:p>
    <w:p>
      <w:pPr>
        <w:spacing w:before="120" w:beforeLines="50" w:after="120" w:afterLines="50" w:line="360" w:lineRule="auto"/>
        <w:rPr>
          <w:rFonts w:ascii="宋体" w:hAnsi="宋体" w:cs="宋体"/>
          <w:b/>
          <w:color w:val="000000"/>
          <w:sz w:val="24"/>
        </w:rPr>
      </w:pPr>
      <w:r>
        <w:rPr>
          <w:rFonts w:hint="eastAsia" w:ascii="宋体" w:hAnsi="宋体" w:cs="宋体"/>
          <w:b/>
          <w:color w:val="000000"/>
          <w:sz w:val="24"/>
        </w:rPr>
        <w:t>致：广东重工建设监理有限公司</w:t>
      </w:r>
    </w:p>
    <w:p>
      <w:pPr>
        <w:pStyle w:val="22"/>
        <w:spacing w:before="72" w:after="72" w:line="360" w:lineRule="auto"/>
        <w:ind w:firstLine="420"/>
        <w:rPr>
          <w:rFonts w:hAnsi="宋体" w:cs="宋体"/>
          <w:color w:val="000000"/>
          <w:sz w:val="24"/>
        </w:rPr>
      </w:pPr>
      <w:r>
        <w:rPr>
          <w:rFonts w:hint="eastAsia" w:hAnsi="宋体" w:cs="宋体"/>
          <w:color w:val="000000"/>
          <w:sz w:val="24"/>
        </w:rPr>
        <w:t>我</w:t>
      </w:r>
      <w:r>
        <w:rPr>
          <w:rFonts w:hint="eastAsia" w:hAnsi="宋体" w:cs="宋体"/>
          <w:color w:val="000000"/>
          <w:sz w:val="24"/>
          <w:u w:val="single"/>
        </w:rPr>
        <w:t>　　   　　</w:t>
      </w:r>
      <w:r>
        <w:rPr>
          <w:rFonts w:hint="eastAsia" w:hAnsi="宋体" w:cs="宋体"/>
          <w:color w:val="000000"/>
          <w:sz w:val="24"/>
        </w:rPr>
        <w:t>（姓名）系</w:t>
      </w:r>
      <w:r>
        <w:rPr>
          <w:rFonts w:hint="eastAsia" w:hAnsi="宋体" w:cs="宋体"/>
          <w:color w:val="000000"/>
          <w:sz w:val="24"/>
          <w:u w:val="single"/>
        </w:rPr>
        <w:t>　　  　　　　</w:t>
      </w:r>
      <w:r>
        <w:rPr>
          <w:rFonts w:hint="eastAsia" w:hAnsi="宋体" w:cs="宋体"/>
          <w:color w:val="000000"/>
          <w:sz w:val="24"/>
        </w:rPr>
        <w:t>（报价供应商名称）的法定代表人，现授权委托</w:t>
      </w:r>
      <w:r>
        <w:rPr>
          <w:rFonts w:hint="eastAsia" w:hAnsi="宋体" w:cs="宋体"/>
          <w:color w:val="000000"/>
          <w:sz w:val="24"/>
          <w:u w:val="single"/>
        </w:rPr>
        <w:t>　　　  　　　　　   　　　</w:t>
      </w:r>
      <w:r>
        <w:rPr>
          <w:rFonts w:hint="eastAsia" w:hAnsi="宋体" w:cs="宋体"/>
          <w:color w:val="000000"/>
          <w:sz w:val="24"/>
        </w:rPr>
        <w:t>（被授权人姓名、职务）为我公司授权代表，以本公司的名义参加</w:t>
      </w:r>
      <w:r>
        <w:rPr>
          <w:rFonts w:hint="eastAsia" w:hAnsi="宋体" w:cs="宋体"/>
          <w:color w:val="000000"/>
          <w:sz w:val="24"/>
          <w:u w:val="single"/>
          <w:lang w:val="zh-CN"/>
        </w:rPr>
        <w:t>（项目名称、项目编号）</w:t>
      </w:r>
      <w:r>
        <w:rPr>
          <w:rFonts w:hint="eastAsia" w:hAnsi="宋体" w:cs="宋体"/>
          <w:color w:val="000000"/>
          <w:sz w:val="24"/>
        </w:rPr>
        <w:t>的报价活动以及处理与之有关的一切事务。</w:t>
      </w:r>
    </w:p>
    <w:p>
      <w:pPr>
        <w:pStyle w:val="22"/>
        <w:spacing w:before="72" w:after="72" w:line="360" w:lineRule="auto"/>
        <w:ind w:firstLine="420"/>
        <w:rPr>
          <w:rFonts w:hAnsi="宋体" w:cs="宋体"/>
          <w:color w:val="000000"/>
          <w:sz w:val="24"/>
        </w:rPr>
      </w:pPr>
      <w:r>
        <w:rPr>
          <w:rFonts w:hint="eastAsia" w:hAnsi="宋体" w:cs="宋体"/>
          <w:color w:val="000000"/>
          <w:sz w:val="24"/>
        </w:rPr>
        <w:t>本授权委托书自法定代表人签字或盖章之日起生效，被授权人</w:t>
      </w:r>
      <w:r>
        <w:rPr>
          <w:rFonts w:hint="eastAsia" w:hAnsi="宋体" w:cs="宋体"/>
          <w:color w:val="000000"/>
          <w:sz w:val="24"/>
          <w:u w:val="single"/>
        </w:rPr>
        <w:t>（报价供应商授权代表）</w:t>
      </w:r>
      <w:r>
        <w:rPr>
          <w:rFonts w:hint="eastAsia" w:hAnsi="宋体" w:cs="宋体"/>
          <w:color w:val="000000"/>
          <w:sz w:val="24"/>
        </w:rPr>
        <w:t>无转委托权限。</w:t>
      </w:r>
    </w:p>
    <w:p>
      <w:pPr>
        <w:pStyle w:val="22"/>
        <w:spacing w:before="72" w:after="72" w:line="360" w:lineRule="auto"/>
        <w:ind w:firstLine="420"/>
        <w:rPr>
          <w:rFonts w:hAnsi="宋体" w:cs="宋体"/>
          <w:color w:val="000000"/>
          <w:sz w:val="24"/>
        </w:rPr>
      </w:pPr>
    </w:p>
    <w:p>
      <w:pPr>
        <w:pStyle w:val="22"/>
        <w:spacing w:before="72" w:after="72" w:line="360" w:lineRule="auto"/>
        <w:rPr>
          <w:rFonts w:hAnsi="宋体" w:cs="宋体"/>
          <w:color w:val="000000"/>
          <w:sz w:val="24"/>
        </w:rPr>
      </w:pPr>
    </w:p>
    <w:p>
      <w:pPr>
        <w:adjustRightInd w:val="0"/>
        <w:snapToGrid w:val="0"/>
        <w:spacing w:before="72" w:after="72" w:line="480" w:lineRule="auto"/>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rPr>
          <w:rFonts w:ascii="宋体" w:hAnsi="宋体" w:cs="宋体"/>
          <w:color w:val="000000"/>
          <w:sz w:val="24"/>
          <w:u w:val="single"/>
        </w:rPr>
      </w:pPr>
      <w:r>
        <w:rPr>
          <w:rFonts w:hint="eastAsia" w:ascii="宋体" w:hAnsi="宋体" w:cs="宋体"/>
          <w:color w:val="000000"/>
          <w:sz w:val="24"/>
        </w:rPr>
        <w:t>报价供应商法定代表人（签字或签章）：</w:t>
      </w:r>
    </w:p>
    <w:p>
      <w:pPr>
        <w:pStyle w:val="22"/>
        <w:spacing w:before="72" w:after="72" w:line="360" w:lineRule="auto"/>
        <w:rPr>
          <w:rFonts w:hAnsi="宋体" w:cs="宋体"/>
          <w:color w:val="000000"/>
          <w:sz w:val="24"/>
        </w:rPr>
      </w:pPr>
      <w:r>
        <w:rPr>
          <w:rFonts w:hint="eastAsia" w:hAnsi="宋体" w:cs="宋体"/>
          <w:color w:val="000000"/>
          <w:sz w:val="24"/>
        </w:rPr>
        <w:t>签发日期：   年   月   日</w:t>
      </w:r>
    </w:p>
    <w:p>
      <w:pPr>
        <w:pStyle w:val="22"/>
        <w:spacing w:before="72" w:after="72" w:line="360" w:lineRule="auto"/>
        <w:rPr>
          <w:rFonts w:hAnsi="宋体" w:cs="宋体"/>
          <w:color w:val="000000"/>
          <w:sz w:val="24"/>
        </w:rPr>
      </w:pPr>
      <w:r>
        <w:rPr>
          <w:rFonts w:hAnsi="宋体" w:cs="宋体"/>
          <w:b/>
          <w:bCs/>
          <w:color w:val="000000"/>
          <w:sz w:val="24"/>
        </w:rPr>
        <mc:AlternateContent>
          <mc:Choice Requires="wps">
            <w:drawing>
              <wp:anchor distT="0" distB="0" distL="114300" distR="114300" simplePos="0" relativeHeight="251658240" behindDoc="0" locked="0" layoutInCell="1" allowOverlap="1">
                <wp:simplePos x="0" y="0"/>
                <wp:positionH relativeFrom="column">
                  <wp:posOffset>2800350</wp:posOffset>
                </wp:positionH>
                <wp:positionV relativeFrom="paragraph">
                  <wp:posOffset>300990</wp:posOffset>
                </wp:positionV>
                <wp:extent cx="2628900" cy="1755140"/>
                <wp:effectExtent l="4445" t="4445" r="14605" b="12065"/>
                <wp:wrapNone/>
                <wp:docPr id="1"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wrap="square" upright="1"/>
                    </wps:wsp>
                  </a:graphicData>
                </a:graphic>
              </wp:anchor>
            </w:drawing>
          </mc:Choice>
          <mc:Fallback>
            <w:pict>
              <v:rect id="Rectangle 103" o:spid="_x0000_s1026" o:spt="1" style="position:absolute;left:0pt;margin-left:220.5pt;margin-top:23.7pt;height:138.2pt;width:207pt;z-index:251658240;mso-width-relative:page;mso-height-relative:page;" fillcolor="#FFFFFF" filled="t" stroked="t" coordsize="21600,21600" o:gfxdata="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Bg3G9kAAAAKAQAADwAAAAAAAAABACAAAAAiAAAAZHJzL2Rvd25yZXYueG1sUEsBAhQAFAAAAAgA&#10;h07iQMC8H8frAQAA7wMAAA4AAAAAAAAAAQAgAAAAKAEAAGRycy9lMm9Eb2MueG1sUEsFBgAAAAAG&#10;AAYAWQEAAIUFAAAAAA==&#10;">
                <v:fill on="t" focussize="0,0"/>
                <v:stroke color="#000000" joinstyle="miter"/>
                <v:imagedata o:title=""/>
                <o:lock v:ext="edit" aspectratio="f"/>
                <v:textbox>
                  <w:txbxContent>
                    <w:p>
                      <w:pPr>
                        <w:spacing w:before="72" w:after="72"/>
                        <w:rPr>
                          <w:rFonts w:eastAsia="黑体"/>
                          <w:b/>
                          <w:sz w:val="30"/>
                        </w:rPr>
                      </w:pPr>
                    </w:p>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r>
        <w:rPr>
          <w:rFonts w:hAnsi="宋体" w:cs="宋体"/>
          <w:b/>
          <w:bCs/>
          <w:color w:val="000000"/>
          <w:sz w:val="24"/>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277495</wp:posOffset>
                </wp:positionV>
                <wp:extent cx="2628900" cy="1755140"/>
                <wp:effectExtent l="4445" t="4445" r="14605" b="12065"/>
                <wp:wrapNone/>
                <wp:docPr id="2" name="Rectangle 10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wrap="square" upright="1"/>
                    </wps:wsp>
                  </a:graphicData>
                </a:graphic>
              </wp:anchor>
            </w:drawing>
          </mc:Choice>
          <mc:Fallback>
            <w:pict>
              <v:rect id="Rectangle 104" o:spid="_x0000_s1026" o:spt="1" style="position:absolute;left:0pt;margin-left:-19.5pt;margin-top:21.85pt;height:138.2pt;width:207pt;z-index:251659264;mso-width-relative:page;mso-height-relative:page;" fillcolor="#FFFFFF" filled="t" stroked="t" coordsize="21600,21600" o:gfxdata="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BjZnNkAAAAKAQAADwAAAAAAAAABACAAAAAiAAAAZHJzL2Rvd25yZXYueG1sUEsBAhQAFAAAAAgA&#10;h07iQKtPVKnrAQAA7wMAAA4AAAAAAAAAAQAgAAAAKAEAAGRycy9lMm9Eb2MueG1sUEsFBgAAAAAG&#10;AAYAWQEAAIUFA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p>
      <w:pPr>
        <w:spacing w:before="72" w:after="72" w:line="360" w:lineRule="auto"/>
        <w:rPr>
          <w:rFonts w:ascii="宋体" w:hAnsi="宋体" w:cs="宋体"/>
          <w:b/>
          <w:bCs/>
          <w:color w:val="000000"/>
          <w:sz w:val="24"/>
        </w:rPr>
      </w:pPr>
    </w:p>
    <w:bookmarkEnd w:id="485"/>
    <w:bookmarkEnd w:id="486"/>
    <w:bookmarkEnd w:id="487"/>
    <w:p>
      <w:pPr>
        <w:pStyle w:val="4"/>
        <w:numPr>
          <w:ilvl w:val="0"/>
          <w:numId w:val="106"/>
        </w:numPr>
        <w:jc w:val="center"/>
        <w:rPr>
          <w:color w:val="000000"/>
        </w:rPr>
      </w:pPr>
      <w:bookmarkStart w:id="499" w:name="_Toc583"/>
      <w:bookmarkStart w:id="500" w:name="_Toc423021970"/>
      <w:bookmarkStart w:id="501" w:name="_Toc19026"/>
      <w:bookmarkStart w:id="502" w:name="_Toc196294634"/>
      <w:r>
        <w:rPr>
          <w:color w:val="000000"/>
        </w:rPr>
        <w:br w:type="page"/>
      </w:r>
      <w:bookmarkStart w:id="503" w:name="_Toc86851555"/>
      <w:r>
        <w:rPr>
          <w:rFonts w:hint="eastAsia"/>
          <w:color w:val="000000"/>
        </w:rPr>
        <w:t>招标代理服务费支付承诺书</w:t>
      </w:r>
      <w:bookmarkEnd w:id="499"/>
      <w:bookmarkEnd w:id="500"/>
      <w:bookmarkEnd w:id="501"/>
      <w:bookmarkEnd w:id="503"/>
    </w:p>
    <w:p>
      <w:pPr>
        <w:spacing w:before="120" w:beforeLines="50" w:after="120" w:afterLines="50" w:line="360" w:lineRule="auto"/>
        <w:rPr>
          <w:rFonts w:ascii="宋体" w:hAnsi="宋体" w:cs="宋体"/>
          <w:b/>
          <w:bCs/>
          <w:color w:val="000000"/>
          <w:sz w:val="24"/>
        </w:rPr>
      </w:pPr>
      <w:r>
        <w:rPr>
          <w:rFonts w:hint="eastAsia" w:ascii="宋体" w:hAnsi="宋体" w:cs="宋体"/>
          <w:b/>
          <w:bCs/>
          <w:color w:val="000000"/>
          <w:sz w:val="24"/>
        </w:rPr>
        <w:t>致：广东重工建设监理有限公司</w:t>
      </w:r>
    </w:p>
    <w:p>
      <w:pPr>
        <w:spacing w:before="72" w:after="72" w:line="360" w:lineRule="auto"/>
        <w:ind w:firstLine="480" w:firstLineChars="200"/>
        <w:rPr>
          <w:rFonts w:ascii="宋体" w:hAnsi="宋体" w:cs="宋体"/>
          <w:color w:val="000000"/>
          <w:sz w:val="24"/>
        </w:rPr>
      </w:pPr>
      <w:r>
        <w:rPr>
          <w:rFonts w:hint="eastAsia" w:ascii="宋体" w:hAnsi="宋体" w:cs="宋体"/>
          <w:color w:val="000000"/>
          <w:sz w:val="24"/>
        </w:rPr>
        <w:t>本公司</w:t>
      </w:r>
      <w:r>
        <w:rPr>
          <w:rFonts w:hint="eastAsia" w:ascii="宋体" w:hAnsi="宋体" w:cs="宋体"/>
          <w:color w:val="000000"/>
          <w:sz w:val="24"/>
          <w:u w:val="single"/>
        </w:rPr>
        <w:t xml:space="preserve">     (报价供应商全称)   </w:t>
      </w:r>
      <w:r>
        <w:rPr>
          <w:rFonts w:hint="eastAsia" w:ascii="宋体" w:hAnsi="宋体" w:cs="宋体"/>
          <w:color w:val="000000"/>
          <w:sz w:val="24"/>
        </w:rPr>
        <w:t>在参加贵公司举行的</w:t>
      </w:r>
      <w:r>
        <w:rPr>
          <w:rFonts w:hint="eastAsia" w:ascii="宋体" w:hAnsi="宋体" w:cs="宋体"/>
          <w:color w:val="000000"/>
          <w:sz w:val="24"/>
          <w:u w:val="single"/>
        </w:rPr>
        <w:t>（项目名称）(项目编号： )</w:t>
      </w:r>
      <w:r>
        <w:rPr>
          <w:rFonts w:hint="eastAsia" w:ascii="宋体" w:hAnsi="宋体" w:cs="宋体"/>
          <w:color w:val="000000"/>
          <w:sz w:val="24"/>
        </w:rPr>
        <w:t>报价中如获成交,保证在贵公司发出的成交通知书的前，向贵公司交纳招标代理服务费。</w:t>
      </w:r>
    </w:p>
    <w:p>
      <w:pPr>
        <w:spacing w:before="72" w:after="72" w:line="360" w:lineRule="auto"/>
        <w:ind w:firstLine="480" w:firstLineChars="200"/>
        <w:rPr>
          <w:rFonts w:ascii="宋体" w:hAnsi="宋体" w:cs="宋体"/>
          <w:color w:val="000000"/>
          <w:sz w:val="24"/>
        </w:rPr>
      </w:pPr>
      <w:r>
        <w:rPr>
          <w:rFonts w:hint="eastAsia" w:ascii="宋体" w:hAnsi="宋体" w:cs="宋体"/>
          <w:color w:val="000000"/>
          <w:sz w:val="24"/>
        </w:rPr>
        <w:t>如我公司违反上述承诺，愿意承担由此引起的全部法律责任。</w:t>
      </w:r>
    </w:p>
    <w:p>
      <w:pPr>
        <w:spacing w:before="72" w:after="72" w:line="360" w:lineRule="auto"/>
        <w:ind w:firstLine="544" w:firstLineChars="227"/>
        <w:rPr>
          <w:rFonts w:ascii="宋体" w:hAnsi="宋体" w:cs="宋体"/>
          <w:color w:val="000000"/>
          <w:sz w:val="24"/>
        </w:rPr>
      </w:pPr>
      <w:r>
        <w:rPr>
          <w:rFonts w:hint="eastAsia" w:ascii="宋体" w:hAnsi="宋体" w:cs="宋体"/>
          <w:color w:val="000000"/>
          <w:sz w:val="24"/>
        </w:rPr>
        <w:t>特此承诺。</w:t>
      </w:r>
    </w:p>
    <w:p>
      <w:pPr>
        <w:spacing w:before="72" w:after="72" w:line="360" w:lineRule="auto"/>
        <w:ind w:left="315"/>
        <w:rPr>
          <w:rFonts w:ascii="宋体" w:hAnsi="宋体" w:cs="宋体"/>
          <w:color w:val="000000"/>
          <w:sz w:val="24"/>
        </w:rPr>
      </w:pPr>
    </w:p>
    <w:p>
      <w:pPr>
        <w:spacing w:before="72" w:after="72" w:line="360" w:lineRule="auto"/>
        <w:ind w:left="315"/>
        <w:rPr>
          <w:rFonts w:ascii="宋体" w:hAnsi="宋体" w:cs="宋体"/>
          <w:color w:val="000000"/>
          <w:sz w:val="24"/>
        </w:rPr>
      </w:pPr>
    </w:p>
    <w:p>
      <w:pPr>
        <w:spacing w:before="72" w:after="72" w:line="360" w:lineRule="auto"/>
        <w:ind w:left="315"/>
        <w:rPr>
          <w:rFonts w:ascii="宋体" w:hAnsi="宋体" w:cs="宋体"/>
          <w:color w:val="000000"/>
          <w:sz w:val="24"/>
        </w:rPr>
      </w:pP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eastAsia="仿宋_GB2312"/>
          <w:b/>
          <w:color w:val="000000"/>
          <w:sz w:val="24"/>
        </w:rPr>
      </w:pPr>
      <w:r>
        <w:rPr>
          <w:rFonts w:hint="eastAsia" w:ascii="宋体" w:hAnsi="宋体" w:cs="宋体"/>
          <w:color w:val="000000"/>
          <w:sz w:val="24"/>
        </w:rPr>
        <w:t>日期：   年   月   日</w:t>
      </w:r>
    </w:p>
    <w:p>
      <w:pPr>
        <w:pStyle w:val="4"/>
        <w:numPr>
          <w:ilvl w:val="0"/>
          <w:numId w:val="106"/>
        </w:numPr>
        <w:jc w:val="center"/>
        <w:rPr>
          <w:color w:val="000000"/>
        </w:rPr>
      </w:pPr>
      <w:r>
        <w:rPr>
          <w:rFonts w:ascii="宋体" w:hAnsi="宋体" w:cs="宋体"/>
          <w:color w:val="000000"/>
          <w:sz w:val="24"/>
        </w:rPr>
        <w:br w:type="page"/>
      </w:r>
      <w:bookmarkStart w:id="504" w:name="_Toc18392"/>
      <w:bookmarkStart w:id="505" w:name="_Toc86851556"/>
      <w:r>
        <w:rPr>
          <w:rFonts w:hint="eastAsia"/>
          <w:color w:val="000000"/>
        </w:rPr>
        <w:t>报价供应商概况</w:t>
      </w:r>
      <w:bookmarkEnd w:id="504"/>
      <w:bookmarkEnd w:id="505"/>
    </w:p>
    <w:bookmarkEnd w:id="502"/>
    <w:p>
      <w:pPr>
        <w:tabs>
          <w:tab w:val="left" w:pos="0"/>
        </w:tabs>
        <w:adjustRightInd w:val="0"/>
        <w:snapToGrid w:val="0"/>
        <w:spacing w:line="360" w:lineRule="auto"/>
        <w:ind w:left="420"/>
        <w:jc w:val="center"/>
        <w:rPr>
          <w:rFonts w:ascii="宋体" w:hAnsi="宋体" w:cs="宋体"/>
          <w:b/>
          <w:color w:val="000000"/>
          <w:kern w:val="44"/>
          <w:sz w:val="30"/>
          <w:szCs w:val="30"/>
        </w:rPr>
      </w:pPr>
      <w:r>
        <w:rPr>
          <w:rFonts w:hint="eastAsia" w:ascii="宋体" w:hAnsi="宋体" w:cs="宋体"/>
          <w:b/>
          <w:color w:val="000000"/>
          <w:kern w:val="44"/>
          <w:sz w:val="30"/>
          <w:szCs w:val="30"/>
        </w:rPr>
        <w:t>报价供应商情况介绍表</w:t>
      </w:r>
    </w:p>
    <w:tbl>
      <w:tblPr>
        <w:tblStyle w:val="42"/>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30"/>
        <w:gridCol w:w="510"/>
        <w:gridCol w:w="945"/>
        <w:gridCol w:w="270"/>
        <w:gridCol w:w="975"/>
        <w:gridCol w:w="1623"/>
        <w:gridCol w:w="777"/>
        <w:gridCol w:w="16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单位名称</w:t>
            </w:r>
          </w:p>
        </w:tc>
        <w:tc>
          <w:tcPr>
            <w:tcW w:w="7710" w:type="dxa"/>
            <w:gridSpan w:val="9"/>
            <w:vAlign w:val="center"/>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地址</w:t>
            </w:r>
          </w:p>
        </w:tc>
        <w:tc>
          <w:tcPr>
            <w:tcW w:w="7710" w:type="dxa"/>
            <w:gridSpan w:val="9"/>
            <w:vAlign w:val="center"/>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主管部门</w:t>
            </w:r>
          </w:p>
        </w:tc>
        <w:tc>
          <w:tcPr>
            <w:tcW w:w="1740"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121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法人代表</w:t>
            </w:r>
          </w:p>
        </w:tc>
        <w:tc>
          <w:tcPr>
            <w:tcW w:w="2598"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777"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职务</w:t>
            </w:r>
          </w:p>
        </w:tc>
        <w:tc>
          <w:tcPr>
            <w:tcW w:w="1380"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经济类型</w:t>
            </w:r>
          </w:p>
        </w:tc>
        <w:tc>
          <w:tcPr>
            <w:tcW w:w="1740"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121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授权代表</w:t>
            </w:r>
          </w:p>
        </w:tc>
        <w:tc>
          <w:tcPr>
            <w:tcW w:w="2598"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777"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职务</w:t>
            </w:r>
          </w:p>
        </w:tc>
        <w:tc>
          <w:tcPr>
            <w:tcW w:w="1380"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邮编</w:t>
            </w:r>
          </w:p>
        </w:tc>
        <w:tc>
          <w:tcPr>
            <w:tcW w:w="1740"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121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电话</w:t>
            </w:r>
          </w:p>
        </w:tc>
        <w:tc>
          <w:tcPr>
            <w:tcW w:w="2598"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777"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传真</w:t>
            </w:r>
          </w:p>
        </w:tc>
        <w:tc>
          <w:tcPr>
            <w:tcW w:w="1380"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Align w:val="center"/>
          </w:tcPr>
          <w:p>
            <w:pPr>
              <w:tabs>
                <w:tab w:val="left" w:pos="540"/>
              </w:tabs>
              <w:ind w:left="-128" w:leftChars="-62" w:right="-105" w:rightChars="-50" w:hanging="2"/>
              <w:jc w:val="center"/>
              <w:rPr>
                <w:rFonts w:ascii="宋体" w:hAnsi="宋体" w:cs="宋体"/>
                <w:color w:val="000000"/>
                <w:sz w:val="24"/>
              </w:rPr>
            </w:pPr>
            <w:r>
              <w:rPr>
                <w:rFonts w:hint="eastAsia" w:ascii="宋体" w:hAnsi="宋体" w:cs="宋体"/>
                <w:color w:val="000000"/>
                <w:sz w:val="24"/>
              </w:rPr>
              <w:t>单位简介及机构设置</w:t>
            </w:r>
          </w:p>
        </w:tc>
        <w:tc>
          <w:tcPr>
            <w:tcW w:w="7710" w:type="dxa"/>
            <w:gridSpan w:val="9"/>
            <w:vAlign w:val="top"/>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111" w:type="dxa"/>
            <w:vAlign w:val="center"/>
          </w:tcPr>
          <w:p>
            <w:pPr>
              <w:tabs>
                <w:tab w:val="left" w:pos="540"/>
              </w:tabs>
              <w:ind w:left="-128" w:leftChars="-62" w:right="-105" w:rightChars="-50" w:hanging="2"/>
              <w:jc w:val="center"/>
              <w:rPr>
                <w:rFonts w:ascii="宋体" w:hAnsi="宋体" w:cs="宋体"/>
                <w:color w:val="000000"/>
                <w:sz w:val="24"/>
              </w:rPr>
            </w:pPr>
            <w:r>
              <w:rPr>
                <w:rFonts w:hint="eastAsia" w:ascii="宋体" w:hAnsi="宋体" w:cs="宋体"/>
                <w:color w:val="000000"/>
                <w:sz w:val="24"/>
              </w:rPr>
              <w:t>单位优势及特长</w:t>
            </w:r>
          </w:p>
        </w:tc>
        <w:tc>
          <w:tcPr>
            <w:tcW w:w="7710" w:type="dxa"/>
            <w:gridSpan w:val="9"/>
            <w:vAlign w:val="top"/>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restart"/>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单位概况</w:t>
            </w:r>
          </w:p>
        </w:tc>
        <w:tc>
          <w:tcPr>
            <w:tcW w:w="1230" w:type="dxa"/>
            <w:vAlign w:val="top"/>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注册资本</w:t>
            </w:r>
          </w:p>
        </w:tc>
        <w:tc>
          <w:tcPr>
            <w:tcW w:w="1455" w:type="dxa"/>
            <w:gridSpan w:val="2"/>
            <w:vAlign w:val="top"/>
          </w:tcPr>
          <w:p>
            <w:pPr>
              <w:tabs>
                <w:tab w:val="left" w:pos="540"/>
              </w:tabs>
              <w:spacing w:line="440" w:lineRule="exact"/>
              <w:ind w:left="-130" w:leftChars="-63" w:right="-105" w:rightChars="-50" w:hanging="2"/>
              <w:jc w:val="right"/>
              <w:rPr>
                <w:rFonts w:ascii="宋体" w:hAnsi="宋体" w:cs="宋体"/>
                <w:color w:val="000000"/>
                <w:sz w:val="24"/>
              </w:rPr>
            </w:pPr>
          </w:p>
        </w:tc>
        <w:tc>
          <w:tcPr>
            <w:tcW w:w="1245"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占地面积</w:t>
            </w:r>
          </w:p>
        </w:tc>
        <w:tc>
          <w:tcPr>
            <w:tcW w:w="3780" w:type="dxa"/>
            <w:gridSpan w:val="4"/>
            <w:vAlign w:val="top"/>
          </w:tcPr>
          <w:p>
            <w:pPr>
              <w:tabs>
                <w:tab w:val="left" w:pos="540"/>
              </w:tabs>
              <w:spacing w:line="440" w:lineRule="exact"/>
              <w:ind w:left="-132" w:leftChars="-63" w:right="-105" w:rightChars="-50" w:firstLine="3480" w:firstLineChars="145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30" w:type="dxa"/>
            <w:vAlign w:val="top"/>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职工总数</w:t>
            </w:r>
          </w:p>
        </w:tc>
        <w:tc>
          <w:tcPr>
            <w:tcW w:w="1455" w:type="dxa"/>
            <w:gridSpan w:val="2"/>
            <w:vAlign w:val="top"/>
          </w:tcPr>
          <w:p>
            <w:pPr>
              <w:tabs>
                <w:tab w:val="left" w:pos="540"/>
              </w:tabs>
              <w:spacing w:line="440" w:lineRule="exact"/>
              <w:ind w:left="-130" w:leftChars="-63" w:right="-105" w:rightChars="-50" w:hanging="2"/>
              <w:jc w:val="right"/>
              <w:rPr>
                <w:rFonts w:ascii="宋体" w:hAnsi="宋体" w:cs="宋体"/>
                <w:color w:val="000000"/>
                <w:sz w:val="24"/>
              </w:rPr>
            </w:pPr>
          </w:p>
        </w:tc>
        <w:tc>
          <w:tcPr>
            <w:tcW w:w="1245"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建筑面积</w:t>
            </w:r>
          </w:p>
        </w:tc>
        <w:tc>
          <w:tcPr>
            <w:tcW w:w="3780" w:type="dxa"/>
            <w:gridSpan w:val="4"/>
            <w:vAlign w:val="top"/>
          </w:tcPr>
          <w:p>
            <w:pPr>
              <w:tabs>
                <w:tab w:val="left" w:pos="540"/>
              </w:tabs>
              <w:spacing w:line="440" w:lineRule="exact"/>
              <w:ind w:left="-132" w:leftChars="-63" w:right="-105" w:rightChars="-50" w:firstLine="3480" w:firstLineChars="145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30" w:type="dxa"/>
            <w:vMerge w:val="restart"/>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资产情况</w:t>
            </w:r>
          </w:p>
        </w:tc>
        <w:tc>
          <w:tcPr>
            <w:tcW w:w="145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净资产</w:t>
            </w:r>
          </w:p>
        </w:tc>
        <w:tc>
          <w:tcPr>
            <w:tcW w:w="124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1623"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固定资产原值</w:t>
            </w:r>
          </w:p>
        </w:tc>
        <w:tc>
          <w:tcPr>
            <w:tcW w:w="2157" w:type="dxa"/>
            <w:gridSpan w:val="3"/>
            <w:vAlign w:val="center"/>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30" w:type="dxa"/>
            <w:vMerge w:val="continue"/>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145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负债</w:t>
            </w:r>
          </w:p>
        </w:tc>
        <w:tc>
          <w:tcPr>
            <w:tcW w:w="124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p>
        </w:tc>
        <w:tc>
          <w:tcPr>
            <w:tcW w:w="1623"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固定资产净值</w:t>
            </w:r>
          </w:p>
        </w:tc>
        <w:tc>
          <w:tcPr>
            <w:tcW w:w="2157" w:type="dxa"/>
            <w:gridSpan w:val="3"/>
            <w:vAlign w:val="center"/>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1" w:type="dxa"/>
            <w:vMerge w:val="restart"/>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财务状况</w:t>
            </w:r>
          </w:p>
        </w:tc>
        <w:tc>
          <w:tcPr>
            <w:tcW w:w="1230"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年度</w:t>
            </w:r>
          </w:p>
        </w:tc>
        <w:tc>
          <w:tcPr>
            <w:tcW w:w="145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主营收入</w:t>
            </w:r>
          </w:p>
        </w:tc>
        <w:tc>
          <w:tcPr>
            <w:tcW w:w="1245"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收入总额</w:t>
            </w:r>
          </w:p>
        </w:tc>
        <w:tc>
          <w:tcPr>
            <w:tcW w:w="1623"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利润总额</w:t>
            </w:r>
          </w:p>
        </w:tc>
        <w:tc>
          <w:tcPr>
            <w:tcW w:w="942" w:type="dxa"/>
            <w:gridSpan w:val="2"/>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净利润</w:t>
            </w:r>
          </w:p>
        </w:tc>
        <w:tc>
          <w:tcPr>
            <w:tcW w:w="1215" w:type="dxa"/>
            <w:vAlign w:val="center"/>
          </w:tcPr>
          <w:p>
            <w:pPr>
              <w:tabs>
                <w:tab w:val="left" w:pos="540"/>
              </w:tabs>
              <w:spacing w:line="440" w:lineRule="exact"/>
              <w:ind w:left="-130" w:leftChars="-63" w:right="-105" w:rightChars="-50" w:hanging="2"/>
              <w:jc w:val="center"/>
              <w:rPr>
                <w:rFonts w:ascii="宋体" w:hAnsi="宋体" w:cs="宋体"/>
                <w:color w:val="000000"/>
                <w:sz w:val="24"/>
              </w:rPr>
            </w:pPr>
            <w:r>
              <w:rPr>
                <w:rFonts w:hint="eastAsia" w:ascii="宋体" w:hAnsi="宋体" w:cs="宋体"/>
                <w:color w:val="00000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30" w:type="dxa"/>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455"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45"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623" w:type="dxa"/>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942"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15" w:type="dxa"/>
            <w:vAlign w:val="top"/>
          </w:tcPr>
          <w:p>
            <w:pPr>
              <w:tabs>
                <w:tab w:val="left" w:pos="540"/>
              </w:tabs>
              <w:spacing w:line="440" w:lineRule="exact"/>
              <w:ind w:left="-130" w:leftChars="-63" w:right="-105" w:rightChars="-50" w:hanging="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1" w:type="dxa"/>
            <w:vMerge w:val="continue"/>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30" w:type="dxa"/>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455"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45"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623" w:type="dxa"/>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942" w:type="dxa"/>
            <w:gridSpan w:val="2"/>
            <w:vAlign w:val="top"/>
          </w:tcPr>
          <w:p>
            <w:pPr>
              <w:tabs>
                <w:tab w:val="left" w:pos="540"/>
              </w:tabs>
              <w:spacing w:line="440" w:lineRule="exact"/>
              <w:ind w:left="-130" w:leftChars="-63" w:right="-105" w:rightChars="-50" w:hanging="2"/>
              <w:jc w:val="center"/>
              <w:rPr>
                <w:rFonts w:ascii="宋体" w:hAnsi="宋体" w:cs="宋体"/>
                <w:color w:val="000000"/>
                <w:sz w:val="24"/>
              </w:rPr>
            </w:pPr>
          </w:p>
        </w:tc>
        <w:tc>
          <w:tcPr>
            <w:tcW w:w="1215" w:type="dxa"/>
            <w:vAlign w:val="top"/>
          </w:tcPr>
          <w:p>
            <w:pPr>
              <w:tabs>
                <w:tab w:val="left" w:pos="540"/>
              </w:tabs>
              <w:spacing w:line="440" w:lineRule="exact"/>
              <w:ind w:left="-130" w:leftChars="-63" w:right="-105" w:rightChars="-50" w:hanging="2"/>
              <w:jc w:val="center"/>
              <w:rPr>
                <w:rFonts w:ascii="宋体" w:hAnsi="宋体" w:cs="宋体"/>
                <w:color w:val="000000"/>
                <w:sz w:val="24"/>
              </w:rPr>
            </w:pPr>
          </w:p>
        </w:tc>
      </w:tr>
    </w:tbl>
    <w:p>
      <w:pPr>
        <w:pStyle w:val="67"/>
        <w:spacing w:line="360" w:lineRule="auto"/>
        <w:ind w:left="960" w:hanging="960" w:hangingChars="400"/>
        <w:rPr>
          <w:rFonts w:ascii="宋体" w:hAnsi="宋体" w:cs="宋体"/>
          <w:bCs w:val="0"/>
          <w:color w:val="000000"/>
          <w:spacing w:val="0"/>
          <w:kern w:val="2"/>
          <w:szCs w:val="24"/>
        </w:rPr>
      </w:pPr>
      <w:r>
        <w:rPr>
          <w:rFonts w:hint="eastAsia" w:ascii="宋体" w:hAnsi="宋体" w:cs="宋体"/>
          <w:bCs w:val="0"/>
          <w:color w:val="000000"/>
          <w:spacing w:val="0"/>
          <w:kern w:val="2"/>
          <w:szCs w:val="24"/>
        </w:rPr>
        <w:t>注：</w:t>
      </w:r>
    </w:p>
    <w:p>
      <w:pPr>
        <w:pStyle w:val="67"/>
        <w:numPr>
          <w:ilvl w:val="0"/>
          <w:numId w:val="110"/>
        </w:numPr>
        <w:spacing w:line="360" w:lineRule="auto"/>
        <w:rPr>
          <w:rFonts w:ascii="宋体" w:hAnsi="宋体" w:cs="宋体"/>
          <w:bCs w:val="0"/>
          <w:color w:val="000000"/>
          <w:spacing w:val="0"/>
          <w:kern w:val="2"/>
          <w:szCs w:val="24"/>
        </w:rPr>
      </w:pPr>
      <w:r>
        <w:rPr>
          <w:rFonts w:hint="eastAsia" w:ascii="宋体" w:hAnsi="宋体" w:cs="宋体"/>
          <w:bCs w:val="0"/>
          <w:color w:val="000000"/>
          <w:spacing w:val="0"/>
          <w:kern w:val="2"/>
          <w:szCs w:val="24"/>
        </w:rPr>
        <w:t>上表内容可以采用文字描述（企业性质、发展历程、经营规模及服务理念、主营产品、技术力量等）或图片描述（经营场所、主要经营项目等）。</w:t>
      </w:r>
    </w:p>
    <w:p>
      <w:pPr>
        <w:pStyle w:val="67"/>
        <w:numPr>
          <w:ilvl w:val="0"/>
          <w:numId w:val="110"/>
        </w:numPr>
        <w:rPr>
          <w:rFonts w:ascii="宋体" w:hAnsi="宋体" w:cs="宋体"/>
          <w:bCs w:val="0"/>
          <w:color w:val="000000"/>
          <w:spacing w:val="0"/>
          <w:kern w:val="2"/>
          <w:szCs w:val="24"/>
        </w:rPr>
      </w:pPr>
      <w:r>
        <w:rPr>
          <w:rFonts w:hint="eastAsia" w:ascii="宋体" w:hAnsi="宋体" w:cs="宋体"/>
          <w:bCs w:val="0"/>
          <w:color w:val="000000"/>
          <w:spacing w:val="0"/>
          <w:kern w:val="2"/>
          <w:szCs w:val="24"/>
        </w:rPr>
        <w:t>如报价供应商此表数据有虚假，一经查实，自行承担相关责任。</w:t>
      </w:r>
    </w:p>
    <w:p>
      <w:pPr>
        <w:adjustRightInd w:val="0"/>
        <w:snapToGrid w:val="0"/>
        <w:spacing w:before="72" w:after="72" w:line="480" w:lineRule="auto"/>
        <w:ind w:firstLine="2520" w:firstLineChars="1050"/>
        <w:rPr>
          <w:rFonts w:hint="eastAsia" w:ascii="宋体" w:hAnsi="宋体" w:cs="宋体"/>
          <w:color w:val="000000"/>
          <w:sz w:val="24"/>
        </w:rPr>
      </w:pP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ascii="宋体" w:hAnsi="宋体" w:cs="宋体"/>
          <w:color w:val="000000"/>
          <w:sz w:val="24"/>
        </w:rPr>
      </w:pPr>
      <w:r>
        <w:rPr>
          <w:rFonts w:hint="eastAsia" w:ascii="宋体" w:hAnsi="宋体" w:cs="宋体"/>
          <w:color w:val="000000"/>
          <w:sz w:val="24"/>
        </w:rPr>
        <w:t>日期：   年   月   日</w:t>
      </w:r>
    </w:p>
    <w:p>
      <w:pPr>
        <w:spacing w:before="72" w:after="72" w:line="400" w:lineRule="exact"/>
        <w:ind w:firstLine="2520" w:firstLineChars="1050"/>
        <w:rPr>
          <w:rFonts w:hint="eastAsia" w:ascii="宋体" w:hAnsi="宋体" w:cs="宋体"/>
          <w:color w:val="000000"/>
          <w:sz w:val="24"/>
        </w:rPr>
      </w:pPr>
      <w:r>
        <w:rPr>
          <w:rFonts w:ascii="宋体" w:hAnsi="宋体" w:cs="宋体"/>
          <w:color w:val="000000"/>
          <w:sz w:val="24"/>
        </w:rPr>
        <w:br w:type="page"/>
      </w:r>
    </w:p>
    <w:p>
      <w:pPr>
        <w:tabs>
          <w:tab w:val="left" w:pos="0"/>
        </w:tabs>
        <w:spacing w:before="72" w:after="72" w:line="360" w:lineRule="auto"/>
        <w:ind w:left="420"/>
        <w:jc w:val="center"/>
        <w:rPr>
          <w:rFonts w:ascii="宋体" w:hAnsi="宋体" w:cs="宋体"/>
          <w:b/>
          <w:color w:val="000000"/>
          <w:kern w:val="44"/>
          <w:sz w:val="30"/>
          <w:szCs w:val="30"/>
        </w:rPr>
      </w:pPr>
      <w:r>
        <w:rPr>
          <w:rFonts w:hint="eastAsia" w:ascii="宋体" w:hAnsi="宋体" w:cs="宋体"/>
          <w:b/>
          <w:color w:val="000000"/>
          <w:kern w:val="44"/>
          <w:sz w:val="30"/>
          <w:szCs w:val="30"/>
        </w:rPr>
        <w:t>同类项目业绩</w:t>
      </w:r>
    </w:p>
    <w:tbl>
      <w:tblPr>
        <w:tblStyle w:val="42"/>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93" w:type="dxa"/>
            <w:shd w:val="clear" w:color="auto" w:fill="D7D7D7"/>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1872" w:type="dxa"/>
            <w:shd w:val="clear" w:color="auto" w:fill="D7D7D7"/>
            <w:vAlign w:val="center"/>
          </w:tcPr>
          <w:p>
            <w:pPr>
              <w:jc w:val="center"/>
              <w:rPr>
                <w:rFonts w:ascii="宋体" w:hAnsi="宋体" w:cs="宋体"/>
                <w:b/>
                <w:bCs/>
                <w:color w:val="000000"/>
                <w:sz w:val="24"/>
              </w:rPr>
            </w:pPr>
            <w:r>
              <w:rPr>
                <w:rFonts w:hint="eastAsia" w:ascii="宋体" w:hAnsi="宋体" w:cs="宋体"/>
                <w:b/>
                <w:bCs/>
                <w:color w:val="000000"/>
                <w:sz w:val="24"/>
              </w:rPr>
              <w:t>客户名称</w:t>
            </w:r>
          </w:p>
        </w:tc>
        <w:tc>
          <w:tcPr>
            <w:tcW w:w="2819" w:type="dxa"/>
            <w:shd w:val="clear" w:color="auto" w:fill="D7D7D7"/>
            <w:vAlign w:val="center"/>
          </w:tcPr>
          <w:p>
            <w:pPr>
              <w:rPr>
                <w:rFonts w:ascii="宋体" w:hAnsi="宋体" w:cs="宋体"/>
                <w:b/>
                <w:bCs/>
                <w:color w:val="000000"/>
                <w:sz w:val="24"/>
              </w:rPr>
            </w:pPr>
            <w:r>
              <w:rPr>
                <w:rFonts w:hint="eastAsia" w:ascii="宋体" w:hAnsi="宋体" w:cs="宋体"/>
                <w:b/>
                <w:bCs/>
                <w:color w:val="000000"/>
                <w:sz w:val="24"/>
              </w:rPr>
              <w:t>项目名称及合同金额</w:t>
            </w:r>
          </w:p>
        </w:tc>
        <w:tc>
          <w:tcPr>
            <w:tcW w:w="1236" w:type="dxa"/>
            <w:shd w:val="clear" w:color="auto" w:fill="D7D7D7"/>
            <w:vAlign w:val="center"/>
          </w:tcPr>
          <w:p>
            <w:pPr>
              <w:rPr>
                <w:rFonts w:ascii="宋体" w:hAnsi="宋体" w:cs="宋体"/>
                <w:b/>
                <w:bCs/>
                <w:color w:val="000000"/>
                <w:sz w:val="24"/>
              </w:rPr>
            </w:pPr>
            <w:r>
              <w:rPr>
                <w:rFonts w:hint="eastAsia" w:ascii="宋体" w:hAnsi="宋体" w:cs="宋体"/>
                <w:b/>
                <w:bCs/>
                <w:color w:val="000000"/>
                <w:sz w:val="24"/>
              </w:rPr>
              <w:t>完成时间</w:t>
            </w:r>
          </w:p>
        </w:tc>
        <w:tc>
          <w:tcPr>
            <w:tcW w:w="2237" w:type="dxa"/>
            <w:shd w:val="clear" w:color="auto" w:fill="D7D7D7"/>
            <w:vAlign w:val="center"/>
          </w:tcPr>
          <w:p>
            <w:pPr>
              <w:jc w:val="center"/>
              <w:rPr>
                <w:rFonts w:ascii="宋体" w:hAnsi="宋体" w:cs="宋体"/>
                <w:b/>
                <w:bCs/>
                <w:color w:val="000000"/>
                <w:sz w:val="24"/>
              </w:rPr>
            </w:pPr>
            <w:r>
              <w:rPr>
                <w:rFonts w:hint="eastAsia" w:ascii="宋体" w:hAnsi="宋体" w:cs="宋体"/>
                <w:b/>
                <w:bCs/>
                <w:color w:val="000000"/>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3"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872" w:type="dxa"/>
            <w:vAlign w:val="center"/>
          </w:tcPr>
          <w:p>
            <w:pPr>
              <w:jc w:val="center"/>
              <w:rPr>
                <w:rFonts w:ascii="宋体" w:hAnsi="宋体" w:cs="宋体"/>
                <w:color w:val="000000"/>
                <w:sz w:val="24"/>
              </w:rPr>
            </w:pPr>
          </w:p>
        </w:tc>
        <w:tc>
          <w:tcPr>
            <w:tcW w:w="2819" w:type="dxa"/>
            <w:vAlign w:val="center"/>
          </w:tcPr>
          <w:p>
            <w:pPr>
              <w:jc w:val="center"/>
              <w:rPr>
                <w:rFonts w:ascii="宋体" w:hAnsi="宋体" w:cs="宋体"/>
                <w:color w:val="000000"/>
                <w:sz w:val="24"/>
              </w:rPr>
            </w:pPr>
          </w:p>
        </w:tc>
        <w:tc>
          <w:tcPr>
            <w:tcW w:w="1236" w:type="dxa"/>
            <w:vAlign w:val="center"/>
          </w:tcPr>
          <w:p>
            <w:pPr>
              <w:jc w:val="center"/>
              <w:rPr>
                <w:rFonts w:ascii="宋体" w:hAnsi="宋体" w:cs="宋体"/>
                <w:color w:val="000000"/>
                <w:sz w:val="24"/>
              </w:rPr>
            </w:pPr>
          </w:p>
        </w:tc>
        <w:tc>
          <w:tcPr>
            <w:tcW w:w="2237"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3" w:type="dxa"/>
            <w:vAlign w:val="center"/>
          </w:tcPr>
          <w:p>
            <w:pPr>
              <w:jc w:val="center"/>
              <w:rPr>
                <w:rFonts w:ascii="宋体" w:hAnsi="宋体" w:cs="宋体"/>
                <w:color w:val="000000"/>
                <w:sz w:val="24"/>
              </w:rPr>
            </w:pPr>
            <w:r>
              <w:rPr>
                <w:rFonts w:hint="eastAsia" w:ascii="宋体" w:hAnsi="宋体" w:cs="宋体"/>
                <w:color w:val="000000"/>
                <w:sz w:val="24"/>
              </w:rPr>
              <w:t>2</w:t>
            </w:r>
          </w:p>
        </w:tc>
        <w:tc>
          <w:tcPr>
            <w:tcW w:w="1872" w:type="dxa"/>
            <w:vAlign w:val="center"/>
          </w:tcPr>
          <w:p>
            <w:pPr>
              <w:jc w:val="center"/>
              <w:rPr>
                <w:rFonts w:ascii="宋体" w:hAnsi="宋体" w:cs="宋体"/>
                <w:color w:val="000000"/>
                <w:sz w:val="24"/>
              </w:rPr>
            </w:pPr>
          </w:p>
        </w:tc>
        <w:tc>
          <w:tcPr>
            <w:tcW w:w="2819" w:type="dxa"/>
            <w:vAlign w:val="center"/>
          </w:tcPr>
          <w:p>
            <w:pPr>
              <w:jc w:val="center"/>
              <w:rPr>
                <w:rFonts w:ascii="宋体" w:hAnsi="宋体" w:cs="宋体"/>
                <w:color w:val="000000"/>
                <w:sz w:val="24"/>
              </w:rPr>
            </w:pPr>
          </w:p>
        </w:tc>
        <w:tc>
          <w:tcPr>
            <w:tcW w:w="1236" w:type="dxa"/>
            <w:vAlign w:val="center"/>
          </w:tcPr>
          <w:p>
            <w:pPr>
              <w:pStyle w:val="56"/>
              <w:rPr>
                <w:rFonts w:ascii="宋体" w:hAnsi="宋体" w:cs="宋体"/>
                <w:color w:val="000000"/>
                <w:sz w:val="24"/>
                <w:szCs w:val="24"/>
              </w:rPr>
            </w:pPr>
          </w:p>
        </w:tc>
        <w:tc>
          <w:tcPr>
            <w:tcW w:w="2237"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3" w:type="dxa"/>
            <w:vAlign w:val="center"/>
          </w:tcPr>
          <w:p>
            <w:pPr>
              <w:jc w:val="center"/>
              <w:rPr>
                <w:rFonts w:ascii="宋体" w:hAnsi="宋体" w:cs="宋体"/>
                <w:color w:val="000000"/>
                <w:sz w:val="24"/>
              </w:rPr>
            </w:pPr>
            <w:r>
              <w:rPr>
                <w:rFonts w:hint="eastAsia" w:ascii="宋体" w:hAnsi="宋体" w:cs="宋体"/>
                <w:color w:val="000000"/>
                <w:sz w:val="24"/>
              </w:rPr>
              <w:t>3</w:t>
            </w:r>
          </w:p>
        </w:tc>
        <w:tc>
          <w:tcPr>
            <w:tcW w:w="1872" w:type="dxa"/>
            <w:vAlign w:val="center"/>
          </w:tcPr>
          <w:p>
            <w:pPr>
              <w:jc w:val="center"/>
              <w:rPr>
                <w:rFonts w:ascii="宋体" w:hAnsi="宋体" w:cs="宋体"/>
                <w:color w:val="000000"/>
                <w:sz w:val="24"/>
              </w:rPr>
            </w:pPr>
          </w:p>
        </w:tc>
        <w:tc>
          <w:tcPr>
            <w:tcW w:w="2819" w:type="dxa"/>
            <w:vAlign w:val="center"/>
          </w:tcPr>
          <w:p>
            <w:pPr>
              <w:jc w:val="center"/>
              <w:rPr>
                <w:rFonts w:ascii="宋体" w:hAnsi="宋体" w:cs="宋体"/>
                <w:color w:val="000000"/>
                <w:sz w:val="24"/>
              </w:rPr>
            </w:pPr>
          </w:p>
        </w:tc>
        <w:tc>
          <w:tcPr>
            <w:tcW w:w="1236" w:type="dxa"/>
            <w:vAlign w:val="center"/>
          </w:tcPr>
          <w:p>
            <w:pPr>
              <w:jc w:val="center"/>
              <w:rPr>
                <w:rFonts w:ascii="宋体" w:hAnsi="宋体" w:cs="宋体"/>
                <w:color w:val="000000"/>
                <w:sz w:val="24"/>
              </w:rPr>
            </w:pPr>
          </w:p>
        </w:tc>
        <w:tc>
          <w:tcPr>
            <w:tcW w:w="2237"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93" w:type="dxa"/>
            <w:vAlign w:val="center"/>
          </w:tcPr>
          <w:p>
            <w:pPr>
              <w:jc w:val="center"/>
              <w:rPr>
                <w:rFonts w:ascii="宋体" w:hAnsi="宋体" w:cs="宋体"/>
                <w:color w:val="000000"/>
                <w:sz w:val="24"/>
              </w:rPr>
            </w:pPr>
            <w:r>
              <w:rPr>
                <w:rFonts w:hint="eastAsia" w:ascii="宋体" w:hAnsi="宋体" w:cs="宋体"/>
                <w:color w:val="000000"/>
                <w:sz w:val="24"/>
              </w:rPr>
              <w:t>…</w:t>
            </w:r>
          </w:p>
        </w:tc>
        <w:tc>
          <w:tcPr>
            <w:tcW w:w="1872" w:type="dxa"/>
            <w:vAlign w:val="center"/>
          </w:tcPr>
          <w:p>
            <w:pPr>
              <w:jc w:val="center"/>
              <w:rPr>
                <w:rFonts w:ascii="宋体" w:hAnsi="宋体" w:cs="宋体"/>
                <w:color w:val="000000"/>
                <w:sz w:val="24"/>
              </w:rPr>
            </w:pPr>
          </w:p>
        </w:tc>
        <w:tc>
          <w:tcPr>
            <w:tcW w:w="2819" w:type="dxa"/>
            <w:vAlign w:val="center"/>
          </w:tcPr>
          <w:p>
            <w:pPr>
              <w:jc w:val="center"/>
              <w:rPr>
                <w:rFonts w:ascii="宋体" w:hAnsi="宋体" w:cs="宋体"/>
                <w:color w:val="000000"/>
                <w:sz w:val="24"/>
              </w:rPr>
            </w:pPr>
          </w:p>
        </w:tc>
        <w:tc>
          <w:tcPr>
            <w:tcW w:w="1236" w:type="dxa"/>
            <w:vAlign w:val="center"/>
          </w:tcPr>
          <w:p>
            <w:pPr>
              <w:jc w:val="center"/>
              <w:rPr>
                <w:rFonts w:ascii="宋体" w:hAnsi="宋体" w:cs="宋体"/>
                <w:color w:val="000000"/>
                <w:sz w:val="24"/>
              </w:rPr>
            </w:pPr>
          </w:p>
        </w:tc>
        <w:tc>
          <w:tcPr>
            <w:tcW w:w="2237" w:type="dxa"/>
            <w:vAlign w:val="center"/>
          </w:tcPr>
          <w:p>
            <w:pPr>
              <w:jc w:val="center"/>
              <w:rPr>
                <w:rFonts w:ascii="宋体" w:hAnsi="宋体" w:cs="宋体"/>
                <w:color w:val="000000"/>
                <w:sz w:val="24"/>
              </w:rPr>
            </w:pPr>
          </w:p>
        </w:tc>
      </w:tr>
    </w:tbl>
    <w:p>
      <w:pPr>
        <w:adjustRightInd w:val="0"/>
        <w:snapToGrid w:val="0"/>
        <w:spacing w:line="360" w:lineRule="auto"/>
        <w:ind w:left="-420" w:leftChars="-200" w:firstLine="420" w:firstLineChars="175"/>
        <w:rPr>
          <w:rFonts w:ascii="宋体" w:hAnsi="宋体" w:cs="宋体"/>
          <w:color w:val="000000"/>
          <w:sz w:val="24"/>
        </w:rPr>
      </w:pPr>
      <w:r>
        <w:rPr>
          <w:rFonts w:hint="eastAsia" w:ascii="宋体" w:hAnsi="宋体" w:cs="宋体"/>
          <w:color w:val="000000"/>
          <w:sz w:val="24"/>
        </w:rPr>
        <w:t>注：</w:t>
      </w:r>
    </w:p>
    <w:p>
      <w:pPr>
        <w:numPr>
          <w:ilvl w:val="0"/>
          <w:numId w:val="111"/>
        </w:numPr>
        <w:adjustRightInd w:val="0"/>
        <w:snapToGrid w:val="0"/>
        <w:spacing w:line="360" w:lineRule="auto"/>
        <w:rPr>
          <w:rFonts w:ascii="宋体" w:hAnsi="宋体" w:cs="宋体"/>
          <w:color w:val="000000"/>
          <w:sz w:val="24"/>
        </w:rPr>
      </w:pPr>
      <w:r>
        <w:rPr>
          <w:rFonts w:hint="eastAsia" w:ascii="宋体" w:hAnsi="宋体" w:cs="宋体"/>
          <w:color w:val="000000"/>
          <w:sz w:val="24"/>
        </w:rPr>
        <w:t>业绩是必须以报价供应商名义完成并已验收的项目。</w:t>
      </w:r>
    </w:p>
    <w:p>
      <w:pPr>
        <w:numPr>
          <w:ilvl w:val="0"/>
          <w:numId w:val="111"/>
        </w:numPr>
        <w:adjustRightInd w:val="0"/>
        <w:snapToGrid w:val="0"/>
        <w:spacing w:line="360" w:lineRule="auto"/>
        <w:rPr>
          <w:rFonts w:ascii="宋体" w:hAnsi="宋体" w:cs="宋体"/>
          <w:color w:val="000000"/>
          <w:sz w:val="24"/>
        </w:rPr>
      </w:pPr>
      <w:r>
        <w:rPr>
          <w:rFonts w:hint="eastAsia" w:ascii="宋体" w:hAnsi="宋体" w:cs="宋体"/>
          <w:color w:val="000000"/>
          <w:sz w:val="24"/>
        </w:rPr>
        <w:t>报价供应商必须《商务评审表》的要求提供相关证明文件，不提供不得分。</w:t>
      </w:r>
    </w:p>
    <w:p>
      <w:pPr>
        <w:rPr>
          <w:rFonts w:ascii="仿宋_GB2312" w:hAnsi="仿宋" w:eastAsia="仿宋_GB2312"/>
          <w:color w:val="000000"/>
        </w:rPr>
      </w:pPr>
    </w:p>
    <w:p>
      <w:pPr>
        <w:rPr>
          <w:rFonts w:ascii="仿宋_GB2312" w:hAnsi="仿宋" w:eastAsia="仿宋_GB2312"/>
          <w:color w:val="000000"/>
        </w:rPr>
      </w:pPr>
    </w:p>
    <w:p>
      <w:pPr>
        <w:rPr>
          <w:rFonts w:ascii="仿宋_GB2312" w:hAnsi="仿宋" w:eastAsia="仿宋_GB2312"/>
          <w:color w:val="000000"/>
        </w:rPr>
      </w:pPr>
    </w:p>
    <w:p>
      <w:pPr>
        <w:pStyle w:val="67"/>
        <w:rPr>
          <w:rFonts w:ascii="仿宋_GB2312" w:hAnsi="仿宋" w:eastAsia="仿宋_GB2312"/>
          <w:color w:val="000000"/>
        </w:rPr>
      </w:pP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ascii="宋体" w:hAnsi="宋体" w:cs="宋体"/>
          <w:color w:val="000000"/>
          <w:sz w:val="24"/>
        </w:rPr>
      </w:pPr>
      <w:r>
        <w:rPr>
          <w:rFonts w:hint="eastAsia" w:ascii="宋体" w:hAnsi="宋体" w:cs="宋体"/>
          <w:color w:val="000000"/>
          <w:sz w:val="24"/>
        </w:rPr>
        <w:t>日期：   年   月   日</w:t>
      </w:r>
    </w:p>
    <w:p>
      <w:pPr>
        <w:pStyle w:val="4"/>
        <w:numPr>
          <w:ilvl w:val="0"/>
          <w:numId w:val="106"/>
        </w:numPr>
        <w:jc w:val="center"/>
        <w:rPr>
          <w:color w:val="000000"/>
        </w:rPr>
      </w:pPr>
      <w:r>
        <w:rPr>
          <w:rFonts w:ascii="宋体" w:hAnsi="宋体" w:cs="宋体"/>
          <w:color w:val="000000"/>
          <w:sz w:val="24"/>
        </w:rPr>
        <w:br w:type="page"/>
      </w:r>
      <w:bookmarkStart w:id="506" w:name="_Toc20086"/>
      <w:bookmarkStart w:id="507" w:name="_Toc86851557"/>
      <w:r>
        <w:rPr>
          <w:rFonts w:hint="eastAsia"/>
          <w:color w:val="000000"/>
        </w:rPr>
        <w:t>中小企业声明函</w:t>
      </w:r>
      <w:bookmarkEnd w:id="506"/>
      <w:bookmarkEnd w:id="507"/>
    </w:p>
    <w:p>
      <w:pPr>
        <w:autoSpaceDE w:val="0"/>
        <w:autoSpaceDN w:val="0"/>
        <w:adjustRightInd w:val="0"/>
        <w:spacing w:line="360" w:lineRule="auto"/>
        <w:ind w:left="148"/>
        <w:jc w:val="left"/>
        <w:rPr>
          <w:rFonts w:ascii="宋体" w:cs="宋体"/>
          <w:kern w:val="0"/>
          <w:szCs w:val="21"/>
        </w:rPr>
      </w:pPr>
      <w:bookmarkStart w:id="508" w:name="_Toc435514875"/>
      <w:bookmarkStart w:id="509" w:name="_Toc435515315"/>
      <w:r>
        <w:rPr>
          <w:rFonts w:hint="eastAsia" w:ascii="宋体" w:cs="宋体"/>
          <w:kern w:val="0"/>
          <w:szCs w:val="21"/>
        </w:rPr>
        <w:t>（以下格式文件由供应商根据需要选用）</w:t>
      </w:r>
    </w:p>
    <w:p>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中小企业声明函（所投产品制造商为中小企业时提交本函，所属行业应符合采购文件中明确的本项目所属行业）</w:t>
      </w:r>
    </w:p>
    <w:p>
      <w:pPr>
        <w:spacing w:line="360" w:lineRule="auto"/>
        <w:ind w:left="568"/>
        <w:jc w:val="center"/>
        <w:rPr>
          <w:rFonts w:hint="eastAsia" w:ascii="宋体" w:hAnsi="宋体"/>
          <w:b/>
          <w:sz w:val="28"/>
          <w:szCs w:val="28"/>
        </w:rPr>
      </w:pPr>
      <w:r>
        <w:rPr>
          <w:rFonts w:hint="eastAsia" w:ascii="宋体" w:hAnsi="宋体"/>
          <w:b/>
          <w:sz w:val="28"/>
          <w:szCs w:val="28"/>
        </w:rPr>
        <w:t>（一）中小企业声明函</w:t>
      </w:r>
      <w:bookmarkEnd w:id="508"/>
      <w:bookmarkEnd w:id="509"/>
      <w:r>
        <w:rPr>
          <w:rFonts w:hint="eastAsia" w:ascii="宋体" w:hAnsi="宋体"/>
          <w:b/>
          <w:sz w:val="28"/>
          <w:szCs w:val="28"/>
        </w:rPr>
        <w:t>（货物）</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本公司（联合体）郑重声明，根据《政府采购促进中小企业发展管理办法》（财库﹝</w:t>
      </w:r>
      <w:r>
        <w:rPr>
          <w:rFonts w:ascii="宋体" w:hAnsi="宋体"/>
          <w:sz w:val="24"/>
        </w:rPr>
        <w:t>2020</w:t>
      </w:r>
      <w:r>
        <w:rPr>
          <w:rFonts w:hint="eastAsia" w:ascii="宋体" w:hAnsi="宋体"/>
          <w:sz w:val="24"/>
        </w:rPr>
        <w:t>﹞</w:t>
      </w:r>
      <w:r>
        <w:rPr>
          <w:rFonts w:ascii="宋体" w:hAnsi="宋体"/>
          <w:sz w:val="24"/>
        </w:rPr>
        <w:t>46</w:t>
      </w:r>
      <w:r>
        <w:rPr>
          <w:rFonts w:hint="eastAsia" w:ascii="宋体" w:hAnsi="宋体"/>
          <w:sz w:val="24"/>
        </w:rPr>
        <w:t>号）的规定，本公司（联合体）参加（单位名称）的（项目名称）采购活动，提供的货物全部由符合政策要求的中小企业制造。相关企业（含联合体中的中小企业、签订分包意向协议的中小企业）的具体情况如下：</w:t>
      </w:r>
    </w:p>
    <w:p>
      <w:pPr>
        <w:autoSpaceDE w:val="0"/>
        <w:autoSpaceDN w:val="0"/>
        <w:adjustRightInd w:val="0"/>
        <w:spacing w:line="360" w:lineRule="auto"/>
        <w:ind w:firstLine="480" w:firstLineChars="200"/>
        <w:jc w:val="left"/>
        <w:rPr>
          <w:rFonts w:ascii="宋体" w:hAnsi="宋体" w:cs="宋体"/>
          <w:kern w:val="0"/>
          <w:sz w:val="24"/>
        </w:rPr>
      </w:pPr>
      <w:r>
        <w:rPr>
          <w:rFonts w:ascii="宋体" w:hAnsi="宋体" w:cs="DejaVuSans"/>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，从业人员</w:t>
      </w:r>
      <w:r>
        <w:rPr>
          <w:rFonts w:ascii="宋体" w:hAnsi="宋体" w:cs="DejaVuSans"/>
          <w:kern w:val="0"/>
          <w:sz w:val="24"/>
        </w:rPr>
        <w:t>__________________</w:t>
      </w:r>
      <w:r>
        <w:rPr>
          <w:rFonts w:hint="eastAsia" w:ascii="宋体" w:hAnsi="宋体" w:cs="宋体"/>
          <w:kern w:val="0"/>
          <w:sz w:val="24"/>
        </w:rPr>
        <w:t>人，营业收入为</w:t>
      </w:r>
      <w:r>
        <w:rPr>
          <w:rFonts w:ascii="宋体" w:hAnsi="宋体" w:cs="DejaVuSans"/>
          <w:kern w:val="0"/>
          <w:sz w:val="24"/>
        </w:rPr>
        <w:t>__________________</w:t>
      </w:r>
      <w:r>
        <w:rPr>
          <w:rFonts w:hint="eastAsia" w:ascii="宋体" w:hAnsi="宋体" w:cs="宋体"/>
          <w:kern w:val="0"/>
          <w:sz w:val="24"/>
        </w:rPr>
        <w:t>万元，资产总额为</w:t>
      </w:r>
      <w:r>
        <w:rPr>
          <w:rFonts w:ascii="宋体" w:hAnsi="宋体" w:cs="DejaVuSans"/>
          <w:kern w:val="0"/>
          <w:sz w:val="24"/>
        </w:rPr>
        <w:t>__________________</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autoSpaceDE w:val="0"/>
        <w:autoSpaceDN w:val="0"/>
        <w:adjustRightInd w:val="0"/>
        <w:spacing w:line="360" w:lineRule="auto"/>
        <w:ind w:firstLine="480" w:firstLineChars="200"/>
        <w:jc w:val="left"/>
        <w:rPr>
          <w:rFonts w:ascii="宋体" w:hAnsi="宋体" w:cs="宋体"/>
          <w:kern w:val="0"/>
          <w:sz w:val="24"/>
        </w:rPr>
      </w:pPr>
      <w:r>
        <w:rPr>
          <w:rFonts w:ascii="宋体" w:hAnsi="宋体" w:cs="DejaVuSans"/>
          <w:kern w:val="0"/>
          <w:sz w:val="24"/>
        </w:rPr>
        <w:t>2.</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kern w:val="0"/>
          <w:sz w:val="24"/>
        </w:rPr>
        <w:t>，从业人员</w:t>
      </w:r>
      <w:r>
        <w:rPr>
          <w:rFonts w:ascii="宋体" w:hAnsi="宋体" w:cs="DejaVuSans"/>
          <w:kern w:val="0"/>
          <w:sz w:val="24"/>
        </w:rPr>
        <w:t>__________________</w:t>
      </w:r>
      <w:r>
        <w:rPr>
          <w:rFonts w:hint="eastAsia" w:ascii="宋体" w:hAnsi="宋体" w:cs="宋体"/>
          <w:kern w:val="0"/>
          <w:sz w:val="24"/>
        </w:rPr>
        <w:t>人，营业收入为</w:t>
      </w:r>
      <w:r>
        <w:rPr>
          <w:rFonts w:ascii="宋体" w:hAnsi="宋体" w:cs="DejaVuSans"/>
          <w:kern w:val="0"/>
          <w:sz w:val="24"/>
        </w:rPr>
        <w:t>__________________</w:t>
      </w:r>
      <w:r>
        <w:rPr>
          <w:rFonts w:hint="eastAsia" w:ascii="宋体" w:hAnsi="宋体" w:cs="宋体"/>
          <w:kern w:val="0"/>
          <w:sz w:val="24"/>
        </w:rPr>
        <w:t>万元，资产总额为</w:t>
      </w:r>
      <w:r>
        <w:rPr>
          <w:rFonts w:ascii="宋体" w:hAnsi="宋体" w:cs="DejaVuSans"/>
          <w:kern w:val="0"/>
          <w:sz w:val="24"/>
        </w:rPr>
        <w:t>__________________</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autoSpaceDE w:val="0"/>
        <w:autoSpaceDN w:val="0"/>
        <w:adjustRightInd w:val="0"/>
        <w:spacing w:line="360" w:lineRule="auto"/>
        <w:ind w:left="568"/>
        <w:jc w:val="left"/>
        <w:rPr>
          <w:rFonts w:hint="eastAsia" w:ascii="宋体" w:hAnsi="宋体"/>
          <w:sz w:val="24"/>
        </w:rPr>
      </w:pP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pPr>
        <w:spacing w:line="360" w:lineRule="auto"/>
        <w:ind w:left="568" w:right="140"/>
        <w:jc w:val="right"/>
        <w:rPr>
          <w:rFonts w:hint="eastAsia" w:ascii="宋体" w:hAnsi="宋体" w:cs="宋体"/>
          <w:sz w:val="28"/>
          <w:szCs w:val="28"/>
        </w:rPr>
      </w:pPr>
    </w:p>
    <w:p>
      <w:pPr>
        <w:adjustRightInd w:val="0"/>
        <w:snapToGrid w:val="0"/>
        <w:spacing w:line="360" w:lineRule="auto"/>
        <w:jc w:val="right"/>
        <w:rPr>
          <w:rFonts w:ascii="宋体" w:hAnsi="宋体" w:cs="宋体"/>
          <w:color w:val="000000"/>
          <w:sz w:val="24"/>
        </w:rPr>
      </w:pPr>
      <w:r>
        <w:rPr>
          <w:rFonts w:hint="eastAsia" w:ascii="宋体" w:hAnsi="宋体" w:cs="宋体"/>
          <w:color w:val="000000"/>
          <w:sz w:val="24"/>
        </w:rPr>
        <w:t>报价供应商名称（加盖公章）：</w:t>
      </w:r>
    </w:p>
    <w:p>
      <w:pPr>
        <w:spacing w:line="360" w:lineRule="auto"/>
        <w:ind w:left="568"/>
        <w:jc w:val="right"/>
        <w:rPr>
          <w:rFonts w:ascii="宋体" w:hAnsi="宋体"/>
          <w:bCs/>
          <w:sz w:val="24"/>
        </w:rPr>
      </w:pPr>
      <w:r>
        <w:rPr>
          <w:rFonts w:hint="eastAsia" w:ascii="宋体" w:hAnsi="宋体" w:cs="宋体"/>
          <w:color w:val="000000"/>
          <w:sz w:val="24"/>
        </w:rPr>
        <w:t xml:space="preserve">     日期：  年   月   日</w:t>
      </w:r>
    </w:p>
    <w:p>
      <w:pPr>
        <w:autoSpaceDE w:val="0"/>
        <w:autoSpaceDN w:val="0"/>
        <w:adjustRightInd w:val="0"/>
        <w:ind w:left="568"/>
        <w:jc w:val="left"/>
        <w:rPr>
          <w:rFonts w:hint="eastAsia" w:ascii="DejaVuSans" w:eastAsia="DejaVuSans" w:cs="DejaVuSans"/>
          <w:kern w:val="0"/>
          <w:sz w:val="19"/>
          <w:szCs w:val="19"/>
        </w:rPr>
      </w:pPr>
    </w:p>
    <w:p>
      <w:pPr>
        <w:autoSpaceDE w:val="0"/>
        <w:autoSpaceDN w:val="0"/>
        <w:adjustRightInd w:val="0"/>
        <w:ind w:left="568"/>
        <w:jc w:val="left"/>
        <w:rPr>
          <w:rFonts w:ascii="宋体" w:hAnsi="宋体" w:cs="宋体"/>
          <w:kern w:val="0"/>
          <w:szCs w:val="21"/>
        </w:rPr>
      </w:pPr>
      <w:r>
        <w:rPr>
          <w:rFonts w:ascii="宋体" w:hAnsi="宋体" w:cs="DejaVuSans"/>
          <w:kern w:val="0"/>
          <w:szCs w:val="21"/>
        </w:rPr>
        <w:t>1</w:t>
      </w:r>
      <w:r>
        <w:rPr>
          <w:rFonts w:ascii="宋体" w:hAnsi="宋体" w:cs="宋体"/>
          <w:kern w:val="0"/>
          <w:szCs w:val="21"/>
        </w:rPr>
        <w:t>.</w:t>
      </w:r>
      <w:r>
        <w:rPr>
          <w:rFonts w:hint="eastAsia" w:ascii="宋体" w:hAnsi="宋体" w:cs="宋体"/>
          <w:kern w:val="0"/>
          <w:szCs w:val="21"/>
        </w:rPr>
        <w:t>从业人员、营业收入、资产总额填报上一年度数据，无上一年度数据的新成立企业可不填报</w:t>
      </w:r>
    </w:p>
    <w:p>
      <w:pPr>
        <w:autoSpaceDE w:val="0"/>
        <w:autoSpaceDN w:val="0"/>
        <w:adjustRightInd w:val="0"/>
        <w:ind w:left="568"/>
        <w:jc w:val="left"/>
        <w:rPr>
          <w:rFonts w:hint="eastAsia" w:ascii="宋体" w:hAnsi="宋体"/>
          <w:szCs w:val="21"/>
        </w:rPr>
      </w:pPr>
      <w:r>
        <w:rPr>
          <w:rFonts w:ascii="宋体" w:hAnsi="宋体" w:cs="DejaVuSans"/>
          <w:kern w:val="0"/>
          <w:szCs w:val="21"/>
        </w:rPr>
        <w:t>2</w:t>
      </w:r>
      <w:r>
        <w:rPr>
          <w:rFonts w:hint="eastAsia" w:ascii="宋体" w:hAnsi="宋体" w:cs="宋体"/>
          <w:kern w:val="0"/>
          <w:szCs w:val="21"/>
        </w:rPr>
        <w:t>.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spacing w:line="360" w:lineRule="auto"/>
        <w:rPr>
          <w:color w:val="000000"/>
          <w:lang w:val="en-GB"/>
        </w:rPr>
      </w:pPr>
      <w:bookmarkStart w:id="510" w:name="_Toc28158"/>
      <w:bookmarkStart w:id="511" w:name="_Toc26896"/>
      <w:bookmarkStart w:id="512" w:name="OLE_LINK14"/>
      <w:bookmarkStart w:id="513" w:name="OLE_LINK13"/>
    </w:p>
    <w:p>
      <w:pPr>
        <w:pStyle w:val="4"/>
        <w:numPr>
          <w:ilvl w:val="0"/>
          <w:numId w:val="106"/>
        </w:numPr>
        <w:jc w:val="center"/>
        <w:rPr>
          <w:color w:val="000000"/>
        </w:rPr>
      </w:pPr>
      <w:bookmarkStart w:id="514" w:name="_Toc86851558"/>
      <w:r>
        <w:rPr>
          <w:rFonts w:hint="eastAsia"/>
          <w:color w:val="000000"/>
        </w:rPr>
        <w:t>残疾人福利性单位声明函</w:t>
      </w:r>
      <w:bookmarkEnd w:id="510"/>
      <w:bookmarkEnd w:id="511"/>
      <w:bookmarkEnd w:id="514"/>
    </w:p>
    <w:bookmarkEnd w:id="512"/>
    <w:bookmarkEnd w:id="513"/>
    <w:p>
      <w:pPr>
        <w:spacing w:line="588" w:lineRule="exact"/>
        <w:ind w:firstLine="420" w:firstLineChars="200"/>
        <w:rPr>
          <w:rFonts w:ascii="宋体" w:hAnsi="宋体" w:cs="宋体"/>
          <w:color w:val="000000"/>
          <w:spacing w:val="6"/>
          <w:sz w:val="24"/>
        </w:rPr>
      </w:pPr>
      <w:r>
        <w:rPr>
          <w:rFonts w:hint="eastAsia" w:ascii="宋体" w:cs="宋体"/>
          <w:kern w:val="0"/>
          <w:szCs w:val="21"/>
        </w:rPr>
        <w:t>（以下格式文件由供应商根据需要选用）</w:t>
      </w:r>
    </w:p>
    <w:p>
      <w:pPr>
        <w:spacing w:line="588" w:lineRule="exact"/>
        <w:ind w:firstLine="504" w:firstLineChars="200"/>
        <w:rPr>
          <w:rFonts w:ascii="宋体" w:hAnsi="宋体" w:cs="宋体"/>
          <w:color w:val="000000"/>
          <w:spacing w:val="6"/>
          <w:sz w:val="24"/>
        </w:rPr>
      </w:pPr>
    </w:p>
    <w:p>
      <w:pPr>
        <w:spacing w:line="588"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本单位郑重声明，根据《财政部 民政部 中国残疾人联合会关于促进残疾人就业政府采购政策的通知》（财库</w:t>
      </w:r>
      <w:r>
        <w:rPr>
          <w:rFonts w:hint="eastAsia" w:ascii="宋体" w:hAnsi="宋体" w:cs="宋体"/>
          <w:color w:val="000000"/>
          <w:sz w:val="24"/>
        </w:rPr>
        <w:t>〔2017〕 141</w:t>
      </w:r>
      <w:r>
        <w:rPr>
          <w:rFonts w:hint="eastAsia" w:ascii="宋体" w:hAnsi="宋体" w:cs="宋体"/>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spacing w:val="6"/>
          <w:sz w:val="24"/>
        </w:rPr>
      </w:pPr>
      <w:r>
        <w:rPr>
          <w:rFonts w:hint="eastAsia" w:ascii="宋体" w:hAnsi="宋体" w:cs="宋体"/>
          <w:color w:val="000000"/>
          <w:spacing w:val="6"/>
          <w:sz w:val="24"/>
        </w:rPr>
        <w:t>本单位对上述声明的真实性负责。如有虚假，将依法承担相应责任。</w:t>
      </w:r>
    </w:p>
    <w:p>
      <w:pPr>
        <w:spacing w:line="588" w:lineRule="exact"/>
        <w:ind w:firstLine="504" w:firstLineChars="200"/>
        <w:rPr>
          <w:rFonts w:ascii="宋体" w:hAnsi="宋体" w:cs="宋体"/>
          <w:color w:val="000000"/>
          <w:spacing w:val="6"/>
          <w:sz w:val="24"/>
        </w:rPr>
      </w:pPr>
    </w:p>
    <w:p>
      <w:pPr>
        <w:spacing w:line="588" w:lineRule="exact"/>
        <w:ind w:firstLine="504" w:firstLineChars="200"/>
        <w:rPr>
          <w:rFonts w:ascii="宋体" w:hAnsi="宋体" w:cs="宋体"/>
          <w:color w:val="000000"/>
          <w:spacing w:val="6"/>
          <w:sz w:val="24"/>
        </w:rPr>
      </w:pPr>
    </w:p>
    <w:p>
      <w:pPr>
        <w:adjustRightInd w:val="0"/>
        <w:snapToGrid w:val="0"/>
        <w:spacing w:line="360" w:lineRule="auto"/>
        <w:jc w:val="right"/>
        <w:rPr>
          <w:rFonts w:ascii="宋体" w:hAnsi="宋体" w:cs="宋体"/>
          <w:color w:val="000000"/>
          <w:sz w:val="24"/>
        </w:rPr>
      </w:pPr>
      <w:r>
        <w:rPr>
          <w:rFonts w:hint="eastAsia" w:ascii="宋体" w:hAnsi="宋体" w:cs="宋体"/>
          <w:color w:val="000000"/>
          <w:spacing w:val="6"/>
          <w:sz w:val="24"/>
        </w:rPr>
        <w:t xml:space="preserve">       </w:t>
      </w:r>
      <w:r>
        <w:rPr>
          <w:rFonts w:hint="eastAsia" w:ascii="宋体" w:hAnsi="宋体" w:cs="宋体"/>
          <w:color w:val="000000"/>
          <w:sz w:val="24"/>
        </w:rPr>
        <w:t>报价供应商名称（加盖公章）：</w:t>
      </w:r>
    </w:p>
    <w:p>
      <w:pPr>
        <w:adjustRightInd w:val="0"/>
        <w:snapToGrid w:val="0"/>
        <w:spacing w:line="360" w:lineRule="auto"/>
        <w:ind w:right="-94" w:firstLine="5040" w:firstLineChars="2100"/>
        <w:rPr>
          <w:rFonts w:ascii="宋体" w:hAnsi="宋体" w:cs="宋体"/>
          <w:color w:val="000000"/>
          <w:sz w:val="24"/>
        </w:rPr>
      </w:pPr>
      <w:r>
        <w:rPr>
          <w:rFonts w:hint="eastAsia" w:ascii="宋体" w:hAnsi="宋体" w:cs="宋体"/>
          <w:color w:val="000000"/>
          <w:sz w:val="24"/>
        </w:rPr>
        <w:t xml:space="preserve">     日期：  年   月   日</w:t>
      </w:r>
    </w:p>
    <w:p>
      <w:pPr>
        <w:pStyle w:val="4"/>
        <w:numPr>
          <w:ilvl w:val="0"/>
          <w:numId w:val="106"/>
        </w:numPr>
        <w:jc w:val="center"/>
        <w:rPr>
          <w:rFonts w:hint="eastAsia"/>
          <w:color w:val="000000"/>
        </w:rPr>
      </w:pPr>
      <w:r>
        <w:rPr>
          <w:rFonts w:ascii="宋体" w:hAnsi="宋体" w:cs="宋体"/>
          <w:color w:val="000000"/>
          <w:sz w:val="24"/>
        </w:rPr>
        <w:br w:type="page"/>
      </w:r>
      <w:bookmarkStart w:id="515" w:name="_Toc86851559"/>
      <w:bookmarkStart w:id="516" w:name="_Toc196294636"/>
      <w:r>
        <w:rPr>
          <w:rFonts w:hint="eastAsia"/>
          <w:color w:val="000000"/>
        </w:rPr>
        <w:t>实质性条款（“★”项）响应表</w:t>
      </w:r>
      <w:bookmarkEnd w:id="515"/>
    </w:p>
    <w:tbl>
      <w:tblPr>
        <w:tblStyle w:val="42"/>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920" w:type="dxa"/>
            <w:shd w:val="clear" w:color="auto" w:fill="D7D7D7"/>
            <w:vAlign w:val="center"/>
          </w:tcPr>
          <w:p>
            <w:pPr>
              <w:spacing w:before="72" w:after="72"/>
              <w:jc w:val="center"/>
              <w:rPr>
                <w:rFonts w:hint="eastAsia" w:ascii="宋体" w:hAnsi="宋体" w:cs="宋体"/>
                <w:b/>
                <w:color w:val="000000"/>
                <w:sz w:val="24"/>
              </w:rPr>
            </w:pPr>
            <w:r>
              <w:rPr>
                <w:rFonts w:hint="eastAsia" w:ascii="宋体" w:hAnsi="宋体" w:cs="宋体"/>
                <w:b/>
                <w:color w:val="000000"/>
                <w:sz w:val="24"/>
              </w:rPr>
              <w:t>序号</w:t>
            </w:r>
          </w:p>
        </w:tc>
        <w:tc>
          <w:tcPr>
            <w:tcW w:w="2169" w:type="dxa"/>
            <w:shd w:val="clear" w:color="auto" w:fill="D7D7D7"/>
            <w:vAlign w:val="center"/>
          </w:tcPr>
          <w:p>
            <w:pPr>
              <w:spacing w:before="72" w:after="72"/>
              <w:jc w:val="center"/>
              <w:rPr>
                <w:rFonts w:hint="eastAsia" w:ascii="宋体" w:hAnsi="宋体" w:cs="宋体"/>
                <w:b/>
                <w:color w:val="000000"/>
                <w:sz w:val="24"/>
              </w:rPr>
            </w:pPr>
            <w:r>
              <w:rPr>
                <w:rFonts w:hint="eastAsia" w:ascii="宋体" w:hAnsi="宋体" w:cs="宋体"/>
                <w:b/>
                <w:color w:val="000000"/>
                <w:sz w:val="24"/>
              </w:rPr>
              <w:t>磋商文件服务要求</w:t>
            </w:r>
          </w:p>
        </w:tc>
        <w:tc>
          <w:tcPr>
            <w:tcW w:w="3484" w:type="dxa"/>
            <w:shd w:val="clear" w:color="auto" w:fill="D7D7D7"/>
            <w:vAlign w:val="center"/>
          </w:tcPr>
          <w:p>
            <w:pPr>
              <w:spacing w:before="72" w:after="72"/>
              <w:jc w:val="center"/>
              <w:rPr>
                <w:rFonts w:hint="eastAsia" w:ascii="宋体" w:hAnsi="宋体" w:cs="宋体"/>
                <w:b/>
                <w:color w:val="000000"/>
                <w:sz w:val="24"/>
              </w:rPr>
            </w:pPr>
            <w:r>
              <w:rPr>
                <w:rFonts w:hint="eastAsia" w:ascii="宋体" w:hAnsi="宋体" w:cs="宋体"/>
                <w:b/>
                <w:color w:val="000000"/>
                <w:sz w:val="24"/>
              </w:rPr>
              <w:t>投标服务实际情况</w:t>
            </w:r>
          </w:p>
        </w:tc>
        <w:tc>
          <w:tcPr>
            <w:tcW w:w="2484" w:type="dxa"/>
            <w:shd w:val="clear" w:color="auto" w:fill="D7D7D7"/>
            <w:vAlign w:val="center"/>
          </w:tcPr>
          <w:p>
            <w:pPr>
              <w:spacing w:before="72" w:after="72"/>
              <w:jc w:val="center"/>
              <w:rPr>
                <w:rFonts w:hint="eastAsia" w:ascii="宋体" w:hAnsi="宋体" w:cs="宋体"/>
                <w:b/>
                <w:color w:val="000000"/>
                <w:sz w:val="24"/>
              </w:rPr>
            </w:pPr>
            <w:r>
              <w:rPr>
                <w:rFonts w:hint="eastAsia" w:ascii="宋体" w:hAnsi="宋体" w:cs="宋体"/>
                <w:b/>
                <w:color w:val="000000"/>
                <w:sz w:val="24"/>
              </w:rPr>
              <w:t>偏离情况说明（无偏离/正偏离/负偏离）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1</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2</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3</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4</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5</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6</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7</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8</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920" w:type="dxa"/>
            <w:vAlign w:val="top"/>
          </w:tcPr>
          <w:p>
            <w:pPr>
              <w:spacing w:before="72" w:after="72"/>
              <w:jc w:val="center"/>
              <w:rPr>
                <w:rFonts w:hint="eastAsia" w:ascii="宋体" w:hAnsi="宋体" w:cs="宋体"/>
                <w:color w:val="000000"/>
                <w:sz w:val="24"/>
              </w:rPr>
            </w:pPr>
            <w:r>
              <w:rPr>
                <w:rFonts w:hint="eastAsia" w:ascii="宋体" w:hAnsi="宋体" w:cs="宋体"/>
                <w:color w:val="000000"/>
                <w:sz w:val="24"/>
              </w:rPr>
              <w:t>…</w:t>
            </w:r>
          </w:p>
        </w:tc>
        <w:tc>
          <w:tcPr>
            <w:tcW w:w="2169" w:type="dxa"/>
            <w:vAlign w:val="top"/>
          </w:tcPr>
          <w:p>
            <w:pPr>
              <w:spacing w:before="72" w:after="72"/>
              <w:jc w:val="center"/>
              <w:rPr>
                <w:rFonts w:hint="eastAsia" w:ascii="宋体" w:hAnsi="宋体" w:cs="宋体"/>
                <w:color w:val="000000"/>
                <w:sz w:val="24"/>
              </w:rPr>
            </w:pPr>
          </w:p>
        </w:tc>
        <w:tc>
          <w:tcPr>
            <w:tcW w:w="3484" w:type="dxa"/>
            <w:vAlign w:val="top"/>
          </w:tcPr>
          <w:p>
            <w:pPr>
              <w:spacing w:before="72" w:after="72"/>
              <w:rPr>
                <w:rFonts w:hint="eastAsia" w:ascii="宋体" w:hAnsi="宋体" w:cs="宋体"/>
                <w:color w:val="000000"/>
                <w:sz w:val="24"/>
              </w:rPr>
            </w:pPr>
          </w:p>
        </w:tc>
        <w:tc>
          <w:tcPr>
            <w:tcW w:w="2484" w:type="dxa"/>
            <w:vAlign w:val="top"/>
          </w:tcPr>
          <w:p>
            <w:pPr>
              <w:spacing w:before="72" w:after="72"/>
              <w:rPr>
                <w:rFonts w:hint="eastAsia" w:ascii="宋体" w:hAnsi="宋体" w:cs="宋体"/>
                <w:color w:val="000000"/>
                <w:sz w:val="24"/>
              </w:rPr>
            </w:pPr>
          </w:p>
        </w:tc>
      </w:tr>
    </w:tbl>
    <w:p>
      <w:pPr>
        <w:spacing w:line="400" w:lineRule="exact"/>
        <w:rPr>
          <w:rFonts w:hint="eastAsia" w:ascii="宋体" w:hAnsi="宋体" w:cs="宋体"/>
          <w:color w:val="000000"/>
          <w:sz w:val="24"/>
        </w:rPr>
      </w:pPr>
      <w:r>
        <w:rPr>
          <w:rFonts w:hint="eastAsia" w:ascii="宋体" w:hAnsi="宋体" w:cs="宋体"/>
          <w:color w:val="000000"/>
          <w:sz w:val="24"/>
        </w:rPr>
        <w:t>注：</w:t>
      </w:r>
    </w:p>
    <w:p>
      <w:pPr>
        <w:numPr>
          <w:ilvl w:val="0"/>
          <w:numId w:val="112"/>
        </w:num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报价供应商必须对应磋商文件“用户需求书”中服务条款带“★” 项内容逐条响应。如有缺漏，缺漏项视同不符合招标要求。带“★”项为不可负偏离的重要项。</w:t>
      </w:r>
    </w:p>
    <w:p>
      <w:pPr>
        <w:numPr>
          <w:ilvl w:val="0"/>
          <w:numId w:val="112"/>
        </w:num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报价供应商响应采购需求应具体、明确，含糊不清、不确切或伪造、变造证明材料的，按照不完全响应或者完全不响应处理。构成提供虚假材料的，移送监管部门查处。</w:t>
      </w:r>
    </w:p>
    <w:p>
      <w:pPr>
        <w:numPr>
          <w:ilvl w:val="0"/>
          <w:numId w:val="112"/>
        </w:num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本表内容不得擅自修改。</w:t>
      </w:r>
    </w:p>
    <w:p>
      <w:pPr>
        <w:adjustRightInd w:val="0"/>
        <w:snapToGrid w:val="0"/>
        <w:spacing w:before="72" w:after="72" w:line="300" w:lineRule="auto"/>
        <w:rPr>
          <w:rFonts w:hint="eastAsia" w:ascii="宋体" w:hAnsi="宋体" w:cs="宋体"/>
          <w:color w:val="000000"/>
          <w:sz w:val="24"/>
        </w:rPr>
      </w:pPr>
    </w:p>
    <w:p>
      <w:pPr>
        <w:adjustRightInd w:val="0"/>
        <w:snapToGrid w:val="0"/>
        <w:spacing w:before="72" w:after="72" w:line="480" w:lineRule="auto"/>
        <w:ind w:firstLine="2520" w:firstLineChars="1050"/>
        <w:rPr>
          <w:rFonts w:hint="eastAsia"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hint="eastAsia"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ascii="宋体" w:hAnsi="宋体" w:cs="宋体"/>
          <w:color w:val="000000"/>
          <w:sz w:val="24"/>
        </w:rPr>
      </w:pPr>
      <w:r>
        <w:rPr>
          <w:rFonts w:hint="eastAsia" w:ascii="宋体" w:hAnsi="宋体" w:cs="宋体"/>
          <w:color w:val="000000"/>
          <w:sz w:val="24"/>
        </w:rPr>
        <w:t>日期：   年   月   日</w:t>
      </w:r>
    </w:p>
    <w:p>
      <w:pPr>
        <w:pStyle w:val="4"/>
        <w:numPr>
          <w:ilvl w:val="0"/>
          <w:numId w:val="106"/>
        </w:numPr>
        <w:jc w:val="center"/>
        <w:rPr>
          <w:color w:val="000000"/>
        </w:rPr>
      </w:pPr>
      <w:r>
        <w:rPr>
          <w:rFonts w:ascii="宋体" w:hAnsi="宋体" w:cs="宋体"/>
          <w:color w:val="000000"/>
          <w:sz w:val="24"/>
        </w:rPr>
        <w:br w:type="page"/>
      </w:r>
      <w:bookmarkStart w:id="517" w:name="_Toc86851560"/>
      <w:r>
        <w:rPr>
          <w:rFonts w:hint="eastAsia"/>
          <w:color w:val="000000"/>
        </w:rPr>
        <w:t>重要技术要求条款（“▲”项）响应表</w:t>
      </w:r>
      <w:bookmarkEnd w:id="517"/>
    </w:p>
    <w:tbl>
      <w:tblPr>
        <w:tblStyle w:val="42"/>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334"/>
        <w:gridCol w:w="361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835" w:type="dxa"/>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序号</w:t>
            </w:r>
          </w:p>
        </w:tc>
        <w:tc>
          <w:tcPr>
            <w:tcW w:w="2334" w:type="dxa"/>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磋商文件要求</w:t>
            </w:r>
          </w:p>
        </w:tc>
        <w:tc>
          <w:tcPr>
            <w:tcW w:w="3615" w:type="dxa"/>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投标实际情况</w:t>
            </w:r>
          </w:p>
        </w:tc>
        <w:tc>
          <w:tcPr>
            <w:tcW w:w="2284" w:type="dxa"/>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偏离情况说明（无偏离/正偏离/负偏离）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1</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2</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3</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4</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5</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6</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7</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8</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835" w:type="dxa"/>
            <w:vAlign w:val="top"/>
          </w:tcPr>
          <w:p>
            <w:pPr>
              <w:spacing w:before="72" w:after="72"/>
              <w:jc w:val="center"/>
              <w:rPr>
                <w:rFonts w:ascii="宋体" w:hAnsi="宋体" w:cs="宋体"/>
                <w:color w:val="000000"/>
                <w:sz w:val="24"/>
              </w:rPr>
            </w:pPr>
            <w:r>
              <w:rPr>
                <w:rFonts w:hint="eastAsia" w:ascii="宋体" w:hAnsi="宋体" w:cs="宋体"/>
                <w:color w:val="000000"/>
                <w:sz w:val="24"/>
              </w:rPr>
              <w:t>…</w:t>
            </w:r>
          </w:p>
        </w:tc>
        <w:tc>
          <w:tcPr>
            <w:tcW w:w="2334" w:type="dxa"/>
            <w:vAlign w:val="top"/>
          </w:tcPr>
          <w:p>
            <w:pPr>
              <w:spacing w:before="72" w:after="72"/>
              <w:jc w:val="center"/>
              <w:rPr>
                <w:rFonts w:ascii="宋体" w:hAnsi="宋体" w:cs="宋体"/>
                <w:color w:val="000000"/>
                <w:sz w:val="24"/>
              </w:rPr>
            </w:pPr>
          </w:p>
        </w:tc>
        <w:tc>
          <w:tcPr>
            <w:tcW w:w="3615" w:type="dxa"/>
            <w:vAlign w:val="top"/>
          </w:tcPr>
          <w:p>
            <w:pPr>
              <w:spacing w:before="72" w:after="72"/>
              <w:rPr>
                <w:rFonts w:ascii="宋体" w:hAnsi="宋体" w:cs="宋体"/>
                <w:color w:val="000000"/>
                <w:sz w:val="24"/>
              </w:rPr>
            </w:pPr>
          </w:p>
        </w:tc>
        <w:tc>
          <w:tcPr>
            <w:tcW w:w="2284" w:type="dxa"/>
            <w:vAlign w:val="top"/>
          </w:tcPr>
          <w:p>
            <w:pPr>
              <w:spacing w:before="72" w:after="72"/>
              <w:rPr>
                <w:rFonts w:ascii="宋体" w:hAnsi="宋体" w:cs="宋体"/>
                <w:color w:val="000000"/>
                <w:sz w:val="24"/>
              </w:rPr>
            </w:pPr>
          </w:p>
        </w:tc>
      </w:tr>
    </w:tbl>
    <w:p>
      <w:pPr>
        <w:spacing w:line="400" w:lineRule="exact"/>
        <w:rPr>
          <w:rFonts w:ascii="宋体" w:hAnsi="宋体" w:cs="宋体"/>
          <w:color w:val="000000"/>
          <w:sz w:val="24"/>
        </w:rPr>
      </w:pPr>
      <w:r>
        <w:rPr>
          <w:rFonts w:hint="eastAsia" w:ascii="宋体" w:hAnsi="宋体" w:cs="宋体"/>
          <w:color w:val="000000"/>
          <w:sz w:val="24"/>
        </w:rPr>
        <w:t>注：</w:t>
      </w:r>
    </w:p>
    <w:p>
      <w:pPr>
        <w:numPr>
          <w:ilvl w:val="0"/>
          <w:numId w:val="113"/>
        </w:numPr>
        <w:adjustRightInd w:val="0"/>
        <w:snapToGrid w:val="0"/>
        <w:spacing w:line="360" w:lineRule="auto"/>
        <w:rPr>
          <w:rFonts w:ascii="宋体" w:hAnsi="宋体" w:cs="宋体"/>
          <w:color w:val="000000"/>
          <w:sz w:val="24"/>
        </w:rPr>
      </w:pPr>
      <w:r>
        <w:rPr>
          <w:rFonts w:hint="eastAsia" w:ascii="宋体" w:hAnsi="宋体" w:cs="宋体"/>
          <w:color w:val="000000"/>
          <w:sz w:val="24"/>
        </w:rPr>
        <w:t>报价供应商必须对应磋商文件“用户需求书”中</w:t>
      </w:r>
      <w:bookmarkStart w:id="518" w:name="_Hlk84861097"/>
      <w:r>
        <w:rPr>
          <w:rFonts w:hint="eastAsia" w:ascii="宋体" w:hAnsi="宋体" w:cs="宋体"/>
          <w:color w:val="000000"/>
          <w:sz w:val="24"/>
        </w:rPr>
        <w:t>标 “▲”条款</w:t>
      </w:r>
      <w:bookmarkEnd w:id="518"/>
      <w:r>
        <w:rPr>
          <w:rFonts w:hint="eastAsia" w:ascii="宋体" w:hAnsi="宋体" w:cs="宋体"/>
          <w:color w:val="000000"/>
          <w:sz w:val="24"/>
        </w:rPr>
        <w:t>的各条要求内容逐条响应。如有缺漏，缺漏项视同不符合招标要求。</w:t>
      </w:r>
    </w:p>
    <w:p>
      <w:pPr>
        <w:numPr>
          <w:ilvl w:val="0"/>
          <w:numId w:val="113"/>
        </w:numPr>
        <w:adjustRightInd w:val="0"/>
        <w:snapToGrid w:val="0"/>
        <w:spacing w:line="360" w:lineRule="auto"/>
        <w:rPr>
          <w:rFonts w:ascii="宋体" w:hAnsi="宋体" w:cs="宋体"/>
          <w:color w:val="000000"/>
          <w:sz w:val="24"/>
        </w:rPr>
      </w:pPr>
      <w:r>
        <w:rPr>
          <w:rFonts w:hint="eastAsia" w:ascii="宋体" w:hAnsi="宋体" w:cs="宋体"/>
          <w:color w:val="000000"/>
          <w:sz w:val="24"/>
        </w:rPr>
        <w:t>报价供应商响应采购需求应具体、明确，含糊不清、不确切或伪造、变造证明材料的，按照不完全响应或者完全不响应处理。构成提供虚假材料的，移送监管部门查处。</w:t>
      </w:r>
    </w:p>
    <w:p>
      <w:pPr>
        <w:numPr>
          <w:ilvl w:val="0"/>
          <w:numId w:val="113"/>
        </w:numPr>
        <w:adjustRightInd w:val="0"/>
        <w:snapToGrid w:val="0"/>
        <w:spacing w:line="360" w:lineRule="auto"/>
        <w:rPr>
          <w:rFonts w:ascii="宋体" w:hAnsi="宋体" w:cs="宋体"/>
          <w:color w:val="000000"/>
          <w:sz w:val="24"/>
        </w:rPr>
      </w:pPr>
      <w:r>
        <w:rPr>
          <w:rFonts w:hint="eastAsia" w:ascii="宋体" w:hAnsi="宋体" w:cs="宋体"/>
          <w:color w:val="000000"/>
          <w:sz w:val="24"/>
        </w:rPr>
        <w:t>本表内容不得擅自修改。</w:t>
      </w:r>
    </w:p>
    <w:p>
      <w:pPr>
        <w:adjustRightInd w:val="0"/>
        <w:snapToGrid w:val="0"/>
        <w:spacing w:before="72" w:after="72" w:line="300" w:lineRule="auto"/>
        <w:rPr>
          <w:rFonts w:ascii="宋体" w:hAnsi="宋体" w:cs="宋体"/>
          <w:color w:val="000000"/>
          <w:sz w:val="24"/>
        </w:rPr>
      </w:pPr>
    </w:p>
    <w:p>
      <w:pPr>
        <w:adjustRightInd w:val="0"/>
        <w:snapToGrid w:val="0"/>
        <w:spacing w:before="72" w:after="72" w:line="300" w:lineRule="auto"/>
        <w:rPr>
          <w:rFonts w:ascii="宋体" w:hAnsi="宋体" w:cs="宋体"/>
          <w:color w:val="000000"/>
          <w:sz w:val="24"/>
        </w:rPr>
      </w:pPr>
    </w:p>
    <w:p>
      <w:pPr>
        <w:adjustRightInd w:val="0"/>
        <w:snapToGrid w:val="0"/>
        <w:spacing w:before="72" w:after="72" w:line="480" w:lineRule="auto"/>
        <w:ind w:firstLine="2520" w:firstLineChars="1050"/>
        <w:rPr>
          <w:rFonts w:ascii="宋体" w:hAnsi="宋体" w:cs="宋体"/>
          <w:color w:val="000000"/>
          <w:sz w:val="24"/>
          <w:u w:val="single"/>
        </w:rPr>
      </w:pPr>
      <w:bookmarkStart w:id="519" w:name="_Toc381489446"/>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hint="eastAsia" w:ascii="宋体" w:hAnsi="宋体" w:cs="宋体"/>
          <w:color w:val="000000"/>
          <w:sz w:val="24"/>
        </w:rPr>
      </w:pPr>
      <w:r>
        <w:rPr>
          <w:rFonts w:hint="eastAsia" w:ascii="宋体" w:hAnsi="宋体" w:cs="宋体"/>
          <w:color w:val="000000"/>
          <w:sz w:val="24"/>
        </w:rPr>
        <w:t>日期：   年   月   日</w:t>
      </w:r>
    </w:p>
    <w:p>
      <w:pPr>
        <w:pStyle w:val="4"/>
        <w:numPr>
          <w:ilvl w:val="0"/>
          <w:numId w:val="106"/>
        </w:numPr>
        <w:jc w:val="center"/>
        <w:rPr>
          <w:color w:val="000000"/>
        </w:rPr>
      </w:pPr>
      <w:bookmarkStart w:id="520" w:name="_Toc9225"/>
      <w:bookmarkStart w:id="521" w:name="_Toc86851561"/>
      <w:r>
        <w:rPr>
          <w:rFonts w:hint="eastAsia"/>
          <w:color w:val="000000"/>
        </w:rPr>
        <w:t>拟任管理及服务人员情况</w:t>
      </w:r>
      <w:bookmarkEnd w:id="520"/>
      <w:bookmarkEnd w:id="521"/>
    </w:p>
    <w:tbl>
      <w:tblPr>
        <w:tblStyle w:val="42"/>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80"/>
        <w:gridCol w:w="1035"/>
        <w:gridCol w:w="1995"/>
        <w:gridCol w:w="795"/>
        <w:gridCol w:w="1440"/>
        <w:gridCol w:w="9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exact"/>
          <w:jc w:val="center"/>
        </w:trPr>
        <w:tc>
          <w:tcPr>
            <w:tcW w:w="885" w:type="dxa"/>
            <w:tcBorders>
              <w:top w:val="single" w:color="auto" w:sz="4" w:space="0"/>
              <w:left w:val="single" w:color="auto" w:sz="4" w:space="0"/>
              <w:bottom w:val="nil"/>
              <w:right w:val="single" w:color="auto" w:sz="4" w:space="0"/>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职责</w:t>
            </w:r>
          </w:p>
          <w:p>
            <w:pPr>
              <w:spacing w:before="72" w:after="72"/>
              <w:jc w:val="center"/>
              <w:rPr>
                <w:rFonts w:ascii="宋体" w:hAnsi="宋体" w:cs="宋体"/>
                <w:b/>
                <w:color w:val="000000"/>
                <w:sz w:val="24"/>
              </w:rPr>
            </w:pPr>
            <w:r>
              <w:rPr>
                <w:rFonts w:hint="eastAsia" w:ascii="宋体" w:hAnsi="宋体" w:cs="宋体"/>
                <w:b/>
                <w:color w:val="000000"/>
                <w:sz w:val="24"/>
              </w:rPr>
              <w:t>分工</w:t>
            </w:r>
          </w:p>
        </w:tc>
        <w:tc>
          <w:tcPr>
            <w:tcW w:w="780" w:type="dxa"/>
            <w:tcBorders>
              <w:top w:val="single" w:color="auto" w:sz="4" w:space="0"/>
              <w:left w:val="single" w:color="auto" w:sz="4" w:space="0"/>
              <w:bottom w:val="nil"/>
              <w:right w:val="single" w:color="auto" w:sz="4" w:space="0"/>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姓名</w:t>
            </w:r>
          </w:p>
        </w:tc>
        <w:tc>
          <w:tcPr>
            <w:tcW w:w="1035" w:type="dxa"/>
            <w:tcBorders>
              <w:top w:val="single" w:color="auto" w:sz="4" w:space="0"/>
              <w:left w:val="single" w:color="auto" w:sz="4" w:space="0"/>
              <w:bottom w:val="nil"/>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现职务</w:t>
            </w:r>
          </w:p>
        </w:tc>
        <w:tc>
          <w:tcPr>
            <w:tcW w:w="1995" w:type="dxa"/>
            <w:tcBorders>
              <w:top w:val="single" w:color="auto" w:sz="4" w:space="0"/>
              <w:bottom w:val="nil"/>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持何种资格证书</w:t>
            </w:r>
          </w:p>
        </w:tc>
        <w:tc>
          <w:tcPr>
            <w:tcW w:w="795" w:type="dxa"/>
            <w:tcBorders>
              <w:top w:val="single" w:color="auto" w:sz="4" w:space="0"/>
              <w:bottom w:val="nil"/>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发证时间</w:t>
            </w:r>
          </w:p>
        </w:tc>
        <w:tc>
          <w:tcPr>
            <w:tcW w:w="1440" w:type="dxa"/>
            <w:tcBorders>
              <w:top w:val="single" w:color="auto" w:sz="4" w:space="0"/>
              <w:bottom w:val="nil"/>
              <w:right w:val="single" w:color="auto" w:sz="4" w:space="0"/>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曾主持/参与的同类项目经历</w:t>
            </w:r>
          </w:p>
        </w:tc>
        <w:tc>
          <w:tcPr>
            <w:tcW w:w="900" w:type="dxa"/>
            <w:tcBorders>
              <w:top w:val="single" w:color="auto" w:sz="4" w:space="0"/>
              <w:bottom w:val="nil"/>
              <w:right w:val="single" w:color="auto" w:sz="4" w:space="0"/>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职称</w:t>
            </w:r>
          </w:p>
        </w:tc>
        <w:tc>
          <w:tcPr>
            <w:tcW w:w="990" w:type="dxa"/>
            <w:tcBorders>
              <w:top w:val="single" w:color="auto" w:sz="4" w:space="0"/>
              <w:bottom w:val="nil"/>
              <w:right w:val="single" w:color="auto" w:sz="4" w:space="0"/>
            </w:tcBorders>
            <w:shd w:val="clear" w:color="auto" w:fill="D7D7D7"/>
            <w:vAlign w:val="center"/>
          </w:tcPr>
          <w:p>
            <w:pPr>
              <w:spacing w:before="72" w:after="72"/>
              <w:jc w:val="center"/>
              <w:rPr>
                <w:rFonts w:ascii="宋体" w:hAnsi="宋体" w:cs="宋体"/>
                <w:b/>
                <w:color w:val="000000"/>
                <w:sz w:val="24"/>
              </w:rPr>
            </w:pPr>
            <w:r>
              <w:rPr>
                <w:rFonts w:hint="eastAsia" w:ascii="宋体" w:hAnsi="宋体" w:cs="宋体"/>
                <w:b/>
                <w:color w:val="000000"/>
                <w:sz w:val="24"/>
              </w:rPr>
              <w:t>专业</w:t>
            </w:r>
          </w:p>
          <w:p>
            <w:pPr>
              <w:spacing w:before="72" w:after="72"/>
              <w:jc w:val="center"/>
              <w:rPr>
                <w:rFonts w:ascii="宋体" w:hAnsi="宋体" w:cs="宋体"/>
                <w:b/>
                <w:color w:val="000000"/>
                <w:sz w:val="24"/>
              </w:rPr>
            </w:pPr>
            <w:r>
              <w:rPr>
                <w:rFonts w:hint="eastAsia" w:ascii="宋体" w:hAnsi="宋体" w:cs="宋体"/>
                <w:b/>
                <w:color w:val="000000"/>
                <w:sz w:val="24"/>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exact"/>
          <w:jc w:val="center"/>
        </w:trPr>
        <w:tc>
          <w:tcPr>
            <w:tcW w:w="885" w:type="dxa"/>
            <w:tcBorders>
              <w:top w:val="single" w:color="auto" w:sz="4" w:space="0"/>
              <w:left w:val="single" w:color="auto" w:sz="4" w:space="0"/>
              <w:bottom w:val="nil"/>
              <w:right w:val="single" w:color="auto" w:sz="4" w:space="0"/>
            </w:tcBorders>
            <w:vAlign w:val="center"/>
          </w:tcPr>
          <w:p>
            <w:pPr>
              <w:jc w:val="center"/>
              <w:rPr>
                <w:rFonts w:ascii="宋体" w:hAnsi="宋体" w:cs="宋体"/>
                <w:bCs/>
                <w:color w:val="000000"/>
                <w:sz w:val="24"/>
              </w:rPr>
            </w:pPr>
            <w:r>
              <w:rPr>
                <w:rFonts w:hint="eastAsia" w:ascii="宋体" w:hAnsi="宋体" w:cs="宋体"/>
                <w:bCs/>
                <w:color w:val="000000"/>
                <w:sz w:val="24"/>
              </w:rPr>
              <w:t>项目经理</w:t>
            </w:r>
          </w:p>
        </w:tc>
        <w:tc>
          <w:tcPr>
            <w:tcW w:w="780" w:type="dxa"/>
            <w:tcBorders>
              <w:top w:val="single" w:color="auto" w:sz="4" w:space="0"/>
              <w:left w:val="single" w:color="auto" w:sz="4" w:space="0"/>
              <w:bottom w:val="nil"/>
              <w:right w:val="single" w:color="auto" w:sz="4" w:space="0"/>
            </w:tcBorders>
            <w:vAlign w:val="center"/>
          </w:tcPr>
          <w:p>
            <w:pPr>
              <w:jc w:val="center"/>
              <w:rPr>
                <w:rFonts w:ascii="宋体" w:hAnsi="宋体" w:cs="宋体"/>
                <w:color w:val="000000"/>
                <w:sz w:val="24"/>
              </w:rPr>
            </w:pPr>
          </w:p>
        </w:tc>
        <w:tc>
          <w:tcPr>
            <w:tcW w:w="1035" w:type="dxa"/>
            <w:tcBorders>
              <w:top w:val="single" w:color="auto" w:sz="4" w:space="0"/>
              <w:left w:val="single" w:color="auto" w:sz="4" w:space="0"/>
              <w:bottom w:val="nil"/>
            </w:tcBorders>
            <w:vAlign w:val="center"/>
          </w:tcPr>
          <w:p>
            <w:pPr>
              <w:jc w:val="center"/>
              <w:rPr>
                <w:rFonts w:ascii="宋体" w:hAnsi="宋体" w:cs="宋体"/>
                <w:color w:val="000000"/>
                <w:sz w:val="24"/>
              </w:rPr>
            </w:pPr>
          </w:p>
        </w:tc>
        <w:tc>
          <w:tcPr>
            <w:tcW w:w="1995" w:type="dxa"/>
            <w:tcBorders>
              <w:top w:val="single" w:color="auto" w:sz="4" w:space="0"/>
              <w:bottom w:val="nil"/>
            </w:tcBorders>
            <w:vAlign w:val="center"/>
          </w:tcPr>
          <w:p>
            <w:pPr>
              <w:pStyle w:val="72"/>
              <w:adjustRightInd/>
              <w:spacing w:line="240" w:lineRule="auto"/>
              <w:textAlignment w:val="auto"/>
              <w:rPr>
                <w:rFonts w:ascii="宋体" w:hAnsi="宋体" w:cs="宋体"/>
                <w:color w:val="000000"/>
                <w:spacing w:val="0"/>
                <w:kern w:val="2"/>
                <w:szCs w:val="24"/>
              </w:rPr>
            </w:pPr>
          </w:p>
        </w:tc>
        <w:tc>
          <w:tcPr>
            <w:tcW w:w="795" w:type="dxa"/>
            <w:tcBorders>
              <w:top w:val="single" w:color="auto" w:sz="4" w:space="0"/>
              <w:bottom w:val="nil"/>
            </w:tcBorders>
            <w:vAlign w:val="center"/>
          </w:tcPr>
          <w:p>
            <w:pPr>
              <w:jc w:val="center"/>
              <w:rPr>
                <w:rFonts w:ascii="宋体" w:hAnsi="宋体" w:cs="宋体"/>
                <w:color w:val="000000"/>
                <w:sz w:val="24"/>
              </w:rPr>
            </w:pPr>
          </w:p>
        </w:tc>
        <w:tc>
          <w:tcPr>
            <w:tcW w:w="1440" w:type="dxa"/>
            <w:tcBorders>
              <w:top w:val="single" w:color="auto" w:sz="4" w:space="0"/>
              <w:bottom w:val="nil"/>
              <w:right w:val="single" w:color="auto" w:sz="4" w:space="0"/>
            </w:tcBorders>
            <w:vAlign w:val="center"/>
          </w:tcPr>
          <w:p>
            <w:pPr>
              <w:ind w:firstLine="12"/>
              <w:jc w:val="center"/>
              <w:rPr>
                <w:rFonts w:ascii="宋体" w:hAnsi="宋体" w:cs="宋体"/>
                <w:color w:val="000000"/>
                <w:sz w:val="24"/>
              </w:rPr>
            </w:pPr>
          </w:p>
        </w:tc>
        <w:tc>
          <w:tcPr>
            <w:tcW w:w="900" w:type="dxa"/>
            <w:tcBorders>
              <w:top w:val="single" w:color="auto" w:sz="4" w:space="0"/>
              <w:bottom w:val="nil"/>
              <w:right w:val="single" w:color="auto" w:sz="4" w:space="0"/>
            </w:tcBorders>
            <w:vAlign w:val="center"/>
          </w:tcPr>
          <w:p>
            <w:pPr>
              <w:ind w:firstLine="12"/>
              <w:jc w:val="center"/>
              <w:rPr>
                <w:rFonts w:ascii="宋体" w:hAnsi="宋体" w:cs="宋体"/>
                <w:color w:val="000000"/>
                <w:sz w:val="24"/>
              </w:rPr>
            </w:pPr>
          </w:p>
        </w:tc>
        <w:tc>
          <w:tcPr>
            <w:tcW w:w="990" w:type="dxa"/>
            <w:tcBorders>
              <w:top w:val="single" w:color="auto" w:sz="4" w:space="0"/>
              <w:bottom w:val="nil"/>
              <w:right w:val="single" w:color="auto" w:sz="4" w:space="0"/>
            </w:tcBorders>
            <w:vAlign w:val="center"/>
          </w:tcPr>
          <w:p>
            <w:pPr>
              <w:ind w:firstLine="12"/>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85" w:type="dxa"/>
            <w:vMerge w:val="restart"/>
            <w:tcBorders>
              <w:left w:val="single" w:color="auto" w:sz="4" w:space="0"/>
              <w:right w:val="single" w:color="auto" w:sz="4" w:space="0"/>
            </w:tcBorders>
            <w:vAlign w:val="center"/>
          </w:tcPr>
          <w:p>
            <w:pPr>
              <w:jc w:val="center"/>
              <w:rPr>
                <w:rFonts w:ascii="宋体" w:hAnsi="宋体" w:cs="宋体"/>
                <w:bCs/>
                <w:color w:val="000000"/>
                <w:sz w:val="24"/>
              </w:rPr>
            </w:pPr>
            <w:r>
              <w:rPr>
                <w:rFonts w:hint="eastAsia" w:ascii="宋体" w:hAnsi="宋体" w:cs="宋体"/>
                <w:bCs/>
                <w:color w:val="000000"/>
                <w:sz w:val="24"/>
              </w:rPr>
              <w:t>其他主要服务人员</w:t>
            </w:r>
          </w:p>
        </w:tc>
        <w:tc>
          <w:tcPr>
            <w:tcW w:w="780" w:type="dxa"/>
            <w:tcBorders>
              <w:left w:val="single" w:color="auto" w:sz="4" w:space="0"/>
              <w:right w:val="single" w:color="auto" w:sz="4" w:space="0"/>
            </w:tcBorders>
            <w:vAlign w:val="center"/>
          </w:tcPr>
          <w:p>
            <w:pPr>
              <w:jc w:val="center"/>
              <w:rPr>
                <w:rFonts w:ascii="宋体" w:hAnsi="宋体" w:cs="宋体"/>
                <w:color w:val="000000"/>
                <w:sz w:val="24"/>
              </w:rPr>
            </w:pPr>
          </w:p>
        </w:tc>
        <w:tc>
          <w:tcPr>
            <w:tcW w:w="1035" w:type="dxa"/>
            <w:tcBorders>
              <w:left w:val="single" w:color="auto" w:sz="4" w:space="0"/>
            </w:tcBorders>
            <w:vAlign w:val="center"/>
          </w:tcPr>
          <w:p>
            <w:pPr>
              <w:jc w:val="center"/>
              <w:rPr>
                <w:rFonts w:ascii="宋体" w:hAnsi="宋体" w:cs="宋体"/>
                <w:color w:val="000000"/>
                <w:sz w:val="24"/>
              </w:rPr>
            </w:pPr>
          </w:p>
        </w:tc>
        <w:tc>
          <w:tcPr>
            <w:tcW w:w="1995" w:type="dxa"/>
            <w:vAlign w:val="center"/>
          </w:tcPr>
          <w:p>
            <w:pPr>
              <w:jc w:val="center"/>
              <w:rPr>
                <w:rFonts w:ascii="宋体" w:hAnsi="宋体" w:cs="宋体"/>
                <w:color w:val="000000"/>
                <w:sz w:val="24"/>
              </w:rPr>
            </w:pPr>
          </w:p>
        </w:tc>
        <w:tc>
          <w:tcPr>
            <w:tcW w:w="795" w:type="dxa"/>
            <w:vAlign w:val="center"/>
          </w:tcPr>
          <w:p>
            <w:pPr>
              <w:jc w:val="center"/>
              <w:rPr>
                <w:rFonts w:ascii="宋体" w:hAnsi="宋体" w:cs="宋体"/>
                <w:color w:val="000000"/>
                <w:sz w:val="24"/>
              </w:rPr>
            </w:pPr>
          </w:p>
        </w:tc>
        <w:tc>
          <w:tcPr>
            <w:tcW w:w="1440" w:type="dxa"/>
            <w:tcBorders>
              <w:right w:val="single" w:color="auto" w:sz="4" w:space="0"/>
            </w:tcBorders>
            <w:vAlign w:val="center"/>
          </w:tcPr>
          <w:p>
            <w:pPr>
              <w:jc w:val="center"/>
              <w:rPr>
                <w:rFonts w:ascii="宋体" w:hAnsi="宋体" w:cs="宋体"/>
                <w:color w:val="000000"/>
                <w:sz w:val="24"/>
              </w:rPr>
            </w:pPr>
          </w:p>
        </w:tc>
        <w:tc>
          <w:tcPr>
            <w:tcW w:w="900" w:type="dxa"/>
            <w:tcBorders>
              <w:right w:val="single" w:color="auto" w:sz="4" w:space="0"/>
            </w:tcBorders>
            <w:vAlign w:val="center"/>
          </w:tcPr>
          <w:p>
            <w:pPr>
              <w:jc w:val="center"/>
              <w:rPr>
                <w:rFonts w:ascii="宋体" w:hAnsi="宋体" w:cs="宋体"/>
                <w:color w:val="000000"/>
                <w:sz w:val="24"/>
              </w:rPr>
            </w:pPr>
          </w:p>
        </w:tc>
        <w:tc>
          <w:tcPr>
            <w:tcW w:w="990" w:type="dxa"/>
            <w:tcBorders>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vAlign w:val="center"/>
          </w:tcPr>
          <w:p>
            <w:pPr>
              <w:rPr>
                <w:rFonts w:ascii="宋体" w:hAnsi="宋体" w:cs="宋体"/>
                <w:color w:val="000000"/>
                <w:sz w:val="24"/>
              </w:rPr>
            </w:pPr>
          </w:p>
        </w:tc>
        <w:tc>
          <w:tcPr>
            <w:tcW w:w="780" w:type="dxa"/>
            <w:tcBorders>
              <w:left w:val="single" w:color="auto" w:sz="4" w:space="0"/>
              <w:right w:val="single" w:color="auto" w:sz="4" w:space="0"/>
            </w:tcBorders>
            <w:vAlign w:val="center"/>
          </w:tcPr>
          <w:p>
            <w:pPr>
              <w:jc w:val="center"/>
              <w:rPr>
                <w:rFonts w:ascii="宋体" w:hAnsi="宋体" w:cs="宋体"/>
                <w:color w:val="000000"/>
                <w:sz w:val="24"/>
              </w:rPr>
            </w:pPr>
          </w:p>
        </w:tc>
        <w:tc>
          <w:tcPr>
            <w:tcW w:w="1035" w:type="dxa"/>
            <w:tcBorders>
              <w:left w:val="single" w:color="auto" w:sz="4" w:space="0"/>
            </w:tcBorders>
            <w:vAlign w:val="center"/>
          </w:tcPr>
          <w:p>
            <w:pPr>
              <w:jc w:val="center"/>
              <w:rPr>
                <w:rFonts w:ascii="宋体" w:hAnsi="宋体" w:cs="宋体"/>
                <w:color w:val="000000"/>
                <w:sz w:val="24"/>
              </w:rPr>
            </w:pPr>
          </w:p>
        </w:tc>
        <w:tc>
          <w:tcPr>
            <w:tcW w:w="1995" w:type="dxa"/>
            <w:vAlign w:val="center"/>
          </w:tcPr>
          <w:p>
            <w:pPr>
              <w:jc w:val="center"/>
              <w:rPr>
                <w:rFonts w:ascii="宋体" w:hAnsi="宋体" w:cs="宋体"/>
                <w:color w:val="000000"/>
                <w:sz w:val="24"/>
              </w:rPr>
            </w:pPr>
          </w:p>
        </w:tc>
        <w:tc>
          <w:tcPr>
            <w:tcW w:w="795" w:type="dxa"/>
            <w:vAlign w:val="center"/>
          </w:tcPr>
          <w:p>
            <w:pPr>
              <w:jc w:val="center"/>
              <w:rPr>
                <w:rFonts w:ascii="宋体" w:hAnsi="宋体" w:cs="宋体"/>
                <w:color w:val="000000"/>
                <w:sz w:val="24"/>
              </w:rPr>
            </w:pPr>
          </w:p>
        </w:tc>
        <w:tc>
          <w:tcPr>
            <w:tcW w:w="1440" w:type="dxa"/>
            <w:tcBorders>
              <w:right w:val="single" w:color="auto" w:sz="4" w:space="0"/>
            </w:tcBorders>
            <w:vAlign w:val="center"/>
          </w:tcPr>
          <w:p>
            <w:pPr>
              <w:jc w:val="center"/>
              <w:rPr>
                <w:rFonts w:ascii="宋体" w:hAnsi="宋体" w:cs="宋体"/>
                <w:color w:val="000000"/>
                <w:sz w:val="24"/>
              </w:rPr>
            </w:pPr>
          </w:p>
        </w:tc>
        <w:tc>
          <w:tcPr>
            <w:tcW w:w="900" w:type="dxa"/>
            <w:tcBorders>
              <w:right w:val="single" w:color="auto" w:sz="4" w:space="0"/>
            </w:tcBorders>
            <w:vAlign w:val="center"/>
          </w:tcPr>
          <w:p>
            <w:pPr>
              <w:jc w:val="center"/>
              <w:rPr>
                <w:rFonts w:ascii="宋体" w:hAnsi="宋体" w:cs="宋体"/>
                <w:color w:val="000000"/>
                <w:sz w:val="24"/>
              </w:rPr>
            </w:pPr>
          </w:p>
        </w:tc>
        <w:tc>
          <w:tcPr>
            <w:tcW w:w="990" w:type="dxa"/>
            <w:tcBorders>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vAlign w:val="center"/>
          </w:tcPr>
          <w:p>
            <w:pPr>
              <w:rPr>
                <w:rFonts w:ascii="宋体" w:hAnsi="宋体" w:cs="宋体"/>
                <w:color w:val="000000"/>
                <w:sz w:val="24"/>
              </w:rPr>
            </w:pPr>
          </w:p>
        </w:tc>
        <w:tc>
          <w:tcPr>
            <w:tcW w:w="780" w:type="dxa"/>
            <w:tcBorders>
              <w:left w:val="single" w:color="auto" w:sz="4" w:space="0"/>
              <w:right w:val="single" w:color="auto" w:sz="4" w:space="0"/>
            </w:tcBorders>
            <w:vAlign w:val="center"/>
          </w:tcPr>
          <w:p>
            <w:pPr>
              <w:jc w:val="center"/>
              <w:rPr>
                <w:rFonts w:ascii="宋体" w:hAnsi="宋体" w:cs="宋体"/>
                <w:color w:val="000000"/>
                <w:sz w:val="24"/>
              </w:rPr>
            </w:pPr>
          </w:p>
        </w:tc>
        <w:tc>
          <w:tcPr>
            <w:tcW w:w="1035" w:type="dxa"/>
            <w:tcBorders>
              <w:left w:val="single" w:color="auto" w:sz="4" w:space="0"/>
            </w:tcBorders>
            <w:vAlign w:val="center"/>
          </w:tcPr>
          <w:p>
            <w:pPr>
              <w:jc w:val="center"/>
              <w:rPr>
                <w:rFonts w:ascii="宋体" w:hAnsi="宋体" w:cs="宋体"/>
                <w:color w:val="000000"/>
                <w:sz w:val="24"/>
              </w:rPr>
            </w:pPr>
          </w:p>
        </w:tc>
        <w:tc>
          <w:tcPr>
            <w:tcW w:w="1995" w:type="dxa"/>
            <w:vAlign w:val="center"/>
          </w:tcPr>
          <w:p>
            <w:pPr>
              <w:jc w:val="center"/>
              <w:rPr>
                <w:rFonts w:ascii="宋体" w:hAnsi="宋体" w:cs="宋体"/>
                <w:color w:val="000000"/>
                <w:sz w:val="24"/>
              </w:rPr>
            </w:pPr>
          </w:p>
        </w:tc>
        <w:tc>
          <w:tcPr>
            <w:tcW w:w="795" w:type="dxa"/>
            <w:vAlign w:val="center"/>
          </w:tcPr>
          <w:p>
            <w:pPr>
              <w:jc w:val="center"/>
              <w:rPr>
                <w:rFonts w:ascii="宋体" w:hAnsi="宋体" w:cs="宋体"/>
                <w:color w:val="000000"/>
                <w:sz w:val="24"/>
              </w:rPr>
            </w:pPr>
          </w:p>
        </w:tc>
        <w:tc>
          <w:tcPr>
            <w:tcW w:w="1440" w:type="dxa"/>
            <w:tcBorders>
              <w:right w:val="single" w:color="auto" w:sz="4" w:space="0"/>
            </w:tcBorders>
            <w:vAlign w:val="center"/>
          </w:tcPr>
          <w:p>
            <w:pPr>
              <w:jc w:val="center"/>
              <w:rPr>
                <w:rFonts w:ascii="宋体" w:hAnsi="宋体" w:cs="宋体"/>
                <w:color w:val="000000"/>
                <w:sz w:val="24"/>
              </w:rPr>
            </w:pPr>
          </w:p>
        </w:tc>
        <w:tc>
          <w:tcPr>
            <w:tcW w:w="900" w:type="dxa"/>
            <w:tcBorders>
              <w:right w:val="single" w:color="auto" w:sz="4" w:space="0"/>
            </w:tcBorders>
            <w:vAlign w:val="center"/>
          </w:tcPr>
          <w:p>
            <w:pPr>
              <w:jc w:val="center"/>
              <w:rPr>
                <w:rFonts w:ascii="宋体" w:hAnsi="宋体" w:cs="宋体"/>
                <w:color w:val="000000"/>
                <w:sz w:val="24"/>
              </w:rPr>
            </w:pPr>
          </w:p>
        </w:tc>
        <w:tc>
          <w:tcPr>
            <w:tcW w:w="990" w:type="dxa"/>
            <w:tcBorders>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780" w:type="dxa"/>
            <w:tcBorders>
              <w:left w:val="single" w:color="auto" w:sz="4" w:space="0"/>
              <w:right w:val="single" w:color="auto" w:sz="4" w:space="0"/>
            </w:tcBorders>
            <w:vAlign w:val="center"/>
          </w:tcPr>
          <w:p>
            <w:pPr>
              <w:jc w:val="center"/>
              <w:rPr>
                <w:rFonts w:ascii="宋体" w:hAnsi="宋体" w:cs="宋体"/>
                <w:color w:val="000000"/>
                <w:sz w:val="24"/>
              </w:rPr>
            </w:pPr>
          </w:p>
        </w:tc>
        <w:tc>
          <w:tcPr>
            <w:tcW w:w="1035" w:type="dxa"/>
            <w:tcBorders>
              <w:left w:val="single" w:color="auto" w:sz="4" w:space="0"/>
            </w:tcBorders>
            <w:vAlign w:val="center"/>
          </w:tcPr>
          <w:p>
            <w:pPr>
              <w:jc w:val="center"/>
              <w:rPr>
                <w:rFonts w:ascii="宋体" w:hAnsi="宋体" w:cs="宋体"/>
                <w:color w:val="000000"/>
                <w:sz w:val="24"/>
              </w:rPr>
            </w:pPr>
          </w:p>
        </w:tc>
        <w:tc>
          <w:tcPr>
            <w:tcW w:w="1995" w:type="dxa"/>
            <w:vAlign w:val="center"/>
          </w:tcPr>
          <w:p>
            <w:pPr>
              <w:jc w:val="center"/>
              <w:rPr>
                <w:rFonts w:ascii="宋体" w:hAnsi="宋体" w:cs="宋体"/>
                <w:color w:val="000000"/>
                <w:sz w:val="24"/>
              </w:rPr>
            </w:pPr>
          </w:p>
        </w:tc>
        <w:tc>
          <w:tcPr>
            <w:tcW w:w="795" w:type="dxa"/>
            <w:vAlign w:val="center"/>
          </w:tcPr>
          <w:p>
            <w:pPr>
              <w:jc w:val="center"/>
              <w:rPr>
                <w:rFonts w:ascii="宋体" w:hAnsi="宋体" w:cs="宋体"/>
                <w:color w:val="000000"/>
                <w:sz w:val="24"/>
              </w:rPr>
            </w:pPr>
          </w:p>
        </w:tc>
        <w:tc>
          <w:tcPr>
            <w:tcW w:w="1440" w:type="dxa"/>
            <w:tcBorders>
              <w:right w:val="single" w:color="auto" w:sz="4" w:space="0"/>
            </w:tcBorders>
            <w:vAlign w:val="center"/>
          </w:tcPr>
          <w:p>
            <w:pPr>
              <w:jc w:val="center"/>
              <w:rPr>
                <w:rFonts w:ascii="宋体" w:hAnsi="宋体" w:cs="宋体"/>
                <w:color w:val="000000"/>
                <w:sz w:val="24"/>
              </w:rPr>
            </w:pPr>
          </w:p>
        </w:tc>
        <w:tc>
          <w:tcPr>
            <w:tcW w:w="900" w:type="dxa"/>
            <w:tcBorders>
              <w:right w:val="single" w:color="auto" w:sz="4" w:space="0"/>
            </w:tcBorders>
            <w:vAlign w:val="center"/>
          </w:tcPr>
          <w:p>
            <w:pPr>
              <w:jc w:val="center"/>
              <w:rPr>
                <w:rFonts w:ascii="宋体" w:hAnsi="宋体" w:cs="宋体"/>
                <w:color w:val="000000"/>
                <w:sz w:val="24"/>
              </w:rPr>
            </w:pPr>
          </w:p>
        </w:tc>
        <w:tc>
          <w:tcPr>
            <w:tcW w:w="990" w:type="dxa"/>
            <w:tcBorders>
              <w:right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vAlign w:val="center"/>
          </w:tcPr>
          <w:p>
            <w:pPr>
              <w:jc w:val="center"/>
              <w:rPr>
                <w:rFonts w:ascii="宋体" w:hAnsi="宋体" w:cs="宋体"/>
                <w:color w:val="000000"/>
                <w:sz w:val="24"/>
              </w:rPr>
            </w:pPr>
          </w:p>
        </w:tc>
        <w:tc>
          <w:tcPr>
            <w:tcW w:w="780" w:type="dxa"/>
            <w:tcBorders>
              <w:left w:val="single" w:color="auto" w:sz="4" w:space="0"/>
              <w:right w:val="single" w:color="auto" w:sz="4" w:space="0"/>
            </w:tcBorders>
            <w:vAlign w:val="center"/>
          </w:tcPr>
          <w:p>
            <w:pPr>
              <w:jc w:val="center"/>
              <w:rPr>
                <w:rFonts w:ascii="宋体" w:hAnsi="宋体" w:cs="宋体"/>
                <w:color w:val="000000"/>
                <w:sz w:val="24"/>
              </w:rPr>
            </w:pPr>
          </w:p>
        </w:tc>
        <w:tc>
          <w:tcPr>
            <w:tcW w:w="1035" w:type="dxa"/>
            <w:tcBorders>
              <w:left w:val="single" w:color="auto" w:sz="4" w:space="0"/>
            </w:tcBorders>
            <w:vAlign w:val="center"/>
          </w:tcPr>
          <w:p>
            <w:pPr>
              <w:jc w:val="center"/>
              <w:rPr>
                <w:rFonts w:ascii="宋体" w:hAnsi="宋体" w:cs="宋体"/>
                <w:color w:val="000000"/>
                <w:sz w:val="24"/>
              </w:rPr>
            </w:pPr>
          </w:p>
        </w:tc>
        <w:tc>
          <w:tcPr>
            <w:tcW w:w="1995" w:type="dxa"/>
            <w:vAlign w:val="center"/>
          </w:tcPr>
          <w:p>
            <w:pPr>
              <w:jc w:val="center"/>
              <w:rPr>
                <w:rFonts w:ascii="宋体" w:hAnsi="宋体" w:cs="宋体"/>
                <w:color w:val="000000"/>
                <w:sz w:val="24"/>
              </w:rPr>
            </w:pPr>
          </w:p>
        </w:tc>
        <w:tc>
          <w:tcPr>
            <w:tcW w:w="795" w:type="dxa"/>
            <w:vAlign w:val="center"/>
          </w:tcPr>
          <w:p>
            <w:pPr>
              <w:jc w:val="center"/>
              <w:rPr>
                <w:rFonts w:ascii="宋体" w:hAnsi="宋体" w:cs="宋体"/>
                <w:color w:val="000000"/>
                <w:sz w:val="24"/>
              </w:rPr>
            </w:pPr>
          </w:p>
        </w:tc>
        <w:tc>
          <w:tcPr>
            <w:tcW w:w="1440" w:type="dxa"/>
            <w:tcBorders>
              <w:right w:val="single" w:color="auto" w:sz="4" w:space="0"/>
            </w:tcBorders>
            <w:vAlign w:val="center"/>
          </w:tcPr>
          <w:p>
            <w:pPr>
              <w:jc w:val="center"/>
              <w:rPr>
                <w:rFonts w:ascii="宋体" w:hAnsi="宋体" w:cs="宋体"/>
                <w:color w:val="000000"/>
                <w:sz w:val="24"/>
              </w:rPr>
            </w:pPr>
          </w:p>
        </w:tc>
        <w:tc>
          <w:tcPr>
            <w:tcW w:w="900" w:type="dxa"/>
            <w:tcBorders>
              <w:right w:val="single" w:color="auto" w:sz="4" w:space="0"/>
            </w:tcBorders>
            <w:vAlign w:val="center"/>
          </w:tcPr>
          <w:p>
            <w:pPr>
              <w:jc w:val="center"/>
              <w:rPr>
                <w:rFonts w:ascii="宋体" w:hAnsi="宋体" w:cs="宋体"/>
                <w:color w:val="000000"/>
                <w:sz w:val="24"/>
              </w:rPr>
            </w:pPr>
          </w:p>
        </w:tc>
        <w:tc>
          <w:tcPr>
            <w:tcW w:w="990" w:type="dxa"/>
            <w:tcBorders>
              <w:right w:val="single" w:color="auto" w:sz="4" w:space="0"/>
            </w:tcBorders>
            <w:vAlign w:val="center"/>
          </w:tcPr>
          <w:p>
            <w:pPr>
              <w:jc w:val="center"/>
              <w:rPr>
                <w:rFonts w:ascii="宋体" w:hAnsi="宋体" w:cs="宋体"/>
                <w:color w:val="000000"/>
                <w:sz w:val="24"/>
              </w:rPr>
            </w:pPr>
          </w:p>
        </w:tc>
      </w:tr>
    </w:tbl>
    <w:p>
      <w:pPr>
        <w:adjustRightInd w:val="0"/>
        <w:snapToGrid w:val="0"/>
        <w:spacing w:before="120" w:beforeLines="50" w:line="360" w:lineRule="auto"/>
        <w:ind w:firstLine="480" w:firstLineChars="200"/>
        <w:rPr>
          <w:rFonts w:ascii="宋体" w:hAnsi="宋体" w:cs="宋体"/>
          <w:color w:val="000000"/>
          <w:sz w:val="24"/>
        </w:rPr>
      </w:pPr>
      <w:r>
        <w:rPr>
          <w:rFonts w:hint="eastAsia" w:ascii="宋体" w:hAnsi="宋体" w:cs="宋体"/>
          <w:color w:val="000000"/>
          <w:sz w:val="24"/>
        </w:rPr>
        <w:t>注：</w:t>
      </w:r>
      <w:r>
        <w:rPr>
          <w:rFonts w:hint="eastAsia" w:ascii="宋体" w:hAnsi="宋体" w:cs="宋体"/>
          <w:color w:val="000000"/>
          <w:sz w:val="24"/>
          <w:lang w:val="en-GB"/>
        </w:rPr>
        <w:t>必须按照《商务评审》或《技术评审表》的要求提供团队成员的相关证明材料，不提供不得分。</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adjustRightInd w:val="0"/>
        <w:snapToGrid w:val="0"/>
        <w:spacing w:line="36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line="36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line="360" w:lineRule="auto"/>
        <w:ind w:firstLine="2520" w:firstLineChars="1050"/>
        <w:rPr>
          <w:rFonts w:ascii="宋体" w:hAnsi="宋体" w:cs="宋体"/>
          <w:color w:val="000000"/>
          <w:sz w:val="24"/>
        </w:rPr>
      </w:pPr>
      <w:r>
        <w:rPr>
          <w:rFonts w:hint="eastAsia" w:ascii="宋体" w:hAnsi="宋体" w:cs="宋体"/>
          <w:color w:val="000000"/>
          <w:sz w:val="24"/>
        </w:rPr>
        <w:t>日期：   年   月   日</w:t>
      </w:r>
    </w:p>
    <w:bookmarkEnd w:id="516"/>
    <w:bookmarkEnd w:id="519"/>
    <w:p>
      <w:pPr>
        <w:pStyle w:val="4"/>
        <w:numPr>
          <w:ilvl w:val="0"/>
          <w:numId w:val="106"/>
        </w:numPr>
        <w:jc w:val="center"/>
        <w:rPr>
          <w:color w:val="000000"/>
        </w:rPr>
      </w:pPr>
      <w:bookmarkStart w:id="522" w:name="_Toc20548"/>
      <w:r>
        <w:rPr>
          <w:rFonts w:ascii="宋体" w:hAnsi="宋体" w:cs="宋体"/>
          <w:b w:val="0"/>
          <w:bCs w:val="0"/>
          <w:color w:val="000000"/>
          <w:sz w:val="24"/>
          <w:szCs w:val="24"/>
        </w:rPr>
        <w:br w:type="page"/>
      </w:r>
      <w:bookmarkEnd w:id="522"/>
      <w:bookmarkStart w:id="523" w:name="_Toc28880"/>
      <w:bookmarkStart w:id="524" w:name="_Toc86851562"/>
      <w:r>
        <w:rPr>
          <w:rFonts w:hint="eastAsia"/>
          <w:color w:val="000000"/>
        </w:rPr>
        <w:t>组织实施方案</w:t>
      </w:r>
      <w:bookmarkEnd w:id="523"/>
      <w:bookmarkEnd w:id="524"/>
    </w:p>
    <w:p>
      <w:pPr>
        <w:spacing w:before="72" w:after="72" w:line="400" w:lineRule="exact"/>
        <w:rPr>
          <w:rFonts w:eastAsia="仿宋_GB2312"/>
          <w:color w:val="000000"/>
        </w:rPr>
      </w:pPr>
      <w:bookmarkStart w:id="525" w:name="_Toc168288376"/>
      <w:bookmarkStart w:id="526" w:name="_Toc50737326"/>
      <w:bookmarkStart w:id="527" w:name="_Toc182886670"/>
      <w:bookmarkStart w:id="528" w:name="_Toc52165078"/>
      <w:bookmarkStart w:id="529" w:name="_Toc50737294"/>
      <w:bookmarkStart w:id="530" w:name="_Toc50691030"/>
      <w:bookmarkStart w:id="531" w:name="_Toc169318448"/>
      <w:bookmarkStart w:id="532" w:name="_Toc50736474"/>
      <w:bookmarkStart w:id="533" w:name="_Toc183316730"/>
      <w:bookmarkStart w:id="534" w:name="_Toc168730818"/>
    </w:p>
    <w:p>
      <w:pPr>
        <w:pStyle w:val="4"/>
        <w:numPr>
          <w:ilvl w:val="0"/>
          <w:numId w:val="106"/>
        </w:numPr>
        <w:jc w:val="center"/>
        <w:rPr>
          <w:color w:val="000000"/>
        </w:rPr>
      </w:pPr>
      <w:bookmarkStart w:id="535" w:name="_Toc18209"/>
      <w:bookmarkStart w:id="536" w:name="_Toc196294653"/>
      <w:bookmarkStart w:id="537" w:name="_Toc196109464"/>
      <w:r>
        <w:rPr>
          <w:color w:val="000000"/>
        </w:rPr>
        <w:br w:type="page"/>
      </w:r>
      <w:bookmarkStart w:id="538" w:name="_Toc86851563"/>
      <w:r>
        <w:rPr>
          <w:rFonts w:hint="eastAsia"/>
          <w:color w:val="000000"/>
        </w:rPr>
        <w:t>首轮报价一览表</w:t>
      </w:r>
      <w:bookmarkEnd w:id="535"/>
      <w:bookmarkEnd w:id="538"/>
    </w:p>
    <w:p>
      <w:pPr>
        <w:spacing w:before="72" w:after="72" w:line="360" w:lineRule="auto"/>
        <w:rPr>
          <w:rFonts w:ascii="宋体" w:hAnsi="宋体" w:cs="宋体"/>
          <w:color w:val="000000"/>
          <w:sz w:val="24"/>
        </w:rPr>
      </w:pPr>
      <w:r>
        <w:rPr>
          <w:rFonts w:hint="eastAsia" w:ascii="宋体" w:hAnsi="宋体" w:cs="宋体"/>
          <w:color w:val="000000"/>
          <w:sz w:val="24"/>
        </w:rPr>
        <w:t xml:space="preserve">项目名称：           </w:t>
      </w:r>
    </w:p>
    <w:p>
      <w:pPr>
        <w:jc w:val="left"/>
        <w:rPr>
          <w:rFonts w:ascii="宋体" w:hAnsi="宋体" w:cs="宋体"/>
          <w:color w:val="000000"/>
          <w:sz w:val="24"/>
        </w:rPr>
      </w:pPr>
      <w:r>
        <w:rPr>
          <w:rFonts w:hint="eastAsia" w:ascii="宋体" w:hAnsi="宋体" w:cs="宋体"/>
          <w:color w:val="000000"/>
          <w:sz w:val="24"/>
        </w:rPr>
        <w:t>项目编号：</w:t>
      </w:r>
    </w:p>
    <w:p>
      <w:pPr>
        <w:jc w:val="right"/>
        <w:rPr>
          <w:rFonts w:ascii="宋体" w:hAnsi="宋体" w:cs="Times New Roman"/>
          <w:sz w:val="24"/>
        </w:rPr>
      </w:pPr>
      <w:r>
        <w:rPr>
          <w:rFonts w:hint="eastAsia" w:ascii="Tahoma" w:hAnsi="Tahoma" w:cs="Times New Roman"/>
          <w:b/>
          <w:sz w:val="24"/>
        </w:rPr>
        <w:t>单位</w:t>
      </w:r>
      <w:r>
        <w:rPr>
          <w:rFonts w:ascii="Tahoma" w:hAnsi="Tahoma" w:cs="Times New Roman"/>
          <w:b/>
          <w:sz w:val="24"/>
        </w:rPr>
        <w:t>：</w:t>
      </w:r>
      <w:r>
        <w:rPr>
          <w:rFonts w:hint="eastAsia" w:ascii="Tahoma" w:hAnsi="Tahoma" w:cs="Times New Roman"/>
          <w:b/>
          <w:sz w:val="24"/>
        </w:rPr>
        <w:t>人民币 元</w:t>
      </w:r>
    </w:p>
    <w:tbl>
      <w:tblPr>
        <w:tblStyle w:val="42"/>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799"/>
        <w:gridCol w:w="1089"/>
        <w:gridCol w:w="231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6" w:type="dxa"/>
            <w:vAlign w:val="center"/>
          </w:tcPr>
          <w:p>
            <w:pPr>
              <w:adjustRightInd w:val="0"/>
              <w:snapToGrid w:val="0"/>
              <w:jc w:val="center"/>
              <w:rPr>
                <w:rFonts w:ascii="Tahoma" w:hAnsi="Tahoma" w:cs="Times New Roman"/>
                <w:b/>
                <w:sz w:val="24"/>
              </w:rPr>
            </w:pPr>
            <w:r>
              <w:rPr>
                <w:rFonts w:hint="eastAsia" w:ascii="Tahoma" w:hAnsi="Tahoma" w:cs="Times New Roman"/>
                <w:b/>
                <w:sz w:val="24"/>
              </w:rPr>
              <w:t>序号</w:t>
            </w:r>
          </w:p>
        </w:tc>
        <w:tc>
          <w:tcPr>
            <w:tcW w:w="2799" w:type="dxa"/>
            <w:vAlign w:val="center"/>
          </w:tcPr>
          <w:p>
            <w:pPr>
              <w:adjustRightInd w:val="0"/>
              <w:snapToGrid w:val="0"/>
              <w:jc w:val="center"/>
              <w:rPr>
                <w:rFonts w:ascii="Tahoma" w:hAnsi="Tahoma" w:cs="Times New Roman"/>
                <w:b/>
                <w:sz w:val="24"/>
              </w:rPr>
            </w:pPr>
            <w:r>
              <w:rPr>
                <w:rFonts w:hint="eastAsia" w:ascii="Tahoma" w:hAnsi="Tahoma" w:cs="Times New Roman"/>
                <w:b/>
                <w:sz w:val="24"/>
              </w:rPr>
              <w:t>采购内容</w:t>
            </w:r>
          </w:p>
        </w:tc>
        <w:tc>
          <w:tcPr>
            <w:tcW w:w="1089" w:type="dxa"/>
            <w:vAlign w:val="center"/>
          </w:tcPr>
          <w:p>
            <w:pPr>
              <w:adjustRightInd w:val="0"/>
              <w:snapToGrid w:val="0"/>
              <w:jc w:val="center"/>
              <w:rPr>
                <w:rFonts w:ascii="Tahoma" w:hAnsi="Tahoma" w:cs="Times New Roman"/>
                <w:b/>
                <w:sz w:val="24"/>
              </w:rPr>
            </w:pPr>
            <w:r>
              <w:rPr>
                <w:rFonts w:hint="eastAsia" w:ascii="Tahoma" w:hAnsi="Tahoma" w:cs="Times New Roman"/>
                <w:b/>
                <w:sz w:val="24"/>
              </w:rPr>
              <w:t>数量</w:t>
            </w:r>
          </w:p>
        </w:tc>
        <w:tc>
          <w:tcPr>
            <w:tcW w:w="2315" w:type="dxa"/>
            <w:vAlign w:val="center"/>
          </w:tcPr>
          <w:p>
            <w:pPr>
              <w:adjustRightInd w:val="0"/>
              <w:snapToGrid w:val="0"/>
              <w:jc w:val="center"/>
              <w:rPr>
                <w:rFonts w:ascii="Tahoma" w:hAnsi="Tahoma" w:cs="Times New Roman"/>
                <w:b/>
                <w:sz w:val="24"/>
              </w:rPr>
            </w:pPr>
            <w:r>
              <w:rPr>
                <w:rFonts w:hint="eastAsia" w:ascii="Tahoma" w:hAnsi="Tahoma" w:cs="Times New Roman"/>
                <w:b/>
                <w:sz w:val="24"/>
              </w:rPr>
              <w:t>投标报价</w:t>
            </w:r>
          </w:p>
        </w:tc>
        <w:tc>
          <w:tcPr>
            <w:tcW w:w="1943" w:type="dxa"/>
            <w:vAlign w:val="center"/>
          </w:tcPr>
          <w:p>
            <w:pPr>
              <w:widowControl/>
              <w:jc w:val="center"/>
              <w:rPr>
                <w:rFonts w:ascii="Tahoma" w:hAnsi="Tahoma" w:cs="Times New Roman"/>
                <w:b/>
                <w:sz w:val="24"/>
              </w:rPr>
            </w:pPr>
            <w:r>
              <w:rPr>
                <w:rFonts w:hint="eastAsia" w:ascii="Tahoma" w:hAnsi="Tahoma" w:cs="Times New Roman"/>
                <w:b/>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6" w:type="dxa"/>
            <w:vAlign w:val="center"/>
          </w:tcPr>
          <w:p>
            <w:pPr>
              <w:adjustRightInd w:val="0"/>
              <w:snapToGrid w:val="0"/>
              <w:jc w:val="center"/>
              <w:rPr>
                <w:rFonts w:ascii="Tahoma" w:hAnsi="Tahoma" w:cs="Times New Roman"/>
                <w:sz w:val="24"/>
              </w:rPr>
            </w:pPr>
          </w:p>
        </w:tc>
        <w:tc>
          <w:tcPr>
            <w:tcW w:w="2799" w:type="dxa"/>
            <w:vAlign w:val="center"/>
          </w:tcPr>
          <w:p>
            <w:pPr>
              <w:adjustRightInd w:val="0"/>
              <w:snapToGrid w:val="0"/>
              <w:jc w:val="center"/>
              <w:rPr>
                <w:rFonts w:ascii="Tahoma" w:hAnsi="Tahoma" w:cs="Times New Roman"/>
                <w:sz w:val="24"/>
              </w:rPr>
            </w:pPr>
          </w:p>
          <w:p>
            <w:pPr>
              <w:adjustRightInd w:val="0"/>
              <w:snapToGrid w:val="0"/>
              <w:rPr>
                <w:rFonts w:ascii="Tahoma" w:hAnsi="Tahoma" w:cs="Times New Roman"/>
                <w:sz w:val="24"/>
              </w:rPr>
            </w:pPr>
          </w:p>
        </w:tc>
        <w:tc>
          <w:tcPr>
            <w:tcW w:w="1089" w:type="dxa"/>
            <w:vAlign w:val="center"/>
          </w:tcPr>
          <w:p>
            <w:pPr>
              <w:adjustRightInd w:val="0"/>
              <w:snapToGrid w:val="0"/>
              <w:jc w:val="center"/>
              <w:rPr>
                <w:rFonts w:ascii="Tahoma" w:hAnsi="Tahoma" w:cs="Times New Roman"/>
                <w:sz w:val="24"/>
              </w:rPr>
            </w:pPr>
          </w:p>
        </w:tc>
        <w:tc>
          <w:tcPr>
            <w:tcW w:w="2315" w:type="dxa"/>
            <w:vAlign w:val="center"/>
          </w:tcPr>
          <w:p>
            <w:pPr>
              <w:adjustRightInd w:val="0"/>
              <w:snapToGrid w:val="0"/>
              <w:rPr>
                <w:rFonts w:ascii="Tahoma" w:hAnsi="Tahoma" w:cs="Times New Roman"/>
                <w:sz w:val="24"/>
              </w:rPr>
            </w:pPr>
            <w:r>
              <w:rPr>
                <w:rFonts w:hint="eastAsia" w:ascii="Tahoma" w:hAnsi="Tahoma" w:cs="Times New Roman"/>
                <w:sz w:val="24"/>
              </w:rPr>
              <w:t>小写：RMB</w:t>
            </w:r>
          </w:p>
          <w:p>
            <w:pPr>
              <w:adjustRightInd w:val="0"/>
              <w:snapToGrid w:val="0"/>
              <w:rPr>
                <w:rFonts w:ascii="Tahoma" w:hAnsi="Tahoma" w:cs="Times New Roman"/>
                <w:sz w:val="24"/>
              </w:rPr>
            </w:pPr>
            <w:r>
              <w:rPr>
                <w:rFonts w:hint="eastAsia" w:ascii="Tahoma" w:hAnsi="Tahoma" w:cs="Times New Roman"/>
                <w:sz w:val="24"/>
              </w:rPr>
              <w:t>大写：</w:t>
            </w:r>
          </w:p>
        </w:tc>
        <w:tc>
          <w:tcPr>
            <w:tcW w:w="1943" w:type="dxa"/>
            <w:vAlign w:val="center"/>
          </w:tcPr>
          <w:p>
            <w:pPr>
              <w:adjustRightInd w:val="0"/>
              <w:snapToGrid w:val="0"/>
              <w:rPr>
                <w:rFonts w:ascii="Tahoma" w:hAnsi="Tahoma" w:cs="Times New Roman"/>
                <w:sz w:val="24"/>
              </w:rPr>
            </w:pPr>
          </w:p>
        </w:tc>
      </w:tr>
    </w:tbl>
    <w:p>
      <w:pPr>
        <w:tabs>
          <w:tab w:val="center" w:pos="4957"/>
        </w:tabs>
        <w:spacing w:line="560" w:lineRule="exact"/>
        <w:rPr>
          <w:rFonts w:ascii="宋体" w:hAnsi="宋体" w:cs="Times New Roman"/>
          <w:b/>
          <w:sz w:val="24"/>
        </w:rPr>
      </w:pPr>
    </w:p>
    <w:p>
      <w:pPr>
        <w:tabs>
          <w:tab w:val="center" w:pos="4957"/>
        </w:tabs>
        <w:spacing w:line="560" w:lineRule="exact"/>
        <w:rPr>
          <w:rFonts w:ascii="宋体" w:hAnsi="宋体" w:cs="Times New Roman"/>
          <w:b/>
          <w:sz w:val="24"/>
        </w:rPr>
      </w:pPr>
      <w:r>
        <w:rPr>
          <w:rFonts w:hint="eastAsia" w:ascii="宋体" w:hAnsi="宋体" w:cs="Times New Roman"/>
          <w:b/>
          <w:sz w:val="24"/>
        </w:rPr>
        <w:t>备注：</w:t>
      </w:r>
    </w:p>
    <w:p>
      <w:pPr>
        <w:numPr>
          <w:ilvl w:val="0"/>
          <w:numId w:val="114"/>
        </w:numPr>
        <w:adjustRightInd w:val="0"/>
        <w:spacing w:line="360" w:lineRule="atLeast"/>
        <w:textAlignment w:val="baseline"/>
        <w:rPr>
          <w:rFonts w:ascii="宋体" w:hAnsi="宋体" w:cs="Times New Roman"/>
          <w:sz w:val="24"/>
        </w:rPr>
      </w:pPr>
      <w:r>
        <w:rPr>
          <w:rFonts w:hint="eastAsia" w:ascii="宋体" w:hAnsi="宋体" w:cs="Times New Roman"/>
          <w:sz w:val="24"/>
        </w:rPr>
        <w:t>中文大写金额用汉字，如壹、贰、叁、肆、伍、陆、柒、捌、玖、拾、佰、仟、万、亿、元、角、分、零、整（正）等。</w:t>
      </w:r>
    </w:p>
    <w:p>
      <w:pPr>
        <w:numPr>
          <w:ilvl w:val="0"/>
          <w:numId w:val="114"/>
        </w:numPr>
        <w:adjustRightInd w:val="0"/>
        <w:spacing w:line="360" w:lineRule="atLeast"/>
        <w:textAlignment w:val="baseline"/>
        <w:rPr>
          <w:rFonts w:ascii="宋体" w:hAnsi="宋体" w:cs="Times New Roman"/>
          <w:sz w:val="24"/>
        </w:rPr>
      </w:pPr>
      <w:r>
        <w:rPr>
          <w:rFonts w:hint="eastAsia" w:ascii="宋体" w:hAnsi="宋体" w:cs="Times New Roman"/>
          <w:sz w:val="24"/>
        </w:rPr>
        <w:t>投标报价的小数点后保留两位有效数。</w:t>
      </w:r>
    </w:p>
    <w:p>
      <w:pPr>
        <w:numPr>
          <w:ilvl w:val="0"/>
          <w:numId w:val="114"/>
        </w:numPr>
        <w:adjustRightInd w:val="0"/>
        <w:spacing w:line="360" w:lineRule="atLeast"/>
        <w:textAlignment w:val="baseline"/>
        <w:rPr>
          <w:rFonts w:ascii="宋体" w:hAnsi="宋体" w:cs="Times New Roman"/>
          <w:sz w:val="24"/>
        </w:rPr>
      </w:pPr>
      <w:bookmarkStart w:id="539" w:name="_Hlk24729326"/>
      <w:r>
        <w:rPr>
          <w:rFonts w:hint="eastAsia" w:ascii="宋体" w:hAnsi="宋体" w:cs="Times New Roman"/>
          <w:sz w:val="24"/>
        </w:rPr>
        <w:t>投标人须按要求填写，不得随意更改本表格式；</w:t>
      </w:r>
    </w:p>
    <w:p>
      <w:pPr>
        <w:numPr>
          <w:ilvl w:val="0"/>
          <w:numId w:val="114"/>
        </w:numPr>
        <w:adjustRightInd w:val="0"/>
        <w:spacing w:line="360" w:lineRule="atLeast"/>
        <w:textAlignment w:val="baseline"/>
        <w:rPr>
          <w:rFonts w:ascii="宋体" w:hAnsi="宋体" w:cs="Times New Roman"/>
          <w:sz w:val="24"/>
        </w:rPr>
      </w:pPr>
      <w:r>
        <w:rPr>
          <w:rFonts w:hint="eastAsia" w:ascii="宋体" w:hAnsi="宋体" w:cs="Times New Roman"/>
          <w:sz w:val="24"/>
        </w:rPr>
        <w:t>投标人的报价的货款结算结果已包括采购、包装、保护、保管、仓储、运输、搬运、转运、安装、调试、检测、备品备件、保修期内售后服务培训费用之和、验收、保修期内的维护保养及招标代理服务费等所有含税费用；</w:t>
      </w:r>
    </w:p>
    <w:bookmarkEnd w:id="539"/>
    <w:p>
      <w:pPr>
        <w:spacing w:before="72" w:after="72" w:line="360" w:lineRule="auto"/>
        <w:rPr>
          <w:rFonts w:ascii="宋体" w:hAnsi="宋体" w:cs="宋体"/>
          <w:color w:val="000000"/>
          <w:sz w:val="24"/>
        </w:rPr>
      </w:pPr>
    </w:p>
    <w:p>
      <w:pPr>
        <w:spacing w:before="72" w:after="72" w:line="360" w:lineRule="auto"/>
        <w:rPr>
          <w:rFonts w:ascii="宋体" w:hAnsi="宋体" w:cs="宋体"/>
          <w:color w:val="000000"/>
          <w:sz w:val="24"/>
        </w:rPr>
      </w:pPr>
    </w:p>
    <w:bookmarkEnd w:id="536"/>
    <w:bookmarkEnd w:id="537"/>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ascii="宋体" w:hAnsi="宋体" w:cs="宋体"/>
          <w:color w:val="000000"/>
          <w:sz w:val="24"/>
        </w:rPr>
      </w:pPr>
      <w:r>
        <w:rPr>
          <w:rFonts w:hint="eastAsia" w:ascii="宋体" w:hAnsi="宋体" w:cs="宋体"/>
          <w:color w:val="000000"/>
          <w:sz w:val="24"/>
        </w:rPr>
        <w:t>日期：   年   月   日</w:t>
      </w:r>
    </w:p>
    <w:p>
      <w:pPr>
        <w:spacing w:before="72" w:after="72" w:line="400" w:lineRule="exact"/>
        <w:ind w:firstLine="2530" w:firstLineChars="1050"/>
        <w:rPr>
          <w:rFonts w:eastAsia="仿宋_GB2312"/>
          <w:b/>
          <w:color w:val="000000"/>
          <w:sz w:val="24"/>
        </w:rPr>
      </w:pPr>
    </w:p>
    <w:p>
      <w:pPr>
        <w:spacing w:before="72" w:after="72" w:line="400" w:lineRule="exact"/>
        <w:ind w:firstLine="2530" w:firstLineChars="1050"/>
        <w:rPr>
          <w:rFonts w:eastAsia="仿宋_GB2312"/>
          <w:b/>
          <w:color w:val="000000"/>
          <w:sz w:val="24"/>
        </w:rPr>
      </w:pPr>
    </w:p>
    <w:p>
      <w:pPr>
        <w:spacing w:before="72" w:after="72" w:line="400" w:lineRule="exact"/>
        <w:ind w:firstLine="2530" w:firstLineChars="1050"/>
        <w:rPr>
          <w:rFonts w:eastAsia="仿宋_GB2312"/>
          <w:b/>
          <w:color w:val="000000"/>
          <w:sz w:val="24"/>
        </w:rPr>
      </w:pPr>
    </w:p>
    <w:p>
      <w:pPr>
        <w:spacing w:before="72" w:after="72" w:line="400" w:lineRule="exact"/>
        <w:ind w:firstLine="2530" w:firstLineChars="1050"/>
        <w:rPr>
          <w:rFonts w:eastAsia="仿宋_GB2312"/>
          <w:b/>
          <w:color w:val="000000"/>
          <w:sz w:val="24"/>
        </w:rPr>
      </w:pPr>
    </w:p>
    <w:p>
      <w:pPr>
        <w:spacing w:before="72" w:after="72" w:line="400" w:lineRule="exact"/>
        <w:ind w:firstLine="2530" w:firstLineChars="1050"/>
        <w:rPr>
          <w:rFonts w:eastAsia="仿宋_GB2312"/>
          <w:b/>
          <w:color w:val="000000"/>
          <w:sz w:val="24"/>
        </w:rPr>
      </w:pPr>
    </w:p>
    <w:p>
      <w:pPr>
        <w:pStyle w:val="4"/>
        <w:ind w:left="420" w:firstLine="0"/>
        <w:jc w:val="center"/>
        <w:rPr>
          <w:color w:val="000000"/>
        </w:rPr>
      </w:pPr>
      <w:bookmarkStart w:id="540" w:name="_Toc31210"/>
      <w:bookmarkStart w:id="541" w:name="_Toc86851564"/>
      <w:r>
        <w:rPr>
          <w:rFonts w:hint="eastAsia"/>
          <w:color w:val="000000"/>
        </w:rPr>
        <w:t>首轮报价明细表</w:t>
      </w:r>
      <w:bookmarkEnd w:id="540"/>
      <w:bookmarkEnd w:id="541"/>
    </w:p>
    <w:p>
      <w:pPr>
        <w:spacing w:before="72" w:after="72" w:line="360" w:lineRule="auto"/>
        <w:jc w:val="left"/>
        <w:rPr>
          <w:rFonts w:ascii="宋体" w:hAnsi="宋体" w:cs="宋体"/>
          <w:color w:val="000000"/>
          <w:sz w:val="24"/>
        </w:rPr>
      </w:pPr>
      <w:r>
        <w:rPr>
          <w:rFonts w:hint="eastAsia" w:ascii="宋体" w:hAnsi="宋体" w:cs="宋体"/>
          <w:color w:val="000000"/>
          <w:sz w:val="24"/>
        </w:rPr>
        <w:t xml:space="preserve">项目名称： </w:t>
      </w:r>
    </w:p>
    <w:p>
      <w:pPr>
        <w:spacing w:before="72" w:after="72" w:line="360" w:lineRule="auto"/>
        <w:rPr>
          <w:rFonts w:ascii="宋体" w:hAnsi="宋体" w:cs="宋体"/>
          <w:color w:val="000000"/>
          <w:sz w:val="24"/>
        </w:rPr>
      </w:pPr>
      <w:r>
        <w:rPr>
          <w:rFonts w:hint="eastAsia" w:ascii="宋体" w:hAnsi="宋体" w:cs="宋体"/>
          <w:color w:val="000000"/>
          <w:sz w:val="24"/>
        </w:rPr>
        <w:t>项目编号：</w:t>
      </w:r>
    </w:p>
    <w:p>
      <w:pPr>
        <w:ind w:right="120"/>
        <w:jc w:val="right"/>
        <w:rPr>
          <w:rFonts w:ascii="宋体" w:hAnsi="宋体" w:cs="Times New Roman"/>
          <w:sz w:val="24"/>
        </w:rPr>
      </w:pPr>
      <w:r>
        <w:rPr>
          <w:rFonts w:hint="eastAsia" w:ascii="Tahoma" w:hAnsi="Tahoma" w:cs="Times New Roman"/>
          <w:b/>
          <w:sz w:val="24"/>
        </w:rPr>
        <w:t>单位</w:t>
      </w:r>
      <w:r>
        <w:rPr>
          <w:rFonts w:ascii="Tahoma" w:hAnsi="Tahoma" w:cs="Times New Roman"/>
          <w:b/>
          <w:sz w:val="24"/>
        </w:rPr>
        <w:t>：</w:t>
      </w:r>
      <w:r>
        <w:rPr>
          <w:rFonts w:hint="eastAsia" w:ascii="Tahoma" w:hAnsi="Tahoma" w:cs="Times New Roman"/>
          <w:b/>
          <w:sz w:val="24"/>
        </w:rPr>
        <w:t>人民币 元</w:t>
      </w:r>
    </w:p>
    <w:tbl>
      <w:tblPr>
        <w:tblStyle w:val="42"/>
        <w:tblW w:w="95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27"/>
        <w:gridCol w:w="1038"/>
        <w:gridCol w:w="908"/>
        <w:gridCol w:w="1002"/>
        <w:gridCol w:w="778"/>
        <w:gridCol w:w="954"/>
        <w:gridCol w:w="864"/>
        <w:gridCol w:w="77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blHeader/>
        </w:trPr>
        <w:tc>
          <w:tcPr>
            <w:tcW w:w="878" w:type="dxa"/>
            <w:vAlign w:val="center"/>
          </w:tcPr>
          <w:p>
            <w:pPr>
              <w:jc w:val="center"/>
              <w:rPr>
                <w:rFonts w:ascii="Tahoma" w:hAnsi="Tahoma" w:cs="Times New Roman"/>
                <w:b/>
                <w:bCs/>
                <w:sz w:val="24"/>
              </w:rPr>
            </w:pPr>
            <w:r>
              <w:rPr>
                <w:rFonts w:hint="eastAsia" w:ascii="Tahoma" w:hAnsi="Tahoma" w:cs="Times New Roman"/>
                <w:b/>
                <w:bCs/>
                <w:sz w:val="24"/>
              </w:rPr>
              <w:t>序号</w:t>
            </w:r>
          </w:p>
        </w:tc>
        <w:tc>
          <w:tcPr>
            <w:tcW w:w="1427" w:type="dxa"/>
            <w:vAlign w:val="center"/>
          </w:tcPr>
          <w:p>
            <w:pPr>
              <w:jc w:val="center"/>
              <w:rPr>
                <w:rFonts w:ascii="Tahoma" w:hAnsi="Tahoma" w:cs="Times New Roman"/>
                <w:b/>
                <w:bCs/>
                <w:sz w:val="24"/>
              </w:rPr>
            </w:pPr>
            <w:r>
              <w:rPr>
                <w:rFonts w:hint="eastAsia" w:ascii="Tahoma" w:hAnsi="Tahoma" w:cs="Times New Roman"/>
                <w:b/>
                <w:bCs/>
                <w:sz w:val="24"/>
              </w:rPr>
              <w:t>产品</w:t>
            </w:r>
            <w:r>
              <w:rPr>
                <w:rFonts w:ascii="Tahoma" w:hAnsi="Tahoma" w:cs="Times New Roman"/>
                <w:b/>
                <w:bCs/>
                <w:sz w:val="24"/>
              </w:rPr>
              <w:t>名称</w:t>
            </w:r>
          </w:p>
        </w:tc>
        <w:tc>
          <w:tcPr>
            <w:tcW w:w="1038" w:type="dxa"/>
            <w:vAlign w:val="center"/>
          </w:tcPr>
          <w:p>
            <w:pPr>
              <w:jc w:val="center"/>
              <w:rPr>
                <w:rFonts w:ascii="Tahoma" w:hAnsi="Tahoma" w:cs="Times New Roman"/>
                <w:b/>
                <w:bCs/>
                <w:sz w:val="24"/>
              </w:rPr>
            </w:pPr>
            <w:r>
              <w:rPr>
                <w:rFonts w:ascii="Tahoma" w:hAnsi="Tahoma" w:cs="Times New Roman"/>
                <w:b/>
                <w:bCs/>
                <w:sz w:val="24"/>
              </w:rPr>
              <w:t>规格</w:t>
            </w:r>
            <w:r>
              <w:rPr>
                <w:rFonts w:hint="eastAsia" w:ascii="Tahoma" w:hAnsi="Tahoma" w:cs="Times New Roman"/>
                <w:b/>
                <w:bCs/>
                <w:sz w:val="24"/>
              </w:rPr>
              <w:t>和</w:t>
            </w:r>
            <w:r>
              <w:rPr>
                <w:rFonts w:ascii="Tahoma" w:hAnsi="Tahoma" w:cs="Times New Roman"/>
                <w:b/>
                <w:bCs/>
                <w:sz w:val="24"/>
              </w:rPr>
              <w:t>型号</w:t>
            </w:r>
          </w:p>
        </w:tc>
        <w:tc>
          <w:tcPr>
            <w:tcW w:w="908" w:type="dxa"/>
            <w:vAlign w:val="center"/>
          </w:tcPr>
          <w:p>
            <w:pPr>
              <w:jc w:val="center"/>
              <w:rPr>
                <w:rFonts w:ascii="Tahoma" w:hAnsi="Tahoma" w:cs="Times New Roman"/>
                <w:b/>
                <w:bCs/>
                <w:sz w:val="24"/>
              </w:rPr>
            </w:pPr>
            <w:r>
              <w:rPr>
                <w:rFonts w:hint="eastAsia" w:ascii="Tahoma" w:hAnsi="Tahoma" w:cs="Times New Roman"/>
                <w:b/>
                <w:bCs/>
                <w:sz w:val="24"/>
              </w:rPr>
              <w:t>品牌</w:t>
            </w:r>
          </w:p>
        </w:tc>
        <w:tc>
          <w:tcPr>
            <w:tcW w:w="1002" w:type="dxa"/>
            <w:vAlign w:val="center"/>
          </w:tcPr>
          <w:p>
            <w:pPr>
              <w:jc w:val="center"/>
              <w:rPr>
                <w:rFonts w:ascii="Tahoma" w:hAnsi="Tahoma" w:cs="Times New Roman"/>
                <w:b/>
                <w:bCs/>
                <w:sz w:val="24"/>
              </w:rPr>
            </w:pPr>
            <w:r>
              <w:rPr>
                <w:rFonts w:hint="eastAsia" w:ascii="Tahoma" w:hAnsi="Tahoma" w:cs="Times New Roman"/>
                <w:b/>
                <w:bCs/>
                <w:sz w:val="24"/>
              </w:rPr>
              <w:t>制造商名称</w:t>
            </w:r>
          </w:p>
        </w:tc>
        <w:tc>
          <w:tcPr>
            <w:tcW w:w="778" w:type="dxa"/>
            <w:vAlign w:val="center"/>
          </w:tcPr>
          <w:p>
            <w:pPr>
              <w:jc w:val="center"/>
              <w:rPr>
                <w:rFonts w:ascii="Tahoma" w:hAnsi="Tahoma" w:cs="Times New Roman"/>
                <w:b/>
                <w:bCs/>
                <w:sz w:val="24"/>
              </w:rPr>
            </w:pPr>
            <w:r>
              <w:rPr>
                <w:rFonts w:hint="eastAsia" w:ascii="Tahoma" w:hAnsi="Tahoma" w:cs="Times New Roman"/>
                <w:b/>
                <w:bCs/>
                <w:sz w:val="24"/>
              </w:rPr>
              <w:t>原</w:t>
            </w:r>
            <w:r>
              <w:rPr>
                <w:rFonts w:ascii="Tahoma" w:hAnsi="Tahoma" w:cs="Times New Roman"/>
                <w:b/>
                <w:bCs/>
                <w:sz w:val="24"/>
              </w:rPr>
              <w:t>产地</w:t>
            </w:r>
          </w:p>
        </w:tc>
        <w:tc>
          <w:tcPr>
            <w:tcW w:w="954" w:type="dxa"/>
            <w:vAlign w:val="center"/>
          </w:tcPr>
          <w:p>
            <w:pPr>
              <w:jc w:val="center"/>
              <w:rPr>
                <w:rFonts w:ascii="Tahoma" w:hAnsi="Tahoma" w:cs="Times New Roman"/>
                <w:b/>
                <w:bCs/>
                <w:sz w:val="24"/>
              </w:rPr>
            </w:pPr>
            <w:r>
              <w:rPr>
                <w:rFonts w:ascii="Tahoma" w:hAnsi="Tahoma" w:cs="Times New Roman"/>
                <w:b/>
                <w:bCs/>
                <w:sz w:val="24"/>
              </w:rPr>
              <w:t>数量</w:t>
            </w:r>
          </w:p>
        </w:tc>
        <w:tc>
          <w:tcPr>
            <w:tcW w:w="864" w:type="dxa"/>
            <w:vAlign w:val="center"/>
          </w:tcPr>
          <w:p>
            <w:pPr>
              <w:jc w:val="center"/>
              <w:rPr>
                <w:rFonts w:ascii="Tahoma" w:hAnsi="Tahoma" w:cs="Times New Roman"/>
                <w:b/>
                <w:bCs/>
                <w:sz w:val="24"/>
              </w:rPr>
            </w:pPr>
            <w:r>
              <w:rPr>
                <w:rFonts w:ascii="Tahoma" w:hAnsi="Tahoma" w:cs="Times New Roman"/>
                <w:b/>
                <w:bCs/>
                <w:sz w:val="24"/>
              </w:rPr>
              <w:t>单价</w:t>
            </w:r>
          </w:p>
        </w:tc>
        <w:tc>
          <w:tcPr>
            <w:tcW w:w="778" w:type="dxa"/>
            <w:vAlign w:val="center"/>
          </w:tcPr>
          <w:p>
            <w:pPr>
              <w:jc w:val="center"/>
              <w:rPr>
                <w:rFonts w:ascii="Tahoma" w:hAnsi="Tahoma" w:cs="Times New Roman"/>
                <w:b/>
                <w:bCs/>
                <w:sz w:val="24"/>
              </w:rPr>
            </w:pPr>
            <w:r>
              <w:rPr>
                <w:rFonts w:hint="eastAsia" w:ascii="Tahoma" w:hAnsi="Tahoma" w:cs="Times New Roman"/>
                <w:b/>
                <w:bCs/>
                <w:sz w:val="24"/>
              </w:rPr>
              <w:t>合计</w:t>
            </w:r>
          </w:p>
        </w:tc>
        <w:tc>
          <w:tcPr>
            <w:tcW w:w="949" w:type="dxa"/>
            <w:vAlign w:val="center"/>
          </w:tcPr>
          <w:p>
            <w:pPr>
              <w:jc w:val="center"/>
              <w:rPr>
                <w:rFonts w:ascii="Tahoma" w:hAnsi="Tahoma" w:cs="Times New Roman"/>
                <w:b/>
                <w:bCs/>
                <w:sz w:val="24"/>
              </w:rPr>
            </w:pPr>
            <w:r>
              <w:rPr>
                <w:rFonts w:ascii="Tahoma" w:hAnsi="Tahoma"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78" w:type="dxa"/>
            <w:vAlign w:val="center"/>
          </w:tcPr>
          <w:p>
            <w:pPr>
              <w:widowControl/>
              <w:jc w:val="center"/>
              <w:rPr>
                <w:rFonts w:hint="eastAsia" w:ascii="Tahoma" w:hAnsi="Tahoma" w:cs="Times New Roman"/>
                <w:sz w:val="24"/>
              </w:rPr>
            </w:pPr>
            <w:r>
              <w:rPr>
                <w:rFonts w:hint="eastAsia" w:ascii="Tahoma" w:hAnsi="Tahoma" w:cs="Times New Roman"/>
                <w:sz w:val="24"/>
              </w:rPr>
              <w:t>1</w:t>
            </w:r>
          </w:p>
        </w:tc>
        <w:tc>
          <w:tcPr>
            <w:tcW w:w="1427" w:type="dxa"/>
            <w:vAlign w:val="center"/>
          </w:tcPr>
          <w:p>
            <w:pPr>
              <w:ind w:firstLine="480"/>
              <w:rPr>
                <w:rFonts w:ascii="Tahoma" w:hAnsi="Tahoma" w:cs="Times New Roman"/>
                <w:sz w:val="24"/>
              </w:rPr>
            </w:pPr>
          </w:p>
        </w:tc>
        <w:tc>
          <w:tcPr>
            <w:tcW w:w="1038" w:type="dxa"/>
            <w:vAlign w:val="center"/>
          </w:tcPr>
          <w:p>
            <w:pPr>
              <w:ind w:firstLine="480"/>
              <w:rPr>
                <w:rFonts w:ascii="Tahoma" w:hAnsi="Tahoma" w:cs="Times New Roman"/>
                <w:sz w:val="24"/>
              </w:rPr>
            </w:pPr>
          </w:p>
        </w:tc>
        <w:tc>
          <w:tcPr>
            <w:tcW w:w="908" w:type="dxa"/>
            <w:vAlign w:val="center"/>
          </w:tcPr>
          <w:p>
            <w:pPr>
              <w:ind w:firstLine="480"/>
              <w:rPr>
                <w:rFonts w:ascii="Tahoma" w:hAnsi="Tahoma" w:cs="Times New Roman"/>
                <w:sz w:val="24"/>
              </w:rPr>
            </w:pPr>
          </w:p>
        </w:tc>
        <w:tc>
          <w:tcPr>
            <w:tcW w:w="1002"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54" w:type="dxa"/>
            <w:vAlign w:val="center"/>
          </w:tcPr>
          <w:p>
            <w:pPr>
              <w:ind w:firstLine="480"/>
              <w:rPr>
                <w:rFonts w:ascii="Tahoma" w:hAnsi="Tahoma" w:cs="Times New Roman"/>
                <w:sz w:val="24"/>
              </w:rPr>
            </w:pPr>
          </w:p>
        </w:tc>
        <w:tc>
          <w:tcPr>
            <w:tcW w:w="864"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49" w:type="dxa"/>
            <w:vAlign w:val="center"/>
          </w:tcPr>
          <w:p>
            <w:pPr>
              <w:ind w:firstLine="480"/>
              <w:rPr>
                <w:rFonts w:ascii="Tahoma" w:hAnsi="Tahoma"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78" w:type="dxa"/>
            <w:vAlign w:val="center"/>
          </w:tcPr>
          <w:p>
            <w:pPr>
              <w:widowControl/>
              <w:jc w:val="center"/>
              <w:rPr>
                <w:rFonts w:hint="eastAsia" w:ascii="Tahoma" w:hAnsi="Tahoma" w:cs="Times New Roman"/>
                <w:sz w:val="24"/>
              </w:rPr>
            </w:pPr>
            <w:r>
              <w:rPr>
                <w:rFonts w:hint="eastAsia" w:ascii="Tahoma" w:hAnsi="Tahoma" w:cs="Times New Roman"/>
                <w:sz w:val="24"/>
              </w:rPr>
              <w:t>2</w:t>
            </w:r>
          </w:p>
        </w:tc>
        <w:tc>
          <w:tcPr>
            <w:tcW w:w="1427" w:type="dxa"/>
            <w:vAlign w:val="center"/>
          </w:tcPr>
          <w:p>
            <w:pPr>
              <w:ind w:firstLine="480"/>
              <w:rPr>
                <w:rFonts w:ascii="Tahoma" w:hAnsi="Tahoma" w:cs="Times New Roman"/>
                <w:sz w:val="24"/>
              </w:rPr>
            </w:pPr>
          </w:p>
        </w:tc>
        <w:tc>
          <w:tcPr>
            <w:tcW w:w="1038" w:type="dxa"/>
            <w:vAlign w:val="center"/>
          </w:tcPr>
          <w:p>
            <w:pPr>
              <w:ind w:firstLine="480"/>
              <w:rPr>
                <w:rFonts w:ascii="Tahoma" w:hAnsi="Tahoma" w:cs="Times New Roman"/>
                <w:sz w:val="24"/>
              </w:rPr>
            </w:pPr>
          </w:p>
        </w:tc>
        <w:tc>
          <w:tcPr>
            <w:tcW w:w="908" w:type="dxa"/>
            <w:vAlign w:val="center"/>
          </w:tcPr>
          <w:p>
            <w:pPr>
              <w:ind w:firstLine="480"/>
              <w:rPr>
                <w:rFonts w:ascii="Tahoma" w:hAnsi="Tahoma" w:cs="Times New Roman"/>
                <w:sz w:val="24"/>
              </w:rPr>
            </w:pPr>
          </w:p>
        </w:tc>
        <w:tc>
          <w:tcPr>
            <w:tcW w:w="1002"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54" w:type="dxa"/>
            <w:vAlign w:val="center"/>
          </w:tcPr>
          <w:p>
            <w:pPr>
              <w:ind w:firstLine="480"/>
              <w:rPr>
                <w:rFonts w:ascii="Tahoma" w:hAnsi="Tahoma" w:cs="Times New Roman"/>
                <w:sz w:val="24"/>
              </w:rPr>
            </w:pPr>
          </w:p>
        </w:tc>
        <w:tc>
          <w:tcPr>
            <w:tcW w:w="864"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49" w:type="dxa"/>
            <w:vAlign w:val="center"/>
          </w:tcPr>
          <w:p>
            <w:pPr>
              <w:ind w:firstLine="480"/>
              <w:rPr>
                <w:rFonts w:ascii="Tahoma" w:hAnsi="Tahoma"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78" w:type="dxa"/>
            <w:vAlign w:val="center"/>
          </w:tcPr>
          <w:p>
            <w:pPr>
              <w:widowControl/>
              <w:jc w:val="center"/>
              <w:rPr>
                <w:rFonts w:hint="eastAsia" w:ascii="Tahoma" w:hAnsi="Tahoma" w:cs="Times New Roman"/>
                <w:sz w:val="24"/>
              </w:rPr>
            </w:pPr>
            <w:r>
              <w:rPr>
                <w:rFonts w:hint="eastAsia" w:ascii="Tahoma" w:hAnsi="Tahoma" w:cs="Times New Roman"/>
                <w:sz w:val="24"/>
              </w:rPr>
              <w:t>3</w:t>
            </w:r>
          </w:p>
        </w:tc>
        <w:tc>
          <w:tcPr>
            <w:tcW w:w="1427" w:type="dxa"/>
            <w:vAlign w:val="center"/>
          </w:tcPr>
          <w:p>
            <w:pPr>
              <w:ind w:firstLine="480"/>
              <w:rPr>
                <w:rFonts w:ascii="Tahoma" w:hAnsi="Tahoma" w:cs="Times New Roman"/>
                <w:sz w:val="24"/>
              </w:rPr>
            </w:pPr>
          </w:p>
        </w:tc>
        <w:tc>
          <w:tcPr>
            <w:tcW w:w="1038" w:type="dxa"/>
            <w:vAlign w:val="center"/>
          </w:tcPr>
          <w:p>
            <w:pPr>
              <w:ind w:firstLine="480"/>
              <w:rPr>
                <w:rFonts w:ascii="Tahoma" w:hAnsi="Tahoma" w:cs="Times New Roman"/>
                <w:sz w:val="24"/>
              </w:rPr>
            </w:pPr>
          </w:p>
        </w:tc>
        <w:tc>
          <w:tcPr>
            <w:tcW w:w="908" w:type="dxa"/>
            <w:vAlign w:val="center"/>
          </w:tcPr>
          <w:p>
            <w:pPr>
              <w:ind w:firstLine="480"/>
              <w:rPr>
                <w:rFonts w:ascii="Tahoma" w:hAnsi="Tahoma" w:cs="Times New Roman"/>
                <w:sz w:val="24"/>
              </w:rPr>
            </w:pPr>
          </w:p>
        </w:tc>
        <w:tc>
          <w:tcPr>
            <w:tcW w:w="1002"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54" w:type="dxa"/>
            <w:vAlign w:val="center"/>
          </w:tcPr>
          <w:p>
            <w:pPr>
              <w:ind w:firstLine="480"/>
              <w:rPr>
                <w:rFonts w:ascii="Tahoma" w:hAnsi="Tahoma" w:cs="Times New Roman"/>
                <w:sz w:val="24"/>
              </w:rPr>
            </w:pPr>
          </w:p>
        </w:tc>
        <w:tc>
          <w:tcPr>
            <w:tcW w:w="864"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49" w:type="dxa"/>
            <w:vAlign w:val="center"/>
          </w:tcPr>
          <w:p>
            <w:pPr>
              <w:ind w:firstLine="480"/>
              <w:rPr>
                <w:rFonts w:ascii="Tahoma" w:hAnsi="Tahoma"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78" w:type="dxa"/>
            <w:vAlign w:val="center"/>
          </w:tcPr>
          <w:p>
            <w:pPr>
              <w:widowControl/>
              <w:jc w:val="center"/>
              <w:rPr>
                <w:rFonts w:hint="eastAsia" w:ascii="Tahoma" w:hAnsi="Tahoma" w:cs="Times New Roman"/>
                <w:sz w:val="24"/>
              </w:rPr>
            </w:pPr>
            <w:r>
              <w:rPr>
                <w:rFonts w:hint="eastAsia" w:ascii="Tahoma" w:hAnsi="Tahoma" w:cs="Times New Roman"/>
                <w:sz w:val="24"/>
              </w:rPr>
              <w:t>4</w:t>
            </w:r>
          </w:p>
        </w:tc>
        <w:tc>
          <w:tcPr>
            <w:tcW w:w="1427" w:type="dxa"/>
            <w:vAlign w:val="center"/>
          </w:tcPr>
          <w:p>
            <w:pPr>
              <w:ind w:firstLine="480"/>
              <w:rPr>
                <w:rFonts w:ascii="Tahoma" w:hAnsi="Tahoma" w:cs="Times New Roman"/>
                <w:sz w:val="24"/>
              </w:rPr>
            </w:pPr>
          </w:p>
        </w:tc>
        <w:tc>
          <w:tcPr>
            <w:tcW w:w="1038" w:type="dxa"/>
            <w:vAlign w:val="center"/>
          </w:tcPr>
          <w:p>
            <w:pPr>
              <w:ind w:firstLine="480"/>
              <w:rPr>
                <w:rFonts w:ascii="Tahoma" w:hAnsi="Tahoma" w:cs="Times New Roman"/>
                <w:sz w:val="24"/>
              </w:rPr>
            </w:pPr>
          </w:p>
        </w:tc>
        <w:tc>
          <w:tcPr>
            <w:tcW w:w="908" w:type="dxa"/>
            <w:vAlign w:val="center"/>
          </w:tcPr>
          <w:p>
            <w:pPr>
              <w:ind w:firstLine="480"/>
              <w:rPr>
                <w:rFonts w:ascii="Tahoma" w:hAnsi="Tahoma" w:cs="Times New Roman"/>
                <w:sz w:val="24"/>
              </w:rPr>
            </w:pPr>
          </w:p>
        </w:tc>
        <w:tc>
          <w:tcPr>
            <w:tcW w:w="1002"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54" w:type="dxa"/>
            <w:vAlign w:val="center"/>
          </w:tcPr>
          <w:p>
            <w:pPr>
              <w:ind w:firstLine="480"/>
              <w:rPr>
                <w:rFonts w:ascii="Tahoma" w:hAnsi="Tahoma" w:cs="Times New Roman"/>
                <w:sz w:val="24"/>
              </w:rPr>
            </w:pPr>
          </w:p>
        </w:tc>
        <w:tc>
          <w:tcPr>
            <w:tcW w:w="864"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49" w:type="dxa"/>
            <w:vAlign w:val="center"/>
          </w:tcPr>
          <w:p>
            <w:pPr>
              <w:ind w:firstLine="480"/>
              <w:rPr>
                <w:rFonts w:ascii="Tahoma" w:hAnsi="Tahoma"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78" w:type="dxa"/>
            <w:vAlign w:val="center"/>
          </w:tcPr>
          <w:p>
            <w:pPr>
              <w:widowControl/>
              <w:jc w:val="center"/>
              <w:rPr>
                <w:rFonts w:ascii="Tahoma" w:hAnsi="Tahoma" w:cs="Times New Roman"/>
                <w:sz w:val="24"/>
              </w:rPr>
            </w:pPr>
            <w:r>
              <w:rPr>
                <w:rFonts w:hint="eastAsia" w:ascii="Tahoma" w:hAnsi="Tahoma" w:cs="Times New Roman"/>
                <w:sz w:val="24"/>
              </w:rPr>
              <w:t>……</w:t>
            </w:r>
          </w:p>
        </w:tc>
        <w:tc>
          <w:tcPr>
            <w:tcW w:w="1427" w:type="dxa"/>
            <w:vAlign w:val="center"/>
          </w:tcPr>
          <w:p>
            <w:pPr>
              <w:ind w:firstLine="480"/>
              <w:rPr>
                <w:rFonts w:ascii="Tahoma" w:hAnsi="Tahoma" w:cs="Times New Roman"/>
                <w:sz w:val="24"/>
              </w:rPr>
            </w:pPr>
          </w:p>
        </w:tc>
        <w:tc>
          <w:tcPr>
            <w:tcW w:w="1038" w:type="dxa"/>
            <w:vAlign w:val="center"/>
          </w:tcPr>
          <w:p>
            <w:pPr>
              <w:ind w:firstLine="480"/>
              <w:rPr>
                <w:rFonts w:ascii="Tahoma" w:hAnsi="Tahoma" w:cs="Times New Roman"/>
                <w:sz w:val="24"/>
              </w:rPr>
            </w:pPr>
          </w:p>
        </w:tc>
        <w:tc>
          <w:tcPr>
            <w:tcW w:w="908" w:type="dxa"/>
            <w:vAlign w:val="center"/>
          </w:tcPr>
          <w:p>
            <w:pPr>
              <w:ind w:firstLine="480"/>
              <w:rPr>
                <w:rFonts w:ascii="Tahoma" w:hAnsi="Tahoma" w:cs="Times New Roman"/>
                <w:sz w:val="24"/>
              </w:rPr>
            </w:pPr>
          </w:p>
        </w:tc>
        <w:tc>
          <w:tcPr>
            <w:tcW w:w="1002"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54" w:type="dxa"/>
            <w:vAlign w:val="center"/>
          </w:tcPr>
          <w:p>
            <w:pPr>
              <w:ind w:firstLine="480"/>
              <w:rPr>
                <w:rFonts w:ascii="Tahoma" w:hAnsi="Tahoma" w:cs="Times New Roman"/>
                <w:sz w:val="24"/>
              </w:rPr>
            </w:pPr>
          </w:p>
        </w:tc>
        <w:tc>
          <w:tcPr>
            <w:tcW w:w="864" w:type="dxa"/>
            <w:vAlign w:val="center"/>
          </w:tcPr>
          <w:p>
            <w:pPr>
              <w:ind w:firstLine="480"/>
              <w:rPr>
                <w:rFonts w:ascii="Tahoma" w:hAnsi="Tahoma" w:cs="Times New Roman"/>
                <w:sz w:val="24"/>
              </w:rPr>
            </w:pPr>
          </w:p>
        </w:tc>
        <w:tc>
          <w:tcPr>
            <w:tcW w:w="778" w:type="dxa"/>
            <w:vAlign w:val="center"/>
          </w:tcPr>
          <w:p>
            <w:pPr>
              <w:ind w:firstLine="480"/>
              <w:rPr>
                <w:rFonts w:ascii="Tahoma" w:hAnsi="Tahoma" w:cs="Times New Roman"/>
                <w:sz w:val="24"/>
              </w:rPr>
            </w:pPr>
          </w:p>
        </w:tc>
        <w:tc>
          <w:tcPr>
            <w:tcW w:w="949" w:type="dxa"/>
            <w:vAlign w:val="center"/>
          </w:tcPr>
          <w:p>
            <w:pPr>
              <w:ind w:firstLine="480"/>
              <w:rPr>
                <w:rFonts w:ascii="Tahoma" w:hAnsi="Tahoma"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878" w:type="dxa"/>
            <w:vAlign w:val="center"/>
          </w:tcPr>
          <w:p>
            <w:pPr>
              <w:rPr>
                <w:rFonts w:ascii="Tahoma" w:hAnsi="Tahoma" w:cs="Times New Roman"/>
                <w:sz w:val="24"/>
              </w:rPr>
            </w:pPr>
            <w:r>
              <w:rPr>
                <w:rFonts w:hint="eastAsia" w:ascii="Tahoma" w:hAnsi="Tahoma" w:cs="Times New Roman"/>
                <w:sz w:val="24"/>
              </w:rPr>
              <w:t>总计</w:t>
            </w:r>
          </w:p>
        </w:tc>
        <w:tc>
          <w:tcPr>
            <w:tcW w:w="8698" w:type="dxa"/>
            <w:gridSpan w:val="9"/>
            <w:vAlign w:val="center"/>
          </w:tcPr>
          <w:p>
            <w:pPr>
              <w:rPr>
                <w:rFonts w:ascii="Tahoma" w:hAnsi="Tahoma" w:cs="Times New Roman"/>
                <w:sz w:val="24"/>
              </w:rPr>
            </w:pPr>
            <w:r>
              <w:rPr>
                <w:rFonts w:hint="eastAsia" w:ascii="Tahoma" w:hAnsi="Tahoma" w:cs="Times New Roman"/>
                <w:sz w:val="24"/>
              </w:rPr>
              <w:t xml:space="preserve">小写￥：              </w:t>
            </w:r>
          </w:p>
          <w:p>
            <w:pPr>
              <w:rPr>
                <w:rFonts w:ascii="Tahoma" w:hAnsi="Tahoma" w:cs="Times New Roman"/>
                <w:sz w:val="24"/>
              </w:rPr>
            </w:pPr>
            <w:r>
              <w:rPr>
                <w:rFonts w:hint="eastAsia" w:ascii="Tahoma" w:hAnsi="Tahoma" w:cs="Times New Roman"/>
                <w:bCs/>
                <w:sz w:val="24"/>
              </w:rPr>
              <w:t xml:space="preserve">大写： </w:t>
            </w:r>
            <w:r>
              <w:rPr>
                <w:rFonts w:hint="eastAsia" w:ascii="Tahoma" w:hAnsi="Tahoma" w:cs="Times New Roman"/>
                <w:sz w:val="24"/>
              </w:rPr>
              <w:t xml:space="preserve">            </w:t>
            </w:r>
          </w:p>
        </w:tc>
      </w:tr>
    </w:tbl>
    <w:p>
      <w:pPr>
        <w:tabs>
          <w:tab w:val="left" w:pos="1260"/>
        </w:tabs>
        <w:snapToGrid w:val="0"/>
        <w:spacing w:line="360" w:lineRule="auto"/>
        <w:ind w:right="120" w:rightChars="57" w:firstLine="480" w:firstLineChars="200"/>
        <w:jc w:val="left"/>
        <w:rPr>
          <w:rFonts w:cs="Times New Roman"/>
          <w:sz w:val="24"/>
        </w:rPr>
      </w:pPr>
      <w:r>
        <w:rPr>
          <w:rFonts w:hint="eastAsia" w:cs="Times New Roman"/>
          <w:sz w:val="24"/>
        </w:rPr>
        <w:t>1、</w:t>
      </w:r>
      <w:r>
        <w:rPr>
          <w:rFonts w:cs="Times New Roman"/>
          <w:sz w:val="24"/>
        </w:rPr>
        <w:t>此表的总计系所有需采购人支付的包括</w:t>
      </w:r>
      <w:r>
        <w:rPr>
          <w:rFonts w:hint="eastAsia" w:cs="Times New Roman"/>
          <w:sz w:val="24"/>
        </w:rPr>
        <w:t>磋商</w:t>
      </w:r>
      <w:r>
        <w:rPr>
          <w:rFonts w:cs="Times New Roman"/>
          <w:sz w:val="24"/>
        </w:rPr>
        <w:t>文件中要求的</w:t>
      </w:r>
      <w:r>
        <w:rPr>
          <w:rFonts w:hint="eastAsia" w:cs="Times New Roman"/>
          <w:sz w:val="24"/>
        </w:rPr>
        <w:t>所有</w:t>
      </w:r>
      <w:r>
        <w:rPr>
          <w:rFonts w:cs="Times New Roman"/>
          <w:sz w:val="24"/>
        </w:rPr>
        <w:t>内容的全部费用。</w:t>
      </w:r>
    </w:p>
    <w:p>
      <w:pPr>
        <w:tabs>
          <w:tab w:val="left" w:pos="1260"/>
        </w:tabs>
        <w:snapToGrid w:val="0"/>
        <w:spacing w:line="360" w:lineRule="auto"/>
        <w:ind w:left="360" w:right="120" w:rightChars="57"/>
        <w:jc w:val="left"/>
        <w:rPr>
          <w:rFonts w:cs="Times New Roman"/>
          <w:sz w:val="24"/>
        </w:rPr>
      </w:pPr>
      <w:r>
        <w:rPr>
          <w:rFonts w:cs="Times New Roman"/>
          <w:sz w:val="24"/>
        </w:rPr>
        <w:t>2</w:t>
      </w:r>
      <w:r>
        <w:rPr>
          <w:rFonts w:hint="eastAsia" w:cs="Times New Roman"/>
          <w:sz w:val="24"/>
        </w:rPr>
        <w:t>、</w:t>
      </w:r>
      <w:r>
        <w:rPr>
          <w:rFonts w:cs="Times New Roman"/>
          <w:sz w:val="24"/>
        </w:rPr>
        <w:t>如果分项报价的汇总价与总报价不一致的，以分项报价的汇总为准；总报价等于</w:t>
      </w:r>
      <w:r>
        <w:rPr>
          <w:rFonts w:hint="eastAsia" w:cs="Times New Roman"/>
          <w:sz w:val="24"/>
        </w:rPr>
        <w:t>“</w:t>
      </w:r>
      <w:r>
        <w:rPr>
          <w:rFonts w:cs="Times New Roman"/>
          <w:sz w:val="24"/>
        </w:rPr>
        <w:t>开标一览表</w:t>
      </w:r>
      <w:r>
        <w:rPr>
          <w:rFonts w:hint="eastAsia" w:cs="Times New Roman"/>
          <w:sz w:val="24"/>
        </w:rPr>
        <w:t>”</w:t>
      </w:r>
      <w:r>
        <w:rPr>
          <w:rFonts w:cs="Times New Roman"/>
          <w:sz w:val="24"/>
        </w:rPr>
        <w:t>中的投标报价。</w:t>
      </w:r>
    </w:p>
    <w:p>
      <w:pPr>
        <w:snapToGrid w:val="0"/>
        <w:spacing w:line="360" w:lineRule="auto"/>
        <w:ind w:left="360" w:right="120" w:rightChars="57"/>
        <w:jc w:val="left"/>
        <w:rPr>
          <w:rFonts w:cs="Times New Roman"/>
          <w:szCs w:val="21"/>
        </w:rPr>
      </w:pPr>
    </w:p>
    <w:p>
      <w:pPr>
        <w:spacing w:before="72" w:after="72" w:line="360" w:lineRule="auto"/>
        <w:ind w:left="960" w:hanging="960"/>
        <w:rPr>
          <w:rFonts w:ascii="宋体" w:hAnsi="宋体" w:cs="宋体"/>
          <w:bCs/>
          <w:color w:val="000000"/>
          <w:sz w:val="24"/>
        </w:rPr>
      </w:pPr>
    </w:p>
    <w:bookmarkEnd w:id="525"/>
    <w:bookmarkEnd w:id="526"/>
    <w:bookmarkEnd w:id="527"/>
    <w:bookmarkEnd w:id="528"/>
    <w:bookmarkEnd w:id="529"/>
    <w:bookmarkEnd w:id="530"/>
    <w:bookmarkEnd w:id="531"/>
    <w:bookmarkEnd w:id="532"/>
    <w:bookmarkEnd w:id="533"/>
    <w:bookmarkEnd w:id="534"/>
    <w:p>
      <w:pPr>
        <w:adjustRightInd w:val="0"/>
        <w:snapToGrid w:val="0"/>
        <w:spacing w:before="72" w:after="72" w:line="480" w:lineRule="auto"/>
        <w:rPr>
          <w:rFonts w:hint="eastAsia" w:ascii="宋体" w:hAnsi="宋体" w:cs="宋体"/>
          <w:color w:val="000000"/>
          <w:sz w:val="24"/>
        </w:rPr>
      </w:pP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报价供应商名称（加盖公章）：</w:t>
      </w:r>
    </w:p>
    <w:p>
      <w:pPr>
        <w:adjustRightInd w:val="0"/>
        <w:snapToGrid w:val="0"/>
        <w:spacing w:before="72" w:after="72" w:line="480" w:lineRule="auto"/>
        <w:ind w:firstLine="2520" w:firstLineChars="1050"/>
        <w:rPr>
          <w:rFonts w:ascii="宋体" w:hAnsi="宋体" w:cs="宋体"/>
          <w:color w:val="000000"/>
          <w:sz w:val="24"/>
          <w:u w:val="single"/>
        </w:rPr>
      </w:pPr>
      <w:r>
        <w:rPr>
          <w:rFonts w:hint="eastAsia" w:ascii="宋体" w:hAnsi="宋体" w:cs="宋体"/>
          <w:color w:val="000000"/>
          <w:sz w:val="24"/>
        </w:rPr>
        <w:t>报价供应商法定代表人或其授权代表（签字或盖章）：</w:t>
      </w:r>
    </w:p>
    <w:p>
      <w:pPr>
        <w:spacing w:before="72" w:after="72" w:line="400" w:lineRule="exact"/>
        <w:ind w:firstLine="2520" w:firstLineChars="1050"/>
        <w:rPr>
          <w:rFonts w:eastAsia="仿宋_GB2312"/>
          <w:b/>
          <w:color w:val="000000"/>
          <w:sz w:val="24"/>
        </w:rPr>
      </w:pPr>
      <w:r>
        <w:rPr>
          <w:rFonts w:hint="eastAsia" w:ascii="宋体" w:hAnsi="宋体" w:cs="宋体"/>
          <w:color w:val="000000"/>
          <w:sz w:val="24"/>
        </w:rPr>
        <w:t>日期：   年   月   日</w:t>
      </w:r>
    </w:p>
    <w:sectPr>
      <w:headerReference r:id="rId6" w:type="first"/>
      <w:footerReference r:id="rId9" w:type="first"/>
      <w:headerReference r:id="rId5" w:type="default"/>
      <w:footerReference r:id="rId7" w:type="default"/>
      <w:footerReference r:id="rId8" w:type="even"/>
      <w:pgSz w:w="11906" w:h="16838"/>
      <w:pgMar w:top="1440" w:right="1440" w:bottom="1440" w:left="1440" w:header="851" w:footer="85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Neo Sans Intel">
    <w:altName w:val="宋体"/>
    <w:panose1 w:val="00000000000000000000"/>
    <w:charset w:val="86"/>
    <w:family w:val="swiss"/>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504020202020204"/>
    <w:charset w:val="00"/>
    <w:family w:val="swiss"/>
    <w:pitch w:val="default"/>
    <w:sig w:usb0="00000000" w:usb1="00000000" w:usb2="00000009" w:usb3="00000000" w:csb0="000001FF" w:csb1="00000000"/>
  </w:font>
  <w:font w:name="PMingLiU">
    <w:panose1 w:val="02020500000000000000"/>
    <w:charset w:val="88"/>
    <w:family w:val="roman"/>
    <w:pitch w:val="default"/>
    <w:sig w:usb0="A00002FF" w:usb1="28CFFCFA" w:usb2="00000016" w:usb3="00000000" w:csb0="00100001" w:csb1="00000000"/>
  </w:font>
  <w:font w:name="ËÎÌå">
    <w:altName w:val="Arial"/>
    <w:panose1 w:val="00000000000000000000"/>
    <w:charset w:val="00"/>
    <w:family w:val="swiss"/>
    <w:pitch w:val="default"/>
    <w:sig w:usb0="00000000" w:usb1="00000000" w:usb2="00000000" w:usb3="00000000" w:csb0="00000001" w:csb1="00000000"/>
  </w:font>
  <w:font w:name="DejaVuSans">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rP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9"/>
      </w:rPr>
    </w:pPr>
    <w:r>
      <w:fldChar w:fldCharType="begin"/>
    </w:r>
    <w:r>
      <w:rPr>
        <w:rStyle w:val="39"/>
      </w:rPr>
      <w:instrText xml:space="preserve">PAGE  </w:instrText>
    </w:r>
    <w:r>
      <w:fldChar w:fldCharType="separate"/>
    </w:r>
    <w:r>
      <w:rPr>
        <w:rStyle w:val="39"/>
      </w:rPr>
      <w:t>1</w:t>
    </w:r>
    <w:r>
      <w:fldChar w:fldCharType="end"/>
    </w:r>
  </w:p>
  <w:p>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39"/>
      </w:rPr>
    </w:pPr>
    <w:r>
      <w:fldChar w:fldCharType="begin"/>
    </w:r>
    <w:r>
      <w:rPr>
        <w:rStyle w:val="39"/>
      </w:rPr>
      <w:instrText xml:space="preserve">PAGE  </w:instrText>
    </w:r>
    <w:r>
      <w:fldChar w:fldCharType="end"/>
    </w:r>
  </w:p>
  <w:p>
    <w:pPr>
      <w:pStyle w:val="26"/>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51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ascii="隶书" w:hAnsi="宋体" w:eastAsia="隶书"/>
        <w:sz w:val="56"/>
        <w:szCs w:val="56"/>
      </w:rPr>
      <w:drawing>
        <wp:inline distT="0" distB="0" distL="114300" distR="114300">
          <wp:extent cx="1495425" cy="186690"/>
          <wp:effectExtent l="0" t="0" r="9525" b="3810"/>
          <wp:docPr id="5" name="图片 2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3" descr="图片1"/>
                  <pic:cNvPicPr>
                    <a:picLocks noChangeAspect="1"/>
                  </pic:cNvPicPr>
                </pic:nvPicPr>
                <pic:blipFill>
                  <a:blip r:embed="rId1"/>
                  <a:stretch>
                    <a:fillRect/>
                  </a:stretch>
                </pic:blipFill>
                <pic:spPr>
                  <a:xfrm>
                    <a:off x="0" y="0"/>
                    <a:ext cx="1495425" cy="186690"/>
                  </a:xfrm>
                  <a:prstGeom prst="rect">
                    <a:avLst/>
                  </a:prstGeom>
                  <a:noFill/>
                  <a:ln>
                    <a:noFill/>
                  </a:ln>
                </pic:spPr>
              </pic:pic>
            </a:graphicData>
          </a:graphic>
        </wp:inline>
      </w:drawing>
    </w:r>
    <w:r>
      <w:rPr>
        <w:szCs w:val="13"/>
      </w:rPr>
      <w:t xml:space="preserve">                    </w:t>
    </w:r>
    <w:r>
      <w:rPr>
        <w:rFonts w:hint="eastAsia"/>
        <w:szCs w:val="13"/>
      </w:rPr>
      <w:t>广州市天河区政府大院大会场舞台灯光设备更换项目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ascii="隶书" w:hAnsi="宋体" w:eastAsia="隶书"/>
        <w:sz w:val="56"/>
        <w:szCs w:val="56"/>
      </w:rPr>
      <w:drawing>
        <wp:inline distT="0" distB="0" distL="114300" distR="114300">
          <wp:extent cx="1495425" cy="186690"/>
          <wp:effectExtent l="0" t="0" r="9525" b="3810"/>
          <wp:docPr id="6" name="图片 2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3" descr="图片1"/>
                  <pic:cNvPicPr>
                    <a:picLocks noChangeAspect="1"/>
                  </pic:cNvPicPr>
                </pic:nvPicPr>
                <pic:blipFill>
                  <a:blip r:embed="rId1"/>
                  <a:stretch>
                    <a:fillRect/>
                  </a:stretch>
                </pic:blipFill>
                <pic:spPr>
                  <a:xfrm>
                    <a:off x="0" y="0"/>
                    <a:ext cx="1495425" cy="186690"/>
                  </a:xfrm>
                  <a:prstGeom prst="rect">
                    <a:avLst/>
                  </a:prstGeom>
                  <a:noFill/>
                  <a:ln>
                    <a:noFill/>
                  </a:ln>
                </pic:spPr>
              </pic:pic>
            </a:graphicData>
          </a:graphic>
        </wp:inline>
      </w:drawing>
    </w:r>
    <w:r>
      <w:rPr>
        <w:szCs w:val="13"/>
      </w:rPr>
      <w:t xml:space="preserve">                            </w:t>
    </w:r>
    <w:r>
      <w:rPr>
        <w:rFonts w:hint="eastAsia"/>
        <w:szCs w:val="13"/>
      </w:rPr>
      <w:t>广州市天河区政府大院大会场舞台灯光设备更换项目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ascii="隶书" w:hAnsi="宋体" w:eastAsia="隶书"/>
        <w:sz w:val="56"/>
        <w:szCs w:val="56"/>
      </w:rPr>
      <w:drawing>
        <wp:inline distT="0" distB="0" distL="114300" distR="114300">
          <wp:extent cx="1495425" cy="186690"/>
          <wp:effectExtent l="0" t="0" r="9525" b="3810"/>
          <wp:docPr id="7" name="图片 2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3" descr="图片1"/>
                  <pic:cNvPicPr>
                    <a:picLocks noChangeAspect="1"/>
                  </pic:cNvPicPr>
                </pic:nvPicPr>
                <pic:blipFill>
                  <a:blip r:embed="rId1"/>
                  <a:stretch>
                    <a:fillRect/>
                  </a:stretch>
                </pic:blipFill>
                <pic:spPr>
                  <a:xfrm>
                    <a:off x="0" y="0"/>
                    <a:ext cx="1495425" cy="186690"/>
                  </a:xfrm>
                  <a:prstGeom prst="rect">
                    <a:avLst/>
                  </a:prstGeom>
                  <a:noFill/>
                  <a:ln>
                    <a:noFill/>
                  </a:ln>
                </pic:spPr>
              </pic:pic>
            </a:graphicData>
          </a:graphic>
        </wp:inline>
      </w:drawing>
    </w:r>
    <w:r>
      <w:rPr>
        <w:szCs w:val="13"/>
      </w:rPr>
      <w:t xml:space="preserve">                    </w:t>
    </w:r>
    <w:r>
      <w:rPr>
        <w:rFonts w:hint="eastAsia"/>
        <w:szCs w:val="13"/>
      </w:rPr>
      <w:t>广州市天河区政府大院大会场舞台灯光设备更换项目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A7CC3"/>
    <w:multiLevelType w:val="multilevel"/>
    <w:tmpl w:val="836A7CC3"/>
    <w:lvl w:ilvl="0" w:tentative="0">
      <w:start w:val="1"/>
      <w:numFmt w:val="decimal"/>
      <w:lvlText w:val="%1."/>
      <w:lvlJc w:val="left"/>
      <w:pPr>
        <w:tabs>
          <w:tab w:val="left" w:pos="629"/>
        </w:tabs>
        <w:ind w:left="629" w:hanging="907"/>
      </w:pPr>
      <w:rPr>
        <w:rFonts w:hint="eastAsia" w:cs="Times New Roman"/>
        <w:b/>
      </w:rPr>
    </w:lvl>
    <w:lvl w:ilvl="1" w:tentative="0">
      <w:start w:val="1"/>
      <w:numFmt w:val="decimal"/>
      <w:isLgl/>
      <w:lvlText w:val="14.%2."/>
      <w:lvlJc w:val="left"/>
      <w:pPr>
        <w:tabs>
          <w:tab w:val="left" w:pos="629"/>
        </w:tabs>
        <w:ind w:left="629" w:hanging="907"/>
      </w:pPr>
      <w:rPr>
        <w:rFonts w:hint="eastAsia" w:eastAsia="宋体" w:cs="Times New Roman"/>
        <w:b w:val="0"/>
      </w:rPr>
    </w:lvl>
    <w:lvl w:ilvl="2" w:tentative="0">
      <w:start w:val="1"/>
      <w:numFmt w:val="decimal"/>
      <w:lvlText w:val="21.1.%3"/>
      <w:lvlJc w:val="left"/>
      <w:pPr>
        <w:tabs>
          <w:tab w:val="left" w:pos="629"/>
        </w:tabs>
        <w:ind w:left="629" w:hanging="907"/>
      </w:pPr>
      <w:rPr>
        <w:rFonts w:hint="default" w:ascii="宋体" w:hAnsi="宋体" w:eastAsia="宋体" w:cs="宋体"/>
      </w:rPr>
    </w:lvl>
    <w:lvl w:ilvl="3" w:tentative="0">
      <w:start w:val="1"/>
      <w:numFmt w:val="decimal"/>
      <w:lvlText w:val="%1.%2.%3.%4."/>
      <w:lvlJc w:val="left"/>
      <w:pPr>
        <w:tabs>
          <w:tab w:val="left" w:pos="629"/>
        </w:tabs>
        <w:ind w:left="629" w:hanging="907"/>
      </w:pPr>
      <w:rPr>
        <w:rFonts w:hint="default" w:ascii="宋体" w:hAnsi="宋体" w:eastAsia="宋体" w:cs="宋体"/>
      </w:rPr>
    </w:lvl>
    <w:lvl w:ilvl="4" w:tentative="0">
      <w:start w:val="1"/>
      <w:numFmt w:val="decimal"/>
      <w:lvlText w:val="%1.%2.%3.%4.%5."/>
      <w:lvlJc w:val="left"/>
      <w:pPr>
        <w:tabs>
          <w:tab w:val="left" w:pos="714"/>
        </w:tabs>
        <w:ind w:left="714" w:hanging="992"/>
      </w:pPr>
      <w:rPr>
        <w:rFonts w:hint="eastAsia" w:cs="Times New Roman"/>
      </w:rPr>
    </w:lvl>
    <w:lvl w:ilvl="5" w:tentative="0">
      <w:start w:val="1"/>
      <w:numFmt w:val="decimal"/>
      <w:lvlText w:val="%1.%2.%3.%4.%5.%6."/>
      <w:lvlJc w:val="left"/>
      <w:pPr>
        <w:tabs>
          <w:tab w:val="left" w:pos="856"/>
        </w:tabs>
        <w:ind w:left="856" w:hanging="1134"/>
      </w:pPr>
      <w:rPr>
        <w:rFonts w:hint="eastAsia" w:cs="Times New Roman"/>
      </w:rPr>
    </w:lvl>
    <w:lvl w:ilvl="6" w:tentative="0">
      <w:start w:val="1"/>
      <w:numFmt w:val="decimal"/>
      <w:lvlText w:val="%1.%2.%3.%4.%5.%6.%7."/>
      <w:lvlJc w:val="left"/>
      <w:pPr>
        <w:tabs>
          <w:tab w:val="left" w:pos="998"/>
        </w:tabs>
        <w:ind w:left="998" w:hanging="1276"/>
      </w:pPr>
      <w:rPr>
        <w:rFonts w:hint="eastAsia" w:cs="Times New Roman"/>
      </w:rPr>
    </w:lvl>
    <w:lvl w:ilvl="7" w:tentative="0">
      <w:start w:val="1"/>
      <w:numFmt w:val="decimal"/>
      <w:lvlText w:val="%1.%2.%3.%4.%5.%6.%7.%8."/>
      <w:lvlJc w:val="left"/>
      <w:pPr>
        <w:tabs>
          <w:tab w:val="left" w:pos="1140"/>
        </w:tabs>
        <w:ind w:left="1140" w:hanging="1418"/>
      </w:pPr>
      <w:rPr>
        <w:rFonts w:hint="eastAsia" w:cs="Times New Roman"/>
      </w:rPr>
    </w:lvl>
    <w:lvl w:ilvl="8" w:tentative="0">
      <w:start w:val="1"/>
      <w:numFmt w:val="decimal"/>
      <w:lvlText w:val="%1.%2.%3.%4.%5.%6.%7.%8.%9."/>
      <w:lvlJc w:val="left"/>
      <w:pPr>
        <w:tabs>
          <w:tab w:val="left" w:pos="1281"/>
        </w:tabs>
        <w:ind w:left="1281" w:hanging="1559"/>
      </w:pPr>
      <w:rPr>
        <w:rFonts w:hint="eastAsia" w:cs="Times New Roman"/>
      </w:rPr>
    </w:lvl>
  </w:abstractNum>
  <w:abstractNum w:abstractNumId="1">
    <w:nsid w:val="8BE55084"/>
    <w:multiLevelType w:val="multilevel"/>
    <w:tmpl w:val="8BE55084"/>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8CD1533A"/>
    <w:multiLevelType w:val="multilevel"/>
    <w:tmpl w:val="8CD1533A"/>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3">
    <w:nsid w:val="96FFD87D"/>
    <w:multiLevelType w:val="multilevel"/>
    <w:tmpl w:val="96FFD87D"/>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14.%2."/>
      <w:lvlJc w:val="left"/>
      <w:pPr>
        <w:tabs>
          <w:tab w:val="left" w:pos="907"/>
        </w:tabs>
        <w:ind w:left="907" w:hanging="907"/>
      </w:pPr>
      <w:rPr>
        <w:rFonts w:hint="eastAsia" w:eastAsia="宋体" w:cs="Times New Roman"/>
        <w:b w:val="0"/>
      </w:rPr>
    </w:lvl>
    <w:lvl w:ilvl="2" w:tentative="0">
      <w:start w:val="1"/>
      <w:numFmt w:val="decimal"/>
      <w:lvlText w:val="14.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9A807B96"/>
    <w:multiLevelType w:val="multilevel"/>
    <w:tmpl w:val="9A807B96"/>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A3AA4330"/>
    <w:multiLevelType w:val="multilevel"/>
    <w:tmpl w:val="A3AA4330"/>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20.%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AF4D26C8"/>
    <w:multiLevelType w:val="multilevel"/>
    <w:tmpl w:val="AF4D26C8"/>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B1B9B4A6"/>
    <w:multiLevelType w:val="multilevel"/>
    <w:tmpl w:val="B1B9B4A6"/>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30.%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
    <w:nsid w:val="C41927EB"/>
    <w:multiLevelType w:val="multilevel"/>
    <w:tmpl w:val="C41927EB"/>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D5AEAF0F"/>
    <w:multiLevelType w:val="multilevel"/>
    <w:tmpl w:val="D5AEAF0F"/>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
    <w:nsid w:val="DD914DC3"/>
    <w:multiLevelType w:val="multilevel"/>
    <w:tmpl w:val="DD914DC3"/>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8.%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1">
    <w:nsid w:val="E40569D1"/>
    <w:multiLevelType w:val="multilevel"/>
    <w:tmpl w:val="E40569D1"/>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0.%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2">
    <w:nsid w:val="E5AFCFF7"/>
    <w:multiLevelType w:val="multilevel"/>
    <w:tmpl w:val="E5AFCFF7"/>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3">
    <w:nsid w:val="E7DF6249"/>
    <w:multiLevelType w:val="multilevel"/>
    <w:tmpl w:val="E7DF6249"/>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9.%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4">
    <w:nsid w:val="E92E4F90"/>
    <w:multiLevelType w:val="multilevel"/>
    <w:tmpl w:val="E92E4F90"/>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2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5">
    <w:nsid w:val="EFEEC4A9"/>
    <w:multiLevelType w:val="multilevel"/>
    <w:tmpl w:val="EFEEC4A9"/>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6">
    <w:nsid w:val="F3E11244"/>
    <w:multiLevelType w:val="multilevel"/>
    <w:tmpl w:val="F3E11244"/>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2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7">
    <w:nsid w:val="F4A44FFE"/>
    <w:multiLevelType w:val="multilevel"/>
    <w:tmpl w:val="F4A44FFE"/>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26.%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8">
    <w:nsid w:val="F942540E"/>
    <w:multiLevelType w:val="multilevel"/>
    <w:tmpl w:val="F942540E"/>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2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9">
    <w:nsid w:val="00000004"/>
    <w:multiLevelType w:val="singleLevel"/>
    <w:tmpl w:val="00000004"/>
    <w:lvl w:ilvl="0" w:tentative="0">
      <w:start w:val="1"/>
      <w:numFmt w:val="decimal"/>
      <w:suff w:val="nothing"/>
      <w:lvlText w:val="（%1）"/>
      <w:lvlJc w:val="left"/>
      <w:pPr>
        <w:ind w:left="0" w:firstLine="420"/>
      </w:pPr>
      <w:rPr>
        <w:rFonts w:hint="default"/>
      </w:rPr>
    </w:lvl>
  </w:abstractNum>
  <w:abstractNum w:abstractNumId="20">
    <w:nsid w:val="00000007"/>
    <w:multiLevelType w:val="singleLevel"/>
    <w:tmpl w:val="00000007"/>
    <w:lvl w:ilvl="0" w:tentative="0">
      <w:start w:val="1"/>
      <w:numFmt w:val="decimal"/>
      <w:suff w:val="nothing"/>
      <w:lvlText w:val="%1、"/>
      <w:lvlJc w:val="left"/>
      <w:pPr>
        <w:ind w:left="0" w:firstLine="420"/>
      </w:pPr>
      <w:rPr>
        <w:rFonts w:hint="default"/>
      </w:rPr>
    </w:lvl>
  </w:abstractNum>
  <w:abstractNum w:abstractNumId="21">
    <w:nsid w:val="0000000F"/>
    <w:multiLevelType w:val="singleLevel"/>
    <w:tmpl w:val="0000000F"/>
    <w:lvl w:ilvl="0" w:tentative="0">
      <w:start w:val="1"/>
      <w:numFmt w:val="lowerLetter"/>
      <w:suff w:val="nothing"/>
      <w:lvlText w:val="%1、"/>
      <w:lvlJc w:val="left"/>
      <w:pPr>
        <w:ind w:left="0" w:firstLine="420"/>
      </w:pPr>
      <w:rPr>
        <w:rFonts w:hint="default"/>
      </w:rPr>
    </w:lvl>
  </w:abstractNum>
  <w:abstractNum w:abstractNumId="22">
    <w:nsid w:val="00000015"/>
    <w:multiLevelType w:val="singleLevel"/>
    <w:tmpl w:val="00000015"/>
    <w:lvl w:ilvl="0" w:tentative="0">
      <w:start w:val="1"/>
      <w:numFmt w:val="chineseCounting"/>
      <w:suff w:val="nothing"/>
      <w:lvlText w:val="%1、"/>
      <w:lvlJc w:val="left"/>
      <w:pPr>
        <w:ind w:left="0" w:firstLine="420"/>
      </w:pPr>
      <w:rPr>
        <w:rFonts w:hint="eastAsia"/>
      </w:rPr>
    </w:lvl>
  </w:abstractNum>
  <w:abstractNum w:abstractNumId="23">
    <w:nsid w:val="00000018"/>
    <w:multiLevelType w:val="multilevel"/>
    <w:tmpl w:val="00000018"/>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24"/>
    <w:multiLevelType w:val="singleLevel"/>
    <w:tmpl w:val="00000024"/>
    <w:lvl w:ilvl="0" w:tentative="0">
      <w:start w:val="1"/>
      <w:numFmt w:val="decimalEnclosedCircleChinese"/>
      <w:suff w:val="nothing"/>
      <w:lvlText w:val="%1、"/>
      <w:lvlJc w:val="left"/>
      <w:pPr>
        <w:ind w:left="0" w:firstLine="420"/>
      </w:pPr>
      <w:rPr>
        <w:rFonts w:hint="eastAsia"/>
      </w:rPr>
    </w:lvl>
  </w:abstractNum>
  <w:abstractNum w:abstractNumId="25">
    <w:nsid w:val="00000028"/>
    <w:multiLevelType w:val="singleLevel"/>
    <w:tmpl w:val="00000028"/>
    <w:lvl w:ilvl="0" w:tentative="0">
      <w:start w:val="1"/>
      <w:numFmt w:val="decimal"/>
      <w:suff w:val="nothing"/>
      <w:lvlText w:val="%1、"/>
      <w:lvlJc w:val="left"/>
      <w:pPr>
        <w:ind w:left="0" w:firstLine="420"/>
      </w:pPr>
      <w:rPr>
        <w:rFonts w:hint="default"/>
      </w:rPr>
    </w:lvl>
  </w:abstractNum>
  <w:abstractNum w:abstractNumId="26">
    <w:nsid w:val="0000002D"/>
    <w:multiLevelType w:val="singleLevel"/>
    <w:tmpl w:val="0000002D"/>
    <w:lvl w:ilvl="0" w:tentative="0">
      <w:start w:val="1"/>
      <w:numFmt w:val="decimal"/>
      <w:lvlText w:val="%1."/>
      <w:lvlJc w:val="left"/>
      <w:pPr>
        <w:ind w:left="425" w:hanging="425"/>
      </w:pPr>
      <w:rPr>
        <w:rFonts w:hint="default"/>
      </w:rPr>
    </w:lvl>
  </w:abstractNum>
  <w:abstractNum w:abstractNumId="27">
    <w:nsid w:val="00000031"/>
    <w:multiLevelType w:val="singleLevel"/>
    <w:tmpl w:val="00000031"/>
    <w:lvl w:ilvl="0" w:tentative="0">
      <w:start w:val="1"/>
      <w:numFmt w:val="decimal"/>
      <w:suff w:val="nothing"/>
      <w:lvlText w:val="%1、"/>
      <w:lvlJc w:val="left"/>
      <w:pPr>
        <w:ind w:left="0" w:firstLine="420"/>
      </w:pPr>
      <w:rPr>
        <w:rFonts w:hint="default"/>
      </w:rPr>
    </w:lvl>
  </w:abstractNum>
  <w:abstractNum w:abstractNumId="28">
    <w:nsid w:val="00000034"/>
    <w:multiLevelType w:val="multilevel"/>
    <w:tmpl w:val="00000034"/>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3B"/>
    <w:multiLevelType w:val="singleLevel"/>
    <w:tmpl w:val="0000003B"/>
    <w:lvl w:ilvl="0" w:tentative="0">
      <w:start w:val="1"/>
      <w:numFmt w:val="decimal"/>
      <w:suff w:val="nothing"/>
      <w:lvlText w:val="%1、"/>
      <w:lvlJc w:val="left"/>
      <w:pPr>
        <w:ind w:left="0" w:firstLine="420"/>
      </w:pPr>
      <w:rPr>
        <w:rFonts w:hint="default"/>
      </w:rPr>
    </w:lvl>
  </w:abstractNum>
  <w:abstractNum w:abstractNumId="30">
    <w:nsid w:val="00000042"/>
    <w:multiLevelType w:val="singleLevel"/>
    <w:tmpl w:val="00000042"/>
    <w:lvl w:ilvl="0" w:tentative="0">
      <w:start w:val="1"/>
      <w:numFmt w:val="decimal"/>
      <w:suff w:val="nothing"/>
      <w:lvlText w:val="（%1）"/>
      <w:lvlJc w:val="left"/>
      <w:pPr>
        <w:ind w:left="0" w:firstLine="420"/>
      </w:pPr>
      <w:rPr>
        <w:rFonts w:hint="default"/>
      </w:rPr>
    </w:lvl>
  </w:abstractNum>
  <w:abstractNum w:abstractNumId="31">
    <w:nsid w:val="00000043"/>
    <w:multiLevelType w:val="singleLevel"/>
    <w:tmpl w:val="00000043"/>
    <w:lvl w:ilvl="0" w:tentative="0">
      <w:start w:val="1"/>
      <w:numFmt w:val="decimal"/>
      <w:suff w:val="nothing"/>
      <w:lvlText w:val="%1、"/>
      <w:lvlJc w:val="left"/>
      <w:pPr>
        <w:ind w:left="0" w:firstLine="420"/>
      </w:pPr>
      <w:rPr>
        <w:rFonts w:hint="default"/>
      </w:rPr>
    </w:lvl>
  </w:abstractNum>
  <w:abstractNum w:abstractNumId="32">
    <w:nsid w:val="00000046"/>
    <w:multiLevelType w:val="singleLevel"/>
    <w:tmpl w:val="00000046"/>
    <w:lvl w:ilvl="0" w:tentative="0">
      <w:start w:val="1"/>
      <w:numFmt w:val="chineseCounting"/>
      <w:suff w:val="nothing"/>
      <w:lvlText w:val="（%1）"/>
      <w:lvlJc w:val="left"/>
      <w:pPr>
        <w:ind w:left="0" w:firstLine="420"/>
      </w:pPr>
      <w:rPr>
        <w:rFonts w:hint="eastAsia"/>
      </w:rPr>
    </w:lvl>
  </w:abstractNum>
  <w:abstractNum w:abstractNumId="33">
    <w:nsid w:val="0000004A"/>
    <w:multiLevelType w:val="singleLevel"/>
    <w:tmpl w:val="0000004A"/>
    <w:lvl w:ilvl="0" w:tentative="0">
      <w:start w:val="1"/>
      <w:numFmt w:val="decimal"/>
      <w:suff w:val="nothing"/>
      <w:lvlText w:val="%1、"/>
      <w:lvlJc w:val="left"/>
      <w:pPr>
        <w:ind w:left="0" w:firstLine="420"/>
      </w:pPr>
      <w:rPr>
        <w:rFonts w:hint="default"/>
      </w:rPr>
    </w:lvl>
  </w:abstractNum>
  <w:abstractNum w:abstractNumId="34">
    <w:nsid w:val="00000051"/>
    <w:multiLevelType w:val="singleLevel"/>
    <w:tmpl w:val="00000051"/>
    <w:lvl w:ilvl="0" w:tentative="0">
      <w:start w:val="1"/>
      <w:numFmt w:val="chineseCounting"/>
      <w:suff w:val="nothing"/>
      <w:lvlText w:val="%1、"/>
      <w:lvlJc w:val="left"/>
      <w:pPr>
        <w:ind w:left="0" w:firstLine="420"/>
      </w:pPr>
      <w:rPr>
        <w:rFonts w:hint="eastAsia"/>
        <w:b/>
      </w:rPr>
    </w:lvl>
  </w:abstractNum>
  <w:abstractNum w:abstractNumId="35">
    <w:nsid w:val="00000052"/>
    <w:multiLevelType w:val="singleLevel"/>
    <w:tmpl w:val="00000052"/>
    <w:lvl w:ilvl="0" w:tentative="0">
      <w:start w:val="1"/>
      <w:numFmt w:val="decimal"/>
      <w:suff w:val="nothing"/>
      <w:lvlText w:val="（%1）"/>
      <w:lvlJc w:val="left"/>
      <w:pPr>
        <w:ind w:left="0" w:firstLine="420"/>
      </w:pPr>
      <w:rPr>
        <w:rFonts w:hint="default"/>
      </w:rPr>
    </w:lvl>
  </w:abstractNum>
  <w:abstractNum w:abstractNumId="36">
    <w:nsid w:val="00000054"/>
    <w:multiLevelType w:val="singleLevel"/>
    <w:tmpl w:val="00000054"/>
    <w:lvl w:ilvl="0" w:tentative="0">
      <w:start w:val="4"/>
      <w:numFmt w:val="chineseCounting"/>
      <w:suff w:val="space"/>
      <w:lvlText w:val="第%1章"/>
      <w:lvlJc w:val="left"/>
      <w:rPr>
        <w:rFonts w:hint="eastAsia"/>
      </w:rPr>
    </w:lvl>
  </w:abstractNum>
  <w:abstractNum w:abstractNumId="37">
    <w:nsid w:val="00000057"/>
    <w:multiLevelType w:val="singleLevel"/>
    <w:tmpl w:val="00000057"/>
    <w:lvl w:ilvl="0" w:tentative="0">
      <w:start w:val="1"/>
      <w:numFmt w:val="decimal"/>
      <w:suff w:val="nothing"/>
      <w:lvlText w:val="%1、"/>
      <w:lvlJc w:val="left"/>
      <w:pPr>
        <w:ind w:left="0" w:firstLine="420"/>
      </w:pPr>
      <w:rPr>
        <w:rFonts w:hint="default"/>
      </w:rPr>
    </w:lvl>
  </w:abstractNum>
  <w:abstractNum w:abstractNumId="38">
    <w:nsid w:val="0000005C"/>
    <w:multiLevelType w:val="multilevel"/>
    <w:tmpl w:val="0000005C"/>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00000063"/>
    <w:multiLevelType w:val="multilevel"/>
    <w:tmpl w:val="00000063"/>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00000068"/>
    <w:multiLevelType w:val="singleLevel"/>
    <w:tmpl w:val="00000068"/>
    <w:lvl w:ilvl="0" w:tentative="0">
      <w:start w:val="1"/>
      <w:numFmt w:val="decimal"/>
      <w:suff w:val="nothing"/>
      <w:lvlText w:val="（%1）"/>
      <w:lvlJc w:val="left"/>
      <w:pPr>
        <w:ind w:left="0" w:firstLine="420"/>
      </w:pPr>
      <w:rPr>
        <w:rFonts w:hint="default"/>
      </w:rPr>
    </w:lvl>
  </w:abstractNum>
  <w:abstractNum w:abstractNumId="41">
    <w:nsid w:val="0000006E"/>
    <w:multiLevelType w:val="singleLevel"/>
    <w:tmpl w:val="0000006E"/>
    <w:lvl w:ilvl="0" w:tentative="0">
      <w:start w:val="1"/>
      <w:numFmt w:val="decimal"/>
      <w:suff w:val="nothing"/>
      <w:lvlText w:val="%1、"/>
      <w:lvlJc w:val="left"/>
      <w:pPr>
        <w:ind w:left="0" w:firstLine="420"/>
      </w:pPr>
      <w:rPr>
        <w:rFonts w:hint="default"/>
      </w:rPr>
    </w:lvl>
  </w:abstractNum>
  <w:abstractNum w:abstractNumId="42">
    <w:nsid w:val="00000070"/>
    <w:multiLevelType w:val="singleLevel"/>
    <w:tmpl w:val="00000070"/>
    <w:lvl w:ilvl="0" w:tentative="0">
      <w:start w:val="1"/>
      <w:numFmt w:val="decimal"/>
      <w:suff w:val="nothing"/>
      <w:lvlText w:val="%1、"/>
      <w:lvlJc w:val="left"/>
      <w:pPr>
        <w:ind w:left="148" w:firstLine="420"/>
      </w:pPr>
      <w:rPr>
        <w:rFonts w:hint="default"/>
      </w:rPr>
    </w:lvl>
  </w:abstractNum>
  <w:abstractNum w:abstractNumId="43">
    <w:nsid w:val="00000072"/>
    <w:multiLevelType w:val="singleLevel"/>
    <w:tmpl w:val="00000072"/>
    <w:lvl w:ilvl="0" w:tentative="0">
      <w:start w:val="1"/>
      <w:numFmt w:val="decimal"/>
      <w:suff w:val="nothing"/>
      <w:lvlText w:val="%1、"/>
      <w:lvlJc w:val="left"/>
      <w:pPr>
        <w:ind w:left="0" w:firstLine="420"/>
      </w:pPr>
      <w:rPr>
        <w:rFonts w:hint="default"/>
      </w:rPr>
    </w:lvl>
  </w:abstractNum>
  <w:abstractNum w:abstractNumId="44">
    <w:nsid w:val="0000007A"/>
    <w:multiLevelType w:val="singleLevel"/>
    <w:tmpl w:val="0000007A"/>
    <w:lvl w:ilvl="0" w:tentative="0">
      <w:start w:val="1"/>
      <w:numFmt w:val="decimal"/>
      <w:suff w:val="nothing"/>
      <w:lvlText w:val="%1、"/>
      <w:lvlJc w:val="left"/>
      <w:pPr>
        <w:ind w:left="0" w:firstLine="420"/>
      </w:pPr>
      <w:rPr>
        <w:rFonts w:hint="default"/>
      </w:rPr>
    </w:lvl>
  </w:abstractNum>
  <w:abstractNum w:abstractNumId="45">
    <w:nsid w:val="00000081"/>
    <w:multiLevelType w:val="singleLevel"/>
    <w:tmpl w:val="00000081"/>
    <w:lvl w:ilvl="0" w:tentative="0">
      <w:start w:val="1"/>
      <w:numFmt w:val="decimal"/>
      <w:suff w:val="nothing"/>
      <w:lvlText w:val="%1、"/>
      <w:lvlJc w:val="left"/>
      <w:pPr>
        <w:ind w:left="6" w:firstLine="420"/>
      </w:pPr>
      <w:rPr>
        <w:rFonts w:hint="default"/>
      </w:rPr>
    </w:lvl>
  </w:abstractNum>
  <w:abstractNum w:abstractNumId="46">
    <w:nsid w:val="00000082"/>
    <w:multiLevelType w:val="singleLevel"/>
    <w:tmpl w:val="00000082"/>
    <w:lvl w:ilvl="0" w:tentative="0">
      <w:start w:val="1"/>
      <w:numFmt w:val="lowerLetter"/>
      <w:suff w:val="nothing"/>
      <w:lvlText w:val="%1、"/>
      <w:lvlJc w:val="left"/>
      <w:pPr>
        <w:ind w:left="0" w:firstLine="420"/>
      </w:pPr>
      <w:rPr>
        <w:rFonts w:hint="default"/>
      </w:rPr>
    </w:lvl>
  </w:abstractNum>
  <w:abstractNum w:abstractNumId="47">
    <w:nsid w:val="00000084"/>
    <w:multiLevelType w:val="singleLevel"/>
    <w:tmpl w:val="00000084"/>
    <w:lvl w:ilvl="0" w:tentative="0">
      <w:start w:val="1"/>
      <w:numFmt w:val="decimal"/>
      <w:suff w:val="nothing"/>
      <w:lvlText w:val="%1、"/>
      <w:lvlJc w:val="left"/>
      <w:pPr>
        <w:ind w:left="0" w:firstLine="420"/>
      </w:pPr>
      <w:rPr>
        <w:rFonts w:hint="default"/>
      </w:rPr>
    </w:lvl>
  </w:abstractNum>
  <w:abstractNum w:abstractNumId="48">
    <w:nsid w:val="0000008B"/>
    <w:multiLevelType w:val="multilevel"/>
    <w:tmpl w:val="0000008B"/>
    <w:lvl w:ilvl="0" w:tentative="0">
      <w:start w:val="1"/>
      <w:numFmt w:val="decimal"/>
      <w:lvlText w:val="%1."/>
      <w:lvlJc w:val="left"/>
      <w:pPr>
        <w:tabs>
          <w:tab w:val="left" w:pos="907"/>
        </w:tabs>
        <w:ind w:left="907" w:hanging="907"/>
      </w:pPr>
      <w:rPr>
        <w:rFonts w:hint="eastAsia"/>
        <w:b/>
      </w:rPr>
    </w:lvl>
    <w:lvl w:ilvl="1" w:tentative="0">
      <w:start w:val="1"/>
      <w:numFmt w:val="decimal"/>
      <w:isLgl/>
      <w:lvlText w:val="1.%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02214455"/>
    <w:multiLevelType w:val="multilevel"/>
    <w:tmpl w:val="02214455"/>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2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0">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4146B91"/>
    <w:multiLevelType w:val="multilevel"/>
    <w:tmpl w:val="04146B91"/>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2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2">
    <w:nsid w:val="07FC90EB"/>
    <w:multiLevelType w:val="singleLevel"/>
    <w:tmpl w:val="07FC90EB"/>
    <w:lvl w:ilvl="0" w:tentative="0">
      <w:start w:val="4"/>
      <w:numFmt w:val="decimal"/>
      <w:lvlText w:val="%1."/>
      <w:lvlJc w:val="left"/>
      <w:pPr>
        <w:tabs>
          <w:tab w:val="left" w:pos="312"/>
        </w:tabs>
      </w:pPr>
    </w:lvl>
  </w:abstractNum>
  <w:abstractNum w:abstractNumId="53">
    <w:nsid w:val="096509CA"/>
    <w:multiLevelType w:val="multilevel"/>
    <w:tmpl w:val="096509C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4">
    <w:nsid w:val="09BB55E0"/>
    <w:multiLevelType w:val="multilevel"/>
    <w:tmpl w:val="09BB55E0"/>
    <w:lvl w:ilvl="0" w:tentative="0">
      <w:start w:val="1"/>
      <w:numFmt w:val="decimal"/>
      <w:lvlText w:val="31.2.%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cs="Times New Roman"/>
      </w:rPr>
    </w:lvl>
    <w:lvl w:ilvl="2" w:tentative="0">
      <w:start w:val="1"/>
      <w:numFmt w:val="decimal"/>
      <w:lvlRestart w:val="0"/>
      <w:lvlText w:val="1.%3"/>
      <w:lvlJc w:val="left"/>
      <w:pPr>
        <w:tabs>
          <w:tab w:val="left" w:pos="629"/>
        </w:tabs>
        <w:ind w:left="629" w:hanging="419"/>
      </w:pPr>
      <w:rPr>
        <w:rFonts w:hint="eastAsia" w:cs="Times New Roman"/>
      </w:rPr>
    </w:lvl>
    <w:lvl w:ilvl="3" w:tentative="0">
      <w:start w:val="1"/>
      <w:numFmt w:val="decimal"/>
      <w:lvlText w:val="%4."/>
      <w:lvlJc w:val="left"/>
      <w:pPr>
        <w:tabs>
          <w:tab w:val="left" w:pos="420"/>
        </w:tabs>
        <w:ind w:left="420" w:hanging="420"/>
      </w:pPr>
      <w:rPr>
        <w:rFonts w:hint="default"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55">
    <w:nsid w:val="0A1578ED"/>
    <w:multiLevelType w:val="multilevel"/>
    <w:tmpl w:val="0A1578ED"/>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6">
    <w:nsid w:val="0DB45F45"/>
    <w:multiLevelType w:val="multilevel"/>
    <w:tmpl w:val="0DB45F45"/>
    <w:lvl w:ilvl="0" w:tentative="0">
      <w:start w:val="1"/>
      <w:numFmt w:val="decimal"/>
      <w:lvlText w:val="（%1）"/>
      <w:lvlJc w:val="left"/>
      <w:pPr>
        <w:ind w:left="817" w:hanging="420"/>
      </w:pPr>
      <w:rPr>
        <w:rFonts w:hint="eastAsia" w:cs="Times New Roman"/>
      </w:rPr>
    </w:lvl>
    <w:lvl w:ilvl="1" w:tentative="0">
      <w:start w:val="1"/>
      <w:numFmt w:val="lowerLetter"/>
      <w:lvlText w:val="%2)"/>
      <w:lvlJc w:val="left"/>
      <w:pPr>
        <w:ind w:left="1237" w:hanging="420"/>
      </w:pPr>
      <w:rPr>
        <w:rFonts w:cs="Times New Roman"/>
      </w:rPr>
    </w:lvl>
    <w:lvl w:ilvl="2" w:tentative="0">
      <w:start w:val="1"/>
      <w:numFmt w:val="lowerRoman"/>
      <w:lvlText w:val="%3."/>
      <w:lvlJc w:val="right"/>
      <w:pPr>
        <w:ind w:left="1657" w:hanging="420"/>
      </w:pPr>
      <w:rPr>
        <w:rFonts w:cs="Times New Roman"/>
      </w:rPr>
    </w:lvl>
    <w:lvl w:ilvl="3" w:tentative="0">
      <w:start w:val="1"/>
      <w:numFmt w:val="decimal"/>
      <w:lvlText w:val="%4."/>
      <w:lvlJc w:val="left"/>
      <w:pPr>
        <w:ind w:left="2077" w:hanging="420"/>
      </w:pPr>
      <w:rPr>
        <w:rFonts w:cs="Times New Roman"/>
      </w:rPr>
    </w:lvl>
    <w:lvl w:ilvl="4" w:tentative="0">
      <w:start w:val="1"/>
      <w:numFmt w:val="lowerLetter"/>
      <w:lvlText w:val="%5)"/>
      <w:lvlJc w:val="left"/>
      <w:pPr>
        <w:ind w:left="2497" w:hanging="420"/>
      </w:pPr>
      <w:rPr>
        <w:rFonts w:cs="Times New Roman"/>
      </w:rPr>
    </w:lvl>
    <w:lvl w:ilvl="5" w:tentative="0">
      <w:start w:val="1"/>
      <w:numFmt w:val="lowerRoman"/>
      <w:lvlText w:val="%6."/>
      <w:lvlJc w:val="right"/>
      <w:pPr>
        <w:ind w:left="2917" w:hanging="420"/>
      </w:pPr>
      <w:rPr>
        <w:rFonts w:cs="Times New Roman"/>
      </w:rPr>
    </w:lvl>
    <w:lvl w:ilvl="6" w:tentative="0">
      <w:start w:val="1"/>
      <w:numFmt w:val="decimal"/>
      <w:lvlText w:val="%7."/>
      <w:lvlJc w:val="left"/>
      <w:pPr>
        <w:ind w:left="3337" w:hanging="420"/>
      </w:pPr>
      <w:rPr>
        <w:rFonts w:cs="Times New Roman"/>
      </w:rPr>
    </w:lvl>
    <w:lvl w:ilvl="7" w:tentative="0">
      <w:start w:val="1"/>
      <w:numFmt w:val="lowerLetter"/>
      <w:lvlText w:val="%8)"/>
      <w:lvlJc w:val="left"/>
      <w:pPr>
        <w:ind w:left="3757" w:hanging="420"/>
      </w:pPr>
      <w:rPr>
        <w:rFonts w:cs="Times New Roman"/>
      </w:rPr>
    </w:lvl>
    <w:lvl w:ilvl="8" w:tentative="0">
      <w:start w:val="1"/>
      <w:numFmt w:val="lowerRoman"/>
      <w:lvlText w:val="%9."/>
      <w:lvlJc w:val="right"/>
      <w:pPr>
        <w:ind w:left="4177" w:hanging="420"/>
      </w:pPr>
      <w:rPr>
        <w:rFonts w:cs="Times New Roman"/>
      </w:rPr>
    </w:lvl>
  </w:abstractNum>
  <w:abstractNum w:abstractNumId="57">
    <w:nsid w:val="0E1853F9"/>
    <w:multiLevelType w:val="multilevel"/>
    <w:tmpl w:val="0E1853F9"/>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8">
    <w:nsid w:val="0EC42DA4"/>
    <w:multiLevelType w:val="multilevel"/>
    <w:tmpl w:val="0EC42DA4"/>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9">
    <w:nsid w:val="10D72BD3"/>
    <w:multiLevelType w:val="multilevel"/>
    <w:tmpl w:val="10D72BD3"/>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60">
    <w:nsid w:val="117F729B"/>
    <w:multiLevelType w:val="multilevel"/>
    <w:tmpl w:val="117F729B"/>
    <w:lvl w:ilvl="0" w:tentative="0">
      <w:start w:val="1"/>
      <w:numFmt w:val="decimal"/>
      <w:lvlText w:val="%1)"/>
      <w:lvlJc w:val="left"/>
      <w:pPr>
        <w:tabs>
          <w:tab w:val="left" w:pos="1785"/>
        </w:tabs>
        <w:ind w:left="1785" w:hanging="420"/>
      </w:pPr>
      <w:rPr>
        <w:rFonts w:ascii="宋体" w:hAnsi="宋体" w:eastAsia="宋体"/>
      </w:rPr>
    </w:lvl>
    <w:lvl w:ilvl="1" w:tentative="0">
      <w:start w:val="14"/>
      <w:numFmt w:val="lowerLetter"/>
      <w:lvlText w:val="%2)"/>
      <w:lvlJc w:val="left"/>
      <w:pPr>
        <w:tabs>
          <w:tab w:val="left" w:pos="1365"/>
        </w:tabs>
        <w:ind w:left="1365" w:hanging="420"/>
      </w:pPr>
      <w:rPr>
        <w:rFonts w:hint="default"/>
      </w:rPr>
    </w:lvl>
    <w:lvl w:ilvl="2" w:tentative="0">
      <w:start w:val="15"/>
      <w:numFmt w:val="bullet"/>
      <w:lvlText w:val="%3)"/>
      <w:lvlJc w:val="left"/>
      <w:pPr>
        <w:tabs>
          <w:tab w:val="left" w:pos="1785"/>
        </w:tabs>
        <w:ind w:left="1785" w:hanging="420"/>
      </w:pPr>
      <w:rPr>
        <w:rFonts w:hint="default" w:ascii="Wingdings" w:hAnsi="Wingdings" w:eastAsia="宋体" w:cs="Arial"/>
      </w:r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61">
    <w:nsid w:val="14721843"/>
    <w:multiLevelType w:val="multilevel"/>
    <w:tmpl w:val="14721843"/>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62">
    <w:nsid w:val="165F19F7"/>
    <w:multiLevelType w:val="multilevel"/>
    <w:tmpl w:val="165F19F7"/>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9.%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3">
    <w:nsid w:val="1A60534A"/>
    <w:multiLevelType w:val="multilevel"/>
    <w:tmpl w:val="1A60534A"/>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14.%2."/>
      <w:lvlJc w:val="left"/>
      <w:pPr>
        <w:tabs>
          <w:tab w:val="left" w:pos="907"/>
        </w:tabs>
        <w:ind w:left="907" w:hanging="907"/>
      </w:pPr>
      <w:rPr>
        <w:rFonts w:hint="eastAsia" w:eastAsia="宋体" w:cs="Times New Roman"/>
        <w:b w:val="0"/>
      </w:rPr>
    </w:lvl>
    <w:lvl w:ilvl="2" w:tentative="0">
      <w:start w:val="1"/>
      <w:numFmt w:val="decimal"/>
      <w:lvlText w:val="   15.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4">
    <w:nsid w:val="1B2061DA"/>
    <w:multiLevelType w:val="multilevel"/>
    <w:tmpl w:val="1B2061DA"/>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65">
    <w:nsid w:val="1B3C6EDD"/>
    <w:multiLevelType w:val="multilevel"/>
    <w:tmpl w:val="1B3C6EDD"/>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8.%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6">
    <w:nsid w:val="1B649E59"/>
    <w:multiLevelType w:val="multilevel"/>
    <w:tmpl w:val="1B649E59"/>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7">
    <w:nsid w:val="1C465C70"/>
    <w:multiLevelType w:val="multilevel"/>
    <w:tmpl w:val="1C465C70"/>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68">
    <w:nsid w:val="21817DC8"/>
    <w:multiLevelType w:val="multilevel"/>
    <w:tmpl w:val="21817DC8"/>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69">
    <w:nsid w:val="22303E2D"/>
    <w:multiLevelType w:val="multilevel"/>
    <w:tmpl w:val="22303E2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0">
    <w:nsid w:val="28D70B5C"/>
    <w:multiLevelType w:val="multilevel"/>
    <w:tmpl w:val="28D70B5C"/>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1">
    <w:nsid w:val="2D4E5582"/>
    <w:multiLevelType w:val="multilevel"/>
    <w:tmpl w:val="2D4E5582"/>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2">
    <w:nsid w:val="32F214ED"/>
    <w:multiLevelType w:val="multilevel"/>
    <w:tmpl w:val="32F214ED"/>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3">
    <w:nsid w:val="33156A28"/>
    <w:multiLevelType w:val="multilevel"/>
    <w:tmpl w:val="33156A28"/>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rPr>
        <w:rFonts w:hint="default"/>
      </w:r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4">
    <w:nsid w:val="39D30C9C"/>
    <w:multiLevelType w:val="multilevel"/>
    <w:tmpl w:val="39D30C9C"/>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5">
    <w:nsid w:val="3B317F55"/>
    <w:multiLevelType w:val="multilevel"/>
    <w:tmpl w:val="3B317F55"/>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6">
    <w:nsid w:val="3BFF5A89"/>
    <w:multiLevelType w:val="multilevel"/>
    <w:tmpl w:val="3BFF5A89"/>
    <w:lvl w:ilvl="0" w:tentative="0">
      <w:start w:val="1"/>
      <w:numFmt w:val="decimal"/>
      <w:lvlText w:val="%1)"/>
      <w:lvlJc w:val="left"/>
      <w:pPr>
        <w:ind w:left="1129" w:hanging="420"/>
      </w:pPr>
    </w:lvl>
    <w:lvl w:ilvl="1" w:tentative="0">
      <w:start w:val="1"/>
      <w:numFmt w:val="decimal"/>
      <w:lvlText w:val="%2."/>
      <w:lvlJc w:val="left"/>
      <w:pPr>
        <w:ind w:left="1549" w:hanging="420"/>
      </w:pPr>
      <w:rPr>
        <w:rFonts w:hint="eastAsia"/>
      </w:r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7">
    <w:nsid w:val="3CEF53B1"/>
    <w:multiLevelType w:val="multilevel"/>
    <w:tmpl w:val="3CEF53B1"/>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8">
    <w:nsid w:val="3FDE7B9F"/>
    <w:multiLevelType w:val="multilevel"/>
    <w:tmpl w:val="3FDE7B9F"/>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79">
    <w:nsid w:val="40ED0F14"/>
    <w:multiLevelType w:val="multilevel"/>
    <w:tmpl w:val="40ED0F14"/>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80">
    <w:nsid w:val="429D4EBD"/>
    <w:multiLevelType w:val="multilevel"/>
    <w:tmpl w:val="429D4EBD"/>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1">
    <w:nsid w:val="42F3C737"/>
    <w:multiLevelType w:val="multilevel"/>
    <w:tmpl w:val="42F3C737"/>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23.%2"/>
      <w:lvlJc w:val="left"/>
      <w:pPr>
        <w:tabs>
          <w:tab w:val="left" w:pos="907"/>
        </w:tabs>
        <w:ind w:left="907" w:hanging="907"/>
      </w:pPr>
      <w:rPr>
        <w:rFonts w:hint="default" w:ascii="宋体" w:hAnsi="宋体" w:eastAsia="宋体" w:cs="宋体"/>
        <w:b/>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2">
    <w:nsid w:val="447160B7"/>
    <w:multiLevelType w:val="multilevel"/>
    <w:tmpl w:val="447160B7"/>
    <w:lvl w:ilvl="0" w:tentative="0">
      <w:start w:val="1"/>
      <w:numFmt w:val="decimal"/>
      <w:lvlText w:val="%1."/>
      <w:lvlJc w:val="left"/>
      <w:pPr>
        <w:tabs>
          <w:tab w:val="left" w:pos="907"/>
        </w:tabs>
        <w:ind w:left="907" w:hanging="907"/>
      </w:pPr>
      <w:rPr>
        <w:rFonts w:hint="eastAsia" w:cs="Times New Roman"/>
        <w:b/>
      </w:rPr>
    </w:lvl>
    <w:lvl w:ilvl="1" w:tentative="0">
      <w:start w:val="1"/>
      <w:numFmt w:val="decimal"/>
      <w:isLgl/>
      <w:lvlText w:val="14.%2."/>
      <w:lvlJc w:val="left"/>
      <w:pPr>
        <w:tabs>
          <w:tab w:val="left" w:pos="907"/>
        </w:tabs>
        <w:ind w:left="907" w:hanging="907"/>
      </w:pPr>
      <w:rPr>
        <w:rFonts w:hint="eastAsia" w:eastAsia="宋体" w:cs="Times New Roman"/>
        <w:b w:val="0"/>
      </w:rPr>
    </w:lvl>
    <w:lvl w:ilvl="2" w:tentative="0">
      <w:start w:val="1"/>
      <w:numFmt w:val="decimal"/>
      <w:lvlText w:val="11.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3">
    <w:nsid w:val="45546FA4"/>
    <w:multiLevelType w:val="multilevel"/>
    <w:tmpl w:val="45546FA4"/>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84">
    <w:nsid w:val="4D405D13"/>
    <w:multiLevelType w:val="singleLevel"/>
    <w:tmpl w:val="4D405D13"/>
    <w:lvl w:ilvl="0" w:tentative="0">
      <w:start w:val="1"/>
      <w:numFmt w:val="decimal"/>
      <w:lvlText w:val="%1)"/>
      <w:legacy w:legacy="1" w:legacySpace="0" w:legacyIndent="360"/>
      <w:lvlJc w:val="left"/>
      <w:rPr>
        <w:rFonts w:hint="default" w:ascii="宋体" w:hAnsi="宋体" w:eastAsia="宋体" w:cs="Arial"/>
      </w:rPr>
    </w:lvl>
  </w:abstractNum>
  <w:abstractNum w:abstractNumId="85">
    <w:nsid w:val="54D95D12"/>
    <w:multiLevelType w:val="multilevel"/>
    <w:tmpl w:val="54D95D12"/>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86">
    <w:nsid w:val="55850AD2"/>
    <w:multiLevelType w:val="multilevel"/>
    <w:tmpl w:val="55850AD2"/>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87">
    <w:nsid w:val="58B6B628"/>
    <w:multiLevelType w:val="singleLevel"/>
    <w:tmpl w:val="58B6B628"/>
    <w:lvl w:ilvl="0" w:tentative="0">
      <w:start w:val="1"/>
      <w:numFmt w:val="decimal"/>
      <w:suff w:val="nothing"/>
      <w:lvlText w:val="%1、"/>
      <w:lvlJc w:val="left"/>
      <w:pPr>
        <w:ind w:left="0" w:firstLine="420"/>
      </w:pPr>
      <w:rPr>
        <w:rFonts w:hint="default"/>
      </w:rPr>
    </w:lvl>
  </w:abstractNum>
  <w:abstractNum w:abstractNumId="88">
    <w:nsid w:val="58C77C53"/>
    <w:multiLevelType w:val="multilevel"/>
    <w:tmpl w:val="58C77C53"/>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89">
    <w:nsid w:val="58C77C88"/>
    <w:multiLevelType w:val="singleLevel"/>
    <w:tmpl w:val="58C77C88"/>
    <w:lvl w:ilvl="0" w:tentative="0">
      <w:start w:val="1"/>
      <w:numFmt w:val="decimal"/>
      <w:lvlText w:val="%1."/>
      <w:lvlJc w:val="left"/>
      <w:pPr>
        <w:ind w:left="425" w:hanging="425"/>
      </w:pPr>
      <w:rPr>
        <w:rFonts w:hint="default" w:cs="Times New Roman"/>
      </w:rPr>
    </w:lvl>
  </w:abstractNum>
  <w:abstractNum w:abstractNumId="90">
    <w:nsid w:val="58C77CA7"/>
    <w:multiLevelType w:val="multilevel"/>
    <w:tmpl w:val="58C77CA7"/>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1">
    <w:nsid w:val="58C77E10"/>
    <w:multiLevelType w:val="multilevel"/>
    <w:tmpl w:val="58C77E10"/>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2">
    <w:nsid w:val="58C7E03C"/>
    <w:multiLevelType w:val="multilevel"/>
    <w:tmpl w:val="58C7E03C"/>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3">
    <w:nsid w:val="58C7E068"/>
    <w:multiLevelType w:val="multilevel"/>
    <w:tmpl w:val="58C7E068"/>
    <w:lvl w:ilvl="0" w:tentative="0">
      <w:start w:val="1"/>
      <w:numFmt w:val="decimal"/>
      <w:lvlText w:val="%1."/>
      <w:lvlJc w:val="left"/>
      <w:pPr>
        <w:tabs>
          <w:tab w:val="left" w:pos="907"/>
        </w:tabs>
        <w:ind w:left="907" w:hanging="907"/>
      </w:pPr>
      <w:rPr>
        <w:rFonts w:hint="eastAsia"/>
        <w:b/>
      </w:rPr>
    </w:lvl>
    <w:lvl w:ilvl="1" w:tentative="0">
      <w:start w:val="1"/>
      <w:numFmt w:val="decimal"/>
      <w:isLgl/>
      <w:lvlText w:val="3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4">
    <w:nsid w:val="58C7E08C"/>
    <w:multiLevelType w:val="multilevel"/>
    <w:tmpl w:val="58C7E08C"/>
    <w:lvl w:ilvl="0" w:tentative="0">
      <w:start w:val="1"/>
      <w:numFmt w:val="decimal"/>
      <w:lvlText w:val="%1."/>
      <w:lvlJc w:val="left"/>
      <w:pPr>
        <w:tabs>
          <w:tab w:val="left" w:pos="907"/>
        </w:tabs>
        <w:ind w:left="907" w:hanging="907"/>
      </w:pPr>
      <w:rPr>
        <w:rFonts w:hint="eastAsia"/>
        <w:b/>
      </w:rPr>
    </w:lvl>
    <w:lvl w:ilvl="1" w:tentative="0">
      <w:start w:val="1"/>
      <w:numFmt w:val="decimal"/>
      <w:isLgl/>
      <w:lvlText w:val="3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5">
    <w:nsid w:val="59AE446A"/>
    <w:multiLevelType w:val="multilevel"/>
    <w:tmpl w:val="59AE446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6">
    <w:nsid w:val="5A7A4A03"/>
    <w:multiLevelType w:val="multilevel"/>
    <w:tmpl w:val="5A7A4A03"/>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97">
    <w:nsid w:val="5C684783"/>
    <w:multiLevelType w:val="multilevel"/>
    <w:tmpl w:val="5C684783"/>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98">
    <w:nsid w:val="5E983F60"/>
    <w:multiLevelType w:val="multilevel"/>
    <w:tmpl w:val="5E983F60"/>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99">
    <w:nsid w:val="5EF22D71"/>
    <w:multiLevelType w:val="singleLevel"/>
    <w:tmpl w:val="5EF22D71"/>
    <w:lvl w:ilvl="0" w:tentative="0">
      <w:start w:val="1"/>
      <w:numFmt w:val="decimal"/>
      <w:lvlText w:val="%1)"/>
      <w:legacy w:legacy="1" w:legacySpace="0" w:legacyIndent="360"/>
      <w:lvlJc w:val="left"/>
      <w:rPr>
        <w:rFonts w:hint="default" w:ascii="宋体" w:hAnsi="宋体" w:eastAsia="宋体" w:cs="Arial"/>
      </w:rPr>
    </w:lvl>
  </w:abstractNum>
  <w:abstractNum w:abstractNumId="100">
    <w:nsid w:val="66CF69E5"/>
    <w:multiLevelType w:val="multilevel"/>
    <w:tmpl w:val="66CF69E5"/>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01">
    <w:nsid w:val="68875A81"/>
    <w:multiLevelType w:val="multilevel"/>
    <w:tmpl w:val="68875A8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2">
    <w:nsid w:val="68F60290"/>
    <w:multiLevelType w:val="multilevel"/>
    <w:tmpl w:val="68F60290"/>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03">
    <w:nsid w:val="6E4653E1"/>
    <w:multiLevelType w:val="multilevel"/>
    <w:tmpl w:val="6E4653E1"/>
    <w:lvl w:ilvl="0" w:tentative="0">
      <w:start w:val="1"/>
      <w:numFmt w:val="decimal"/>
      <w:lvlText w:val="%1."/>
      <w:lvlJc w:val="left"/>
      <w:pPr>
        <w:tabs>
          <w:tab w:val="left" w:pos="907"/>
        </w:tabs>
        <w:ind w:left="907" w:hanging="907"/>
      </w:pPr>
      <w:rPr>
        <w:rFonts w:hint="eastAsia" w:cs="Times New Roman"/>
        <w:b/>
      </w:rPr>
    </w:lvl>
    <w:lvl w:ilvl="1" w:tentative="0">
      <w:start w:val="1"/>
      <w:numFmt w:val="decimal"/>
      <w:lvlText w:val="1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cs="Times New Roman"/>
      </w:rPr>
    </w:lvl>
    <w:lvl w:ilvl="3" w:tentative="0">
      <w:start w:val="1"/>
      <w:numFmt w:val="decimal"/>
      <w:lvlText w:val="%1.%2.%3.%4."/>
      <w:lvlJc w:val="left"/>
      <w:pPr>
        <w:tabs>
          <w:tab w:val="left" w:pos="907"/>
        </w:tabs>
        <w:ind w:left="907" w:hanging="907"/>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4">
    <w:nsid w:val="723E7546"/>
    <w:multiLevelType w:val="multilevel"/>
    <w:tmpl w:val="723E7546"/>
    <w:lvl w:ilvl="0" w:tentative="0">
      <w:start w:val="1"/>
      <w:numFmt w:val="decimal"/>
      <w:lvlText w:val="%1)"/>
      <w:lvlJc w:val="left"/>
      <w:pPr>
        <w:tabs>
          <w:tab w:val="left" w:pos="1785"/>
        </w:tabs>
        <w:ind w:left="1785" w:hanging="420"/>
      </w:p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105">
    <w:nsid w:val="75382AF1"/>
    <w:multiLevelType w:val="multilevel"/>
    <w:tmpl w:val="75382AF1"/>
    <w:lvl w:ilvl="0" w:tentative="0">
      <w:start w:val="1"/>
      <w:numFmt w:val="decimal"/>
      <w:lvlText w:val="%1."/>
      <w:lvlJc w:val="left"/>
      <w:pPr>
        <w:ind w:left="616" w:hanging="420"/>
      </w:pPr>
      <w:rPr>
        <w:b w:val="0"/>
      </w:rPr>
    </w:lvl>
    <w:lvl w:ilvl="1" w:tentative="0">
      <w:start w:val="1"/>
      <w:numFmt w:val="lowerLetter"/>
      <w:lvlText w:val="%2)"/>
      <w:lvlJc w:val="left"/>
      <w:pPr>
        <w:ind w:left="1036" w:hanging="420"/>
      </w:pPr>
    </w:lvl>
    <w:lvl w:ilvl="2" w:tentative="0">
      <w:start w:val="1"/>
      <w:numFmt w:val="lowerRoman"/>
      <w:lvlText w:val="%3."/>
      <w:lvlJc w:val="right"/>
      <w:pPr>
        <w:ind w:left="1456" w:hanging="420"/>
      </w:pPr>
    </w:lvl>
    <w:lvl w:ilvl="3" w:tentative="0">
      <w:start w:val="1"/>
      <w:numFmt w:val="decimal"/>
      <w:lvlText w:val="%4."/>
      <w:lvlJc w:val="left"/>
      <w:pPr>
        <w:ind w:left="1876" w:hanging="420"/>
      </w:pPr>
    </w:lvl>
    <w:lvl w:ilvl="4" w:tentative="0">
      <w:start w:val="1"/>
      <w:numFmt w:val="lowerLetter"/>
      <w:lvlText w:val="%5)"/>
      <w:lvlJc w:val="left"/>
      <w:pPr>
        <w:ind w:left="2296" w:hanging="420"/>
      </w:pPr>
    </w:lvl>
    <w:lvl w:ilvl="5" w:tentative="0">
      <w:start w:val="1"/>
      <w:numFmt w:val="lowerRoman"/>
      <w:lvlText w:val="%6."/>
      <w:lvlJc w:val="right"/>
      <w:pPr>
        <w:ind w:left="2716" w:hanging="420"/>
      </w:pPr>
    </w:lvl>
    <w:lvl w:ilvl="6" w:tentative="0">
      <w:start w:val="1"/>
      <w:numFmt w:val="decimal"/>
      <w:lvlText w:val="%7."/>
      <w:lvlJc w:val="left"/>
      <w:pPr>
        <w:ind w:left="3136" w:hanging="420"/>
      </w:pPr>
    </w:lvl>
    <w:lvl w:ilvl="7" w:tentative="0">
      <w:start w:val="1"/>
      <w:numFmt w:val="lowerLetter"/>
      <w:lvlText w:val="%8)"/>
      <w:lvlJc w:val="left"/>
      <w:pPr>
        <w:ind w:left="3556" w:hanging="420"/>
      </w:pPr>
    </w:lvl>
    <w:lvl w:ilvl="8" w:tentative="0">
      <w:start w:val="1"/>
      <w:numFmt w:val="lowerRoman"/>
      <w:lvlText w:val="%9."/>
      <w:lvlJc w:val="right"/>
      <w:pPr>
        <w:ind w:left="3976" w:hanging="420"/>
      </w:pPr>
    </w:lvl>
  </w:abstractNum>
  <w:abstractNum w:abstractNumId="106">
    <w:nsid w:val="7E3E5EDA"/>
    <w:multiLevelType w:val="multilevel"/>
    <w:tmpl w:val="7E3E5EDA"/>
    <w:lvl w:ilvl="0" w:tentative="0">
      <w:start w:val="1"/>
      <w:numFmt w:val="decimal"/>
      <w:lvlText w:val="%1)"/>
      <w:lvlJc w:val="left"/>
      <w:pPr>
        <w:tabs>
          <w:tab w:val="left" w:pos="1785"/>
        </w:tabs>
        <w:ind w:left="1785" w:hanging="420"/>
      </w:pPr>
      <w:rPr>
        <w:rFonts w:ascii="宋体" w:hAnsi="宋体" w:eastAsia="宋体"/>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34"/>
  </w:num>
  <w:num w:numId="2">
    <w:abstractNumId w:val="22"/>
  </w:num>
  <w:num w:numId="3">
    <w:abstractNumId w:val="43"/>
  </w:num>
  <w:num w:numId="4">
    <w:abstractNumId w:val="27"/>
  </w:num>
  <w:num w:numId="5">
    <w:abstractNumId w:val="35"/>
  </w:num>
  <w:num w:numId="6">
    <w:abstractNumId w:val="76"/>
  </w:num>
  <w:num w:numId="7">
    <w:abstractNumId w:val="89"/>
  </w:num>
  <w:num w:numId="8">
    <w:abstractNumId w:val="88"/>
  </w:num>
  <w:num w:numId="9">
    <w:abstractNumId w:val="90"/>
  </w:num>
  <w:num w:numId="10">
    <w:abstractNumId w:val="91"/>
  </w:num>
  <w:num w:numId="11">
    <w:abstractNumId w:val="80"/>
  </w:num>
  <w:num w:numId="12">
    <w:abstractNumId w:val="1"/>
  </w:num>
  <w:num w:numId="13">
    <w:abstractNumId w:val="8"/>
  </w:num>
  <w:num w:numId="14">
    <w:abstractNumId w:val="65"/>
  </w:num>
  <w:num w:numId="15">
    <w:abstractNumId w:val="13"/>
  </w:num>
  <w:num w:numId="16">
    <w:abstractNumId w:val="11"/>
  </w:num>
  <w:num w:numId="17">
    <w:abstractNumId w:val="4"/>
  </w:num>
  <w:num w:numId="18">
    <w:abstractNumId w:val="82"/>
  </w:num>
  <w:num w:numId="19">
    <w:abstractNumId w:val="9"/>
  </w:num>
  <w:num w:numId="20">
    <w:abstractNumId w:val="66"/>
  </w:num>
  <w:num w:numId="21">
    <w:abstractNumId w:val="6"/>
  </w:num>
  <w:num w:numId="22">
    <w:abstractNumId w:val="3"/>
  </w:num>
  <w:num w:numId="23">
    <w:abstractNumId w:val="103"/>
  </w:num>
  <w:num w:numId="24">
    <w:abstractNumId w:val="63"/>
  </w:num>
  <w:num w:numId="25">
    <w:abstractNumId w:val="2"/>
  </w:num>
  <w:num w:numId="26">
    <w:abstractNumId w:val="12"/>
  </w:num>
  <w:num w:numId="27">
    <w:abstractNumId w:val="10"/>
  </w:num>
  <w:num w:numId="28">
    <w:abstractNumId w:val="62"/>
  </w:num>
  <w:num w:numId="29">
    <w:abstractNumId w:val="5"/>
  </w:num>
  <w:num w:numId="30">
    <w:abstractNumId w:val="18"/>
  </w:num>
  <w:num w:numId="31">
    <w:abstractNumId w:val="0"/>
  </w:num>
  <w:num w:numId="32">
    <w:abstractNumId w:val="56"/>
  </w:num>
  <w:num w:numId="33">
    <w:abstractNumId w:val="14"/>
  </w:num>
  <w:num w:numId="34">
    <w:abstractNumId w:val="81"/>
  </w:num>
  <w:num w:numId="35">
    <w:abstractNumId w:val="49"/>
  </w:num>
  <w:num w:numId="36">
    <w:abstractNumId w:val="16"/>
  </w:num>
  <w:num w:numId="37">
    <w:abstractNumId w:val="17"/>
  </w:num>
  <w:num w:numId="38">
    <w:abstractNumId w:val="15"/>
  </w:num>
  <w:num w:numId="39">
    <w:abstractNumId w:val="51"/>
  </w:num>
  <w:num w:numId="40">
    <w:abstractNumId w:val="72"/>
  </w:num>
  <w:num w:numId="41">
    <w:abstractNumId w:val="7"/>
  </w:num>
  <w:num w:numId="42">
    <w:abstractNumId w:val="92"/>
  </w:num>
  <w:num w:numId="43">
    <w:abstractNumId w:val="54"/>
  </w:num>
  <w:num w:numId="44">
    <w:abstractNumId w:val="93"/>
  </w:num>
  <w:num w:numId="45">
    <w:abstractNumId w:val="94"/>
  </w:num>
  <w:num w:numId="46">
    <w:abstractNumId w:val="52"/>
  </w:num>
  <w:num w:numId="47">
    <w:abstractNumId w:val="79"/>
  </w:num>
  <w:num w:numId="48">
    <w:abstractNumId w:val="97"/>
  </w:num>
  <w:num w:numId="49">
    <w:abstractNumId w:val="58"/>
  </w:num>
  <w:num w:numId="50">
    <w:abstractNumId w:val="77"/>
  </w:num>
  <w:num w:numId="51">
    <w:abstractNumId w:val="75"/>
  </w:num>
  <w:num w:numId="52">
    <w:abstractNumId w:val="55"/>
  </w:num>
  <w:num w:numId="53">
    <w:abstractNumId w:val="98"/>
  </w:num>
  <w:num w:numId="54">
    <w:abstractNumId w:val="57"/>
  </w:num>
  <w:num w:numId="55">
    <w:abstractNumId w:val="71"/>
  </w:num>
  <w:num w:numId="56">
    <w:abstractNumId w:val="85"/>
  </w:num>
  <w:num w:numId="57">
    <w:abstractNumId w:val="70"/>
  </w:num>
  <w:num w:numId="58">
    <w:abstractNumId w:val="78"/>
  </w:num>
  <w:num w:numId="59">
    <w:abstractNumId w:val="61"/>
  </w:num>
  <w:num w:numId="60">
    <w:abstractNumId w:val="104"/>
  </w:num>
  <w:num w:numId="61">
    <w:abstractNumId w:val="64"/>
  </w:num>
  <w:num w:numId="62">
    <w:abstractNumId w:val="99"/>
  </w:num>
  <w:num w:numId="63">
    <w:abstractNumId w:val="99"/>
    <w:lvlOverride w:ilvl="0">
      <w:lvl w:ilvl="0" w:tentative="1">
        <w:start w:val="2"/>
        <w:numFmt w:val="decimal"/>
        <w:lvlText w:val="%1)"/>
        <w:legacy w:legacy="1" w:legacySpace="0" w:legacyIndent="360"/>
        <w:lvlJc w:val="left"/>
        <w:rPr>
          <w:rFonts w:hint="default" w:ascii="宋体" w:hAnsi="宋体" w:eastAsia="宋体" w:cs="Arial"/>
        </w:rPr>
      </w:lvl>
    </w:lvlOverride>
  </w:num>
  <w:num w:numId="64">
    <w:abstractNumId w:val="99"/>
    <w:lvlOverride w:ilvl="0">
      <w:lvl w:ilvl="0" w:tentative="1">
        <w:start w:val="5"/>
        <w:numFmt w:val="decimal"/>
        <w:lvlText w:val="%1)"/>
        <w:legacy w:legacy="1" w:legacySpace="0" w:legacyIndent="360"/>
        <w:lvlJc w:val="left"/>
        <w:rPr>
          <w:rFonts w:hint="default" w:ascii="宋体" w:hAnsi="宋体" w:eastAsia="宋体" w:cs="Arial"/>
        </w:rPr>
      </w:lvl>
    </w:lvlOverride>
  </w:num>
  <w:num w:numId="65">
    <w:abstractNumId w:val="99"/>
    <w:lvlOverride w:ilvl="0">
      <w:lvl w:ilvl="0" w:tentative="1">
        <w:start w:val="8"/>
        <w:numFmt w:val="decimal"/>
        <w:lvlText w:val="%1)"/>
        <w:legacy w:legacy="1" w:legacySpace="0" w:legacyIndent="360"/>
        <w:lvlJc w:val="left"/>
        <w:rPr>
          <w:rFonts w:hint="default" w:ascii="宋体" w:hAnsi="宋体" w:eastAsia="宋体" w:cs="Arial"/>
        </w:rPr>
      </w:lvl>
    </w:lvlOverride>
  </w:num>
  <w:num w:numId="66">
    <w:abstractNumId w:val="86"/>
  </w:num>
  <w:num w:numId="67">
    <w:abstractNumId w:val="84"/>
  </w:num>
  <w:num w:numId="68">
    <w:abstractNumId w:val="84"/>
    <w:lvlOverride w:ilvl="0">
      <w:lvl w:ilvl="0" w:tentative="1">
        <w:start w:val="5"/>
        <w:numFmt w:val="decimal"/>
        <w:lvlText w:val="%1)"/>
        <w:legacy w:legacy="1" w:legacySpace="0" w:legacyIndent="360"/>
        <w:lvlJc w:val="left"/>
        <w:rPr>
          <w:rFonts w:hint="default" w:ascii="宋体" w:hAnsi="宋体" w:eastAsia="宋体" w:cs="Arial"/>
        </w:rPr>
      </w:lvl>
    </w:lvlOverride>
  </w:num>
  <w:num w:numId="69">
    <w:abstractNumId w:val="84"/>
    <w:lvlOverride w:ilvl="0">
      <w:lvl w:ilvl="0" w:tentative="1">
        <w:start w:val="7"/>
        <w:numFmt w:val="decimal"/>
        <w:lvlText w:val="%1)"/>
        <w:legacy w:legacy="1" w:legacySpace="0" w:legacyIndent="360"/>
        <w:lvlJc w:val="left"/>
        <w:rPr>
          <w:rFonts w:hint="default" w:ascii="宋体" w:hAnsi="宋体" w:eastAsia="宋体" w:cs="Arial"/>
        </w:rPr>
      </w:lvl>
    </w:lvlOverride>
  </w:num>
  <w:num w:numId="70">
    <w:abstractNumId w:val="84"/>
    <w:lvlOverride w:ilvl="0">
      <w:lvl w:ilvl="0" w:tentative="1">
        <w:start w:val="11"/>
        <w:numFmt w:val="decimal"/>
        <w:lvlText w:val="%1)"/>
        <w:legacy w:legacy="1" w:legacySpace="0" w:legacyIndent="360"/>
        <w:lvlJc w:val="left"/>
        <w:rPr>
          <w:rFonts w:hint="default" w:ascii="宋体" w:hAnsi="宋体" w:eastAsia="宋体" w:cs="Arial"/>
        </w:rPr>
      </w:lvl>
    </w:lvlOverride>
  </w:num>
  <w:num w:numId="71">
    <w:abstractNumId w:val="84"/>
    <w:lvlOverride w:ilvl="0">
      <w:lvl w:ilvl="0" w:tentative="1">
        <w:start w:val="15"/>
        <w:numFmt w:val="decimal"/>
        <w:lvlText w:val="%1)"/>
        <w:legacy w:legacy="1" w:legacySpace="0" w:legacyIndent="360"/>
        <w:lvlJc w:val="left"/>
        <w:rPr>
          <w:rFonts w:hint="default" w:ascii="宋体" w:hAnsi="宋体" w:eastAsia="宋体" w:cs="Arial"/>
        </w:rPr>
      </w:lvl>
    </w:lvlOverride>
  </w:num>
  <w:num w:numId="72">
    <w:abstractNumId w:val="106"/>
  </w:num>
  <w:num w:numId="73">
    <w:abstractNumId w:val="67"/>
  </w:num>
  <w:num w:numId="74">
    <w:abstractNumId w:val="102"/>
  </w:num>
  <w:num w:numId="75">
    <w:abstractNumId w:val="83"/>
  </w:num>
  <w:num w:numId="76">
    <w:abstractNumId w:val="74"/>
  </w:num>
  <w:num w:numId="77">
    <w:abstractNumId w:val="96"/>
  </w:num>
  <w:num w:numId="78">
    <w:abstractNumId w:val="100"/>
  </w:num>
  <w:num w:numId="79">
    <w:abstractNumId w:val="59"/>
  </w:num>
  <w:num w:numId="80">
    <w:abstractNumId w:val="60"/>
  </w:num>
  <w:num w:numId="81">
    <w:abstractNumId w:val="68"/>
  </w:num>
  <w:num w:numId="82">
    <w:abstractNumId w:val="73"/>
  </w:num>
  <w:num w:numId="83">
    <w:abstractNumId w:val="36"/>
  </w:num>
  <w:num w:numId="84">
    <w:abstractNumId w:val="32"/>
  </w:num>
  <w:num w:numId="85">
    <w:abstractNumId w:val="26"/>
  </w:num>
  <w:num w:numId="86">
    <w:abstractNumId w:val="48"/>
  </w:num>
  <w:num w:numId="87">
    <w:abstractNumId w:val="23"/>
  </w:num>
  <w:num w:numId="88">
    <w:abstractNumId w:val="30"/>
  </w:num>
  <w:num w:numId="89">
    <w:abstractNumId w:val="19"/>
  </w:num>
  <w:num w:numId="90">
    <w:abstractNumId w:val="39"/>
  </w:num>
  <w:num w:numId="91">
    <w:abstractNumId w:val="28"/>
  </w:num>
  <w:num w:numId="92">
    <w:abstractNumId w:val="40"/>
  </w:num>
  <w:num w:numId="93">
    <w:abstractNumId w:val="24"/>
  </w:num>
  <w:num w:numId="94">
    <w:abstractNumId w:val="46"/>
  </w:num>
  <w:num w:numId="95">
    <w:abstractNumId w:val="21"/>
  </w:num>
  <w:num w:numId="96">
    <w:abstractNumId w:val="38"/>
  </w:num>
  <w:num w:numId="97">
    <w:abstractNumId w:val="37"/>
  </w:num>
  <w:num w:numId="98">
    <w:abstractNumId w:val="33"/>
  </w:num>
  <w:num w:numId="99">
    <w:abstractNumId w:val="42"/>
  </w:num>
  <w:num w:numId="100">
    <w:abstractNumId w:val="47"/>
  </w:num>
  <w:num w:numId="101">
    <w:abstractNumId w:val="69"/>
  </w:num>
  <w:num w:numId="102">
    <w:abstractNumId w:val="53"/>
  </w:num>
  <w:num w:numId="103">
    <w:abstractNumId w:val="101"/>
  </w:num>
  <w:num w:numId="104">
    <w:abstractNumId w:val="95"/>
  </w:num>
  <w:num w:numId="105">
    <w:abstractNumId w:val="44"/>
  </w:num>
  <w:num w:numId="106">
    <w:abstractNumId w:val="29"/>
  </w:num>
  <w:num w:numId="107">
    <w:abstractNumId w:val="41"/>
  </w:num>
  <w:num w:numId="108">
    <w:abstractNumId w:val="45"/>
  </w:num>
  <w:num w:numId="109">
    <w:abstractNumId w:val="50"/>
  </w:num>
  <w:num w:numId="110">
    <w:abstractNumId w:val="31"/>
  </w:num>
  <w:num w:numId="111">
    <w:abstractNumId w:val="25"/>
  </w:num>
  <w:num w:numId="112">
    <w:abstractNumId w:val="87"/>
  </w:num>
  <w:num w:numId="113">
    <w:abstractNumId w:val="20"/>
  </w:num>
  <w:num w:numId="114">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BB"/>
    <w:rsid w:val="0001409F"/>
    <w:rsid w:val="00027994"/>
    <w:rsid w:val="00034610"/>
    <w:rsid w:val="000378A3"/>
    <w:rsid w:val="00052A00"/>
    <w:rsid w:val="000615A9"/>
    <w:rsid w:val="00064651"/>
    <w:rsid w:val="00074611"/>
    <w:rsid w:val="00081511"/>
    <w:rsid w:val="000849D4"/>
    <w:rsid w:val="00086C43"/>
    <w:rsid w:val="00090CF3"/>
    <w:rsid w:val="0009745B"/>
    <w:rsid w:val="000A28B7"/>
    <w:rsid w:val="000A443D"/>
    <w:rsid w:val="000B70D1"/>
    <w:rsid w:val="000C2BB3"/>
    <w:rsid w:val="000D330C"/>
    <w:rsid w:val="000D58FD"/>
    <w:rsid w:val="000E0D04"/>
    <w:rsid w:val="000E1D8D"/>
    <w:rsid w:val="00100169"/>
    <w:rsid w:val="00106C2E"/>
    <w:rsid w:val="00113A11"/>
    <w:rsid w:val="001416BB"/>
    <w:rsid w:val="00142331"/>
    <w:rsid w:val="00153032"/>
    <w:rsid w:val="00155481"/>
    <w:rsid w:val="00175ECF"/>
    <w:rsid w:val="00181242"/>
    <w:rsid w:val="001A20D8"/>
    <w:rsid w:val="001D1898"/>
    <w:rsid w:val="001E04CC"/>
    <w:rsid w:val="001E5CB9"/>
    <w:rsid w:val="001F1917"/>
    <w:rsid w:val="001F7D4E"/>
    <w:rsid w:val="00217668"/>
    <w:rsid w:val="00226C27"/>
    <w:rsid w:val="00230995"/>
    <w:rsid w:val="00240DA1"/>
    <w:rsid w:val="002609BF"/>
    <w:rsid w:val="0026406A"/>
    <w:rsid w:val="002641A0"/>
    <w:rsid w:val="00273E2E"/>
    <w:rsid w:val="002770B8"/>
    <w:rsid w:val="0029652B"/>
    <w:rsid w:val="002C7E48"/>
    <w:rsid w:val="002D5061"/>
    <w:rsid w:val="002E1267"/>
    <w:rsid w:val="002E1F69"/>
    <w:rsid w:val="002F45CB"/>
    <w:rsid w:val="00305904"/>
    <w:rsid w:val="003100E5"/>
    <w:rsid w:val="00316555"/>
    <w:rsid w:val="003311FE"/>
    <w:rsid w:val="003423DD"/>
    <w:rsid w:val="0034267B"/>
    <w:rsid w:val="00344BC6"/>
    <w:rsid w:val="00367409"/>
    <w:rsid w:val="003804DA"/>
    <w:rsid w:val="00384985"/>
    <w:rsid w:val="0038699D"/>
    <w:rsid w:val="003A0899"/>
    <w:rsid w:val="003A258E"/>
    <w:rsid w:val="003A2A72"/>
    <w:rsid w:val="003C417D"/>
    <w:rsid w:val="003D4D89"/>
    <w:rsid w:val="003D6BD4"/>
    <w:rsid w:val="003E05E4"/>
    <w:rsid w:val="003E271A"/>
    <w:rsid w:val="003E59B3"/>
    <w:rsid w:val="004028D1"/>
    <w:rsid w:val="00404375"/>
    <w:rsid w:val="00416F37"/>
    <w:rsid w:val="00426B0D"/>
    <w:rsid w:val="00427F8A"/>
    <w:rsid w:val="00431C4C"/>
    <w:rsid w:val="00442CC6"/>
    <w:rsid w:val="00443F5D"/>
    <w:rsid w:val="004551DD"/>
    <w:rsid w:val="00461681"/>
    <w:rsid w:val="00465326"/>
    <w:rsid w:val="00470F31"/>
    <w:rsid w:val="00471FF1"/>
    <w:rsid w:val="004732AD"/>
    <w:rsid w:val="00487B19"/>
    <w:rsid w:val="00490488"/>
    <w:rsid w:val="00491E68"/>
    <w:rsid w:val="00494767"/>
    <w:rsid w:val="004955D3"/>
    <w:rsid w:val="00495B02"/>
    <w:rsid w:val="004A1BAD"/>
    <w:rsid w:val="004B1EF0"/>
    <w:rsid w:val="004B27ED"/>
    <w:rsid w:val="004B6C05"/>
    <w:rsid w:val="004C38AC"/>
    <w:rsid w:val="004C4A22"/>
    <w:rsid w:val="004C4DD7"/>
    <w:rsid w:val="004D28CD"/>
    <w:rsid w:val="004F1C51"/>
    <w:rsid w:val="005005D3"/>
    <w:rsid w:val="00506024"/>
    <w:rsid w:val="005147CF"/>
    <w:rsid w:val="00515712"/>
    <w:rsid w:val="005275B7"/>
    <w:rsid w:val="00531739"/>
    <w:rsid w:val="005476F9"/>
    <w:rsid w:val="00563AA2"/>
    <w:rsid w:val="00571B7B"/>
    <w:rsid w:val="005A42F3"/>
    <w:rsid w:val="005C1174"/>
    <w:rsid w:val="005C1E00"/>
    <w:rsid w:val="005C2B53"/>
    <w:rsid w:val="005C469C"/>
    <w:rsid w:val="005C6321"/>
    <w:rsid w:val="005E5E00"/>
    <w:rsid w:val="005E7D26"/>
    <w:rsid w:val="005F4B5D"/>
    <w:rsid w:val="005F7392"/>
    <w:rsid w:val="006003F4"/>
    <w:rsid w:val="006145CD"/>
    <w:rsid w:val="006220CD"/>
    <w:rsid w:val="006243C6"/>
    <w:rsid w:val="00634361"/>
    <w:rsid w:val="006343CB"/>
    <w:rsid w:val="00641673"/>
    <w:rsid w:val="006547A2"/>
    <w:rsid w:val="00662F4E"/>
    <w:rsid w:val="006957F5"/>
    <w:rsid w:val="006A2518"/>
    <w:rsid w:val="006A3AE4"/>
    <w:rsid w:val="006B0946"/>
    <w:rsid w:val="006B20DF"/>
    <w:rsid w:val="006B46A8"/>
    <w:rsid w:val="006B5BE7"/>
    <w:rsid w:val="006B6718"/>
    <w:rsid w:val="006C0181"/>
    <w:rsid w:val="006D17D4"/>
    <w:rsid w:val="006F6C93"/>
    <w:rsid w:val="00705D5B"/>
    <w:rsid w:val="00712B12"/>
    <w:rsid w:val="00732C20"/>
    <w:rsid w:val="00737509"/>
    <w:rsid w:val="00751E91"/>
    <w:rsid w:val="00765375"/>
    <w:rsid w:val="00770854"/>
    <w:rsid w:val="00777605"/>
    <w:rsid w:val="007824A5"/>
    <w:rsid w:val="007931EE"/>
    <w:rsid w:val="00793620"/>
    <w:rsid w:val="007A37A1"/>
    <w:rsid w:val="007B11DA"/>
    <w:rsid w:val="007B2B57"/>
    <w:rsid w:val="007C5D4E"/>
    <w:rsid w:val="007D46D0"/>
    <w:rsid w:val="007E14F1"/>
    <w:rsid w:val="007F206B"/>
    <w:rsid w:val="00807749"/>
    <w:rsid w:val="008145E6"/>
    <w:rsid w:val="00815B70"/>
    <w:rsid w:val="00830024"/>
    <w:rsid w:val="00845434"/>
    <w:rsid w:val="00845902"/>
    <w:rsid w:val="00854610"/>
    <w:rsid w:val="008617A0"/>
    <w:rsid w:val="00871A30"/>
    <w:rsid w:val="00874028"/>
    <w:rsid w:val="008873C9"/>
    <w:rsid w:val="008A2CB2"/>
    <w:rsid w:val="008A3C9F"/>
    <w:rsid w:val="008A740D"/>
    <w:rsid w:val="008B0EEC"/>
    <w:rsid w:val="008B22E3"/>
    <w:rsid w:val="008B5B05"/>
    <w:rsid w:val="008C3478"/>
    <w:rsid w:val="008D0B2E"/>
    <w:rsid w:val="008F05F8"/>
    <w:rsid w:val="008F6D04"/>
    <w:rsid w:val="0090218A"/>
    <w:rsid w:val="009039AB"/>
    <w:rsid w:val="00904974"/>
    <w:rsid w:val="00912483"/>
    <w:rsid w:val="00912600"/>
    <w:rsid w:val="00934D55"/>
    <w:rsid w:val="0097443D"/>
    <w:rsid w:val="00982DF8"/>
    <w:rsid w:val="00984520"/>
    <w:rsid w:val="0098707E"/>
    <w:rsid w:val="009A2E55"/>
    <w:rsid w:val="009A301A"/>
    <w:rsid w:val="009A6977"/>
    <w:rsid w:val="009B1487"/>
    <w:rsid w:val="009B2D7E"/>
    <w:rsid w:val="009C1B94"/>
    <w:rsid w:val="009D46F2"/>
    <w:rsid w:val="009F1E0A"/>
    <w:rsid w:val="00A0107B"/>
    <w:rsid w:val="00A14A15"/>
    <w:rsid w:val="00A215FC"/>
    <w:rsid w:val="00A243EA"/>
    <w:rsid w:val="00A268D3"/>
    <w:rsid w:val="00A26F5C"/>
    <w:rsid w:val="00A26FB3"/>
    <w:rsid w:val="00A57904"/>
    <w:rsid w:val="00A614EB"/>
    <w:rsid w:val="00A66148"/>
    <w:rsid w:val="00A6704B"/>
    <w:rsid w:val="00A80423"/>
    <w:rsid w:val="00A9598B"/>
    <w:rsid w:val="00A9703A"/>
    <w:rsid w:val="00AA0168"/>
    <w:rsid w:val="00AA2695"/>
    <w:rsid w:val="00AA73A0"/>
    <w:rsid w:val="00AB7494"/>
    <w:rsid w:val="00AD773B"/>
    <w:rsid w:val="00AE3D9D"/>
    <w:rsid w:val="00AF6306"/>
    <w:rsid w:val="00B101E6"/>
    <w:rsid w:val="00B15302"/>
    <w:rsid w:val="00B16199"/>
    <w:rsid w:val="00B21D44"/>
    <w:rsid w:val="00B24BAA"/>
    <w:rsid w:val="00B376FD"/>
    <w:rsid w:val="00B448FF"/>
    <w:rsid w:val="00B571AA"/>
    <w:rsid w:val="00B60129"/>
    <w:rsid w:val="00B67463"/>
    <w:rsid w:val="00B73F61"/>
    <w:rsid w:val="00B743DC"/>
    <w:rsid w:val="00B74B6C"/>
    <w:rsid w:val="00BA1129"/>
    <w:rsid w:val="00BA1FB5"/>
    <w:rsid w:val="00BA4E45"/>
    <w:rsid w:val="00BB5932"/>
    <w:rsid w:val="00BD06BE"/>
    <w:rsid w:val="00BD0D26"/>
    <w:rsid w:val="00BE146F"/>
    <w:rsid w:val="00BE3A03"/>
    <w:rsid w:val="00BF24EC"/>
    <w:rsid w:val="00BF7CA2"/>
    <w:rsid w:val="00C15AE3"/>
    <w:rsid w:val="00C212A1"/>
    <w:rsid w:val="00C366EF"/>
    <w:rsid w:val="00C46657"/>
    <w:rsid w:val="00C722DF"/>
    <w:rsid w:val="00C725DD"/>
    <w:rsid w:val="00C736CA"/>
    <w:rsid w:val="00C95387"/>
    <w:rsid w:val="00CA725B"/>
    <w:rsid w:val="00CB449E"/>
    <w:rsid w:val="00CB7659"/>
    <w:rsid w:val="00CC269C"/>
    <w:rsid w:val="00CC6C84"/>
    <w:rsid w:val="00CD79AA"/>
    <w:rsid w:val="00CE54B7"/>
    <w:rsid w:val="00CE55CB"/>
    <w:rsid w:val="00D12E4B"/>
    <w:rsid w:val="00D14F89"/>
    <w:rsid w:val="00D2320C"/>
    <w:rsid w:val="00D2462B"/>
    <w:rsid w:val="00D3058F"/>
    <w:rsid w:val="00D343DA"/>
    <w:rsid w:val="00D47960"/>
    <w:rsid w:val="00D47AB1"/>
    <w:rsid w:val="00D52E18"/>
    <w:rsid w:val="00D77621"/>
    <w:rsid w:val="00D80B0C"/>
    <w:rsid w:val="00D8187F"/>
    <w:rsid w:val="00D82D7B"/>
    <w:rsid w:val="00D949CC"/>
    <w:rsid w:val="00DB4A93"/>
    <w:rsid w:val="00DC63A5"/>
    <w:rsid w:val="00DF40CE"/>
    <w:rsid w:val="00DF5344"/>
    <w:rsid w:val="00E21BE6"/>
    <w:rsid w:val="00E3739C"/>
    <w:rsid w:val="00E40398"/>
    <w:rsid w:val="00E43E80"/>
    <w:rsid w:val="00E6308B"/>
    <w:rsid w:val="00E76B4A"/>
    <w:rsid w:val="00E90F2B"/>
    <w:rsid w:val="00E9370A"/>
    <w:rsid w:val="00EA3F32"/>
    <w:rsid w:val="00ED1FFA"/>
    <w:rsid w:val="00ED2627"/>
    <w:rsid w:val="00ED3068"/>
    <w:rsid w:val="00EE50BF"/>
    <w:rsid w:val="00F00DBE"/>
    <w:rsid w:val="00F0566F"/>
    <w:rsid w:val="00F17AB8"/>
    <w:rsid w:val="00F34D46"/>
    <w:rsid w:val="00F35DD3"/>
    <w:rsid w:val="00F3738F"/>
    <w:rsid w:val="00F37651"/>
    <w:rsid w:val="00F46903"/>
    <w:rsid w:val="00F55ADC"/>
    <w:rsid w:val="00F65CF7"/>
    <w:rsid w:val="00F73A70"/>
    <w:rsid w:val="00F74803"/>
    <w:rsid w:val="00F9614C"/>
    <w:rsid w:val="00FA2A12"/>
    <w:rsid w:val="00FA512C"/>
    <w:rsid w:val="00FB1497"/>
    <w:rsid w:val="00FC4A20"/>
    <w:rsid w:val="00FC77F2"/>
    <w:rsid w:val="00FE47F0"/>
    <w:rsid w:val="00FE535E"/>
    <w:rsid w:val="00FE59B7"/>
    <w:rsid w:val="00FE612F"/>
    <w:rsid w:val="01AF2762"/>
    <w:rsid w:val="05A111EE"/>
    <w:rsid w:val="05AE2BFB"/>
    <w:rsid w:val="08C94B45"/>
    <w:rsid w:val="0ACA1BE4"/>
    <w:rsid w:val="0CD7009D"/>
    <w:rsid w:val="0F8245D0"/>
    <w:rsid w:val="10FF5165"/>
    <w:rsid w:val="176E2FA9"/>
    <w:rsid w:val="1F1737B3"/>
    <w:rsid w:val="23843F2F"/>
    <w:rsid w:val="25B5079D"/>
    <w:rsid w:val="2A8601D4"/>
    <w:rsid w:val="2C837A43"/>
    <w:rsid w:val="30515CF6"/>
    <w:rsid w:val="305B1CFC"/>
    <w:rsid w:val="328B4FE5"/>
    <w:rsid w:val="33AB68AF"/>
    <w:rsid w:val="375A5414"/>
    <w:rsid w:val="3D7A5096"/>
    <w:rsid w:val="47E84BA1"/>
    <w:rsid w:val="4A7E0340"/>
    <w:rsid w:val="4BB91667"/>
    <w:rsid w:val="4E5457C8"/>
    <w:rsid w:val="4F232E98"/>
    <w:rsid w:val="54407D76"/>
    <w:rsid w:val="54584838"/>
    <w:rsid w:val="57A422A4"/>
    <w:rsid w:val="57E672F2"/>
    <w:rsid w:val="57FC6FCA"/>
    <w:rsid w:val="581503FC"/>
    <w:rsid w:val="588A0452"/>
    <w:rsid w:val="6D7E477E"/>
    <w:rsid w:val="6DDE5613"/>
    <w:rsid w:val="752E2242"/>
    <w:rsid w:val="767D748D"/>
    <w:rsid w:val="77591E78"/>
    <w:rsid w:val="7E7809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4"/>
      <w:lang w:val="en-US" w:eastAsia="zh-CN" w:bidi="ar-SA"/>
    </w:rPr>
  </w:style>
  <w:style w:type="paragraph" w:styleId="2">
    <w:name w:val="heading 1"/>
    <w:basedOn w:val="1"/>
    <w:next w:val="1"/>
    <w:qFormat/>
    <w:uiPriority w:val="0"/>
    <w:pPr>
      <w:keepNext/>
      <w:keepLines/>
      <w:tabs>
        <w:tab w:val="left" w:pos="1440"/>
      </w:tab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tabs>
        <w:tab w:val="left" w:pos="720"/>
      </w:tab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103"/>
    <w:qFormat/>
    <w:uiPriority w:val="0"/>
    <w:pPr>
      <w:keepNext/>
      <w:keepLines/>
      <w:tabs>
        <w:tab w:val="left" w:pos="720"/>
      </w:tabs>
      <w:spacing w:before="260" w:beforeLines="0" w:after="260" w:afterLines="0" w:line="413" w:lineRule="auto"/>
      <w:ind w:left="720" w:hanging="432"/>
      <w:outlineLvl w:val="2"/>
    </w:pPr>
    <w:rPr>
      <w:b/>
      <w:bCs/>
      <w:sz w:val="32"/>
      <w:szCs w:val="32"/>
    </w:rPr>
  </w:style>
  <w:style w:type="paragraph" w:styleId="5">
    <w:name w:val="heading 4"/>
    <w:basedOn w:val="1"/>
    <w:next w:val="1"/>
    <w:qFormat/>
    <w:uiPriority w:val="0"/>
    <w:pPr>
      <w:keepNext/>
      <w:keepLines/>
      <w:spacing w:line="372" w:lineRule="auto"/>
      <w:outlineLvl w:val="3"/>
    </w:pPr>
    <w:rPr>
      <w:rFonts w:ascii="Arial" w:hAnsi="Arial" w:eastAsia="黑体"/>
      <w:b/>
      <w:bCs/>
      <w:sz w:val="28"/>
      <w:szCs w:val="28"/>
    </w:rPr>
  </w:style>
  <w:style w:type="paragraph" w:styleId="6">
    <w:name w:val="heading 5"/>
    <w:basedOn w:val="5"/>
    <w:next w:val="1"/>
    <w:link w:val="96"/>
    <w:qFormat/>
    <w:uiPriority w:val="0"/>
    <w:pPr>
      <w:keepNext/>
      <w:keepLines/>
      <w:spacing w:before="280" w:beforeLines="0" w:after="290" w:afterLines="0" w:line="372" w:lineRule="auto"/>
      <w:outlineLvl w:val="4"/>
    </w:pPr>
    <w:rPr>
      <w:rFonts w:ascii="Calibri" w:hAnsi="Calibri" w:eastAsia="宋体" w:cs="Times New Roman"/>
    </w:rPr>
  </w:style>
  <w:style w:type="paragraph" w:styleId="7">
    <w:name w:val="heading 6"/>
    <w:basedOn w:val="1"/>
    <w:next w:val="1"/>
    <w:link w:val="90"/>
    <w:qFormat/>
    <w:uiPriority w:val="0"/>
    <w:pPr>
      <w:keepNext/>
      <w:keepLines/>
      <w:spacing w:before="240" w:beforeLines="0" w:after="64" w:afterLines="0" w:line="317" w:lineRule="auto"/>
      <w:outlineLvl w:val="5"/>
    </w:pPr>
    <w:rPr>
      <w:rFonts w:ascii="Cambria" w:hAnsi="Cambria" w:cs="Times New Roman"/>
      <w:b/>
      <w:bCs/>
      <w:sz w:val="24"/>
    </w:rPr>
  </w:style>
  <w:style w:type="paragraph" w:styleId="8">
    <w:name w:val="heading 7"/>
    <w:basedOn w:val="1"/>
    <w:next w:val="1"/>
    <w:link w:val="81"/>
    <w:qFormat/>
    <w:uiPriority w:val="0"/>
    <w:pPr>
      <w:keepNext/>
      <w:keepLines/>
      <w:spacing w:before="240" w:beforeLines="0" w:after="64" w:afterLines="0" w:line="317" w:lineRule="auto"/>
      <w:outlineLvl w:val="6"/>
    </w:pPr>
    <w:rPr>
      <w:rFonts w:cs="Times New Roman"/>
      <w:b/>
      <w:bCs/>
      <w:sz w:val="24"/>
    </w:rPr>
  </w:style>
  <w:style w:type="paragraph" w:styleId="9">
    <w:name w:val="heading 8"/>
    <w:basedOn w:val="1"/>
    <w:next w:val="1"/>
    <w:link w:val="87"/>
    <w:qFormat/>
    <w:uiPriority w:val="0"/>
    <w:pPr>
      <w:keepNext/>
      <w:keepLines/>
      <w:spacing w:before="240" w:beforeLines="0" w:after="64" w:afterLines="0" w:line="317" w:lineRule="auto"/>
      <w:outlineLvl w:val="7"/>
    </w:pPr>
    <w:rPr>
      <w:rFonts w:ascii="Cambria" w:hAnsi="Cambria" w:cs="Times New Roman"/>
      <w:sz w:val="24"/>
    </w:rPr>
  </w:style>
  <w:style w:type="paragraph" w:styleId="10">
    <w:name w:val="heading 9"/>
    <w:basedOn w:val="1"/>
    <w:next w:val="1"/>
    <w:link w:val="77"/>
    <w:qFormat/>
    <w:uiPriority w:val="0"/>
    <w:pPr>
      <w:keepNext/>
      <w:keepLines/>
      <w:spacing w:before="240" w:beforeLines="0" w:after="64" w:afterLines="0" w:line="317" w:lineRule="auto"/>
      <w:outlineLvl w:val="8"/>
    </w:pPr>
    <w:rPr>
      <w:rFonts w:ascii="Cambria" w:hAnsi="Cambria" w:cs="Times New Roman"/>
      <w:szCs w:val="21"/>
    </w:rPr>
  </w:style>
  <w:style w:type="character" w:default="1" w:styleId="37">
    <w:name w:val="Default Paragraph Font"/>
    <w:uiPriority w:val="0"/>
  </w:style>
  <w:style w:type="table" w:default="1" w:styleId="42">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86"/>
    <w:uiPriority w:val="0"/>
    <w:rPr>
      <w:b/>
      <w:bCs/>
    </w:rPr>
  </w:style>
  <w:style w:type="paragraph" w:styleId="12">
    <w:name w:val="annotation text"/>
    <w:basedOn w:val="1"/>
    <w:link w:val="75"/>
    <w:qFormat/>
    <w:uiPriority w:val="0"/>
    <w:pPr>
      <w:jc w:val="left"/>
    </w:pPr>
    <w:rPr>
      <w:rFonts w:cs="Times New Roman"/>
    </w:rPr>
  </w:style>
  <w:style w:type="paragraph" w:styleId="13">
    <w:name w:val="toc 7"/>
    <w:basedOn w:val="1"/>
    <w:next w:val="1"/>
    <w:unhideWhenUsed/>
    <w:uiPriority w:val="39"/>
    <w:pPr>
      <w:ind w:left="2520" w:leftChars="1200"/>
    </w:pPr>
    <w:rPr>
      <w:rFonts w:ascii="Calibri" w:hAnsi="Calibri" w:eastAsia="宋体" w:cs="Times New Roman"/>
      <w:szCs w:val="22"/>
    </w:rPr>
  </w:style>
  <w:style w:type="paragraph" w:styleId="14">
    <w:name w:val="Normal Indent"/>
    <w:basedOn w:val="1"/>
    <w:uiPriority w:val="0"/>
    <w:pPr>
      <w:ind w:firstLine="420"/>
    </w:pPr>
    <w:rPr>
      <w:szCs w:val="20"/>
    </w:rPr>
  </w:style>
  <w:style w:type="paragraph" w:styleId="15">
    <w:name w:val="caption"/>
    <w:basedOn w:val="1"/>
    <w:next w:val="1"/>
    <w:qFormat/>
    <w:uiPriority w:val="0"/>
    <w:rPr>
      <w:rFonts w:ascii="Cambria" w:hAnsi="Cambria" w:eastAsia="黑体" w:cs="Times New Roman"/>
      <w:sz w:val="20"/>
      <w:szCs w:val="20"/>
    </w:rPr>
  </w:style>
  <w:style w:type="paragraph" w:styleId="16">
    <w:name w:val="Document Map"/>
    <w:basedOn w:val="1"/>
    <w:link w:val="99"/>
    <w:uiPriority w:val="0"/>
    <w:rPr>
      <w:rFonts w:ascii="宋体" w:cs="Times New Roman"/>
      <w:sz w:val="18"/>
      <w:szCs w:val="18"/>
    </w:rPr>
  </w:style>
  <w:style w:type="paragraph" w:styleId="17">
    <w:name w:val="Body Text"/>
    <w:basedOn w:val="1"/>
    <w:link w:val="91"/>
    <w:uiPriority w:val="0"/>
    <w:pPr>
      <w:spacing w:after="120" w:afterLines="0"/>
    </w:pPr>
    <w:rPr>
      <w:rFonts w:ascii="Times New Roman" w:hAnsi="Times New Roman" w:cs="Times New Roman"/>
    </w:rPr>
  </w:style>
  <w:style w:type="paragraph" w:styleId="18">
    <w:name w:val="Body Text Indent"/>
    <w:basedOn w:val="1"/>
    <w:link w:val="84"/>
    <w:uiPriority w:val="0"/>
    <w:pPr>
      <w:spacing w:after="120" w:afterLines="0"/>
      <w:ind w:left="420" w:leftChars="200"/>
    </w:pPr>
    <w:rPr>
      <w:rFonts w:cs="Times New Roman"/>
    </w:rPr>
  </w:style>
  <w:style w:type="paragraph" w:styleId="19">
    <w:name w:val="Block Text"/>
    <w:basedOn w:val="1"/>
    <w:uiPriority w:val="0"/>
    <w:pPr>
      <w:spacing w:after="120" w:afterLines="0"/>
      <w:ind w:left="1440" w:leftChars="700" w:right="1440" w:rightChars="700"/>
    </w:pPr>
  </w:style>
  <w:style w:type="paragraph" w:styleId="20">
    <w:name w:val="toc 5"/>
    <w:basedOn w:val="1"/>
    <w:next w:val="1"/>
    <w:unhideWhenUsed/>
    <w:uiPriority w:val="39"/>
    <w:pPr>
      <w:ind w:left="1680" w:leftChars="800"/>
    </w:pPr>
    <w:rPr>
      <w:rFonts w:ascii="Calibri" w:hAnsi="Calibri" w:eastAsia="宋体" w:cs="Times New Roman"/>
      <w:szCs w:val="22"/>
    </w:rPr>
  </w:style>
  <w:style w:type="paragraph" w:styleId="21">
    <w:name w:val="toc 3"/>
    <w:basedOn w:val="1"/>
    <w:next w:val="1"/>
    <w:qFormat/>
    <w:uiPriority w:val="39"/>
    <w:pPr>
      <w:ind w:left="840" w:leftChars="400"/>
    </w:pPr>
  </w:style>
  <w:style w:type="paragraph" w:styleId="22">
    <w:name w:val="Plain Text"/>
    <w:basedOn w:val="1"/>
    <w:qFormat/>
    <w:uiPriority w:val="0"/>
    <w:rPr>
      <w:rFonts w:ascii="宋体" w:hAnsi="Courier New"/>
    </w:rPr>
  </w:style>
  <w:style w:type="paragraph" w:styleId="23">
    <w:name w:val="toc 8"/>
    <w:basedOn w:val="1"/>
    <w:next w:val="1"/>
    <w:unhideWhenUsed/>
    <w:uiPriority w:val="39"/>
    <w:pPr>
      <w:ind w:left="2940" w:leftChars="1400"/>
    </w:pPr>
    <w:rPr>
      <w:rFonts w:ascii="Calibri" w:hAnsi="Calibri" w:eastAsia="宋体" w:cs="Times New Roman"/>
      <w:szCs w:val="22"/>
    </w:rPr>
  </w:style>
  <w:style w:type="paragraph" w:styleId="24">
    <w:name w:val="Date"/>
    <w:basedOn w:val="1"/>
    <w:next w:val="1"/>
    <w:uiPriority w:val="0"/>
    <w:pPr>
      <w:ind w:left="100" w:leftChars="2500"/>
    </w:pPr>
  </w:style>
  <w:style w:type="paragraph" w:styleId="25">
    <w:name w:val="Balloon Text"/>
    <w:basedOn w:val="1"/>
    <w:link w:val="102"/>
    <w:qFormat/>
    <w:uiPriority w:val="0"/>
    <w:rPr>
      <w:rFonts w:cs="Times New Roman"/>
      <w:sz w:val="18"/>
      <w:szCs w:val="18"/>
    </w:rPr>
  </w:style>
  <w:style w:type="paragraph" w:styleId="26">
    <w:name w:val="footer"/>
    <w:basedOn w:val="1"/>
    <w:link w:val="80"/>
    <w:uiPriority w:val="99"/>
    <w:pPr>
      <w:tabs>
        <w:tab w:val="center" w:pos="4153"/>
        <w:tab w:val="right" w:pos="8306"/>
      </w:tabs>
      <w:snapToGrid w:val="0"/>
      <w:jc w:val="left"/>
    </w:pPr>
    <w:rPr>
      <w:rFonts w:cs="Times New Roman"/>
      <w:sz w:val="18"/>
    </w:rPr>
  </w:style>
  <w:style w:type="paragraph" w:styleId="27">
    <w:name w:val="header"/>
    <w:basedOn w:val="1"/>
    <w:link w:val="97"/>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28">
    <w:name w:val="toc 1"/>
    <w:basedOn w:val="1"/>
    <w:next w:val="1"/>
    <w:qFormat/>
    <w:uiPriority w:val="39"/>
  </w:style>
  <w:style w:type="paragraph" w:styleId="29">
    <w:name w:val="toc 4"/>
    <w:basedOn w:val="1"/>
    <w:next w:val="1"/>
    <w:unhideWhenUsed/>
    <w:qFormat/>
    <w:uiPriority w:val="39"/>
    <w:pPr>
      <w:ind w:left="1260" w:leftChars="600"/>
    </w:pPr>
    <w:rPr>
      <w:rFonts w:ascii="Calibri" w:hAnsi="Calibri" w:eastAsia="宋体" w:cs="Times New Roman"/>
      <w:szCs w:val="22"/>
    </w:rPr>
  </w:style>
  <w:style w:type="paragraph" w:styleId="30">
    <w:name w:val="index heading"/>
    <w:basedOn w:val="1"/>
    <w:next w:val="31"/>
    <w:uiPriority w:val="0"/>
    <w:rPr>
      <w:szCs w:val="20"/>
    </w:rPr>
  </w:style>
  <w:style w:type="paragraph" w:styleId="31">
    <w:name w:val="index 1"/>
    <w:basedOn w:val="1"/>
    <w:next w:val="1"/>
    <w:uiPriority w:val="0"/>
    <w:rPr>
      <w:szCs w:val="20"/>
    </w:rPr>
  </w:style>
  <w:style w:type="paragraph" w:styleId="32">
    <w:name w:val="toc 6"/>
    <w:basedOn w:val="1"/>
    <w:next w:val="1"/>
    <w:unhideWhenUsed/>
    <w:qFormat/>
    <w:uiPriority w:val="39"/>
    <w:pPr>
      <w:ind w:left="2100" w:leftChars="1000"/>
    </w:pPr>
    <w:rPr>
      <w:rFonts w:ascii="Calibri" w:hAnsi="Calibri" w:eastAsia="宋体" w:cs="Times New Roman"/>
      <w:szCs w:val="22"/>
    </w:rPr>
  </w:style>
  <w:style w:type="paragraph" w:styleId="33">
    <w:name w:val="Body Text Indent 3"/>
    <w:basedOn w:val="1"/>
    <w:qFormat/>
    <w:uiPriority w:val="0"/>
    <w:pPr>
      <w:spacing w:line="360" w:lineRule="auto"/>
      <w:ind w:firstLine="200" w:firstLineChars="200"/>
    </w:pPr>
    <w:rPr>
      <w:rFonts w:ascii="Times New Roman" w:hAnsi="Times New Roman" w:cs="Times New Roman"/>
      <w:kern w:val="0"/>
      <w:sz w:val="20"/>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ind w:left="3360" w:leftChars="1600"/>
    </w:pPr>
    <w:rPr>
      <w:rFonts w:ascii="Calibri" w:hAnsi="Calibri" w:eastAsia="宋体" w:cs="Times New Roman"/>
      <w:szCs w:val="22"/>
    </w:rPr>
  </w:style>
  <w:style w:type="paragraph" w:styleId="3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38">
    <w:name w:val="Strong"/>
    <w:qFormat/>
    <w:uiPriority w:val="22"/>
    <w:rPr>
      <w:rFonts w:hint="default" w:ascii="Tahoma" w:hAnsi="Tahoma" w:eastAsia="宋体" w:cs="Tahoma"/>
      <w:b/>
      <w:bCs/>
      <w:spacing w:val="10"/>
      <w:sz w:val="24"/>
      <w:lang w:val="en-US" w:eastAsia="zh-CN" w:bidi="ar-SA"/>
    </w:rPr>
  </w:style>
  <w:style w:type="character" w:styleId="39">
    <w:name w:val="page number"/>
    <w:semiHidden/>
    <w:qFormat/>
    <w:uiPriority w:val="0"/>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paragraph" w:customStyle="1" w:styleId="43">
    <w:name w:val="列表段落1"/>
    <w:basedOn w:val="1"/>
    <w:uiPriority w:val="0"/>
    <w:pPr>
      <w:widowControl/>
      <w:ind w:firstLine="420"/>
    </w:pPr>
    <w:rPr>
      <w:rFonts w:cs="宋体"/>
      <w:kern w:val="0"/>
      <w:szCs w:val="21"/>
    </w:rPr>
  </w:style>
  <w:style w:type="paragraph" w:customStyle="1" w:styleId="44">
    <w:name w:val="文档正文"/>
    <w:basedOn w:val="1"/>
    <w:qFormat/>
    <w:uiPriority w:val="0"/>
    <w:pPr>
      <w:spacing w:line="360" w:lineRule="auto"/>
      <w:ind w:firstLine="480" w:firstLineChars="200"/>
    </w:pPr>
    <w:rPr>
      <w:rFonts w:ascii="Tahoma" w:hAnsi="Tahoma" w:cs="Verdana"/>
      <w:sz w:val="24"/>
      <w:szCs w:val="20"/>
    </w:rPr>
  </w:style>
  <w:style w:type="paragraph" w:customStyle="1" w:styleId="45">
    <w:name w:val="_Style 44"/>
    <w:qFormat/>
    <w:uiPriority w:val="0"/>
    <w:rPr>
      <w:rFonts w:ascii="Times New Roman" w:hAnsi="Times New Roman" w:eastAsia="宋体" w:cs="黑体"/>
      <w:kern w:val="2"/>
      <w:sz w:val="21"/>
      <w:szCs w:val="24"/>
      <w:lang w:val="en-US" w:eastAsia="zh-CN" w:bidi="ar-SA"/>
    </w:rPr>
  </w:style>
  <w:style w:type="paragraph" w:customStyle="1" w:styleId="4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8">
    <w:name w:val="6"/>
    <w:basedOn w:val="49"/>
    <w:next w:val="7"/>
    <w:uiPriority w:val="0"/>
    <w:pPr>
      <w:ind w:left="1344" w:hanging="1134"/>
      <w:outlineLvl w:val="5"/>
    </w:pPr>
  </w:style>
  <w:style w:type="paragraph" w:customStyle="1" w:styleId="49">
    <w:name w:val="5"/>
    <w:basedOn w:val="50"/>
    <w:next w:val="6"/>
    <w:link w:val="89"/>
    <w:qFormat/>
    <w:uiPriority w:val="0"/>
    <w:pPr>
      <w:keepNext/>
      <w:keepLines/>
      <w:spacing w:before="240" w:after="240"/>
      <w:ind w:left="7371" w:right="210" w:rightChars="100" w:hanging="850"/>
      <w:jc w:val="left"/>
      <w:outlineLvl w:val="4"/>
    </w:pPr>
    <w:rPr>
      <w:rFonts w:cs="Times New Roman"/>
      <w:b w:val="0"/>
      <w:bCs/>
      <w:kern w:val="44"/>
      <w:sz w:val="28"/>
      <w:szCs w:val="44"/>
      <w:lang w:val="en-GB"/>
    </w:rPr>
  </w:style>
  <w:style w:type="paragraph" w:customStyle="1" w:styleId="50">
    <w:name w:val="题注5"/>
    <w:basedOn w:val="1"/>
    <w:next w:val="15"/>
    <w:qFormat/>
    <w:uiPriority w:val="0"/>
    <w:pPr>
      <w:jc w:val="center"/>
    </w:pPr>
    <w:rPr>
      <w:b/>
      <w:color w:val="000000"/>
      <w:sz w:val="24"/>
      <w:szCs w:val="21"/>
    </w:rPr>
  </w:style>
  <w:style w:type="paragraph" w:customStyle="1" w:styleId="51">
    <w:name w:val="2"/>
    <w:basedOn w:val="52"/>
    <w:next w:val="3"/>
    <w:qFormat/>
    <w:uiPriority w:val="0"/>
    <w:pPr>
      <w:ind w:left="0" w:firstLine="0"/>
      <w:outlineLvl w:val="1"/>
    </w:pPr>
    <w:rPr>
      <w:sz w:val="32"/>
    </w:rPr>
  </w:style>
  <w:style w:type="paragraph" w:customStyle="1" w:styleId="52">
    <w:name w:val="1"/>
    <w:basedOn w:val="2"/>
    <w:next w:val="3"/>
    <w:qFormat/>
    <w:uiPriority w:val="0"/>
    <w:pPr>
      <w:tabs>
        <w:tab w:val="clear" w:pos="1440"/>
      </w:tabs>
      <w:spacing w:before="240" w:after="240" w:line="240" w:lineRule="auto"/>
      <w:ind w:left="420" w:hanging="420"/>
      <w:jc w:val="left"/>
    </w:pPr>
    <w:rPr>
      <w:rFonts w:ascii="Times New Roman" w:hAnsi="Times New Roman" w:cs="Times New Roman"/>
      <w:sz w:val="36"/>
    </w:rPr>
  </w:style>
  <w:style w:type="paragraph" w:customStyle="1" w:styleId="53">
    <w:name w:val="_正文"/>
    <w:basedOn w:val="1"/>
    <w:link w:val="76"/>
    <w:qFormat/>
    <w:uiPriority w:val="0"/>
    <w:pPr>
      <w:spacing w:line="360" w:lineRule="auto"/>
      <w:ind w:firstLine="200" w:firstLineChars="200"/>
    </w:pPr>
    <w:rPr>
      <w:rFonts w:ascii="宋体" w:hAnsi="宋体" w:eastAsia="仿宋" w:cs="Times New Roman"/>
      <w:sz w:val="32"/>
    </w:rPr>
  </w:style>
  <w:style w:type="paragraph" w:customStyle="1" w:styleId="54">
    <w:name w:val="3"/>
    <w:basedOn w:val="51"/>
    <w:next w:val="4"/>
    <w:link w:val="101"/>
    <w:uiPriority w:val="0"/>
    <w:pPr>
      <w:ind w:left="6238" w:right="100" w:rightChars="100" w:hanging="567"/>
      <w:outlineLvl w:val="2"/>
    </w:pPr>
    <w:rPr>
      <w:b w:val="0"/>
      <w:bCs w:val="0"/>
      <w:sz w:val="30"/>
    </w:rPr>
  </w:style>
  <w:style w:type="paragraph" w:customStyle="1" w:styleId="55">
    <w:name w:val="7"/>
    <w:basedOn w:val="48"/>
    <w:next w:val="8"/>
    <w:qFormat/>
    <w:uiPriority w:val="0"/>
    <w:pPr>
      <w:numPr>
        <w:ilvl w:val="0"/>
        <w:numId w:val="0"/>
      </w:numPr>
      <w:ind w:left="1486" w:hanging="1276"/>
      <w:outlineLvl w:val="6"/>
    </w:pPr>
  </w:style>
  <w:style w:type="paragraph" w:customStyle="1" w:styleId="56">
    <w:name w:val="题注4"/>
    <w:basedOn w:val="1"/>
    <w:next w:val="15"/>
    <w:qFormat/>
    <w:uiPriority w:val="0"/>
    <w:pPr>
      <w:ind w:left="-132" w:leftChars="-64" w:right="-105" w:rightChars="-50" w:hanging="2"/>
      <w:jc w:val="center"/>
    </w:pPr>
    <w:rPr>
      <w:b/>
      <w:color w:val="FF0000"/>
      <w:szCs w:val="21"/>
    </w:rPr>
  </w:style>
  <w:style w:type="paragraph" w:customStyle="1" w:styleId="57">
    <w:name w:val="列出段落1"/>
    <w:basedOn w:val="1"/>
    <w:qFormat/>
    <w:uiPriority w:val="0"/>
    <w:pPr>
      <w:ind w:firstLine="420" w:firstLineChars="200"/>
    </w:pPr>
  </w:style>
  <w:style w:type="paragraph" w:customStyle="1" w:styleId="58">
    <w:name w:val="*正文"/>
    <w:basedOn w:val="1"/>
    <w:link w:val="83"/>
    <w:qFormat/>
    <w:uiPriority w:val="0"/>
    <w:pPr>
      <w:spacing w:line="360" w:lineRule="auto"/>
      <w:ind w:firstLine="200" w:firstLineChars="200"/>
    </w:pPr>
    <w:rPr>
      <w:rFonts w:ascii="宋体" w:hAnsi="宋体" w:eastAsia="仿宋" w:cs="Times New Roman"/>
      <w:kern w:val="0"/>
      <w:sz w:val="28"/>
    </w:rPr>
  </w:style>
  <w:style w:type="paragraph" w:customStyle="1" w:styleId="59">
    <w:name w:val="xl25"/>
    <w:basedOn w:val="1"/>
    <w:uiPriority w:val="0"/>
    <w:pPr>
      <w:widowControl/>
      <w:pBdr>
        <w:bottom w:val="single" w:color="auto" w:sz="4" w:space="0"/>
        <w:right w:val="single" w:color="auto" w:sz="4" w:space="0"/>
      </w:pBdr>
      <w:jc w:val="center"/>
    </w:pPr>
    <w:rPr>
      <w:rFonts w:ascii="宋体" w:hAnsi="宋体"/>
      <w:kern w:val="0"/>
      <w:szCs w:val="21"/>
    </w:rPr>
  </w:style>
  <w:style w:type="paragraph" w:customStyle="1" w:styleId="60">
    <w:name w:val="正文缩进1"/>
    <w:basedOn w:val="1"/>
    <w:link w:val="88"/>
    <w:uiPriority w:val="0"/>
    <w:pPr>
      <w:adjustRightInd w:val="0"/>
      <w:spacing w:line="360" w:lineRule="atLeast"/>
      <w:ind w:firstLine="420"/>
      <w:jc w:val="left"/>
      <w:textAlignment w:val="baseline"/>
    </w:pPr>
    <w:rPr>
      <w:rFonts w:ascii="Times New Roman" w:hAnsi="Times New Roman" w:cs="Times New Roman"/>
      <w:kern w:val="0"/>
      <w:sz w:val="24"/>
      <w:szCs w:val="20"/>
    </w:rPr>
  </w:style>
  <w:style w:type="paragraph" w:customStyle="1" w:styleId="61">
    <w:name w:val="正文格式1"/>
    <w:basedOn w:val="14"/>
    <w:qFormat/>
    <w:uiPriority w:val="0"/>
    <w:pPr>
      <w:spacing w:line="560" w:lineRule="exact"/>
      <w:ind w:firstLine="200" w:firstLineChars="200"/>
      <w:jc w:val="left"/>
    </w:pPr>
    <w:rPr>
      <w:rFonts w:ascii="Calibri Light" w:hAnsi="Calibri Light" w:eastAsia="华文仿宋" w:cs="Times New Roman"/>
      <w:kern w:val="0"/>
      <w:sz w:val="28"/>
    </w:rPr>
  </w:style>
  <w:style w:type="paragraph" w:customStyle="1" w:styleId="62">
    <w:name w:val="p0"/>
    <w:basedOn w:val="1"/>
    <w:qFormat/>
    <w:uiPriority w:val="0"/>
    <w:pPr>
      <w:widowControl/>
    </w:pPr>
    <w:rPr>
      <w:rFonts w:ascii="Times New Roman" w:hAnsi="Times New Roman" w:eastAsia="宋体" w:cs="Times New Roman"/>
      <w:kern w:val="0"/>
      <w:szCs w:val="21"/>
    </w:rPr>
  </w:style>
  <w:style w:type="paragraph" w:customStyle="1" w:styleId="63">
    <w:name w:val="正文 New"/>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64">
    <w:name w:val="8"/>
    <w:basedOn w:val="55"/>
    <w:next w:val="9"/>
    <w:uiPriority w:val="0"/>
    <w:pPr>
      <w:ind w:left="1628" w:hanging="1418"/>
      <w:outlineLvl w:val="7"/>
    </w:pPr>
  </w:style>
  <w:style w:type="paragraph" w:customStyle="1" w:styleId="65">
    <w:name w:val="Default"/>
    <w:qFormat/>
    <w:uiPriority w:val="0"/>
    <w:pPr>
      <w:widowControl w:val="0"/>
      <w:autoSpaceDE w:val="0"/>
      <w:autoSpaceDN w:val="0"/>
      <w:adjustRightInd w:val="0"/>
    </w:pPr>
    <w:rPr>
      <w:rFonts w:ascii="Neo Sans Intel" w:hAnsi="Times New Roman" w:eastAsia="Neo Sans Intel" w:cs="Neo Sans Intel"/>
      <w:color w:val="000000"/>
      <w:kern w:val="2"/>
      <w:sz w:val="24"/>
      <w:szCs w:val="24"/>
      <w:lang w:val="en-US" w:eastAsia="zh-CN" w:bidi="ar-SA"/>
    </w:rPr>
  </w:style>
  <w:style w:type="paragraph" w:customStyle="1" w:styleId="66">
    <w:name w:val="默认段落字体 Para Char Char Char Char Char Char Char"/>
    <w:basedOn w:val="1"/>
    <w:uiPriority w:val="0"/>
    <w:rPr>
      <w:rFonts w:ascii="Tahoma" w:hAnsi="Tahoma" w:cs="Times New Roman"/>
      <w:sz w:val="24"/>
      <w:szCs w:val="20"/>
    </w:rPr>
  </w:style>
  <w:style w:type="paragraph" w:customStyle="1" w:styleId="67">
    <w:name w:val="表格文字"/>
    <w:basedOn w:val="1"/>
    <w:uiPriority w:val="0"/>
    <w:pPr>
      <w:spacing w:before="25" w:beforeLines="0" w:after="25" w:afterLines="0"/>
      <w:jc w:val="left"/>
    </w:pPr>
    <w:rPr>
      <w:bCs/>
      <w:spacing w:val="10"/>
      <w:kern w:val="0"/>
      <w:sz w:val="24"/>
      <w:szCs w:val="20"/>
    </w:rPr>
  </w:style>
  <w:style w:type="paragraph" w:customStyle="1" w:styleId="68">
    <w:name w:val="9"/>
    <w:basedOn w:val="64"/>
    <w:next w:val="10"/>
    <w:qFormat/>
    <w:uiPriority w:val="0"/>
    <w:pPr>
      <w:ind w:left="1910" w:hanging="1700"/>
      <w:outlineLvl w:val="8"/>
    </w:pPr>
  </w:style>
  <w:style w:type="paragraph" w:customStyle="1" w:styleId="69">
    <w:name w:val="样式"/>
    <w:basedOn w:val="1"/>
    <w:next w:val="19"/>
    <w:qFormat/>
    <w:uiPriority w:val="0"/>
    <w:pPr>
      <w:ind w:left="572" w:right="32" w:firstLine="478"/>
    </w:pPr>
    <w:rPr>
      <w:rFonts w:ascii="Times New Roman" w:hAnsi="Times New Roman" w:cs="Times New Roman"/>
      <w:szCs w:val="21"/>
    </w:rPr>
  </w:style>
  <w:style w:type="paragraph" w:customStyle="1" w:styleId="70">
    <w:name w:val="4"/>
    <w:basedOn w:val="54"/>
    <w:next w:val="5"/>
    <w:link w:val="94"/>
    <w:qFormat/>
    <w:uiPriority w:val="0"/>
    <w:pPr>
      <w:numPr>
        <w:ilvl w:val="0"/>
        <w:numId w:val="0"/>
      </w:numPr>
      <w:ind w:left="708" w:right="210" w:hanging="708"/>
      <w:outlineLvl w:val="3"/>
    </w:pPr>
    <w:rPr>
      <w:b/>
      <w:bCs/>
      <w:sz w:val="28"/>
      <w:lang w:val="en-GB"/>
    </w:rPr>
  </w:style>
  <w:style w:type="paragraph" w:customStyle="1" w:styleId="71">
    <w:name w:val="1册标题2"/>
    <w:basedOn w:val="1"/>
    <w:next w:val="1"/>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72">
    <w:name w:val="图"/>
    <w:basedOn w:val="1"/>
    <w:uiPriority w:val="0"/>
    <w:pPr>
      <w:keepNext/>
      <w:adjustRightInd w:val="0"/>
      <w:spacing w:line="300" w:lineRule="auto"/>
      <w:jc w:val="center"/>
      <w:textAlignment w:val="center"/>
    </w:pPr>
    <w:rPr>
      <w:snapToGrid w:val="0"/>
      <w:spacing w:val="20"/>
      <w:kern w:val="0"/>
      <w:sz w:val="24"/>
      <w:szCs w:val="20"/>
    </w:rPr>
  </w:style>
  <w:style w:type="paragraph" w:customStyle="1" w:styleId="7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List Paragraph"/>
    <w:basedOn w:val="1"/>
    <w:link w:val="98"/>
    <w:qFormat/>
    <w:uiPriority w:val="0"/>
    <w:pPr>
      <w:ind w:firstLine="420" w:firstLineChars="200"/>
    </w:pPr>
    <w:rPr>
      <w:rFonts w:cs="Times New Roman"/>
    </w:rPr>
  </w:style>
  <w:style w:type="character" w:customStyle="1" w:styleId="75">
    <w:name w:val="批注文字 字符"/>
    <w:link w:val="12"/>
    <w:qFormat/>
    <w:uiPriority w:val="0"/>
    <w:rPr>
      <w:rFonts w:ascii="Calibri" w:hAnsi="Calibri" w:eastAsia="宋体" w:cs="黑体"/>
      <w:kern w:val="2"/>
      <w:sz w:val="21"/>
      <w:szCs w:val="24"/>
    </w:rPr>
  </w:style>
  <w:style w:type="character" w:customStyle="1" w:styleId="76">
    <w:name w:val="_正文 Char"/>
    <w:link w:val="53"/>
    <w:qFormat/>
    <w:uiPriority w:val="0"/>
    <w:rPr>
      <w:rFonts w:ascii="宋体" w:hAnsi="宋体" w:eastAsia="仿宋" w:cs="Times New Roman"/>
      <w:kern w:val="2"/>
      <w:sz w:val="32"/>
      <w:szCs w:val="24"/>
    </w:rPr>
  </w:style>
  <w:style w:type="character" w:customStyle="1" w:styleId="77">
    <w:name w:val="标题 9 字符"/>
    <w:link w:val="10"/>
    <w:qFormat/>
    <w:uiPriority w:val="0"/>
    <w:rPr>
      <w:rFonts w:ascii="Cambria" w:hAnsi="Cambria" w:eastAsia="宋体" w:cs="Times New Roman"/>
      <w:kern w:val="2"/>
      <w:sz w:val="21"/>
      <w:szCs w:val="21"/>
    </w:rPr>
  </w:style>
  <w:style w:type="character" w:customStyle="1" w:styleId="78">
    <w:name w:val="p141"/>
    <w:uiPriority w:val="0"/>
    <w:rPr>
      <w:sz w:val="21"/>
    </w:rPr>
  </w:style>
  <w:style w:type="character" w:customStyle="1" w:styleId="79">
    <w:name w:val="fontstyle01"/>
    <w:uiPriority w:val="0"/>
    <w:rPr>
      <w:rFonts w:hint="eastAsia" w:ascii="宋体" w:hAnsi="宋体" w:eastAsia="宋体"/>
      <w:color w:val="000000"/>
      <w:sz w:val="24"/>
      <w:szCs w:val="24"/>
    </w:rPr>
  </w:style>
  <w:style w:type="character" w:customStyle="1" w:styleId="80">
    <w:name w:val="页脚 字符"/>
    <w:link w:val="26"/>
    <w:uiPriority w:val="99"/>
    <w:rPr>
      <w:rFonts w:ascii="Calibri" w:hAnsi="Calibri" w:eastAsia="宋体" w:cs="黑体"/>
      <w:kern w:val="2"/>
      <w:sz w:val="18"/>
      <w:szCs w:val="24"/>
    </w:rPr>
  </w:style>
  <w:style w:type="character" w:customStyle="1" w:styleId="81">
    <w:name w:val="标题 7 字符"/>
    <w:link w:val="8"/>
    <w:uiPriority w:val="0"/>
    <w:rPr>
      <w:rFonts w:ascii="Calibri" w:hAnsi="Calibri" w:eastAsia="宋体" w:cs="黑体"/>
      <w:b/>
      <w:bCs/>
      <w:kern w:val="2"/>
      <w:sz w:val="24"/>
      <w:szCs w:val="24"/>
    </w:rPr>
  </w:style>
  <w:style w:type="character" w:customStyle="1" w:styleId="82">
    <w:name w:val="font51"/>
    <w:uiPriority w:val="0"/>
    <w:rPr>
      <w:rFonts w:hint="eastAsia" w:ascii="宋体" w:hAnsi="宋体" w:eastAsia="宋体" w:cs="宋体"/>
      <w:color w:val="000000"/>
      <w:sz w:val="28"/>
      <w:szCs w:val="28"/>
      <w:u w:val="none"/>
    </w:rPr>
  </w:style>
  <w:style w:type="character" w:customStyle="1" w:styleId="83">
    <w:name w:val="*正文 Char Char"/>
    <w:link w:val="58"/>
    <w:uiPriority w:val="0"/>
    <w:rPr>
      <w:rFonts w:ascii="宋体" w:hAnsi="宋体" w:eastAsia="仿宋" w:cs="Times New Roman"/>
      <w:sz w:val="28"/>
      <w:szCs w:val="24"/>
    </w:rPr>
  </w:style>
  <w:style w:type="character" w:customStyle="1" w:styleId="84">
    <w:name w:val="正文文本缩进 字符"/>
    <w:link w:val="18"/>
    <w:uiPriority w:val="0"/>
    <w:rPr>
      <w:rFonts w:ascii="Calibri" w:hAnsi="Calibri" w:eastAsia="宋体" w:cs="黑体"/>
      <w:kern w:val="2"/>
      <w:sz w:val="21"/>
      <w:szCs w:val="24"/>
    </w:rPr>
  </w:style>
  <w:style w:type="character" w:customStyle="1" w:styleId="85">
    <w:name w:val="未处理的提及1"/>
    <w:uiPriority w:val="0"/>
    <w:rPr>
      <w:color w:val="605E5C"/>
      <w:shd w:val="clear" w:color="auto" w:fill="E1DFDD"/>
    </w:rPr>
  </w:style>
  <w:style w:type="character" w:customStyle="1" w:styleId="86">
    <w:name w:val="批注主题 字符"/>
    <w:link w:val="11"/>
    <w:uiPriority w:val="0"/>
    <w:rPr>
      <w:rFonts w:ascii="Calibri" w:hAnsi="Calibri" w:eastAsia="宋体" w:cs="黑体"/>
      <w:b/>
      <w:bCs/>
      <w:kern w:val="2"/>
      <w:sz w:val="21"/>
      <w:szCs w:val="24"/>
    </w:rPr>
  </w:style>
  <w:style w:type="character" w:customStyle="1" w:styleId="87">
    <w:name w:val="标题 8 字符"/>
    <w:link w:val="9"/>
    <w:uiPriority w:val="0"/>
    <w:rPr>
      <w:rFonts w:ascii="Cambria" w:hAnsi="Cambria" w:eastAsia="宋体" w:cs="Times New Roman"/>
      <w:kern w:val="2"/>
      <w:sz w:val="24"/>
      <w:szCs w:val="24"/>
    </w:rPr>
  </w:style>
  <w:style w:type="character" w:customStyle="1" w:styleId="88">
    <w:name w:val="正文缩进 字符1"/>
    <w:link w:val="60"/>
    <w:uiPriority w:val="0"/>
    <w:rPr>
      <w:rFonts w:ascii="Times New Roman" w:hAnsi="Times New Roman"/>
      <w:sz w:val="24"/>
    </w:rPr>
  </w:style>
  <w:style w:type="character" w:customStyle="1" w:styleId="89">
    <w:name w:val="5 Char"/>
    <w:link w:val="49"/>
    <w:uiPriority w:val="0"/>
    <w:rPr>
      <w:bCs/>
      <w:color w:val="000000"/>
      <w:kern w:val="44"/>
      <w:sz w:val="28"/>
      <w:szCs w:val="44"/>
      <w:lang w:val="en-GB"/>
    </w:rPr>
  </w:style>
  <w:style w:type="character" w:customStyle="1" w:styleId="90">
    <w:name w:val="标题 6 字符"/>
    <w:link w:val="7"/>
    <w:uiPriority w:val="0"/>
    <w:rPr>
      <w:rFonts w:ascii="Cambria" w:hAnsi="Cambria" w:eastAsia="宋体" w:cs="Times New Roman"/>
      <w:b/>
      <w:bCs/>
      <w:kern w:val="2"/>
      <w:sz w:val="24"/>
      <w:szCs w:val="24"/>
    </w:rPr>
  </w:style>
  <w:style w:type="character" w:customStyle="1" w:styleId="91">
    <w:name w:val="正文文本 字符"/>
    <w:link w:val="17"/>
    <w:uiPriority w:val="0"/>
    <w:rPr>
      <w:kern w:val="2"/>
      <w:sz w:val="21"/>
      <w:szCs w:val="24"/>
    </w:rPr>
  </w:style>
  <w:style w:type="character" w:customStyle="1" w:styleId="92">
    <w:name w:val="正文文本 Char1"/>
    <w:uiPriority w:val="0"/>
    <w:rPr>
      <w:rFonts w:ascii="Calibri" w:hAnsi="Calibri" w:eastAsia="宋体" w:cs="黑体"/>
      <w:kern w:val="2"/>
      <w:sz w:val="21"/>
      <w:szCs w:val="24"/>
    </w:rPr>
  </w:style>
  <w:style w:type="character" w:customStyle="1" w:styleId="93">
    <w:name w:val="_Style 92"/>
    <w:unhideWhenUsed/>
    <w:uiPriority w:val="99"/>
    <w:rPr>
      <w:color w:val="605E5C"/>
      <w:shd w:val="clear" w:color="auto" w:fill="E1DFDD"/>
    </w:rPr>
  </w:style>
  <w:style w:type="character" w:customStyle="1" w:styleId="94">
    <w:name w:val="4 Char"/>
    <w:link w:val="70"/>
    <w:uiPriority w:val="0"/>
    <w:rPr>
      <w:b/>
      <w:bCs/>
      <w:kern w:val="44"/>
      <w:sz w:val="28"/>
      <w:szCs w:val="44"/>
      <w:lang w:val="en-GB"/>
    </w:rPr>
  </w:style>
  <w:style w:type="character" w:customStyle="1" w:styleId="95">
    <w:name w:val="*正文 Char"/>
    <w:uiPriority w:val="0"/>
    <w:rPr>
      <w:rFonts w:ascii="宋体" w:hAnsi="宋体"/>
      <w:sz w:val="24"/>
      <w:szCs w:val="24"/>
    </w:rPr>
  </w:style>
  <w:style w:type="character" w:customStyle="1" w:styleId="96">
    <w:name w:val="标题 5 字符"/>
    <w:link w:val="6"/>
    <w:uiPriority w:val="0"/>
    <w:rPr>
      <w:rFonts w:ascii="Calibri" w:hAnsi="Calibri" w:eastAsia="宋体" w:cs="黑体"/>
      <w:b/>
      <w:bCs/>
      <w:kern w:val="2"/>
      <w:sz w:val="28"/>
      <w:szCs w:val="28"/>
    </w:rPr>
  </w:style>
  <w:style w:type="character" w:customStyle="1" w:styleId="97">
    <w:name w:val="页眉 字符"/>
    <w:link w:val="27"/>
    <w:uiPriority w:val="0"/>
    <w:rPr>
      <w:rFonts w:ascii="Calibri" w:hAnsi="Calibri" w:eastAsia="宋体" w:cs="黑体"/>
      <w:kern w:val="2"/>
      <w:sz w:val="18"/>
      <w:szCs w:val="18"/>
    </w:rPr>
  </w:style>
  <w:style w:type="character" w:customStyle="1" w:styleId="98">
    <w:name w:val="列表段落 字符"/>
    <w:link w:val="74"/>
    <w:uiPriority w:val="0"/>
    <w:rPr>
      <w:rFonts w:ascii="Calibri" w:hAnsi="Calibri" w:eastAsia="宋体" w:cs="黑体"/>
      <w:kern w:val="2"/>
      <w:sz w:val="21"/>
      <w:szCs w:val="24"/>
    </w:rPr>
  </w:style>
  <w:style w:type="character" w:customStyle="1" w:styleId="99">
    <w:name w:val="文档结构图 字符"/>
    <w:link w:val="16"/>
    <w:uiPriority w:val="0"/>
    <w:rPr>
      <w:rFonts w:ascii="宋体" w:hAnsi="Calibri" w:cs="黑体"/>
      <w:kern w:val="2"/>
      <w:sz w:val="18"/>
      <w:szCs w:val="18"/>
    </w:rPr>
  </w:style>
  <w:style w:type="character" w:customStyle="1" w:styleId="100">
    <w:name w:val="页脚 字符2"/>
    <w:uiPriority w:val="0"/>
    <w:rPr>
      <w:sz w:val="18"/>
      <w:szCs w:val="18"/>
    </w:rPr>
  </w:style>
  <w:style w:type="character" w:customStyle="1" w:styleId="101">
    <w:name w:val="3 Char"/>
    <w:link w:val="54"/>
    <w:uiPriority w:val="0"/>
    <w:rPr>
      <w:kern w:val="44"/>
      <w:sz w:val="30"/>
      <w:szCs w:val="44"/>
    </w:rPr>
  </w:style>
  <w:style w:type="character" w:customStyle="1" w:styleId="102">
    <w:name w:val="批注框文本 字符"/>
    <w:link w:val="25"/>
    <w:uiPriority w:val="0"/>
    <w:rPr>
      <w:rFonts w:ascii="Calibri" w:hAnsi="Calibri" w:eastAsia="宋体" w:cs="黑体"/>
      <w:kern w:val="2"/>
      <w:sz w:val="18"/>
      <w:szCs w:val="18"/>
    </w:rPr>
  </w:style>
  <w:style w:type="character" w:customStyle="1" w:styleId="103">
    <w:name w:val="标题 3 字符"/>
    <w:link w:val="4"/>
    <w:uiPriority w:val="0"/>
    <w:rPr>
      <w:rFonts w:cs="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AADAA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6170</Words>
  <Characters>35171</Characters>
  <Lines>293</Lines>
  <Paragraphs>82</Paragraphs>
  <TotalTime>0</TotalTime>
  <ScaleCrop>false</ScaleCrop>
  <LinksUpToDate>false</LinksUpToDate>
  <CharactersWithSpaces>41259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2019-09-24T22:42:00Z</dcterms:created>
  <dc:creator>李伟</dc:creator>
  <cp:lastModifiedBy>未定义</cp:lastModifiedBy>
  <cp:lastPrinted>2021-11-03T09:03:00Z</cp:lastPrinted>
  <dcterms:modified xsi:type="dcterms:W3CDTF">2021-11-04T01:36:53Z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