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ascii="Times New Roman"/>
          <w:color w:val="auto"/>
          <w:sz w:val="20"/>
          <w:highlight w:val="none"/>
        </w:rPr>
      </w:pPr>
    </w:p>
    <w:p>
      <w:pPr>
        <w:pStyle w:val="10"/>
        <w:spacing w:before="3"/>
        <w:rPr>
          <w:rFonts w:ascii="Times New Roman"/>
          <w:color w:val="auto"/>
          <w:sz w:val="16"/>
          <w:highlight w:val="none"/>
        </w:rPr>
      </w:pPr>
    </w:p>
    <w:p>
      <w:pPr>
        <w:spacing w:before="115" w:line="364" w:lineRule="auto"/>
        <w:ind w:left="586" w:right="1042"/>
        <w:jc w:val="center"/>
        <w:rPr>
          <w:rFonts w:hint="eastAsia" w:eastAsia="宋体"/>
          <w:b/>
          <w:color w:val="auto"/>
          <w:w w:val="95"/>
          <w:sz w:val="32"/>
          <w:highlight w:val="none"/>
          <w:lang w:eastAsia="zh-CN"/>
        </w:rPr>
      </w:pPr>
      <w:r>
        <w:rPr>
          <w:rFonts w:hint="eastAsia"/>
          <w:b/>
          <w:color w:val="auto"/>
          <w:w w:val="95"/>
          <w:sz w:val="32"/>
          <w:highlight w:val="none"/>
          <w:lang w:val="en-US" w:eastAsia="zh-CN"/>
        </w:rPr>
        <w:t>2022年</w:t>
      </w:r>
      <w:r>
        <w:rPr>
          <w:rFonts w:hint="eastAsia"/>
          <w:b/>
          <w:color w:val="auto"/>
          <w:w w:val="95"/>
          <w:sz w:val="32"/>
          <w:highlight w:val="none"/>
          <w:lang w:eastAsia="zh-CN"/>
        </w:rPr>
        <w:t>天河区文物监督保护服务工作项目</w:t>
      </w:r>
    </w:p>
    <w:p>
      <w:pPr>
        <w:spacing w:before="115" w:line="364" w:lineRule="auto"/>
        <w:ind w:left="586" w:right="1042"/>
        <w:jc w:val="center"/>
        <w:rPr>
          <w:b/>
          <w:color w:val="auto"/>
          <w:sz w:val="32"/>
          <w:highlight w:val="none"/>
        </w:rPr>
      </w:pPr>
      <w:r>
        <w:rPr>
          <w:b/>
          <w:color w:val="auto"/>
          <w:sz w:val="32"/>
          <w:highlight w:val="none"/>
        </w:rPr>
        <w:t>项目编号：</w:t>
      </w:r>
      <w:r>
        <w:rPr>
          <w:rFonts w:hint="eastAsia"/>
          <w:b/>
          <w:color w:val="auto"/>
          <w:sz w:val="32"/>
          <w:highlight w:val="none"/>
        </w:rPr>
        <w:t>FXZB2021-075-CG</w:t>
      </w:r>
    </w:p>
    <w:p>
      <w:pPr>
        <w:pStyle w:val="10"/>
        <w:rPr>
          <w:b/>
          <w:color w:val="auto"/>
          <w:sz w:val="32"/>
          <w:highlight w:val="none"/>
        </w:rPr>
      </w:pPr>
    </w:p>
    <w:p>
      <w:pPr>
        <w:pStyle w:val="10"/>
        <w:rPr>
          <w:b/>
          <w:color w:val="auto"/>
          <w:sz w:val="32"/>
          <w:highlight w:val="none"/>
        </w:rPr>
      </w:pPr>
    </w:p>
    <w:p>
      <w:pPr>
        <w:pStyle w:val="10"/>
        <w:rPr>
          <w:b/>
          <w:color w:val="auto"/>
          <w:sz w:val="32"/>
          <w:highlight w:val="none"/>
        </w:rPr>
      </w:pPr>
    </w:p>
    <w:p>
      <w:pPr>
        <w:pStyle w:val="10"/>
        <w:rPr>
          <w:b/>
          <w:color w:val="auto"/>
          <w:sz w:val="32"/>
          <w:highlight w:val="none"/>
        </w:rPr>
      </w:pPr>
    </w:p>
    <w:p>
      <w:pPr>
        <w:pStyle w:val="10"/>
        <w:rPr>
          <w:b/>
          <w:color w:val="auto"/>
          <w:sz w:val="32"/>
          <w:highlight w:val="none"/>
        </w:rPr>
      </w:pPr>
    </w:p>
    <w:p>
      <w:pPr>
        <w:pStyle w:val="10"/>
        <w:spacing w:before="5"/>
        <w:rPr>
          <w:b/>
          <w:color w:val="auto"/>
          <w:sz w:val="36"/>
          <w:highlight w:val="none"/>
        </w:rPr>
      </w:pPr>
    </w:p>
    <w:p>
      <w:pPr>
        <w:spacing w:line="304" w:lineRule="auto"/>
        <w:ind w:left="1851" w:right="2510"/>
        <w:jc w:val="center"/>
        <w:rPr>
          <w:b/>
          <w:color w:val="auto"/>
          <w:sz w:val="96"/>
          <w:highlight w:val="none"/>
        </w:rPr>
      </w:pPr>
      <w:r>
        <w:rPr>
          <w:b/>
          <w:color w:val="auto"/>
          <w:spacing w:val="159"/>
          <w:w w:val="95"/>
          <w:sz w:val="96"/>
          <w:highlight w:val="none"/>
        </w:rPr>
        <w:t>竞争性磋商</w:t>
      </w:r>
      <w:r>
        <w:rPr>
          <w:b/>
          <w:color w:val="auto"/>
          <w:spacing w:val="102"/>
          <w:sz w:val="96"/>
          <w:highlight w:val="none"/>
        </w:rPr>
        <w:t>文件</w:t>
      </w:r>
    </w:p>
    <w:p>
      <w:pPr>
        <w:pStyle w:val="10"/>
        <w:rPr>
          <w:b/>
          <w:color w:val="auto"/>
          <w:sz w:val="96"/>
          <w:highlight w:val="none"/>
        </w:rPr>
      </w:pPr>
    </w:p>
    <w:p>
      <w:pPr>
        <w:pStyle w:val="10"/>
        <w:spacing w:before="2"/>
        <w:rPr>
          <w:b/>
          <w:color w:val="auto"/>
          <w:sz w:val="73"/>
          <w:highlight w:val="none"/>
        </w:rPr>
      </w:pPr>
    </w:p>
    <w:p>
      <w:pPr>
        <w:ind w:left="586" w:right="1041"/>
        <w:jc w:val="center"/>
        <w:rPr>
          <w:b/>
          <w:color w:val="auto"/>
          <w:sz w:val="32"/>
          <w:highlight w:val="none"/>
        </w:rPr>
      </w:pPr>
      <w:r>
        <w:rPr>
          <w:b/>
          <w:color w:val="auto"/>
          <w:sz w:val="32"/>
          <w:highlight w:val="none"/>
        </w:rPr>
        <w:t>采购人：</w:t>
      </w:r>
      <w:r>
        <w:rPr>
          <w:rFonts w:hint="eastAsia"/>
          <w:b/>
          <w:color w:val="auto"/>
          <w:sz w:val="32"/>
          <w:highlight w:val="none"/>
        </w:rPr>
        <w:t>广州市天河区文化广电旅游体育局</w:t>
      </w:r>
    </w:p>
    <w:p>
      <w:pPr>
        <w:spacing w:before="211"/>
        <w:ind w:left="586" w:right="1041"/>
        <w:jc w:val="center"/>
        <w:rPr>
          <w:b/>
          <w:color w:val="auto"/>
          <w:sz w:val="32"/>
          <w:highlight w:val="none"/>
        </w:rPr>
      </w:pPr>
      <w:r>
        <w:rPr>
          <w:b/>
          <w:color w:val="auto"/>
          <w:sz w:val="32"/>
          <w:highlight w:val="none"/>
        </w:rPr>
        <w:t>采购代理机构：</w:t>
      </w:r>
      <w:r>
        <w:rPr>
          <w:rFonts w:hint="eastAsia"/>
          <w:b/>
          <w:color w:val="auto"/>
          <w:sz w:val="32"/>
          <w:highlight w:val="none"/>
        </w:rPr>
        <w:t>广东富信建设管理有限公司</w:t>
      </w:r>
    </w:p>
    <w:p>
      <w:pPr>
        <w:spacing w:before="211"/>
        <w:ind w:right="1041"/>
        <w:jc w:val="center"/>
        <w:rPr>
          <w:b/>
          <w:color w:val="auto"/>
          <w:sz w:val="32"/>
          <w:highlight w:val="none"/>
          <w:lang w:val="en-US"/>
        </w:rPr>
        <w:sectPr>
          <w:headerReference r:id="rId3" w:type="default"/>
          <w:footerReference r:id="rId4" w:type="default"/>
          <w:pgSz w:w="12240" w:h="15840"/>
          <w:pgMar w:top="1380" w:right="900" w:bottom="880" w:left="1360" w:header="746" w:footer="688" w:gutter="0"/>
          <w:cols w:space="720" w:num="1"/>
        </w:sectPr>
      </w:pPr>
      <w:r>
        <w:rPr>
          <w:rFonts w:hint="eastAsia"/>
          <w:b/>
          <w:color w:val="auto"/>
          <w:sz w:val="32"/>
          <w:highlight w:val="none"/>
          <w:lang w:val="en-US"/>
        </w:rPr>
        <w:t>日期：2021年12月</w:t>
      </w:r>
    </w:p>
    <w:p>
      <w:pPr>
        <w:tabs>
          <w:tab w:val="left" w:pos="719"/>
        </w:tabs>
        <w:spacing w:before="50"/>
        <w:ind w:right="459"/>
        <w:jc w:val="center"/>
        <w:rPr>
          <w:b/>
          <w:color w:val="auto"/>
          <w:sz w:val="36"/>
          <w:highlight w:val="none"/>
        </w:rPr>
      </w:pPr>
      <w:r>
        <w:rPr>
          <w:b/>
          <w:color w:val="auto"/>
          <w:sz w:val="36"/>
          <w:highlight w:val="none"/>
        </w:rPr>
        <w:t>目</w:t>
      </w:r>
      <w:r>
        <w:rPr>
          <w:b/>
          <w:color w:val="auto"/>
          <w:sz w:val="36"/>
          <w:highlight w:val="none"/>
        </w:rPr>
        <w:tab/>
      </w:r>
      <w:r>
        <w:rPr>
          <w:b/>
          <w:color w:val="auto"/>
          <w:sz w:val="36"/>
          <w:highlight w:val="none"/>
        </w:rPr>
        <w:t>录</w:t>
      </w:r>
    </w:p>
    <w:sdt>
      <w:sdtPr>
        <w:rPr>
          <w:color w:val="auto"/>
          <w:highlight w:val="none"/>
        </w:rPr>
        <w:id w:val="1808204943"/>
      </w:sdtPr>
      <w:sdtEndPr>
        <w:rPr>
          <w:color w:val="auto"/>
          <w:highlight w:val="none"/>
        </w:rPr>
      </w:sdtEndPr>
      <w:sdtContent>
        <w:p>
          <w:pPr>
            <w:pStyle w:val="17"/>
            <w:tabs>
              <w:tab w:val="right" w:leader="dot" w:pos="8519"/>
            </w:tabs>
            <w:spacing w:before="490"/>
            <w:rPr>
              <w:color w:val="auto"/>
              <w:highlight w:val="none"/>
            </w:rPr>
          </w:pPr>
          <w:r>
            <w:rPr>
              <w:color w:val="auto"/>
              <w:highlight w:val="none"/>
            </w:rPr>
            <w:fldChar w:fldCharType="begin"/>
          </w:r>
          <w:r>
            <w:rPr>
              <w:color w:val="auto"/>
              <w:highlight w:val="none"/>
            </w:rPr>
            <w:instrText xml:space="preserve"> HYPERLINK \l "_bookmark0" </w:instrText>
          </w:r>
          <w:r>
            <w:rPr>
              <w:color w:val="auto"/>
              <w:highlight w:val="none"/>
            </w:rPr>
            <w:fldChar w:fldCharType="separate"/>
          </w:r>
          <w:r>
            <w:rPr>
              <w:color w:val="auto"/>
              <w:highlight w:val="none"/>
            </w:rPr>
            <w:t>第一章磋商邀请函</w:t>
          </w:r>
          <w:r>
            <w:rPr>
              <w:color w:val="auto"/>
              <w:highlight w:val="none"/>
            </w:rPr>
            <w:tab/>
          </w:r>
          <w:r>
            <w:rPr>
              <w:rFonts w:hint="eastAsia"/>
              <w:color w:val="auto"/>
              <w:highlight w:val="none"/>
              <w:lang w:val="en-US"/>
            </w:rPr>
            <w:t>1</w:t>
          </w:r>
          <w:r>
            <w:rPr>
              <w:rFonts w:hint="eastAsia"/>
              <w:color w:val="auto"/>
              <w:highlight w:val="none"/>
              <w:lang w:val="en-US"/>
            </w:rPr>
            <w:fldChar w:fldCharType="end"/>
          </w:r>
        </w:p>
        <w:p>
          <w:pPr>
            <w:pStyle w:val="17"/>
            <w:tabs>
              <w:tab w:val="right" w:leader="dot" w:pos="8519"/>
            </w:tabs>
            <w:rPr>
              <w:color w:val="auto"/>
              <w:highlight w:val="none"/>
            </w:rPr>
          </w:pPr>
          <w:r>
            <w:rPr>
              <w:color w:val="auto"/>
              <w:highlight w:val="none"/>
            </w:rPr>
            <w:fldChar w:fldCharType="begin"/>
          </w:r>
          <w:r>
            <w:rPr>
              <w:color w:val="auto"/>
              <w:highlight w:val="none"/>
            </w:rPr>
            <w:instrText xml:space="preserve"> HYPERLINK \l "_bookmark1" </w:instrText>
          </w:r>
          <w:r>
            <w:rPr>
              <w:color w:val="auto"/>
              <w:highlight w:val="none"/>
            </w:rPr>
            <w:fldChar w:fldCharType="separate"/>
          </w:r>
          <w:r>
            <w:rPr>
              <w:color w:val="auto"/>
              <w:highlight w:val="none"/>
            </w:rPr>
            <w:t>第二章供应商须知</w:t>
          </w:r>
          <w:r>
            <w:rPr>
              <w:color w:val="auto"/>
              <w:highlight w:val="none"/>
            </w:rPr>
            <w:tab/>
          </w:r>
          <w:r>
            <w:rPr>
              <w:rFonts w:hint="eastAsia"/>
              <w:color w:val="auto"/>
              <w:highlight w:val="none"/>
              <w:lang w:val="en-US"/>
            </w:rPr>
            <w:t>3</w:t>
          </w:r>
          <w:r>
            <w:rPr>
              <w:rFonts w:hint="eastAsia"/>
              <w:color w:val="auto"/>
              <w:highlight w:val="none"/>
              <w:lang w:val="en-US"/>
            </w:rPr>
            <w:fldChar w:fldCharType="end"/>
          </w:r>
        </w:p>
        <w:p>
          <w:pPr>
            <w:pStyle w:val="17"/>
            <w:tabs>
              <w:tab w:val="right" w:leader="dot" w:pos="8661"/>
            </w:tabs>
            <w:rPr>
              <w:color w:val="auto"/>
              <w:highlight w:val="none"/>
            </w:rPr>
          </w:pPr>
          <w:r>
            <w:rPr>
              <w:color w:val="auto"/>
              <w:highlight w:val="none"/>
            </w:rPr>
            <w:fldChar w:fldCharType="begin"/>
          </w:r>
          <w:r>
            <w:rPr>
              <w:color w:val="auto"/>
              <w:highlight w:val="none"/>
            </w:rPr>
            <w:instrText xml:space="preserve"> HYPERLINK \l "_bookmark2" </w:instrText>
          </w:r>
          <w:r>
            <w:rPr>
              <w:color w:val="auto"/>
              <w:highlight w:val="none"/>
            </w:rPr>
            <w:fldChar w:fldCharType="separate"/>
          </w:r>
          <w:r>
            <w:rPr>
              <w:color w:val="auto"/>
              <w:highlight w:val="none"/>
            </w:rPr>
            <w:t>第三章采购人需求</w:t>
          </w:r>
          <w:r>
            <w:rPr>
              <w:color w:val="auto"/>
              <w:highlight w:val="none"/>
            </w:rPr>
            <w:tab/>
          </w:r>
          <w:r>
            <w:rPr>
              <w:color w:val="auto"/>
              <w:highlight w:val="none"/>
            </w:rPr>
            <w:t>1</w:t>
          </w:r>
          <w:r>
            <w:rPr>
              <w:rFonts w:hint="eastAsia"/>
              <w:color w:val="auto"/>
              <w:highlight w:val="none"/>
              <w:lang w:val="en-US"/>
            </w:rPr>
            <w:t>0</w:t>
          </w:r>
          <w:r>
            <w:rPr>
              <w:rFonts w:hint="eastAsia"/>
              <w:color w:val="auto"/>
              <w:highlight w:val="none"/>
              <w:lang w:val="en-US"/>
            </w:rPr>
            <w:fldChar w:fldCharType="end"/>
          </w:r>
        </w:p>
        <w:p>
          <w:pPr>
            <w:pStyle w:val="17"/>
            <w:tabs>
              <w:tab w:val="right" w:leader="dot" w:pos="8661"/>
            </w:tabs>
            <w:rPr>
              <w:color w:val="auto"/>
              <w:highlight w:val="none"/>
            </w:rPr>
          </w:pPr>
          <w:r>
            <w:rPr>
              <w:color w:val="auto"/>
              <w:highlight w:val="none"/>
            </w:rPr>
            <w:fldChar w:fldCharType="begin"/>
          </w:r>
          <w:r>
            <w:rPr>
              <w:color w:val="auto"/>
              <w:highlight w:val="none"/>
            </w:rPr>
            <w:instrText xml:space="preserve"> HYPERLINK \l "_bookmark3" </w:instrText>
          </w:r>
          <w:r>
            <w:rPr>
              <w:color w:val="auto"/>
              <w:highlight w:val="none"/>
            </w:rPr>
            <w:fldChar w:fldCharType="separate"/>
          </w:r>
          <w:r>
            <w:rPr>
              <w:color w:val="auto"/>
              <w:highlight w:val="none"/>
            </w:rPr>
            <w:t>第四章政府采购合同</w:t>
          </w:r>
          <w:r>
            <w:rPr>
              <w:color w:val="auto"/>
              <w:highlight w:val="none"/>
            </w:rPr>
            <w:tab/>
          </w:r>
          <w:r>
            <w:rPr>
              <w:rFonts w:hint="eastAsia"/>
              <w:color w:val="auto"/>
              <w:highlight w:val="none"/>
              <w:lang w:val="en-US"/>
            </w:rPr>
            <w:t>17</w:t>
          </w:r>
          <w:r>
            <w:rPr>
              <w:rFonts w:hint="eastAsia"/>
              <w:color w:val="auto"/>
              <w:highlight w:val="none"/>
              <w:lang w:val="en-US"/>
            </w:rPr>
            <w:fldChar w:fldCharType="end"/>
          </w:r>
        </w:p>
        <w:p>
          <w:pPr>
            <w:pStyle w:val="17"/>
            <w:tabs>
              <w:tab w:val="right" w:leader="dot" w:pos="8661"/>
            </w:tabs>
            <w:spacing w:before="386"/>
            <w:rPr>
              <w:color w:val="auto"/>
              <w:highlight w:val="none"/>
            </w:rPr>
          </w:pPr>
          <w:r>
            <w:rPr>
              <w:color w:val="auto"/>
              <w:highlight w:val="none"/>
            </w:rPr>
            <w:fldChar w:fldCharType="begin"/>
          </w:r>
          <w:r>
            <w:rPr>
              <w:color w:val="auto"/>
              <w:highlight w:val="none"/>
            </w:rPr>
            <w:instrText xml:space="preserve"> HYPERLINK \l "_bookmark4" </w:instrText>
          </w:r>
          <w:r>
            <w:rPr>
              <w:color w:val="auto"/>
              <w:highlight w:val="none"/>
            </w:rPr>
            <w:fldChar w:fldCharType="separate"/>
          </w:r>
          <w:r>
            <w:rPr>
              <w:color w:val="auto"/>
              <w:highlight w:val="none"/>
            </w:rPr>
            <w:t>第五章磋商细则</w:t>
          </w:r>
          <w:r>
            <w:rPr>
              <w:color w:val="auto"/>
              <w:highlight w:val="none"/>
            </w:rPr>
            <w:tab/>
          </w:r>
          <w:r>
            <w:rPr>
              <w:color w:val="auto"/>
              <w:highlight w:val="none"/>
            </w:rPr>
            <w:t>2</w:t>
          </w:r>
          <w:r>
            <w:rPr>
              <w:rFonts w:hint="eastAsia"/>
              <w:color w:val="auto"/>
              <w:highlight w:val="none"/>
              <w:lang w:val="en-US"/>
            </w:rPr>
            <w:t>1</w:t>
          </w:r>
          <w:r>
            <w:rPr>
              <w:rFonts w:hint="eastAsia"/>
              <w:color w:val="auto"/>
              <w:highlight w:val="none"/>
              <w:lang w:val="en-US"/>
            </w:rPr>
            <w:fldChar w:fldCharType="end"/>
          </w:r>
        </w:p>
        <w:p>
          <w:pPr>
            <w:pStyle w:val="17"/>
            <w:tabs>
              <w:tab w:val="right" w:leader="dot" w:pos="8661"/>
            </w:tabs>
            <w:rPr>
              <w:color w:val="auto"/>
              <w:highlight w:val="none"/>
            </w:rPr>
            <w:sectPr>
              <w:footerReference r:id="rId5" w:type="default"/>
              <w:pgSz w:w="12240" w:h="15840"/>
              <w:pgMar w:top="1380" w:right="900" w:bottom="880" w:left="1360" w:header="746" w:footer="688" w:gutter="0"/>
              <w:pgNumType w:start="1"/>
              <w:cols w:space="720" w:num="1"/>
            </w:sectPr>
          </w:pPr>
          <w:r>
            <w:rPr>
              <w:color w:val="auto"/>
              <w:highlight w:val="none"/>
            </w:rPr>
            <w:fldChar w:fldCharType="begin"/>
          </w:r>
          <w:r>
            <w:rPr>
              <w:color w:val="auto"/>
              <w:highlight w:val="none"/>
            </w:rPr>
            <w:instrText xml:space="preserve"> HYPERLINK \l "_bookmark5" </w:instrText>
          </w:r>
          <w:r>
            <w:rPr>
              <w:color w:val="auto"/>
              <w:highlight w:val="none"/>
            </w:rPr>
            <w:fldChar w:fldCharType="separate"/>
          </w:r>
          <w:r>
            <w:rPr>
              <w:color w:val="auto"/>
              <w:highlight w:val="none"/>
            </w:rPr>
            <w:t>第六章响应文件格式</w:t>
          </w:r>
          <w:r>
            <w:rPr>
              <w:color w:val="auto"/>
              <w:highlight w:val="none"/>
            </w:rPr>
            <w:tab/>
          </w:r>
          <w:r>
            <w:rPr>
              <w:color w:val="auto"/>
              <w:highlight w:val="none"/>
            </w:rPr>
            <w:t>3</w:t>
          </w:r>
          <w:r>
            <w:rPr>
              <w:rFonts w:hint="eastAsia"/>
              <w:color w:val="auto"/>
              <w:highlight w:val="none"/>
              <w:lang w:val="en-US"/>
            </w:rPr>
            <w:t>1</w:t>
          </w:r>
          <w:r>
            <w:rPr>
              <w:rFonts w:hint="eastAsia"/>
              <w:color w:val="auto"/>
              <w:highlight w:val="none"/>
              <w:lang w:val="en-US"/>
            </w:rPr>
            <w:fldChar w:fldCharType="end"/>
          </w:r>
        </w:p>
      </w:sdtContent>
    </w:sdt>
    <w:p>
      <w:pPr>
        <w:pStyle w:val="10"/>
        <w:rPr>
          <w:b/>
          <w:color w:val="auto"/>
          <w:sz w:val="32"/>
          <w:highlight w:val="none"/>
        </w:rPr>
      </w:pPr>
    </w:p>
    <w:p>
      <w:pPr>
        <w:pStyle w:val="2"/>
        <w:spacing w:before="1"/>
        <w:ind w:left="582"/>
        <w:rPr>
          <w:color w:val="auto"/>
          <w:highlight w:val="none"/>
        </w:rPr>
      </w:pPr>
      <w:r>
        <w:rPr>
          <w:color w:val="auto"/>
          <w:highlight w:val="none"/>
        </w:rPr>
        <w:t>第一章磋商邀请函</w:t>
      </w:r>
    </w:p>
    <w:p>
      <w:pPr>
        <w:pStyle w:val="10"/>
        <w:spacing w:before="7"/>
        <w:rPr>
          <w:b/>
          <w:color w:val="auto"/>
          <w:sz w:val="41"/>
          <w:highlight w:val="none"/>
        </w:rPr>
      </w:pPr>
    </w:p>
    <w:p>
      <w:pPr>
        <w:pStyle w:val="10"/>
        <w:spacing w:line="417" w:lineRule="auto"/>
        <w:ind w:left="440" w:right="567" w:firstLine="420"/>
        <w:rPr>
          <w:color w:val="auto"/>
          <w:highlight w:val="none"/>
        </w:rPr>
      </w:pPr>
      <w:r>
        <w:rPr>
          <w:rFonts w:hint="eastAsia"/>
          <w:color w:val="auto"/>
          <w:highlight w:val="none"/>
        </w:rPr>
        <w:t>广州市天河区文化广电旅游体育局委托广东富信建设管理有限公司拟对以下项目进行竞争性磋商，邀请符合资格条件的供应商参加。</w:t>
      </w:r>
    </w:p>
    <w:p>
      <w:pPr>
        <w:pStyle w:val="10"/>
        <w:spacing w:line="360" w:lineRule="auto"/>
        <w:ind w:left="860" w:right="567"/>
        <w:rPr>
          <w:color w:val="auto"/>
          <w:highlight w:val="none"/>
        </w:rPr>
      </w:pPr>
      <w:r>
        <w:rPr>
          <w:color w:val="auto"/>
          <w:highlight w:val="none"/>
        </w:rPr>
        <w:t>一、采购项目编号：</w:t>
      </w:r>
      <w:r>
        <w:rPr>
          <w:rFonts w:hint="eastAsia"/>
          <w:color w:val="auto"/>
          <w:highlight w:val="none"/>
        </w:rPr>
        <w:t>FXZB2021-075-CG</w:t>
      </w:r>
    </w:p>
    <w:p>
      <w:pPr>
        <w:pStyle w:val="10"/>
        <w:numPr>
          <w:ilvl w:val="0"/>
          <w:numId w:val="1"/>
        </w:numPr>
        <w:spacing w:line="360" w:lineRule="auto"/>
        <w:ind w:left="862" w:right="567"/>
        <w:rPr>
          <w:color w:val="auto"/>
          <w:w w:val="95"/>
          <w:highlight w:val="none"/>
        </w:rPr>
      </w:pPr>
      <w:r>
        <w:rPr>
          <w:color w:val="auto"/>
          <w:highlight w:val="none"/>
        </w:rPr>
        <w:t>采购项目名称：</w:t>
      </w:r>
      <w:r>
        <w:rPr>
          <w:rFonts w:hint="eastAsia"/>
          <w:color w:val="auto"/>
          <w:highlight w:val="none"/>
          <w:lang w:eastAsia="zh-CN"/>
        </w:rPr>
        <w:t>2022年天河区文物监督保护服务工作项目</w:t>
      </w:r>
    </w:p>
    <w:p>
      <w:pPr>
        <w:pStyle w:val="10"/>
        <w:numPr>
          <w:ilvl w:val="0"/>
          <w:numId w:val="1"/>
        </w:numPr>
        <w:spacing w:line="360" w:lineRule="auto"/>
        <w:ind w:left="860" w:right="567"/>
        <w:rPr>
          <w:color w:val="auto"/>
          <w:highlight w:val="none"/>
        </w:rPr>
      </w:pPr>
      <w:r>
        <w:rPr>
          <w:rFonts w:hint="eastAsia"/>
          <w:color w:val="auto"/>
          <w:highlight w:val="none"/>
        </w:rPr>
        <w:t>预算金额</w:t>
      </w:r>
      <w:r>
        <w:rPr>
          <w:color w:val="auto"/>
          <w:highlight w:val="none"/>
        </w:rPr>
        <w:t>：</w:t>
      </w:r>
      <w:r>
        <w:rPr>
          <w:color w:val="auto"/>
          <w:highlight w:val="none"/>
          <w:lang w:val="en-US"/>
        </w:rPr>
        <w:t>91.94</w:t>
      </w:r>
      <w:r>
        <w:rPr>
          <w:rFonts w:hint="eastAsia"/>
          <w:color w:val="auto"/>
          <w:highlight w:val="none"/>
        </w:rPr>
        <w:t>万元</w:t>
      </w:r>
    </w:p>
    <w:p>
      <w:pPr>
        <w:pStyle w:val="10"/>
        <w:numPr>
          <w:ilvl w:val="0"/>
          <w:numId w:val="1"/>
        </w:numPr>
        <w:spacing w:line="360" w:lineRule="auto"/>
        <w:ind w:left="860" w:right="567"/>
        <w:rPr>
          <w:color w:val="auto"/>
          <w:highlight w:val="none"/>
        </w:rPr>
      </w:pPr>
      <w:r>
        <w:rPr>
          <w:rFonts w:hint="eastAsia"/>
          <w:color w:val="auto"/>
          <w:highlight w:val="none"/>
        </w:rPr>
        <w:t>采</w:t>
      </w:r>
      <w:r>
        <w:rPr>
          <w:color w:val="auto"/>
          <w:highlight w:val="none"/>
        </w:rPr>
        <w:t>购数量：1项</w:t>
      </w:r>
    </w:p>
    <w:p>
      <w:pPr>
        <w:pStyle w:val="10"/>
        <w:numPr>
          <w:ilvl w:val="0"/>
          <w:numId w:val="1"/>
        </w:numPr>
        <w:spacing w:line="360" w:lineRule="auto"/>
        <w:ind w:left="860" w:right="567"/>
        <w:rPr>
          <w:color w:val="auto"/>
          <w:highlight w:val="none"/>
        </w:rPr>
      </w:pPr>
      <w:r>
        <w:rPr>
          <w:color w:val="auto"/>
          <w:highlight w:val="none"/>
        </w:rPr>
        <w:t>项目内容及需求：</w:t>
      </w:r>
    </w:p>
    <w:p>
      <w:pPr>
        <w:pStyle w:val="10"/>
        <w:spacing w:line="360" w:lineRule="auto"/>
        <w:ind w:left="880" w:leftChars="400" w:right="567"/>
        <w:rPr>
          <w:color w:val="auto"/>
          <w:highlight w:val="none"/>
        </w:rPr>
      </w:pPr>
      <w:r>
        <w:rPr>
          <w:rFonts w:hint="eastAsia"/>
          <w:color w:val="auto"/>
          <w:highlight w:val="none"/>
        </w:rPr>
        <w:t>（1）最高限价：¥9</w:t>
      </w:r>
      <w:r>
        <w:rPr>
          <w:color w:val="auto"/>
          <w:highlight w:val="none"/>
        </w:rPr>
        <w:t>19</w:t>
      </w:r>
      <w:r>
        <w:rPr>
          <w:rFonts w:hint="eastAsia"/>
          <w:color w:val="auto"/>
          <w:highlight w:val="none"/>
        </w:rPr>
        <w:t>,</w:t>
      </w:r>
      <w:r>
        <w:rPr>
          <w:color w:val="auto"/>
          <w:highlight w:val="none"/>
        </w:rPr>
        <w:t>4</w:t>
      </w:r>
      <w:r>
        <w:rPr>
          <w:rFonts w:hint="eastAsia"/>
          <w:color w:val="auto"/>
          <w:highlight w:val="none"/>
        </w:rPr>
        <w:t>00.00元，凡超出最高限价的，一律视为无效投标。</w:t>
      </w:r>
    </w:p>
    <w:p>
      <w:pPr>
        <w:pStyle w:val="10"/>
        <w:spacing w:line="360" w:lineRule="auto"/>
        <w:ind w:left="880" w:leftChars="400" w:right="567"/>
        <w:rPr>
          <w:color w:val="auto"/>
          <w:highlight w:val="none"/>
        </w:rPr>
      </w:pPr>
      <w:r>
        <w:rPr>
          <w:rFonts w:hint="eastAsia"/>
          <w:color w:val="auto"/>
          <w:highlight w:val="none"/>
        </w:rPr>
        <w:t>（2）采购类型：服务类</w:t>
      </w:r>
    </w:p>
    <w:p>
      <w:pPr>
        <w:pStyle w:val="10"/>
        <w:spacing w:line="360" w:lineRule="auto"/>
        <w:ind w:left="880" w:leftChars="400" w:right="567"/>
        <w:rPr>
          <w:color w:val="auto"/>
          <w:highlight w:val="none"/>
        </w:rPr>
      </w:pPr>
      <w:r>
        <w:rPr>
          <w:rFonts w:hint="eastAsia"/>
          <w:color w:val="auto"/>
          <w:highlight w:val="none"/>
        </w:rPr>
        <w:t>（3）采购项目内容：文物监督保护服务</w:t>
      </w:r>
    </w:p>
    <w:p>
      <w:pPr>
        <w:pStyle w:val="10"/>
        <w:spacing w:line="360" w:lineRule="auto"/>
        <w:ind w:left="880" w:leftChars="400" w:right="567"/>
        <w:rPr>
          <w:color w:val="auto"/>
          <w:highlight w:val="none"/>
        </w:rPr>
      </w:pPr>
      <w:r>
        <w:rPr>
          <w:rFonts w:hint="eastAsia"/>
          <w:color w:val="auto"/>
          <w:highlight w:val="none"/>
        </w:rPr>
        <w:t>（4）服务期限：自合同签订约定之日起12个月</w:t>
      </w:r>
    </w:p>
    <w:p>
      <w:pPr>
        <w:pStyle w:val="10"/>
        <w:spacing w:line="360" w:lineRule="auto"/>
        <w:ind w:left="880" w:leftChars="400" w:right="567"/>
        <w:rPr>
          <w:color w:val="auto"/>
          <w:highlight w:val="none"/>
        </w:rPr>
      </w:pPr>
      <w:r>
        <w:rPr>
          <w:rFonts w:hint="eastAsia"/>
          <w:color w:val="auto"/>
          <w:highlight w:val="none"/>
        </w:rPr>
        <w:t>（5）采购项目内容及需求详见招标文件---采购人需求。</w:t>
      </w:r>
    </w:p>
    <w:p>
      <w:pPr>
        <w:pStyle w:val="10"/>
        <w:spacing w:line="360" w:lineRule="auto"/>
        <w:ind w:left="880" w:leftChars="400" w:right="567"/>
        <w:rPr>
          <w:color w:val="auto"/>
          <w:highlight w:val="none"/>
        </w:rPr>
      </w:pPr>
      <w:r>
        <w:rPr>
          <w:rFonts w:hint="eastAsia"/>
          <w:color w:val="auto"/>
          <w:highlight w:val="none"/>
        </w:rPr>
        <w:t>（6）投标人必须对项目进行整体投标，不允许仅对项目内其中部分内容进行投标。</w:t>
      </w:r>
    </w:p>
    <w:p>
      <w:pPr>
        <w:pStyle w:val="10"/>
        <w:numPr>
          <w:ilvl w:val="0"/>
          <w:numId w:val="1"/>
        </w:numPr>
        <w:spacing w:line="360" w:lineRule="auto"/>
        <w:ind w:left="860" w:right="567"/>
        <w:rPr>
          <w:color w:val="auto"/>
          <w:highlight w:val="none"/>
        </w:rPr>
      </w:pPr>
      <w:r>
        <w:rPr>
          <w:color w:val="auto"/>
          <w:highlight w:val="none"/>
        </w:rPr>
        <w:t>供应商资格：</w:t>
      </w:r>
    </w:p>
    <w:p>
      <w:pPr>
        <w:numPr>
          <w:ilvl w:val="1"/>
          <w:numId w:val="2"/>
        </w:numPr>
        <w:snapToGrid w:val="0"/>
        <w:spacing w:line="360" w:lineRule="auto"/>
        <w:ind w:left="880" w:leftChars="400" w:right="567"/>
        <w:rPr>
          <w:color w:val="auto"/>
          <w:sz w:val="21"/>
          <w:szCs w:val="21"/>
          <w:highlight w:val="none"/>
        </w:rPr>
      </w:pPr>
      <w:r>
        <w:rPr>
          <w:rFonts w:hint="eastAsia"/>
          <w:color w:val="auto"/>
          <w:sz w:val="21"/>
          <w:szCs w:val="21"/>
          <w:highlight w:val="none"/>
        </w:rPr>
        <w:t>供应商必须具备《中华人民共和国政府采购法》第二十二条资格条件；</w:t>
      </w:r>
    </w:p>
    <w:p>
      <w:pPr>
        <w:numPr>
          <w:ilvl w:val="0"/>
          <w:numId w:val="3"/>
        </w:numPr>
        <w:autoSpaceDE/>
        <w:autoSpaceDN/>
        <w:snapToGrid w:val="0"/>
        <w:spacing w:line="360" w:lineRule="auto"/>
        <w:ind w:left="880" w:leftChars="400" w:right="567" w:firstLine="403"/>
        <w:rPr>
          <w:color w:val="auto"/>
          <w:sz w:val="21"/>
          <w:szCs w:val="21"/>
          <w:highlight w:val="none"/>
        </w:rPr>
      </w:pPr>
      <w:r>
        <w:rPr>
          <w:rFonts w:hint="eastAsia"/>
          <w:color w:val="auto"/>
          <w:sz w:val="21"/>
          <w:szCs w:val="21"/>
          <w:highlight w:val="none"/>
        </w:rPr>
        <w:t>具有独立承担民事责任的能力；</w:t>
      </w:r>
    </w:p>
    <w:p>
      <w:pPr>
        <w:numPr>
          <w:ilvl w:val="0"/>
          <w:numId w:val="3"/>
        </w:numPr>
        <w:autoSpaceDE/>
        <w:autoSpaceDN/>
        <w:snapToGrid w:val="0"/>
        <w:spacing w:line="360" w:lineRule="auto"/>
        <w:ind w:left="880" w:leftChars="400" w:right="567" w:firstLine="403"/>
        <w:rPr>
          <w:color w:val="auto"/>
          <w:sz w:val="21"/>
          <w:szCs w:val="21"/>
          <w:highlight w:val="none"/>
        </w:rPr>
      </w:pPr>
      <w:r>
        <w:rPr>
          <w:rFonts w:hint="eastAsia"/>
          <w:color w:val="auto"/>
          <w:sz w:val="21"/>
          <w:szCs w:val="21"/>
          <w:highlight w:val="none"/>
        </w:rPr>
        <w:t>具有良好的商业信誉和健全的财务会计制度；</w:t>
      </w:r>
    </w:p>
    <w:p>
      <w:pPr>
        <w:numPr>
          <w:ilvl w:val="0"/>
          <w:numId w:val="3"/>
        </w:numPr>
        <w:autoSpaceDE/>
        <w:autoSpaceDN/>
        <w:snapToGrid w:val="0"/>
        <w:spacing w:line="360" w:lineRule="auto"/>
        <w:ind w:left="880" w:leftChars="400" w:right="567" w:firstLine="403"/>
        <w:rPr>
          <w:color w:val="auto"/>
          <w:sz w:val="21"/>
          <w:szCs w:val="21"/>
          <w:highlight w:val="none"/>
        </w:rPr>
      </w:pPr>
      <w:r>
        <w:rPr>
          <w:rFonts w:hint="eastAsia"/>
          <w:color w:val="auto"/>
          <w:sz w:val="21"/>
          <w:szCs w:val="21"/>
          <w:highlight w:val="none"/>
        </w:rPr>
        <w:t>具有履行合同所必需的设备和专业技术能力；</w:t>
      </w:r>
    </w:p>
    <w:p>
      <w:pPr>
        <w:numPr>
          <w:ilvl w:val="0"/>
          <w:numId w:val="3"/>
        </w:numPr>
        <w:autoSpaceDE/>
        <w:autoSpaceDN/>
        <w:snapToGrid w:val="0"/>
        <w:spacing w:line="360" w:lineRule="auto"/>
        <w:ind w:left="880" w:leftChars="400" w:right="567" w:firstLine="403"/>
        <w:rPr>
          <w:color w:val="auto"/>
          <w:sz w:val="21"/>
          <w:szCs w:val="21"/>
          <w:highlight w:val="none"/>
        </w:rPr>
      </w:pPr>
      <w:r>
        <w:rPr>
          <w:rFonts w:hint="eastAsia"/>
          <w:color w:val="auto"/>
          <w:sz w:val="21"/>
          <w:szCs w:val="21"/>
          <w:highlight w:val="none"/>
        </w:rPr>
        <w:t>有依法缴纳税收和社会保障资金的良好记录；</w:t>
      </w:r>
    </w:p>
    <w:p>
      <w:pPr>
        <w:numPr>
          <w:ilvl w:val="0"/>
          <w:numId w:val="3"/>
        </w:numPr>
        <w:autoSpaceDE/>
        <w:autoSpaceDN/>
        <w:snapToGrid w:val="0"/>
        <w:spacing w:line="360" w:lineRule="auto"/>
        <w:ind w:left="880" w:leftChars="400" w:right="567" w:firstLine="403"/>
        <w:rPr>
          <w:color w:val="auto"/>
          <w:sz w:val="21"/>
          <w:szCs w:val="21"/>
          <w:highlight w:val="none"/>
        </w:rPr>
      </w:pPr>
      <w:r>
        <w:rPr>
          <w:rFonts w:hint="eastAsia"/>
          <w:color w:val="auto"/>
          <w:sz w:val="21"/>
          <w:szCs w:val="21"/>
          <w:highlight w:val="none"/>
        </w:rPr>
        <w:t>参加政府采购活动前三年内，在经营活动中没有重大违法记录；</w:t>
      </w:r>
    </w:p>
    <w:p>
      <w:pPr>
        <w:numPr>
          <w:ilvl w:val="1"/>
          <w:numId w:val="2"/>
        </w:numPr>
        <w:tabs>
          <w:tab w:val="left" w:pos="840"/>
          <w:tab w:val="left" w:pos="945"/>
        </w:tabs>
        <w:snapToGrid w:val="0"/>
        <w:spacing w:line="360" w:lineRule="auto"/>
        <w:ind w:left="880" w:leftChars="400" w:right="567"/>
        <w:rPr>
          <w:bCs/>
          <w:color w:val="auto"/>
          <w:sz w:val="21"/>
          <w:szCs w:val="21"/>
          <w:highlight w:val="none"/>
        </w:rPr>
      </w:pPr>
      <w:r>
        <w:rPr>
          <w:rFonts w:hint="eastAsia"/>
          <w:bCs/>
          <w:color w:val="auto"/>
          <w:sz w:val="21"/>
          <w:szCs w:val="21"/>
          <w:highlight w:val="none"/>
        </w:rPr>
        <w:t>自主出具的《公平竞争承诺书》；</w:t>
      </w:r>
    </w:p>
    <w:p>
      <w:pPr>
        <w:numPr>
          <w:ilvl w:val="1"/>
          <w:numId w:val="2"/>
        </w:numPr>
        <w:tabs>
          <w:tab w:val="left" w:pos="840"/>
          <w:tab w:val="left" w:pos="945"/>
        </w:tabs>
        <w:snapToGrid w:val="0"/>
        <w:spacing w:line="360" w:lineRule="auto"/>
        <w:ind w:left="880" w:leftChars="400" w:right="567"/>
        <w:rPr>
          <w:bCs/>
          <w:color w:val="auto"/>
          <w:sz w:val="21"/>
          <w:szCs w:val="21"/>
          <w:highlight w:val="none"/>
        </w:rPr>
      </w:pPr>
      <w:r>
        <w:rPr>
          <w:color w:val="auto"/>
          <w:sz w:val="21"/>
          <w:szCs w:val="21"/>
          <w:highlight w:val="none"/>
        </w:rPr>
        <w:t>投标人具有三级或三级以上文物保护工程施工资质证书；或者具有丙级或丙级以上文物保护工程勘察设计资质证书</w:t>
      </w:r>
      <w:r>
        <w:rPr>
          <w:rFonts w:hint="eastAsia"/>
          <w:color w:val="auto"/>
          <w:sz w:val="21"/>
          <w:szCs w:val="21"/>
          <w:highlight w:val="none"/>
        </w:rPr>
        <w:t>；</w:t>
      </w:r>
    </w:p>
    <w:p>
      <w:pPr>
        <w:numPr>
          <w:ilvl w:val="1"/>
          <w:numId w:val="2"/>
        </w:numPr>
        <w:tabs>
          <w:tab w:val="left" w:pos="840"/>
          <w:tab w:val="left" w:pos="945"/>
        </w:tabs>
        <w:snapToGrid w:val="0"/>
        <w:spacing w:line="360" w:lineRule="auto"/>
        <w:ind w:left="880" w:leftChars="400" w:right="567"/>
        <w:rPr>
          <w:bCs/>
          <w:color w:val="auto"/>
          <w:sz w:val="21"/>
          <w:szCs w:val="21"/>
          <w:highlight w:val="none"/>
        </w:rPr>
      </w:pPr>
      <w:r>
        <w:rPr>
          <w:rFonts w:hint="eastAsia"/>
          <w:bCs/>
          <w:color w:val="auto"/>
          <w:sz w:val="21"/>
          <w:szCs w:val="21"/>
          <w:highlight w:val="none"/>
        </w:rPr>
        <w:t>分公司参与投标的，必须由具有法人资格的总公司授权；</w:t>
      </w:r>
    </w:p>
    <w:p>
      <w:pPr>
        <w:numPr>
          <w:ilvl w:val="1"/>
          <w:numId w:val="2"/>
        </w:numPr>
        <w:tabs>
          <w:tab w:val="left" w:pos="840"/>
          <w:tab w:val="left" w:pos="945"/>
        </w:tabs>
        <w:snapToGrid w:val="0"/>
        <w:spacing w:line="360" w:lineRule="auto"/>
        <w:ind w:left="880" w:leftChars="400" w:right="567"/>
        <w:rPr>
          <w:bCs/>
          <w:color w:val="auto"/>
          <w:sz w:val="21"/>
          <w:szCs w:val="21"/>
          <w:highlight w:val="none"/>
        </w:rPr>
      </w:pPr>
      <w:r>
        <w:rPr>
          <w:rFonts w:hint="eastAsia"/>
          <w:color w:val="auto"/>
          <w:sz w:val="21"/>
          <w:szCs w:val="21"/>
          <w:highlight w:val="none"/>
        </w:rPr>
        <w:t>在信用中国网站（www.creditchina.gov.cn）“信用服务”、中国政府采购网（www.ccgp.gov.cn）“政府采购严重违法失信行为信息记录”的信息，对</w:t>
      </w:r>
      <w:r>
        <w:rPr>
          <w:rFonts w:hint="eastAsia"/>
          <w:color w:val="auto"/>
          <w:sz w:val="21"/>
          <w:szCs w:val="21"/>
          <w:highlight w:val="none"/>
          <w:u w:val="single"/>
        </w:rPr>
        <w:t>列入失信被执行人</w:t>
      </w:r>
      <w:r>
        <w:rPr>
          <w:rFonts w:hint="eastAsia"/>
          <w:color w:val="auto"/>
          <w:sz w:val="21"/>
          <w:szCs w:val="21"/>
          <w:highlight w:val="none"/>
        </w:rPr>
        <w:t>、</w:t>
      </w:r>
      <w:r>
        <w:rPr>
          <w:rFonts w:hint="eastAsia"/>
          <w:color w:val="auto"/>
          <w:sz w:val="21"/>
          <w:szCs w:val="21"/>
          <w:highlight w:val="none"/>
          <w:u w:val="single"/>
        </w:rPr>
        <w:t>重大税收违法案件当事人名单</w:t>
      </w:r>
      <w:r>
        <w:rPr>
          <w:rFonts w:hint="eastAsia"/>
          <w:color w:val="auto"/>
          <w:sz w:val="21"/>
          <w:szCs w:val="21"/>
          <w:highlight w:val="none"/>
        </w:rPr>
        <w:t>、</w:t>
      </w:r>
      <w:r>
        <w:rPr>
          <w:rFonts w:hint="eastAsia"/>
          <w:color w:val="auto"/>
          <w:sz w:val="21"/>
          <w:szCs w:val="21"/>
          <w:highlight w:val="none"/>
          <w:u w:val="single"/>
        </w:rPr>
        <w:t>政府采购严重违法失信行为记录名单</w:t>
      </w:r>
      <w:r>
        <w:rPr>
          <w:rFonts w:hint="eastAsia"/>
          <w:color w:val="auto"/>
          <w:sz w:val="21"/>
          <w:szCs w:val="21"/>
          <w:highlight w:val="none"/>
        </w:rPr>
        <w:t>的供应商，拒绝其参与政府采购活动（如查询结果显示“没查到您要的信息”，视为没有上述三类不良信用记录）。提供对信用中国网站和中国政府采购网查询记录的截图。</w:t>
      </w:r>
    </w:p>
    <w:p>
      <w:pPr>
        <w:numPr>
          <w:ilvl w:val="1"/>
          <w:numId w:val="2"/>
        </w:numPr>
        <w:tabs>
          <w:tab w:val="left" w:pos="840"/>
          <w:tab w:val="left" w:pos="945"/>
        </w:tabs>
        <w:snapToGrid w:val="0"/>
        <w:spacing w:line="360" w:lineRule="auto"/>
        <w:ind w:left="880" w:leftChars="400" w:right="567"/>
        <w:rPr>
          <w:bCs/>
          <w:color w:val="auto"/>
          <w:sz w:val="21"/>
          <w:szCs w:val="21"/>
          <w:highlight w:val="none"/>
          <w:lang w:val="en-US"/>
        </w:rPr>
      </w:pPr>
      <w:r>
        <w:rPr>
          <w:rFonts w:hint="eastAsia"/>
          <w:bCs/>
          <w:color w:val="auto"/>
          <w:sz w:val="21"/>
          <w:szCs w:val="21"/>
          <w:highlight w:val="none"/>
        </w:rPr>
        <w:t>存在隶属关系或同属一总公司或法人的企业，仅能由一家企业参与投标。</w:t>
      </w:r>
    </w:p>
    <w:p>
      <w:pPr>
        <w:numPr>
          <w:ilvl w:val="1"/>
          <w:numId w:val="2"/>
        </w:numPr>
        <w:tabs>
          <w:tab w:val="left" w:pos="840"/>
          <w:tab w:val="left" w:pos="945"/>
        </w:tabs>
        <w:snapToGrid w:val="0"/>
        <w:spacing w:line="360" w:lineRule="auto"/>
        <w:ind w:left="880" w:leftChars="400" w:right="567"/>
        <w:rPr>
          <w:bCs/>
          <w:color w:val="auto"/>
          <w:sz w:val="21"/>
          <w:szCs w:val="21"/>
          <w:highlight w:val="none"/>
          <w:lang w:val="en-US"/>
        </w:rPr>
      </w:pPr>
      <w:r>
        <w:rPr>
          <w:rFonts w:hint="eastAsia"/>
          <w:bCs/>
          <w:color w:val="auto"/>
          <w:sz w:val="21"/>
          <w:szCs w:val="21"/>
          <w:highlight w:val="none"/>
          <w:lang w:val="en-US"/>
        </w:rPr>
        <w:t>为本采购项目提供整体设计、规范编制或者项目管理、监理、检测等服务的供应商，不得参加本项目投标。</w:t>
      </w:r>
    </w:p>
    <w:p>
      <w:pPr>
        <w:numPr>
          <w:ilvl w:val="1"/>
          <w:numId w:val="2"/>
        </w:numPr>
        <w:tabs>
          <w:tab w:val="left" w:pos="840"/>
          <w:tab w:val="left" w:pos="945"/>
        </w:tabs>
        <w:snapToGrid w:val="0"/>
        <w:spacing w:line="360" w:lineRule="auto"/>
        <w:ind w:left="880" w:leftChars="400" w:right="567"/>
        <w:rPr>
          <w:bCs/>
          <w:color w:val="auto"/>
          <w:sz w:val="21"/>
          <w:szCs w:val="21"/>
          <w:highlight w:val="none"/>
        </w:rPr>
      </w:pPr>
      <w:r>
        <w:rPr>
          <w:rFonts w:hint="eastAsia"/>
          <w:bCs/>
          <w:color w:val="auto"/>
          <w:sz w:val="21"/>
          <w:szCs w:val="21"/>
          <w:highlight w:val="none"/>
        </w:rPr>
        <w:t>本项目不接受联合体投标。</w:t>
      </w:r>
    </w:p>
    <w:p>
      <w:pPr>
        <w:pStyle w:val="11"/>
        <w:snapToGrid w:val="0"/>
        <w:spacing w:line="432" w:lineRule="auto"/>
        <w:ind w:left="220" w:leftChars="100" w:firstLine="630" w:firstLineChars="300"/>
        <w:rPr>
          <w:rFonts w:ascii="宋体" w:hAnsi="宋体"/>
          <w:bCs/>
          <w:color w:val="auto"/>
          <w:sz w:val="21"/>
          <w:szCs w:val="21"/>
          <w:highlight w:val="none"/>
        </w:rPr>
      </w:pPr>
      <w:r>
        <w:rPr>
          <w:rFonts w:hint="eastAsia" w:ascii="宋体" w:hAnsi="宋体"/>
          <w:bCs/>
          <w:color w:val="auto"/>
          <w:sz w:val="21"/>
          <w:szCs w:val="21"/>
          <w:highlight w:val="none"/>
        </w:rPr>
        <w:t>获取竞争性磋商文件方式：供应商凭以下加盖公章的资料前往购买竞争性磋商文件：</w:t>
      </w:r>
    </w:p>
    <w:p>
      <w:pPr>
        <w:pStyle w:val="11"/>
        <w:snapToGrid w:val="0"/>
        <w:spacing w:line="432" w:lineRule="auto"/>
        <w:ind w:left="220" w:leftChars="100" w:firstLine="630" w:firstLineChars="300"/>
        <w:rPr>
          <w:rFonts w:ascii="宋体" w:hAnsi="宋体"/>
          <w:bCs/>
          <w:color w:val="auto"/>
          <w:sz w:val="21"/>
          <w:szCs w:val="21"/>
          <w:highlight w:val="none"/>
        </w:rPr>
      </w:pPr>
      <w:r>
        <w:rPr>
          <w:rFonts w:hint="eastAsia" w:ascii="宋体" w:hAnsi="宋体"/>
          <w:bCs/>
          <w:color w:val="auto"/>
          <w:sz w:val="21"/>
          <w:szCs w:val="21"/>
          <w:highlight w:val="none"/>
          <w:lang w:val="en-US"/>
        </w:rPr>
        <w:t>1）</w:t>
      </w:r>
      <w:r>
        <w:rPr>
          <w:rFonts w:hint="eastAsia" w:ascii="宋体" w:hAnsi="宋体"/>
          <w:bCs/>
          <w:color w:val="auto"/>
          <w:sz w:val="21"/>
          <w:szCs w:val="21"/>
          <w:highlight w:val="none"/>
        </w:rPr>
        <w:t>供应商营业执照副本复印件；自然人提供身份证复印件；（加盖公章）</w:t>
      </w:r>
    </w:p>
    <w:p>
      <w:pPr>
        <w:pStyle w:val="11"/>
        <w:snapToGrid w:val="0"/>
        <w:spacing w:line="432" w:lineRule="auto"/>
        <w:ind w:left="220" w:leftChars="100" w:firstLine="630" w:firstLineChars="300"/>
        <w:rPr>
          <w:rFonts w:ascii="宋体" w:hAnsi="宋体"/>
          <w:bCs/>
          <w:color w:val="auto"/>
          <w:sz w:val="21"/>
          <w:szCs w:val="21"/>
          <w:highlight w:val="none"/>
        </w:rPr>
      </w:pPr>
      <w:r>
        <w:rPr>
          <w:rFonts w:hint="eastAsia" w:ascii="宋体" w:hAnsi="宋体"/>
          <w:bCs/>
          <w:color w:val="auto"/>
          <w:sz w:val="21"/>
          <w:szCs w:val="21"/>
          <w:highlight w:val="none"/>
          <w:lang w:val="en-US"/>
        </w:rPr>
        <w:t>2）</w:t>
      </w:r>
      <w:r>
        <w:rPr>
          <w:rFonts w:hint="eastAsia" w:ascii="宋体" w:hAnsi="宋体"/>
          <w:bCs/>
          <w:color w:val="auto"/>
          <w:sz w:val="21"/>
          <w:szCs w:val="21"/>
          <w:highlight w:val="none"/>
        </w:rPr>
        <w:t>法定代表人证明书和法定代表人授权书（原件，加盖公章及加盖法人代表印章或签名）；</w:t>
      </w:r>
    </w:p>
    <w:p>
      <w:pPr>
        <w:pStyle w:val="11"/>
        <w:snapToGrid w:val="0"/>
        <w:spacing w:line="432" w:lineRule="auto"/>
        <w:ind w:left="220" w:leftChars="100" w:firstLine="630" w:firstLineChars="300"/>
        <w:rPr>
          <w:rFonts w:ascii="宋体" w:hAnsi="宋体"/>
          <w:bCs/>
          <w:color w:val="auto"/>
          <w:sz w:val="21"/>
          <w:szCs w:val="21"/>
          <w:highlight w:val="none"/>
        </w:rPr>
      </w:pPr>
      <w:r>
        <w:rPr>
          <w:rFonts w:hint="eastAsia" w:ascii="宋体" w:hAnsi="宋体"/>
          <w:bCs/>
          <w:color w:val="auto"/>
          <w:sz w:val="21"/>
          <w:szCs w:val="21"/>
          <w:highlight w:val="none"/>
          <w:lang w:val="en-US"/>
        </w:rPr>
        <w:t>3）</w:t>
      </w:r>
      <w:r>
        <w:rPr>
          <w:rFonts w:hint="eastAsia" w:ascii="宋体" w:hAnsi="宋体"/>
          <w:bCs/>
          <w:color w:val="auto"/>
          <w:sz w:val="21"/>
          <w:szCs w:val="21"/>
          <w:highlight w:val="none"/>
        </w:rPr>
        <w:t>被授权人身份证复印件（如是法定代表人前往购买竞争性磋商文件，则提供法定代表人身份证复印件）。</w:t>
      </w:r>
    </w:p>
    <w:p>
      <w:pPr>
        <w:pStyle w:val="11"/>
        <w:snapToGrid w:val="0"/>
        <w:spacing w:line="432" w:lineRule="auto"/>
        <w:ind w:left="220" w:leftChars="100" w:firstLine="630" w:firstLineChars="300"/>
        <w:rPr>
          <w:rFonts w:ascii="宋体" w:hAnsi="宋体"/>
          <w:bCs/>
          <w:color w:val="auto"/>
          <w:sz w:val="21"/>
          <w:szCs w:val="21"/>
          <w:highlight w:val="none"/>
          <w:lang w:val="en-US"/>
        </w:rPr>
      </w:pPr>
      <w:r>
        <w:rPr>
          <w:rFonts w:hint="eastAsia" w:ascii="宋体" w:hAnsi="宋体"/>
          <w:bCs/>
          <w:color w:val="auto"/>
          <w:sz w:val="21"/>
          <w:szCs w:val="21"/>
          <w:highlight w:val="none"/>
          <w:lang w:val="en-US"/>
        </w:rPr>
        <w:t>4）</w:t>
      </w:r>
      <w:r>
        <w:rPr>
          <w:rFonts w:hint="eastAsia" w:ascii="宋体" w:hAnsi="宋体"/>
          <w:bCs/>
          <w:color w:val="auto"/>
          <w:sz w:val="21"/>
          <w:szCs w:val="21"/>
          <w:highlight w:val="none"/>
        </w:rPr>
        <w:t>文物保护工程施工资质证书复印件或文物保护工程勘察设计资质证书复印件（加盖公章）</w:t>
      </w:r>
    </w:p>
    <w:p>
      <w:pPr>
        <w:pStyle w:val="10"/>
        <w:numPr>
          <w:ilvl w:val="0"/>
          <w:numId w:val="1"/>
        </w:numPr>
        <w:spacing w:line="360" w:lineRule="auto"/>
        <w:ind w:left="862" w:right="567"/>
        <w:rPr>
          <w:color w:val="auto"/>
          <w:highlight w:val="none"/>
        </w:rPr>
      </w:pPr>
      <w:r>
        <w:rPr>
          <w:rFonts w:hint="eastAsia"/>
          <w:color w:val="auto"/>
          <w:highlight w:val="none"/>
        </w:rPr>
        <w:t>符合要求的供应商应当在</w:t>
      </w:r>
      <w:r>
        <w:rPr>
          <w:rFonts w:hint="eastAsia"/>
          <w:color w:val="auto"/>
          <w:highlight w:val="none"/>
          <w:lang w:val="en-US" w:eastAsia="zh-CN"/>
        </w:rPr>
        <w:t>2022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5</w:t>
      </w:r>
      <w:r>
        <w:rPr>
          <w:rFonts w:hint="eastAsia"/>
          <w:color w:val="auto"/>
          <w:highlight w:val="none"/>
        </w:rPr>
        <w:t>日起至</w:t>
      </w:r>
      <w:r>
        <w:rPr>
          <w:rFonts w:hint="eastAsia"/>
          <w:color w:val="auto"/>
          <w:highlight w:val="none"/>
          <w:lang w:val="en-US" w:eastAsia="zh-CN"/>
        </w:rPr>
        <w:t>2022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11</w:t>
      </w:r>
      <w:bookmarkStart w:id="223" w:name="_GoBack"/>
      <w:bookmarkEnd w:id="223"/>
      <w:r>
        <w:rPr>
          <w:rFonts w:hint="eastAsia"/>
          <w:color w:val="auto"/>
          <w:highlight w:val="none"/>
        </w:rPr>
        <w:t>日期间（办公时间内，</w:t>
      </w:r>
      <w:r>
        <w:rPr>
          <w:color w:val="auto"/>
          <w:highlight w:val="none"/>
        </w:rPr>
        <w:t>法定节假日除外）上午9时</w:t>
      </w:r>
      <w:r>
        <w:rPr>
          <w:rFonts w:hint="eastAsia"/>
          <w:color w:val="auto"/>
          <w:highlight w:val="none"/>
          <w:lang w:val="en-US"/>
        </w:rPr>
        <w:t>00</w:t>
      </w:r>
      <w:r>
        <w:rPr>
          <w:color w:val="auto"/>
          <w:highlight w:val="none"/>
        </w:rPr>
        <w:t>分至</w:t>
      </w:r>
      <w:r>
        <w:rPr>
          <w:rFonts w:hint="eastAsia"/>
          <w:color w:val="auto"/>
          <w:highlight w:val="none"/>
          <w:lang w:val="en-US"/>
        </w:rPr>
        <w:t>12</w:t>
      </w:r>
      <w:r>
        <w:rPr>
          <w:color w:val="auto"/>
          <w:highlight w:val="none"/>
        </w:rPr>
        <w:t>时</w:t>
      </w:r>
      <w:r>
        <w:rPr>
          <w:rFonts w:hint="eastAsia"/>
          <w:color w:val="auto"/>
          <w:highlight w:val="none"/>
          <w:lang w:val="en-US"/>
        </w:rPr>
        <w:t>00</w:t>
      </w:r>
      <w:r>
        <w:rPr>
          <w:color w:val="auto"/>
          <w:highlight w:val="none"/>
        </w:rPr>
        <w:t>分，下午14时</w:t>
      </w:r>
      <w:r>
        <w:rPr>
          <w:rFonts w:hint="eastAsia"/>
          <w:color w:val="auto"/>
          <w:highlight w:val="none"/>
          <w:lang w:val="en-US"/>
        </w:rPr>
        <w:t>3</w:t>
      </w:r>
      <w:r>
        <w:rPr>
          <w:color w:val="auto"/>
          <w:highlight w:val="none"/>
        </w:rPr>
        <w:t>0分至1</w:t>
      </w:r>
      <w:r>
        <w:rPr>
          <w:rFonts w:hint="eastAsia"/>
          <w:color w:val="auto"/>
          <w:highlight w:val="none"/>
          <w:lang w:val="en-US"/>
        </w:rPr>
        <w:t>7</w:t>
      </w:r>
      <w:r>
        <w:rPr>
          <w:color w:val="auto"/>
          <w:highlight w:val="none"/>
        </w:rPr>
        <w:t>时</w:t>
      </w:r>
      <w:r>
        <w:rPr>
          <w:rFonts w:hint="eastAsia"/>
          <w:color w:val="auto"/>
          <w:highlight w:val="none"/>
          <w:lang w:val="en-US"/>
        </w:rPr>
        <w:t>3</w:t>
      </w:r>
      <w:r>
        <w:rPr>
          <w:color w:val="auto"/>
          <w:highlight w:val="none"/>
        </w:rPr>
        <w:t>0分（北京时间，下同）到</w:t>
      </w:r>
      <w:r>
        <w:rPr>
          <w:rFonts w:hint="eastAsia"/>
          <w:color w:val="auto"/>
          <w:highlight w:val="none"/>
        </w:rPr>
        <w:t>广东富信建设管理有限公司（地址：广州市番禺区大龙街罗家富怡商业城1号楼四楼B07）</w:t>
      </w:r>
      <w:r>
        <w:rPr>
          <w:color w:val="auto"/>
          <w:highlight w:val="none"/>
        </w:rPr>
        <w:t>购买磋商文件，磋商文件每套售价</w:t>
      </w:r>
      <w:r>
        <w:rPr>
          <w:rFonts w:hint="eastAsia"/>
          <w:color w:val="auto"/>
          <w:highlight w:val="none"/>
          <w:lang w:val="en-US"/>
        </w:rPr>
        <w:t>3</w:t>
      </w:r>
      <w:r>
        <w:rPr>
          <w:color w:val="auto"/>
          <w:highlight w:val="none"/>
        </w:rPr>
        <w:t>00元（人民币），售后不退。</w:t>
      </w:r>
    </w:p>
    <w:p>
      <w:pPr>
        <w:pStyle w:val="10"/>
        <w:numPr>
          <w:ilvl w:val="0"/>
          <w:numId w:val="1"/>
        </w:numPr>
        <w:spacing w:line="360" w:lineRule="auto"/>
        <w:ind w:left="860" w:right="567"/>
        <w:rPr>
          <w:color w:val="auto"/>
          <w:highlight w:val="none"/>
        </w:rPr>
      </w:pPr>
      <w:r>
        <w:rPr>
          <w:rFonts w:hint="eastAsia"/>
          <w:color w:val="auto"/>
          <w:highlight w:val="none"/>
        </w:rPr>
        <w:t>提交磋商响应文件截止时间：202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17</w:t>
      </w:r>
      <w:r>
        <w:rPr>
          <w:rFonts w:hint="eastAsia"/>
          <w:color w:val="auto"/>
          <w:highlight w:val="none"/>
        </w:rPr>
        <w:t>日</w:t>
      </w:r>
      <w:r>
        <w:rPr>
          <w:rFonts w:hint="eastAsia"/>
          <w:color w:val="auto"/>
          <w:highlight w:val="none"/>
          <w:lang w:val="en-US"/>
        </w:rPr>
        <w:t>15</w:t>
      </w:r>
      <w:r>
        <w:rPr>
          <w:rFonts w:hint="eastAsia"/>
          <w:color w:val="auto"/>
          <w:highlight w:val="none"/>
        </w:rPr>
        <w:t>：</w:t>
      </w:r>
      <w:r>
        <w:rPr>
          <w:rFonts w:hint="eastAsia"/>
          <w:color w:val="auto"/>
          <w:highlight w:val="none"/>
          <w:lang w:val="en-US"/>
        </w:rPr>
        <w:t>00</w:t>
      </w:r>
    </w:p>
    <w:p>
      <w:pPr>
        <w:pStyle w:val="10"/>
        <w:spacing w:line="360" w:lineRule="auto"/>
        <w:ind w:right="567" w:firstLine="1260" w:firstLineChars="600"/>
        <w:rPr>
          <w:color w:val="auto"/>
          <w:highlight w:val="none"/>
          <w:lang w:val="en-US"/>
        </w:rPr>
      </w:pPr>
      <w:r>
        <w:rPr>
          <w:rFonts w:hint="eastAsia"/>
          <w:color w:val="auto"/>
          <w:highlight w:val="none"/>
        </w:rPr>
        <w:t>提交磋商响应文件时间：202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17</w:t>
      </w:r>
      <w:r>
        <w:rPr>
          <w:rFonts w:hint="eastAsia"/>
          <w:color w:val="auto"/>
          <w:highlight w:val="none"/>
        </w:rPr>
        <w:t>日</w:t>
      </w:r>
      <w:r>
        <w:rPr>
          <w:rFonts w:hint="eastAsia"/>
          <w:color w:val="auto"/>
          <w:highlight w:val="none"/>
          <w:lang w:val="en-US"/>
        </w:rPr>
        <w:t>14：30</w:t>
      </w:r>
      <w:r>
        <w:rPr>
          <w:rFonts w:hint="eastAsia"/>
          <w:color w:val="auto"/>
          <w:highlight w:val="none"/>
        </w:rPr>
        <w:t>至</w:t>
      </w:r>
      <w:r>
        <w:rPr>
          <w:rFonts w:hint="eastAsia"/>
          <w:color w:val="auto"/>
          <w:highlight w:val="none"/>
          <w:lang w:val="en-US"/>
        </w:rPr>
        <w:t>15</w:t>
      </w:r>
      <w:r>
        <w:rPr>
          <w:rFonts w:hint="eastAsia"/>
          <w:color w:val="auto"/>
          <w:highlight w:val="none"/>
        </w:rPr>
        <w:t>：</w:t>
      </w:r>
      <w:r>
        <w:rPr>
          <w:rFonts w:hint="eastAsia"/>
          <w:color w:val="auto"/>
          <w:highlight w:val="none"/>
          <w:lang w:val="en-US"/>
        </w:rPr>
        <w:t>00</w:t>
      </w:r>
    </w:p>
    <w:p>
      <w:pPr>
        <w:pStyle w:val="10"/>
        <w:numPr>
          <w:ilvl w:val="0"/>
          <w:numId w:val="1"/>
        </w:numPr>
        <w:spacing w:line="360" w:lineRule="auto"/>
        <w:ind w:left="860" w:right="567"/>
        <w:rPr>
          <w:color w:val="auto"/>
          <w:highlight w:val="none"/>
          <w:lang w:val="en-US"/>
        </w:rPr>
      </w:pPr>
      <w:r>
        <w:rPr>
          <w:rFonts w:hint="eastAsia"/>
          <w:color w:val="auto"/>
          <w:highlight w:val="none"/>
        </w:rPr>
        <w:t>提交磋商响应文件地点：广州市番禺区大龙街罗家富怡商业城1号楼四楼B07</w:t>
      </w:r>
    </w:p>
    <w:p>
      <w:pPr>
        <w:pStyle w:val="10"/>
        <w:numPr>
          <w:ilvl w:val="0"/>
          <w:numId w:val="1"/>
        </w:numPr>
        <w:spacing w:line="360" w:lineRule="auto"/>
        <w:ind w:left="860" w:right="567"/>
        <w:rPr>
          <w:color w:val="auto"/>
          <w:highlight w:val="none"/>
        </w:rPr>
      </w:pPr>
      <w:r>
        <w:rPr>
          <w:rFonts w:hint="eastAsia"/>
          <w:color w:val="auto"/>
          <w:highlight w:val="none"/>
        </w:rPr>
        <w:t>磋商时间：202</w:t>
      </w:r>
      <w:r>
        <w:rPr>
          <w:rFonts w:hint="eastAsia"/>
          <w:color w:val="auto"/>
          <w:highlight w:val="none"/>
          <w:lang w:val="en-US" w:eastAsia="zh-CN"/>
        </w:rPr>
        <w:t>2</w:t>
      </w:r>
      <w:r>
        <w:rPr>
          <w:rFonts w:hint="eastAsia"/>
          <w:color w:val="auto"/>
          <w:highlight w:val="none"/>
        </w:rPr>
        <w:t>年</w:t>
      </w:r>
      <w:r>
        <w:rPr>
          <w:rFonts w:hint="eastAsia"/>
          <w:color w:val="auto"/>
          <w:highlight w:val="none"/>
          <w:lang w:val="en-US" w:eastAsia="zh-CN"/>
        </w:rPr>
        <w:t>1</w:t>
      </w:r>
      <w:r>
        <w:rPr>
          <w:rFonts w:hint="eastAsia"/>
          <w:color w:val="auto"/>
          <w:highlight w:val="none"/>
        </w:rPr>
        <w:t>月</w:t>
      </w:r>
      <w:r>
        <w:rPr>
          <w:rFonts w:hint="eastAsia"/>
          <w:color w:val="auto"/>
          <w:highlight w:val="none"/>
          <w:lang w:val="en-US" w:eastAsia="zh-CN"/>
        </w:rPr>
        <w:t>17</w:t>
      </w:r>
      <w:r>
        <w:rPr>
          <w:rFonts w:hint="eastAsia"/>
          <w:color w:val="auto"/>
          <w:highlight w:val="none"/>
        </w:rPr>
        <w:t>日</w:t>
      </w:r>
      <w:r>
        <w:rPr>
          <w:rFonts w:hint="eastAsia"/>
          <w:color w:val="auto"/>
          <w:highlight w:val="none"/>
          <w:lang w:val="en-US"/>
        </w:rPr>
        <w:t>15</w:t>
      </w:r>
      <w:r>
        <w:rPr>
          <w:rFonts w:hint="eastAsia"/>
          <w:color w:val="auto"/>
          <w:highlight w:val="none"/>
        </w:rPr>
        <w:t>：</w:t>
      </w:r>
      <w:r>
        <w:rPr>
          <w:rFonts w:hint="eastAsia"/>
          <w:color w:val="auto"/>
          <w:highlight w:val="none"/>
          <w:lang w:val="en-US"/>
        </w:rPr>
        <w:t>0</w:t>
      </w:r>
      <w:r>
        <w:rPr>
          <w:rFonts w:hint="eastAsia"/>
          <w:color w:val="auto"/>
          <w:highlight w:val="none"/>
        </w:rPr>
        <w:t>0</w:t>
      </w:r>
    </w:p>
    <w:p>
      <w:pPr>
        <w:pStyle w:val="10"/>
        <w:spacing w:line="360" w:lineRule="auto"/>
        <w:ind w:left="440" w:right="567" w:firstLine="420"/>
        <w:rPr>
          <w:color w:val="auto"/>
          <w:highlight w:val="none"/>
        </w:rPr>
      </w:pPr>
      <w:r>
        <w:rPr>
          <w:color w:val="auto"/>
          <w:spacing w:val="-9"/>
          <w:highlight w:val="none"/>
        </w:rPr>
        <w:t>十一、磋商地点：</w:t>
      </w:r>
      <w:r>
        <w:rPr>
          <w:rFonts w:hint="eastAsia"/>
          <w:color w:val="auto"/>
          <w:highlight w:val="none"/>
        </w:rPr>
        <w:t>广州市番禺区大龙街罗家富怡商业城1号楼四楼B07</w:t>
      </w:r>
    </w:p>
    <w:p>
      <w:pPr>
        <w:pStyle w:val="10"/>
        <w:spacing w:line="360" w:lineRule="auto"/>
        <w:ind w:left="860" w:right="567"/>
        <w:rPr>
          <w:color w:val="auto"/>
          <w:highlight w:val="none"/>
        </w:rPr>
      </w:pPr>
      <w:r>
        <w:rPr>
          <w:color w:val="auto"/>
          <w:spacing w:val="-15"/>
          <w:highlight w:val="none"/>
        </w:rPr>
        <w:t>十</w:t>
      </w:r>
      <w:r>
        <w:rPr>
          <w:rFonts w:hint="eastAsia"/>
          <w:color w:val="auto"/>
          <w:spacing w:val="-15"/>
          <w:highlight w:val="none"/>
        </w:rPr>
        <w:t>二</w:t>
      </w:r>
      <w:r>
        <w:rPr>
          <w:color w:val="auto"/>
          <w:spacing w:val="-15"/>
          <w:highlight w:val="none"/>
        </w:rPr>
        <w:t>、联系事项</w:t>
      </w:r>
    </w:p>
    <w:p>
      <w:pPr>
        <w:spacing w:line="360" w:lineRule="auto"/>
        <w:ind w:right="567" w:firstLine="840" w:firstLineChars="400"/>
        <w:rPr>
          <w:color w:val="auto"/>
          <w:sz w:val="21"/>
          <w:szCs w:val="21"/>
          <w:highlight w:val="none"/>
          <w:lang w:val="en-US"/>
        </w:rPr>
      </w:pPr>
      <w:r>
        <w:rPr>
          <w:color w:val="auto"/>
          <w:sz w:val="21"/>
          <w:szCs w:val="21"/>
          <w:highlight w:val="none"/>
        </w:rPr>
        <w:t>（一）采购单位：</w:t>
      </w:r>
      <w:r>
        <w:rPr>
          <w:rFonts w:hint="eastAsia"/>
          <w:color w:val="auto"/>
          <w:sz w:val="21"/>
          <w:szCs w:val="21"/>
          <w:highlight w:val="none"/>
        </w:rPr>
        <w:t>广州市天河区文化广电旅游体育局</w:t>
      </w:r>
    </w:p>
    <w:p>
      <w:pPr>
        <w:autoSpaceDE/>
        <w:autoSpaceDN/>
        <w:spacing w:line="360" w:lineRule="auto"/>
        <w:ind w:right="567" w:firstLine="1470" w:firstLineChars="700"/>
        <w:rPr>
          <w:color w:val="auto"/>
          <w:sz w:val="21"/>
          <w:szCs w:val="21"/>
          <w:highlight w:val="none"/>
          <w:lang w:val="en-US"/>
        </w:rPr>
      </w:pPr>
      <w:r>
        <w:rPr>
          <w:color w:val="auto"/>
          <w:sz w:val="21"/>
          <w:szCs w:val="21"/>
          <w:highlight w:val="none"/>
        </w:rPr>
        <w:t>地址：</w:t>
      </w:r>
      <w:r>
        <w:rPr>
          <w:rFonts w:hint="eastAsia"/>
          <w:color w:val="auto"/>
          <w:sz w:val="21"/>
          <w:szCs w:val="21"/>
          <w:highlight w:val="none"/>
        </w:rPr>
        <w:t>广州市天河区天府路</w:t>
      </w:r>
      <w:r>
        <w:rPr>
          <w:rFonts w:hint="eastAsia"/>
          <w:color w:val="auto"/>
          <w:sz w:val="21"/>
          <w:szCs w:val="21"/>
          <w:highlight w:val="none"/>
          <w:lang w:val="en-US"/>
        </w:rPr>
        <w:t>1号2号楼</w:t>
      </w:r>
    </w:p>
    <w:p>
      <w:pPr>
        <w:pStyle w:val="10"/>
        <w:tabs>
          <w:tab w:val="left" w:pos="4428"/>
        </w:tabs>
        <w:autoSpaceDE/>
        <w:autoSpaceDN/>
        <w:spacing w:line="360" w:lineRule="auto"/>
        <w:ind w:left="440" w:leftChars="200" w:right="567" w:firstLine="1050" w:firstLineChars="500"/>
        <w:rPr>
          <w:color w:val="auto"/>
          <w:highlight w:val="none"/>
          <w:lang w:val="en-US"/>
        </w:rPr>
      </w:pPr>
      <w:r>
        <w:rPr>
          <w:color w:val="auto"/>
          <w:highlight w:val="none"/>
        </w:rPr>
        <w:t>联系人：</w:t>
      </w:r>
      <w:r>
        <w:rPr>
          <w:rFonts w:hint="eastAsia"/>
          <w:color w:val="auto"/>
          <w:highlight w:val="none"/>
        </w:rPr>
        <w:t>岑小姐</w:t>
      </w:r>
      <w:r>
        <w:rPr>
          <w:color w:val="auto"/>
          <w:highlight w:val="none"/>
        </w:rPr>
        <w:tab/>
      </w:r>
      <w:r>
        <w:rPr>
          <w:color w:val="auto"/>
          <w:highlight w:val="none"/>
        </w:rPr>
        <w:t>联系电话：</w:t>
      </w:r>
      <w:r>
        <w:rPr>
          <w:rFonts w:hint="eastAsia"/>
          <w:color w:val="auto"/>
          <w:highlight w:val="none"/>
          <w:lang w:val="en-US"/>
        </w:rPr>
        <w:t>020-38622167</w:t>
      </w:r>
    </w:p>
    <w:p>
      <w:pPr>
        <w:pStyle w:val="10"/>
        <w:numPr>
          <w:ilvl w:val="0"/>
          <w:numId w:val="4"/>
        </w:numPr>
        <w:spacing w:before="1" w:line="360" w:lineRule="auto"/>
        <w:ind w:left="860" w:right="567"/>
        <w:rPr>
          <w:color w:val="auto"/>
          <w:highlight w:val="none"/>
          <w:lang w:val="en-US"/>
        </w:rPr>
      </w:pPr>
      <w:r>
        <w:rPr>
          <w:color w:val="auto"/>
          <w:highlight w:val="none"/>
        </w:rPr>
        <w:t>采购代理机构：</w:t>
      </w:r>
      <w:r>
        <w:rPr>
          <w:rFonts w:hint="eastAsia"/>
          <w:color w:val="auto"/>
          <w:highlight w:val="none"/>
        </w:rPr>
        <w:t>广东富信建设管理有限公司</w:t>
      </w:r>
    </w:p>
    <w:p>
      <w:pPr>
        <w:pStyle w:val="10"/>
        <w:spacing w:before="1" w:line="360" w:lineRule="auto"/>
        <w:ind w:right="567" w:firstLine="1470" w:firstLineChars="700"/>
        <w:rPr>
          <w:color w:val="auto"/>
          <w:highlight w:val="none"/>
        </w:rPr>
      </w:pPr>
      <w:r>
        <w:rPr>
          <w:color w:val="auto"/>
          <w:highlight w:val="none"/>
        </w:rPr>
        <w:t>地址：</w:t>
      </w:r>
      <w:r>
        <w:rPr>
          <w:rFonts w:hint="eastAsia"/>
          <w:color w:val="auto"/>
          <w:highlight w:val="none"/>
        </w:rPr>
        <w:t>广州市番禺区大龙街罗家富怡商业城1号楼四楼B07</w:t>
      </w:r>
    </w:p>
    <w:p>
      <w:pPr>
        <w:pStyle w:val="10"/>
        <w:tabs>
          <w:tab w:val="left" w:pos="4428"/>
        </w:tabs>
        <w:spacing w:line="360" w:lineRule="auto"/>
        <w:ind w:left="860" w:right="567" w:firstLine="630" w:firstLineChars="300"/>
        <w:rPr>
          <w:color w:val="auto"/>
          <w:highlight w:val="none"/>
          <w:lang w:val="en-US"/>
        </w:rPr>
      </w:pPr>
      <w:r>
        <w:rPr>
          <w:color w:val="auto"/>
          <w:highlight w:val="none"/>
        </w:rPr>
        <w:t>联系人：</w:t>
      </w:r>
      <w:r>
        <w:rPr>
          <w:rFonts w:hint="eastAsia"/>
          <w:color w:val="auto"/>
          <w:highlight w:val="none"/>
        </w:rPr>
        <w:t>谢先生</w:t>
      </w:r>
      <w:r>
        <w:rPr>
          <w:color w:val="auto"/>
          <w:highlight w:val="none"/>
        </w:rPr>
        <w:tab/>
      </w:r>
      <w:r>
        <w:rPr>
          <w:color w:val="auto"/>
          <w:highlight w:val="none"/>
        </w:rPr>
        <w:t>联系电话：</w:t>
      </w:r>
      <w:r>
        <w:rPr>
          <w:rFonts w:hint="eastAsia"/>
          <w:color w:val="auto"/>
          <w:highlight w:val="none"/>
          <w:lang w:val="en-US"/>
        </w:rPr>
        <w:t>020-34603602</w:t>
      </w:r>
    </w:p>
    <w:p>
      <w:pPr>
        <w:pStyle w:val="10"/>
        <w:tabs>
          <w:tab w:val="left" w:pos="4428"/>
        </w:tabs>
        <w:spacing w:line="360" w:lineRule="auto"/>
        <w:ind w:left="860" w:right="1767" w:firstLine="630" w:firstLineChars="300"/>
        <w:rPr>
          <w:color w:val="auto"/>
          <w:highlight w:val="none"/>
          <w:lang w:val="en-US"/>
        </w:rPr>
        <w:sectPr>
          <w:footerReference r:id="rId6" w:type="default"/>
          <w:pgSz w:w="12240" w:h="15840"/>
          <w:pgMar w:top="1380" w:right="900" w:bottom="880" w:left="1360" w:header="746" w:footer="397" w:gutter="0"/>
          <w:pgNumType w:start="1"/>
          <w:cols w:space="720" w:num="1"/>
        </w:sectPr>
      </w:pPr>
      <w:bookmarkStart w:id="0" w:name="第二章_供应商须知"/>
      <w:bookmarkEnd w:id="0"/>
      <w:bookmarkStart w:id="1" w:name="_bookmark1"/>
      <w:bookmarkEnd w:id="1"/>
    </w:p>
    <w:p>
      <w:pPr>
        <w:pStyle w:val="2"/>
        <w:ind w:left="0"/>
        <w:rPr>
          <w:color w:val="auto"/>
          <w:highlight w:val="none"/>
        </w:rPr>
      </w:pPr>
      <w:r>
        <w:rPr>
          <w:color w:val="auto"/>
          <w:highlight w:val="none"/>
        </w:rPr>
        <w:t>第二章供应商须知</w:t>
      </w:r>
    </w:p>
    <w:p>
      <w:pPr>
        <w:pStyle w:val="10"/>
        <w:rPr>
          <w:b/>
          <w:color w:val="auto"/>
          <w:sz w:val="20"/>
          <w:highlight w:val="none"/>
        </w:rPr>
      </w:pPr>
    </w:p>
    <w:p>
      <w:pPr>
        <w:pStyle w:val="10"/>
        <w:spacing w:before="2"/>
        <w:rPr>
          <w:b/>
          <w:color w:val="auto"/>
          <w:sz w:val="16"/>
          <w:highlight w:val="none"/>
        </w:rPr>
      </w:pPr>
    </w:p>
    <w:p>
      <w:pPr>
        <w:pStyle w:val="7"/>
        <w:numPr>
          <w:ilvl w:val="0"/>
          <w:numId w:val="5"/>
        </w:numPr>
        <w:tabs>
          <w:tab w:val="left" w:pos="756"/>
          <w:tab w:val="left" w:pos="757"/>
        </w:tabs>
        <w:spacing w:before="70" w:line="360" w:lineRule="auto"/>
        <w:ind w:left="968" w:leftChars="200" w:right="220" w:rightChars="100"/>
        <w:rPr>
          <w:color w:val="auto"/>
          <w:highlight w:val="none"/>
        </w:rPr>
      </w:pPr>
      <w:bookmarkStart w:id="2" w:name="1__总体说明"/>
      <w:bookmarkEnd w:id="2"/>
      <w:r>
        <w:rPr>
          <w:color w:val="auto"/>
          <w:highlight w:val="none"/>
        </w:rPr>
        <w:t>总体说明</w:t>
      </w:r>
    </w:p>
    <w:p>
      <w:pPr>
        <w:pStyle w:val="7"/>
        <w:numPr>
          <w:ilvl w:val="1"/>
          <w:numId w:val="5"/>
        </w:numPr>
        <w:tabs>
          <w:tab w:val="left" w:pos="967"/>
          <w:tab w:val="left" w:pos="968"/>
        </w:tabs>
        <w:spacing w:line="360" w:lineRule="auto"/>
        <w:ind w:left="968" w:leftChars="200" w:right="220" w:rightChars="100" w:hanging="528"/>
        <w:rPr>
          <w:color w:val="auto"/>
          <w:highlight w:val="none"/>
        </w:rPr>
      </w:pPr>
      <w:r>
        <w:rPr>
          <w:color w:val="auto"/>
          <w:highlight w:val="none"/>
        </w:rPr>
        <w:t>资金说明</w:t>
      </w:r>
    </w:p>
    <w:p>
      <w:pPr>
        <w:pStyle w:val="10"/>
        <w:spacing w:line="360" w:lineRule="auto"/>
        <w:ind w:left="440" w:leftChars="200" w:right="220" w:rightChars="100" w:firstLine="420" w:firstLineChars="200"/>
        <w:rPr>
          <w:color w:val="auto"/>
          <w:highlight w:val="none"/>
        </w:rPr>
      </w:pPr>
      <w:r>
        <w:rPr>
          <w:rFonts w:hint="eastAsia"/>
          <w:color w:val="auto"/>
          <w:highlight w:val="none"/>
        </w:rPr>
        <w:t>财政</w:t>
      </w:r>
      <w:r>
        <w:rPr>
          <w:color w:val="auto"/>
          <w:highlight w:val="none"/>
        </w:rPr>
        <w:t>资金。</w:t>
      </w:r>
    </w:p>
    <w:p>
      <w:pPr>
        <w:pStyle w:val="7"/>
        <w:numPr>
          <w:ilvl w:val="1"/>
          <w:numId w:val="5"/>
        </w:numPr>
        <w:tabs>
          <w:tab w:val="left" w:pos="967"/>
          <w:tab w:val="left" w:pos="968"/>
        </w:tabs>
        <w:spacing w:line="360" w:lineRule="auto"/>
        <w:ind w:left="968" w:leftChars="200" w:right="220" w:rightChars="100" w:hanging="528"/>
        <w:rPr>
          <w:color w:val="auto"/>
          <w:highlight w:val="none"/>
        </w:rPr>
      </w:pPr>
      <w:r>
        <w:rPr>
          <w:color w:val="auto"/>
          <w:highlight w:val="none"/>
        </w:rPr>
        <w:t>关于限价</w:t>
      </w:r>
    </w:p>
    <w:p>
      <w:pPr>
        <w:pStyle w:val="10"/>
        <w:spacing w:before="101" w:line="360" w:lineRule="auto"/>
        <w:ind w:left="440" w:leftChars="200" w:right="220" w:rightChars="100" w:firstLine="420"/>
        <w:rPr>
          <w:color w:val="auto"/>
          <w:highlight w:val="none"/>
        </w:rPr>
      </w:pPr>
      <w:r>
        <w:rPr>
          <w:color w:val="auto"/>
          <w:highlight w:val="none"/>
        </w:rPr>
        <w:t>本项目的最高限价见第三章《采购人需求》，凡第一次报价超出最高限价的报价将被视为无效报价。</w:t>
      </w:r>
    </w:p>
    <w:p>
      <w:pPr>
        <w:pStyle w:val="7"/>
        <w:numPr>
          <w:ilvl w:val="1"/>
          <w:numId w:val="5"/>
        </w:numPr>
        <w:tabs>
          <w:tab w:val="left" w:pos="863"/>
        </w:tabs>
        <w:spacing w:before="96" w:line="360" w:lineRule="auto"/>
        <w:ind w:left="863" w:leftChars="200" w:right="220" w:rightChars="100" w:hanging="423"/>
        <w:rPr>
          <w:color w:val="auto"/>
          <w:highlight w:val="none"/>
        </w:rPr>
      </w:pPr>
      <w:r>
        <w:rPr>
          <w:color w:val="auto"/>
          <w:highlight w:val="none"/>
        </w:rPr>
        <w:t>适用范围</w:t>
      </w:r>
    </w:p>
    <w:p>
      <w:pPr>
        <w:pStyle w:val="10"/>
        <w:spacing w:line="360" w:lineRule="auto"/>
        <w:ind w:left="440" w:leftChars="200" w:right="220" w:rightChars="100"/>
        <w:rPr>
          <w:color w:val="auto"/>
          <w:highlight w:val="none"/>
        </w:rPr>
      </w:pPr>
      <w:r>
        <w:rPr>
          <w:color w:val="auto"/>
          <w:highlight w:val="none"/>
        </w:rPr>
        <w:t>本项目仅适用于本磋商文件所述的磋商内容。</w:t>
      </w:r>
    </w:p>
    <w:p>
      <w:pPr>
        <w:pStyle w:val="7"/>
        <w:numPr>
          <w:ilvl w:val="1"/>
          <w:numId w:val="5"/>
        </w:numPr>
        <w:tabs>
          <w:tab w:val="left" w:pos="967"/>
          <w:tab w:val="left" w:pos="968"/>
        </w:tabs>
        <w:spacing w:line="360" w:lineRule="auto"/>
        <w:ind w:left="968" w:leftChars="200" w:right="220" w:rightChars="100" w:hanging="528"/>
        <w:rPr>
          <w:color w:val="auto"/>
          <w:highlight w:val="none"/>
        </w:rPr>
      </w:pPr>
      <w:r>
        <w:rPr>
          <w:color w:val="auto"/>
          <w:highlight w:val="none"/>
        </w:rPr>
        <w:t>合格的供应商</w:t>
      </w:r>
    </w:p>
    <w:p>
      <w:pPr>
        <w:pStyle w:val="24"/>
        <w:numPr>
          <w:ilvl w:val="2"/>
          <w:numId w:val="5"/>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具有符合磋商邀请中合格供应商资格要求；</w:t>
      </w:r>
    </w:p>
    <w:p>
      <w:pPr>
        <w:pStyle w:val="24"/>
        <w:numPr>
          <w:ilvl w:val="2"/>
          <w:numId w:val="5"/>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已在本项目报名及购买磋商文件的供应商。</w:t>
      </w:r>
    </w:p>
    <w:p>
      <w:pPr>
        <w:pStyle w:val="7"/>
        <w:numPr>
          <w:ilvl w:val="1"/>
          <w:numId w:val="5"/>
        </w:numPr>
        <w:tabs>
          <w:tab w:val="left" w:pos="967"/>
          <w:tab w:val="left" w:pos="968"/>
        </w:tabs>
        <w:spacing w:line="360" w:lineRule="auto"/>
        <w:ind w:left="968" w:leftChars="200" w:right="220" w:rightChars="100" w:hanging="528"/>
        <w:rPr>
          <w:color w:val="auto"/>
          <w:highlight w:val="none"/>
        </w:rPr>
      </w:pPr>
      <w:r>
        <w:rPr>
          <w:b w:val="0"/>
          <w:bCs w:val="0"/>
          <w:color w:val="auto"/>
          <w:highlight w:val="none"/>
        </w:rPr>
        <w:t>供应商应承担所有参与本次磋商的全部费用</w:t>
      </w:r>
      <w:r>
        <w:rPr>
          <w:color w:val="auto"/>
          <w:highlight w:val="none"/>
        </w:rPr>
        <w:t>。</w:t>
      </w:r>
    </w:p>
    <w:p>
      <w:pPr>
        <w:pStyle w:val="7"/>
        <w:numPr>
          <w:ilvl w:val="1"/>
          <w:numId w:val="5"/>
        </w:numPr>
        <w:tabs>
          <w:tab w:val="left" w:pos="967"/>
          <w:tab w:val="left" w:pos="968"/>
        </w:tabs>
        <w:spacing w:before="1" w:line="360" w:lineRule="auto"/>
        <w:ind w:left="968" w:leftChars="200" w:right="220" w:rightChars="100" w:hanging="528"/>
        <w:rPr>
          <w:color w:val="auto"/>
          <w:highlight w:val="none"/>
        </w:rPr>
      </w:pPr>
      <w:r>
        <w:rPr>
          <w:color w:val="auto"/>
          <w:highlight w:val="none"/>
        </w:rPr>
        <w:t>合格的货物和服务</w:t>
      </w:r>
    </w:p>
    <w:p>
      <w:pPr>
        <w:pStyle w:val="24"/>
        <w:numPr>
          <w:ilvl w:val="2"/>
          <w:numId w:val="5"/>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供应商提供的所有货物及服务，其来源均应符合《中华人民共和国政府采购法》等相关法律法规的规定。</w:t>
      </w:r>
    </w:p>
    <w:p>
      <w:pPr>
        <w:pStyle w:val="24"/>
        <w:numPr>
          <w:ilvl w:val="2"/>
          <w:numId w:val="5"/>
        </w:numPr>
        <w:tabs>
          <w:tab w:val="left" w:pos="1016"/>
        </w:tabs>
        <w:spacing w:line="360" w:lineRule="auto"/>
        <w:ind w:left="1016" w:leftChars="200" w:right="220" w:rightChars="100" w:hanging="576"/>
        <w:rPr>
          <w:color w:val="auto"/>
          <w:sz w:val="21"/>
          <w:szCs w:val="21"/>
          <w:highlight w:val="none"/>
        </w:rPr>
      </w:pPr>
      <w:r>
        <w:rPr>
          <w:color w:val="auto"/>
          <w:sz w:val="21"/>
          <w:szCs w:val="21"/>
          <w:highlight w:val="none"/>
        </w:rPr>
        <w:t>采购人将拒绝接受不合格的货物和服务。</w:t>
      </w:r>
    </w:p>
    <w:p>
      <w:pPr>
        <w:pStyle w:val="7"/>
        <w:numPr>
          <w:ilvl w:val="1"/>
          <w:numId w:val="5"/>
        </w:numPr>
        <w:tabs>
          <w:tab w:val="left" w:pos="967"/>
          <w:tab w:val="left" w:pos="968"/>
        </w:tabs>
        <w:spacing w:line="360" w:lineRule="auto"/>
        <w:ind w:left="968" w:leftChars="200" w:right="220" w:rightChars="100" w:hanging="528"/>
        <w:rPr>
          <w:color w:val="auto"/>
          <w:highlight w:val="none"/>
        </w:rPr>
      </w:pPr>
      <w:r>
        <w:rPr>
          <w:color w:val="auto"/>
          <w:highlight w:val="none"/>
        </w:rPr>
        <w:t>定义</w:t>
      </w:r>
    </w:p>
    <w:p>
      <w:pPr>
        <w:pStyle w:val="24"/>
        <w:numPr>
          <w:ilvl w:val="2"/>
          <w:numId w:val="5"/>
        </w:numPr>
        <w:tabs>
          <w:tab w:val="left" w:pos="1160"/>
        </w:tabs>
        <w:spacing w:line="360" w:lineRule="auto"/>
        <w:ind w:left="1160" w:leftChars="200" w:right="220" w:rightChars="100" w:hanging="720"/>
        <w:rPr>
          <w:color w:val="auto"/>
          <w:sz w:val="21"/>
          <w:szCs w:val="21"/>
          <w:highlight w:val="none"/>
        </w:rPr>
      </w:pPr>
      <w:r>
        <w:rPr>
          <w:color w:val="auto"/>
          <w:sz w:val="21"/>
          <w:szCs w:val="21"/>
          <w:highlight w:val="none"/>
        </w:rPr>
        <w:t>“采购人”系指磋商邀请中所指采购人，亦指政府购买服务的购买主体。</w:t>
      </w:r>
    </w:p>
    <w:p>
      <w:pPr>
        <w:pStyle w:val="24"/>
        <w:numPr>
          <w:ilvl w:val="2"/>
          <w:numId w:val="5"/>
        </w:numPr>
        <w:tabs>
          <w:tab w:val="left" w:pos="1069"/>
        </w:tabs>
        <w:spacing w:line="360" w:lineRule="auto"/>
        <w:ind w:left="1069" w:leftChars="200" w:right="220" w:rightChars="100" w:hanging="629"/>
        <w:rPr>
          <w:color w:val="auto"/>
          <w:sz w:val="21"/>
          <w:szCs w:val="21"/>
          <w:highlight w:val="none"/>
        </w:rPr>
      </w:pPr>
      <w:r>
        <w:rPr>
          <w:color w:val="auto"/>
          <w:sz w:val="21"/>
          <w:szCs w:val="21"/>
          <w:highlight w:val="none"/>
        </w:rPr>
        <w:t>“采购代理机构”系指</w:t>
      </w:r>
      <w:r>
        <w:rPr>
          <w:rFonts w:hint="eastAsia"/>
          <w:color w:val="auto"/>
          <w:sz w:val="21"/>
          <w:szCs w:val="21"/>
          <w:highlight w:val="none"/>
        </w:rPr>
        <w:t>广东富信建设管理有限公司</w:t>
      </w:r>
      <w:r>
        <w:rPr>
          <w:color w:val="auto"/>
          <w:sz w:val="21"/>
          <w:szCs w:val="21"/>
          <w:highlight w:val="none"/>
        </w:rPr>
        <w:t>。</w:t>
      </w:r>
    </w:p>
    <w:p>
      <w:pPr>
        <w:pStyle w:val="24"/>
        <w:numPr>
          <w:ilvl w:val="2"/>
          <w:numId w:val="5"/>
        </w:numPr>
        <w:tabs>
          <w:tab w:val="left" w:pos="1069"/>
        </w:tabs>
        <w:spacing w:line="360" w:lineRule="auto"/>
        <w:ind w:left="1069" w:leftChars="200" w:right="220" w:rightChars="100" w:hanging="629"/>
        <w:rPr>
          <w:color w:val="auto"/>
          <w:sz w:val="21"/>
          <w:szCs w:val="21"/>
          <w:highlight w:val="none"/>
        </w:rPr>
      </w:pPr>
      <w:r>
        <w:rPr>
          <w:color w:val="auto"/>
          <w:sz w:val="21"/>
          <w:szCs w:val="21"/>
          <w:highlight w:val="none"/>
        </w:rPr>
        <w:t>“供应商”系指向采购代理机构提交合格响应文件的法人。</w:t>
      </w:r>
    </w:p>
    <w:p>
      <w:pPr>
        <w:pStyle w:val="24"/>
        <w:numPr>
          <w:ilvl w:val="2"/>
          <w:numId w:val="5"/>
        </w:numPr>
        <w:tabs>
          <w:tab w:val="left" w:pos="1069"/>
        </w:tabs>
        <w:spacing w:line="360" w:lineRule="auto"/>
        <w:ind w:left="1069" w:leftChars="200" w:right="220" w:rightChars="100" w:hanging="629"/>
        <w:rPr>
          <w:color w:val="auto"/>
          <w:sz w:val="21"/>
          <w:szCs w:val="21"/>
          <w:highlight w:val="none"/>
        </w:rPr>
      </w:pPr>
      <w:r>
        <w:rPr>
          <w:color w:val="auto"/>
          <w:sz w:val="21"/>
          <w:szCs w:val="21"/>
          <w:highlight w:val="none"/>
        </w:rPr>
        <w:t>“甲方”系指采购人，合同的一方当事人。</w:t>
      </w:r>
    </w:p>
    <w:p>
      <w:pPr>
        <w:pStyle w:val="24"/>
        <w:numPr>
          <w:ilvl w:val="2"/>
          <w:numId w:val="5"/>
        </w:numPr>
        <w:tabs>
          <w:tab w:val="left" w:pos="1069"/>
        </w:tabs>
        <w:spacing w:line="360" w:lineRule="auto"/>
        <w:ind w:left="1069" w:leftChars="200" w:right="220" w:rightChars="100" w:hanging="629"/>
        <w:rPr>
          <w:color w:val="auto"/>
          <w:sz w:val="21"/>
          <w:szCs w:val="21"/>
          <w:highlight w:val="none"/>
        </w:rPr>
      </w:pPr>
      <w:r>
        <w:rPr>
          <w:color w:val="auto"/>
          <w:sz w:val="21"/>
          <w:szCs w:val="21"/>
          <w:highlight w:val="none"/>
        </w:rPr>
        <w:t>“乙方”系指成交供应商，合同的一方当事人。</w:t>
      </w:r>
    </w:p>
    <w:p>
      <w:pPr>
        <w:pStyle w:val="24"/>
        <w:numPr>
          <w:ilvl w:val="2"/>
          <w:numId w:val="5"/>
        </w:numPr>
        <w:tabs>
          <w:tab w:val="left" w:pos="1069"/>
        </w:tabs>
        <w:spacing w:before="1" w:line="360" w:lineRule="auto"/>
        <w:ind w:left="1069" w:leftChars="200" w:right="220" w:rightChars="100" w:hanging="629"/>
        <w:rPr>
          <w:color w:val="auto"/>
          <w:sz w:val="21"/>
          <w:szCs w:val="21"/>
          <w:highlight w:val="none"/>
        </w:rPr>
      </w:pPr>
      <w:r>
        <w:rPr>
          <w:color w:val="auto"/>
          <w:sz w:val="21"/>
          <w:szCs w:val="21"/>
          <w:highlight w:val="none"/>
        </w:rPr>
        <w:t>“日期”指公历日,“时间”指北京时间。</w:t>
      </w:r>
    </w:p>
    <w:p>
      <w:pPr>
        <w:pStyle w:val="24"/>
        <w:numPr>
          <w:ilvl w:val="2"/>
          <w:numId w:val="5"/>
        </w:numPr>
        <w:tabs>
          <w:tab w:val="left" w:pos="1069"/>
        </w:tabs>
        <w:spacing w:before="1" w:line="360" w:lineRule="auto"/>
        <w:ind w:left="1069" w:leftChars="200" w:right="220" w:rightChars="100" w:hanging="629"/>
        <w:rPr>
          <w:color w:val="auto"/>
          <w:sz w:val="21"/>
          <w:szCs w:val="21"/>
          <w:highlight w:val="none"/>
        </w:rPr>
      </w:pPr>
      <w:r>
        <w:rPr>
          <w:color w:val="auto"/>
          <w:sz w:val="21"/>
          <w:szCs w:val="21"/>
          <w:highlight w:val="none"/>
        </w:rPr>
        <w:t>“实质性响应”系指符合磋商文件要求、条款、条件和规定，且没有重大偏离或保留重大偏离保留指影响到磋商文件规定的范围、质量和性能，或限制采购人的权利和供应商的义务的规定，而纠正这些偏离将影响到其他递交实质性响应磋商文件的供应商的公平竞争地位。磋商文件中的标题或题名仅起引导作用，而不应该作为对磋商文件内容的理解或解释</w:t>
      </w:r>
      <w:r>
        <w:rPr>
          <w:rFonts w:hint="eastAsia"/>
          <w:color w:val="auto"/>
          <w:sz w:val="21"/>
          <w:szCs w:val="21"/>
          <w:highlight w:val="none"/>
        </w:rPr>
        <w:t>。</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知识产权</w:t>
      </w:r>
    </w:p>
    <w:p>
      <w:pPr>
        <w:pStyle w:val="10"/>
        <w:spacing w:line="360" w:lineRule="auto"/>
        <w:ind w:left="440" w:leftChars="200" w:right="220" w:rightChars="100" w:firstLine="420"/>
        <w:jc w:val="both"/>
        <w:rPr>
          <w:color w:val="auto"/>
          <w:highlight w:val="none"/>
        </w:rPr>
      </w:pPr>
      <w:r>
        <w:rPr>
          <w:color w:val="auto"/>
          <w:highlight w:val="none"/>
        </w:rPr>
        <w:t>供应商必须保证，采购人在中华人民共和国境内使用磋商货物、资料、技术、服务或其任何一部分时，享有不受限制的无偿使用权，不会产生因第三方提出侵犯其专利权、商标权或其它知识产权而引起的法律或经济纠纷。如供应商不拥有相应的知识产权，则应由供应商负责获得并提供给采购人使用，其磋商中必须包括合法获取该知识产权的一切相关费用，如供应商没有单独列出的，视为已包含在相应报价中。一旦使用供应商提供的产品或服务，采购人不再承担第三方提出侵犯其专利权、商标权或其它知识产权而引起的法律或经济纠纷，若引起法律纠纷造成采购人损失的，采购人有权向供应商追偿。</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关联企业</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除联合体外，法定代表人或单位负责人为同一个人或者存在直接控股、管理关系的不同供应商，不得同时参加同一项目或同一子包（子项、标段等</w:t>
      </w:r>
      <w:r>
        <w:rPr>
          <w:color w:val="auto"/>
          <w:spacing w:val="4"/>
          <w:sz w:val="21"/>
          <w:szCs w:val="21"/>
          <w:highlight w:val="none"/>
        </w:rPr>
        <w:t>）</w:t>
      </w:r>
      <w:r>
        <w:rPr>
          <w:color w:val="auto"/>
          <w:sz w:val="21"/>
          <w:szCs w:val="21"/>
          <w:highlight w:val="none"/>
        </w:rPr>
        <w:t>的磋商。如同时参加，则评审时将同时被拒绝。</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同一供应商授权不同的人员参与同一项目或同一子包（子项、标段等）的磋商，则评审时将同时被拒绝。</w:t>
      </w:r>
    </w:p>
    <w:p>
      <w:pPr>
        <w:pStyle w:val="24"/>
        <w:numPr>
          <w:ilvl w:val="1"/>
          <w:numId w:val="5"/>
        </w:numPr>
        <w:tabs>
          <w:tab w:val="left" w:pos="1073"/>
          <w:tab w:val="left" w:pos="1074"/>
        </w:tabs>
        <w:spacing w:line="360" w:lineRule="auto"/>
        <w:ind w:leftChars="200" w:right="220" w:rightChars="100" w:firstLine="0"/>
        <w:rPr>
          <w:color w:val="auto"/>
          <w:sz w:val="21"/>
          <w:szCs w:val="21"/>
          <w:highlight w:val="none"/>
        </w:rPr>
      </w:pPr>
      <w:r>
        <w:rPr>
          <w:b/>
          <w:color w:val="auto"/>
          <w:sz w:val="21"/>
          <w:szCs w:val="21"/>
          <w:highlight w:val="none"/>
        </w:rPr>
        <w:t>联合体磋商（如适用</w:t>
      </w:r>
      <w:r>
        <w:rPr>
          <w:b/>
          <w:color w:val="auto"/>
          <w:spacing w:val="-14"/>
          <w:sz w:val="21"/>
          <w:szCs w:val="21"/>
          <w:highlight w:val="none"/>
        </w:rPr>
        <w:t>）</w:t>
      </w:r>
      <w:r>
        <w:rPr>
          <w:color w:val="auto"/>
          <w:sz w:val="21"/>
          <w:szCs w:val="21"/>
          <w:highlight w:val="none"/>
        </w:rPr>
        <w:t>对接受联合体磋商的项目：</w:t>
      </w:r>
    </w:p>
    <w:p>
      <w:pPr>
        <w:pStyle w:val="24"/>
        <w:numPr>
          <w:ilvl w:val="2"/>
          <w:numId w:val="5"/>
        </w:numPr>
        <w:tabs>
          <w:tab w:val="left" w:pos="1279"/>
          <w:tab w:val="left" w:pos="1280"/>
        </w:tabs>
        <w:spacing w:line="360" w:lineRule="auto"/>
        <w:ind w:left="1280" w:leftChars="200" w:right="220" w:rightChars="100" w:hanging="840"/>
        <w:rPr>
          <w:color w:val="auto"/>
          <w:sz w:val="21"/>
          <w:szCs w:val="21"/>
          <w:highlight w:val="none"/>
        </w:rPr>
      </w:pPr>
      <w:r>
        <w:rPr>
          <w:color w:val="auto"/>
          <w:sz w:val="21"/>
          <w:szCs w:val="21"/>
          <w:highlight w:val="none"/>
        </w:rPr>
        <w:t>两个以上供应商可以组成一个磋商联合体，以一个供应商的身份参与竞争性磋商。</w:t>
      </w:r>
    </w:p>
    <w:p>
      <w:pPr>
        <w:pStyle w:val="24"/>
        <w:numPr>
          <w:ilvl w:val="2"/>
          <w:numId w:val="5"/>
        </w:numPr>
        <w:tabs>
          <w:tab w:val="left" w:pos="1280"/>
        </w:tabs>
        <w:spacing w:line="360" w:lineRule="auto"/>
        <w:ind w:leftChars="200" w:right="220" w:rightChars="100" w:firstLine="0"/>
        <w:jc w:val="both"/>
        <w:rPr>
          <w:color w:val="auto"/>
          <w:sz w:val="21"/>
          <w:szCs w:val="21"/>
          <w:highlight w:val="none"/>
        </w:rPr>
      </w:pPr>
      <w:r>
        <w:rPr>
          <w:color w:val="auto"/>
          <w:sz w:val="21"/>
          <w:szCs w:val="21"/>
          <w:highlight w:val="none"/>
        </w:rPr>
        <w:t>联合体各方均应当符合《政府采购法》第二十二条第一款规定的条件，根据采购项目的特殊要求规定供应商特定条件的，联合体各方或按本项目要求各方中至少应当有一方符合采购人规定的特定条件。</w:t>
      </w:r>
    </w:p>
    <w:p>
      <w:pPr>
        <w:pStyle w:val="24"/>
        <w:numPr>
          <w:ilvl w:val="2"/>
          <w:numId w:val="5"/>
        </w:numPr>
        <w:tabs>
          <w:tab w:val="left" w:pos="1280"/>
        </w:tabs>
        <w:spacing w:line="360" w:lineRule="auto"/>
        <w:ind w:leftChars="200" w:right="220" w:rightChars="100" w:firstLine="0"/>
        <w:jc w:val="both"/>
        <w:rPr>
          <w:color w:val="auto"/>
          <w:sz w:val="21"/>
          <w:szCs w:val="21"/>
          <w:highlight w:val="none"/>
        </w:rPr>
      </w:pPr>
      <w:r>
        <w:rPr>
          <w:color w:val="auto"/>
          <w:sz w:val="21"/>
          <w:szCs w:val="21"/>
          <w:highlight w:val="none"/>
        </w:rPr>
        <w:t>联合体各方之间应当签订联合体协议并在响应文件内提交，明确约定联合体各方承担的工作和相应的责任。联合体各方签订联合体协议后，不得再以自己名义单独在同一项目中参与竞争性磋商，也不得组成新的联合体参加同一项目竞争性磋商。</w:t>
      </w:r>
    </w:p>
    <w:p>
      <w:pPr>
        <w:pStyle w:val="24"/>
        <w:numPr>
          <w:ilvl w:val="2"/>
          <w:numId w:val="5"/>
        </w:numPr>
        <w:tabs>
          <w:tab w:val="left" w:pos="1280"/>
        </w:tabs>
        <w:spacing w:line="360" w:lineRule="auto"/>
        <w:ind w:leftChars="200" w:right="220" w:rightChars="100" w:firstLine="0"/>
        <w:jc w:val="both"/>
        <w:rPr>
          <w:color w:val="auto"/>
          <w:sz w:val="21"/>
          <w:szCs w:val="21"/>
          <w:highlight w:val="none"/>
        </w:rPr>
      </w:pPr>
      <w:r>
        <w:rPr>
          <w:color w:val="auto"/>
          <w:sz w:val="21"/>
          <w:szCs w:val="21"/>
          <w:highlight w:val="none"/>
        </w:rPr>
        <w:t>联合体投标的，应以主办方名义提交投标保证金，对联合体各方均具有约束力。</w:t>
      </w:r>
    </w:p>
    <w:p>
      <w:pPr>
        <w:pStyle w:val="24"/>
        <w:numPr>
          <w:ilvl w:val="2"/>
          <w:numId w:val="5"/>
        </w:numPr>
        <w:tabs>
          <w:tab w:val="left" w:pos="1280"/>
        </w:tabs>
        <w:spacing w:line="360" w:lineRule="auto"/>
        <w:ind w:leftChars="200" w:right="220" w:rightChars="100" w:firstLine="0"/>
        <w:jc w:val="both"/>
        <w:rPr>
          <w:color w:val="auto"/>
          <w:sz w:val="21"/>
          <w:szCs w:val="21"/>
          <w:highlight w:val="none"/>
        </w:rPr>
      </w:pPr>
      <w:r>
        <w:rPr>
          <w:color w:val="auto"/>
          <w:sz w:val="21"/>
          <w:szCs w:val="21"/>
          <w:highlight w:val="none"/>
        </w:rPr>
        <w:t>由同一专业的单位组成的联合体，按照同一项资质等级较低的单位确定资质等级。</w:t>
      </w:r>
    </w:p>
    <w:p>
      <w:pPr>
        <w:pStyle w:val="24"/>
        <w:numPr>
          <w:ilvl w:val="2"/>
          <w:numId w:val="5"/>
        </w:numPr>
        <w:tabs>
          <w:tab w:val="left" w:pos="1280"/>
        </w:tabs>
        <w:spacing w:line="360" w:lineRule="auto"/>
        <w:ind w:leftChars="200" w:right="220" w:rightChars="100" w:firstLine="0"/>
        <w:jc w:val="both"/>
        <w:rPr>
          <w:color w:val="auto"/>
          <w:sz w:val="21"/>
          <w:szCs w:val="21"/>
          <w:highlight w:val="none"/>
        </w:rPr>
      </w:pPr>
      <w:r>
        <w:rPr>
          <w:color w:val="auto"/>
          <w:sz w:val="21"/>
          <w:szCs w:val="21"/>
          <w:highlight w:val="none"/>
        </w:rPr>
        <w:t>所有磋商文件由联合体主办方递交，磋商文件的供应商（报价人）一栏填写所有联合体成员的名称，除联合体协议外所有磋商文件由联合体主办方签名盖章即可。</w:t>
      </w:r>
    </w:p>
    <w:p>
      <w:pPr>
        <w:pStyle w:val="7"/>
        <w:numPr>
          <w:ilvl w:val="1"/>
          <w:numId w:val="5"/>
        </w:numPr>
        <w:tabs>
          <w:tab w:val="left" w:pos="1073"/>
          <w:tab w:val="left" w:pos="1074"/>
        </w:tabs>
        <w:spacing w:line="360" w:lineRule="auto"/>
        <w:ind w:left="1074" w:leftChars="200" w:right="220" w:rightChars="100" w:hanging="634"/>
        <w:rPr>
          <w:color w:val="auto"/>
          <w:highlight w:val="none"/>
        </w:rPr>
      </w:pPr>
      <w:r>
        <w:rPr>
          <w:color w:val="auto"/>
          <w:highlight w:val="none"/>
        </w:rPr>
        <w:t>提供前期服务的供应商</w:t>
      </w:r>
    </w:p>
    <w:p>
      <w:pPr>
        <w:pStyle w:val="10"/>
        <w:spacing w:line="360" w:lineRule="auto"/>
        <w:ind w:left="440" w:leftChars="200" w:right="220" w:rightChars="100" w:firstLine="424"/>
        <w:rPr>
          <w:color w:val="auto"/>
          <w:highlight w:val="none"/>
        </w:rPr>
      </w:pPr>
      <w:r>
        <w:rPr>
          <w:color w:val="auto"/>
          <w:highlight w:val="none"/>
        </w:rPr>
        <w:t>为采购项目提供整体设计、规范编制或者项目管理、监理、检测等服务的供应商，不得再参加该采购项目的其他采购活动。</w:t>
      </w:r>
    </w:p>
    <w:p>
      <w:pPr>
        <w:pStyle w:val="7"/>
        <w:numPr>
          <w:ilvl w:val="1"/>
          <w:numId w:val="5"/>
        </w:numPr>
        <w:tabs>
          <w:tab w:val="left" w:pos="1073"/>
          <w:tab w:val="left" w:pos="1074"/>
        </w:tabs>
        <w:spacing w:line="360" w:lineRule="auto"/>
        <w:ind w:left="1074" w:leftChars="200" w:right="220" w:rightChars="100" w:hanging="634"/>
        <w:rPr>
          <w:color w:val="auto"/>
          <w:highlight w:val="none"/>
        </w:rPr>
      </w:pPr>
      <w:r>
        <w:rPr>
          <w:color w:val="auto"/>
          <w:highlight w:val="none"/>
        </w:rPr>
        <w:t>政府采购政策要求</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《中华人民共和国预算法》</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《中华人民共和国民法典》</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《中华人民共和国政府采购法》；</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《中华人民共和国政府采购法实施条例》（国务院令第658号）；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《广东省实施〈中华人民共和国政府采购法〉办法》；</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《政府采购竞争性磋商采购方式管理暂行办法》（财库〔2014〕214号）、《财政部关于政府采购竞争性磋商采购方式管理暂行办法有关问题的补充通知》（财库〔2015〕124号）；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《国务院办公厅关于政府向社会力量购买服务的指导意见》（国办发〔2013〕96号）；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《政府购买服务管理办法（暂行）》（财综〔2014〕96号）；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《政府向社会力量购买服务暂行办法》（粤府办〔2014〕33号）；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《广东省住房和城乡建设厅广东省财政厅关于广东省政府购买棚户区改造服务的管理办法》（粤建保函〔2016〕629号）；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《广州市住房和城乡建设委员会广州市财政局关于印发政府购买棚户区改造服务实施方案（试行）的通知》（穗建房管〔2016〕2323号）；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《广州市财政局转发关于印发&lt;政府向社会力量购买服务指导目录&gt;的通知》（穗财行</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〔2015〕187号）；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《关于坚决制止地方以政府购买服务名义违法违规融资的通知》(财预〔2017〕87号)；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《节能产品政府采购实施意见》（财库〔2004〕185号）、《关于环境标志产品政府采购实施的意见》（财库〔2006〕90号）、《国务院办公厅关于建立政府强制采购节能产品制度的通知》（国办发〔2007〕51号）；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《政府采购促进中小企业发展暂行办法》（财库〔2011〕181号）；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《财政部、司法部关于政府采购支持监狱企业发展有关问题的通知》（财库〔2014〕68号）；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《关于促进残疾人就业政府采购政策的通知》（财库〔2017〕141号）；</w:t>
      </w:r>
    </w:p>
    <w:p>
      <w:pPr>
        <w:pStyle w:val="24"/>
        <w:numPr>
          <w:ilvl w:val="2"/>
          <w:numId w:val="5"/>
        </w:numPr>
        <w:tabs>
          <w:tab w:val="left" w:pos="1175"/>
        </w:tabs>
        <w:spacing w:line="360" w:lineRule="auto"/>
        <w:ind w:leftChars="200" w:right="220" w:rightChars="100" w:firstLine="0"/>
        <w:jc w:val="both"/>
        <w:rPr>
          <w:color w:val="auto"/>
          <w:spacing w:val="-5"/>
          <w:sz w:val="21"/>
          <w:szCs w:val="21"/>
          <w:highlight w:val="none"/>
        </w:rPr>
      </w:pPr>
      <w:r>
        <w:rPr>
          <w:rFonts w:hint="eastAsia"/>
          <w:color w:val="auto"/>
          <w:spacing w:val="-5"/>
          <w:sz w:val="21"/>
          <w:szCs w:val="21"/>
          <w:highlight w:val="none"/>
        </w:rPr>
        <w:t>其他有关法律、行政法规以及省市规范性文件规定。</w:t>
      </w:r>
    </w:p>
    <w:p>
      <w:pPr>
        <w:pStyle w:val="7"/>
        <w:numPr>
          <w:ilvl w:val="1"/>
          <w:numId w:val="5"/>
        </w:numPr>
        <w:tabs>
          <w:tab w:val="left" w:pos="1074"/>
        </w:tabs>
        <w:spacing w:line="360" w:lineRule="auto"/>
        <w:ind w:left="1074" w:leftChars="200" w:right="220" w:rightChars="100" w:hanging="634"/>
        <w:jc w:val="both"/>
        <w:rPr>
          <w:color w:val="auto"/>
          <w:highlight w:val="none"/>
        </w:rPr>
      </w:pPr>
      <w:r>
        <w:rPr>
          <w:color w:val="auto"/>
          <w:highlight w:val="none"/>
        </w:rPr>
        <w:t>中小微企业优惠条件</w:t>
      </w:r>
    </w:p>
    <w:p>
      <w:pPr>
        <w:pStyle w:val="24"/>
        <w:numPr>
          <w:ilvl w:val="2"/>
          <w:numId w:val="5"/>
        </w:numPr>
        <w:tabs>
          <w:tab w:val="left" w:pos="1175"/>
        </w:tabs>
        <w:spacing w:line="360" w:lineRule="auto"/>
        <w:ind w:leftChars="200" w:right="220" w:rightChars="100" w:firstLine="0"/>
        <w:jc w:val="both"/>
        <w:rPr>
          <w:color w:val="auto"/>
          <w:sz w:val="21"/>
          <w:szCs w:val="21"/>
          <w:highlight w:val="none"/>
        </w:rPr>
      </w:pPr>
      <w:r>
        <w:rPr>
          <w:color w:val="auto"/>
          <w:spacing w:val="-5"/>
          <w:sz w:val="21"/>
          <w:szCs w:val="21"/>
          <w:highlight w:val="none"/>
        </w:rPr>
        <w:t>中小微企业投标是指符合《中小企业划型标准规定》的供应商，通过投标提供本企业制造的货物、承担的工程或者服务，或者提供其他中小微企业制造的货物。本项所指货物不包括使用大型企业注册商标的货物。中小微企业投标应提供《中小微企业声明函》；提供其他中小微企业制造的货物的，应同时提供制造商的《中小微企业声明函（制造商）》。</w:t>
      </w:r>
    </w:p>
    <w:p>
      <w:pPr>
        <w:pStyle w:val="24"/>
        <w:numPr>
          <w:ilvl w:val="2"/>
          <w:numId w:val="5"/>
        </w:numPr>
        <w:tabs>
          <w:tab w:val="left" w:pos="1177"/>
        </w:tabs>
        <w:spacing w:line="360" w:lineRule="auto"/>
        <w:ind w:leftChars="200" w:right="220" w:rightChars="100" w:firstLine="0"/>
        <w:jc w:val="both"/>
        <w:rPr>
          <w:color w:val="auto"/>
          <w:sz w:val="21"/>
          <w:szCs w:val="21"/>
          <w:highlight w:val="none"/>
        </w:rPr>
      </w:pPr>
      <w:r>
        <w:rPr>
          <w:color w:val="auto"/>
          <w:sz w:val="21"/>
          <w:szCs w:val="21"/>
          <w:highlight w:val="none"/>
        </w:rPr>
        <w:t>根据财库〔2014</w:t>
      </w:r>
      <w:r>
        <w:rPr>
          <w:color w:val="auto"/>
          <w:spacing w:val="4"/>
          <w:sz w:val="21"/>
          <w:szCs w:val="21"/>
          <w:highlight w:val="none"/>
        </w:rPr>
        <w:t>〕</w:t>
      </w:r>
      <w:r>
        <w:rPr>
          <w:color w:val="auto"/>
          <w:sz w:val="21"/>
          <w:szCs w:val="21"/>
          <w:highlight w:val="none"/>
        </w:rPr>
        <w:t>68</w:t>
      </w:r>
      <w:r>
        <w:rPr>
          <w:color w:val="auto"/>
          <w:spacing w:val="-6"/>
          <w:sz w:val="21"/>
          <w:szCs w:val="21"/>
          <w:highlight w:val="none"/>
        </w:rPr>
        <w:t>号《财政部司法部关于政府采购支持监狱企业发展有关问题的通知》，监狱企业视同小微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不再提供《中小微企业声明函》。</w:t>
      </w:r>
    </w:p>
    <w:p>
      <w:pPr>
        <w:pStyle w:val="24"/>
        <w:numPr>
          <w:ilvl w:val="2"/>
          <w:numId w:val="5"/>
        </w:numPr>
        <w:tabs>
          <w:tab w:val="left" w:pos="1175"/>
        </w:tabs>
        <w:spacing w:line="360" w:lineRule="auto"/>
        <w:ind w:leftChars="200" w:right="220" w:rightChars="100" w:firstLine="0"/>
        <w:jc w:val="both"/>
        <w:rPr>
          <w:color w:val="auto"/>
          <w:sz w:val="21"/>
          <w:szCs w:val="21"/>
          <w:highlight w:val="none"/>
        </w:rPr>
      </w:pPr>
      <w:r>
        <w:rPr>
          <w:color w:val="auto"/>
          <w:sz w:val="21"/>
          <w:szCs w:val="21"/>
          <w:highlight w:val="none"/>
        </w:rPr>
        <w:t>根据财政部、民政部、中国残疾人联合会印发的《关于促进残疾人就业政府采购政策的通知》（财库〔2017〕141号）的规定，残疾人福利性单位视同小微企业。符合条件的残疾人福利性单位在参加政府采购活动时，应当提供该通知规定的《残疾人福利性单位声明函》，并对声明的真实性负责。一旦成交将在成交公告中公告其声明函，接受社会监督。供应商提供的《残疾人福利性单位声明函》与事实不符的，依照《政府采购法》第七十七条第一款的规定追究法律责任。</w:t>
      </w:r>
    </w:p>
    <w:p>
      <w:pPr>
        <w:pStyle w:val="24"/>
        <w:numPr>
          <w:ilvl w:val="2"/>
          <w:numId w:val="5"/>
        </w:numPr>
        <w:tabs>
          <w:tab w:val="left" w:pos="1175"/>
        </w:tabs>
        <w:spacing w:line="360" w:lineRule="auto"/>
        <w:ind w:left="1175" w:leftChars="200" w:right="220" w:rightChars="100" w:hanging="735"/>
        <w:rPr>
          <w:color w:val="auto"/>
          <w:sz w:val="21"/>
          <w:szCs w:val="21"/>
          <w:highlight w:val="none"/>
        </w:rPr>
      </w:pPr>
      <w:r>
        <w:rPr>
          <w:color w:val="auto"/>
          <w:sz w:val="21"/>
          <w:szCs w:val="21"/>
          <w:highlight w:val="none"/>
        </w:rPr>
        <w:t>价格扣除条款</w:t>
      </w:r>
    </w:p>
    <w:p>
      <w:pPr>
        <w:pStyle w:val="24"/>
        <w:numPr>
          <w:ilvl w:val="3"/>
          <w:numId w:val="5"/>
        </w:numPr>
        <w:tabs>
          <w:tab w:val="left" w:pos="1390"/>
        </w:tabs>
        <w:spacing w:before="98" w:line="360" w:lineRule="auto"/>
        <w:ind w:leftChars="200" w:right="220" w:rightChars="100" w:firstLine="424"/>
        <w:jc w:val="both"/>
        <w:rPr>
          <w:color w:val="auto"/>
          <w:sz w:val="21"/>
          <w:szCs w:val="21"/>
          <w:highlight w:val="none"/>
        </w:rPr>
      </w:pPr>
      <w:r>
        <w:rPr>
          <w:color w:val="auto"/>
          <w:spacing w:val="-3"/>
          <w:sz w:val="21"/>
          <w:szCs w:val="21"/>
          <w:highlight w:val="none"/>
        </w:rPr>
        <w:t>根据财政部、工业和信息化部印发的《政府采购促进中小企业发展暂行办法》（财库[2011]181号</w:t>
      </w:r>
      <w:r>
        <w:rPr>
          <w:color w:val="auto"/>
          <w:sz w:val="21"/>
          <w:szCs w:val="21"/>
          <w:highlight w:val="none"/>
        </w:rPr>
        <w:t>）</w:t>
      </w:r>
      <w:r>
        <w:rPr>
          <w:color w:val="auto"/>
          <w:spacing w:val="-3"/>
          <w:sz w:val="21"/>
          <w:szCs w:val="21"/>
          <w:highlight w:val="none"/>
        </w:rPr>
        <w:t>的规定，对小型和微型企业产品的价格给予</w:t>
      </w:r>
      <w:r>
        <w:rPr>
          <w:color w:val="auto"/>
          <w:sz w:val="21"/>
          <w:szCs w:val="21"/>
          <w:highlight w:val="none"/>
        </w:rPr>
        <w:t>6%的扣除，用扣除后的价格参与评审；投标产品中仅有部分小型和微型企业产品的，则按所投小型和微型企业产品的价格予以扣除。</w:t>
      </w:r>
    </w:p>
    <w:p>
      <w:pPr>
        <w:pStyle w:val="24"/>
        <w:numPr>
          <w:ilvl w:val="3"/>
          <w:numId w:val="5"/>
        </w:numPr>
        <w:tabs>
          <w:tab w:val="left" w:pos="1390"/>
        </w:tabs>
        <w:spacing w:before="59" w:line="360" w:lineRule="auto"/>
        <w:ind w:leftChars="200" w:right="220" w:rightChars="100" w:firstLine="424"/>
        <w:rPr>
          <w:color w:val="auto"/>
          <w:sz w:val="21"/>
          <w:szCs w:val="21"/>
          <w:highlight w:val="none"/>
        </w:rPr>
      </w:pPr>
      <w:r>
        <w:rPr>
          <w:color w:val="auto"/>
          <w:sz w:val="21"/>
          <w:szCs w:val="21"/>
          <w:highlight w:val="none"/>
        </w:rPr>
        <w:t>《政府采购促进中小企业发展暂行办法》所称中小企业（含中型、小型、微型企业，下同）应当同时符合以下条件：</w:t>
      </w:r>
    </w:p>
    <w:p>
      <w:pPr>
        <w:pStyle w:val="24"/>
        <w:numPr>
          <w:ilvl w:val="0"/>
          <w:numId w:val="6"/>
        </w:numPr>
        <w:tabs>
          <w:tab w:val="left" w:pos="1178"/>
        </w:tabs>
        <w:spacing w:before="1" w:line="360" w:lineRule="auto"/>
        <w:ind w:left="440" w:leftChars="200" w:right="220" w:rightChars="100"/>
        <w:rPr>
          <w:color w:val="auto"/>
          <w:sz w:val="21"/>
          <w:szCs w:val="21"/>
          <w:highlight w:val="none"/>
        </w:rPr>
      </w:pPr>
      <w:r>
        <w:rPr>
          <w:color w:val="auto"/>
          <w:sz w:val="21"/>
          <w:szCs w:val="21"/>
          <w:highlight w:val="none"/>
        </w:rPr>
        <w:t>符合中小企业划分标准；</w:t>
      </w:r>
    </w:p>
    <w:p>
      <w:pPr>
        <w:pStyle w:val="24"/>
        <w:numPr>
          <w:ilvl w:val="0"/>
          <w:numId w:val="6"/>
        </w:numPr>
        <w:tabs>
          <w:tab w:val="left" w:pos="1178"/>
        </w:tabs>
        <w:spacing w:before="1" w:line="360" w:lineRule="auto"/>
        <w:ind w:left="440" w:leftChars="200" w:right="220" w:rightChars="100"/>
        <w:rPr>
          <w:color w:val="auto"/>
          <w:sz w:val="21"/>
          <w:szCs w:val="21"/>
          <w:highlight w:val="none"/>
        </w:rPr>
      </w:pPr>
      <w:r>
        <w:rPr>
          <w:color w:val="auto"/>
          <w:sz w:val="21"/>
          <w:szCs w:val="21"/>
          <w:highlight w:val="none"/>
        </w:rPr>
        <w:t>提供本企业制造的货物、承担的工程或者服务，或者提供其他中小企业制造的货物。本项所称货物不包括使用大型企业注册商标的货物。</w:t>
      </w:r>
    </w:p>
    <w:p>
      <w:pPr>
        <w:pStyle w:val="24"/>
        <w:numPr>
          <w:ilvl w:val="0"/>
          <w:numId w:val="6"/>
        </w:numPr>
        <w:tabs>
          <w:tab w:val="left" w:pos="1178"/>
        </w:tabs>
        <w:spacing w:before="1" w:line="360" w:lineRule="auto"/>
        <w:ind w:left="440" w:leftChars="200" w:right="220" w:rightChars="100"/>
        <w:rPr>
          <w:color w:val="auto"/>
          <w:sz w:val="21"/>
          <w:szCs w:val="21"/>
          <w:highlight w:val="none"/>
        </w:rPr>
      </w:pPr>
      <w:r>
        <w:rPr>
          <w:color w:val="auto"/>
          <w:sz w:val="21"/>
          <w:szCs w:val="21"/>
          <w:highlight w:val="none"/>
        </w:rPr>
        <w:t>中小企业划分标准以《工业和信息化部、国家统计局、国家发展和改革委员会、财政部关于印发中小企业划型标准规定的通知》（工信部联企业[2011]300号）规定的划分标准为准。</w:t>
      </w:r>
    </w:p>
    <w:p>
      <w:pPr>
        <w:pStyle w:val="24"/>
        <w:numPr>
          <w:ilvl w:val="0"/>
          <w:numId w:val="6"/>
        </w:numPr>
        <w:tabs>
          <w:tab w:val="left" w:pos="1178"/>
        </w:tabs>
        <w:spacing w:line="360" w:lineRule="auto"/>
        <w:ind w:left="440" w:leftChars="200" w:right="220" w:rightChars="100"/>
        <w:rPr>
          <w:color w:val="auto"/>
          <w:sz w:val="21"/>
          <w:szCs w:val="21"/>
          <w:highlight w:val="none"/>
        </w:rPr>
      </w:pPr>
      <w:r>
        <w:rPr>
          <w:color w:val="auto"/>
          <w:sz w:val="21"/>
          <w:szCs w:val="21"/>
          <w:highlight w:val="none"/>
        </w:rPr>
        <w:t>小型、微型企业提供中型企业制造的货物的，视同为中型企业。</w:t>
      </w:r>
    </w:p>
    <w:p>
      <w:pPr>
        <w:pStyle w:val="24"/>
        <w:numPr>
          <w:ilvl w:val="0"/>
          <w:numId w:val="6"/>
        </w:numPr>
        <w:tabs>
          <w:tab w:val="left" w:pos="1178"/>
        </w:tabs>
        <w:spacing w:before="137" w:line="360" w:lineRule="auto"/>
        <w:ind w:left="440" w:leftChars="200" w:right="220" w:rightChars="100"/>
        <w:rPr>
          <w:color w:val="auto"/>
          <w:sz w:val="21"/>
          <w:szCs w:val="21"/>
          <w:highlight w:val="none"/>
        </w:rPr>
      </w:pPr>
      <w:r>
        <w:rPr>
          <w:color w:val="auto"/>
          <w:sz w:val="21"/>
          <w:szCs w:val="21"/>
          <w:highlight w:val="none"/>
        </w:rPr>
        <w:t>参加政府采购活动的中小企业应当提供《中小企业声明函》。</w:t>
      </w:r>
    </w:p>
    <w:p>
      <w:pPr>
        <w:pStyle w:val="24"/>
        <w:numPr>
          <w:ilvl w:val="0"/>
          <w:numId w:val="6"/>
        </w:numPr>
        <w:tabs>
          <w:tab w:val="left" w:pos="1178"/>
        </w:tabs>
        <w:spacing w:before="137" w:line="360" w:lineRule="auto"/>
        <w:ind w:left="440" w:leftChars="200" w:right="220" w:rightChars="100"/>
        <w:rPr>
          <w:color w:val="auto"/>
          <w:sz w:val="21"/>
          <w:szCs w:val="21"/>
          <w:highlight w:val="none"/>
        </w:rPr>
      </w:pPr>
      <w:r>
        <w:rPr>
          <w:color w:val="auto"/>
          <w:sz w:val="21"/>
          <w:szCs w:val="21"/>
          <w:highlight w:val="none"/>
        </w:rPr>
        <w:t>供应商同时为小型、微型企业、监狱企业、残疾人福利性单位任两种或以上情况的，评审中只享受一次价格扣除，不重复进行价格扣除。</w:t>
      </w:r>
    </w:p>
    <w:p>
      <w:pPr>
        <w:pStyle w:val="7"/>
        <w:numPr>
          <w:ilvl w:val="1"/>
          <w:numId w:val="5"/>
        </w:numPr>
        <w:tabs>
          <w:tab w:val="left" w:pos="1073"/>
          <w:tab w:val="left" w:pos="1074"/>
        </w:tabs>
        <w:spacing w:before="91" w:line="360" w:lineRule="auto"/>
        <w:ind w:left="1074" w:leftChars="200" w:right="220" w:rightChars="100" w:hanging="634"/>
        <w:rPr>
          <w:color w:val="auto"/>
          <w:highlight w:val="none"/>
        </w:rPr>
      </w:pPr>
      <w:r>
        <w:rPr>
          <w:color w:val="auto"/>
          <w:highlight w:val="none"/>
        </w:rPr>
        <w:t>磋商文件的解释权</w:t>
      </w:r>
    </w:p>
    <w:p>
      <w:pPr>
        <w:pStyle w:val="10"/>
        <w:spacing w:line="360" w:lineRule="auto"/>
        <w:ind w:left="440" w:leftChars="200" w:right="220" w:rightChars="100"/>
        <w:rPr>
          <w:color w:val="auto"/>
          <w:highlight w:val="none"/>
        </w:rPr>
      </w:pPr>
      <w:r>
        <w:rPr>
          <w:color w:val="auto"/>
          <w:highlight w:val="none"/>
        </w:rPr>
        <w:t>本磋商文件的解释权归采购人所有。</w:t>
      </w:r>
    </w:p>
    <w:p>
      <w:pPr>
        <w:pStyle w:val="7"/>
        <w:numPr>
          <w:ilvl w:val="0"/>
          <w:numId w:val="5"/>
        </w:numPr>
        <w:tabs>
          <w:tab w:val="left" w:pos="756"/>
          <w:tab w:val="left" w:pos="757"/>
        </w:tabs>
        <w:spacing w:line="360" w:lineRule="auto"/>
        <w:ind w:left="968" w:leftChars="200" w:right="220" w:rightChars="100"/>
        <w:rPr>
          <w:color w:val="auto"/>
          <w:highlight w:val="none"/>
        </w:rPr>
      </w:pPr>
      <w:bookmarkStart w:id="3" w:name="2__磋商文件"/>
      <w:bookmarkEnd w:id="3"/>
      <w:r>
        <w:rPr>
          <w:color w:val="auto"/>
          <w:highlight w:val="none"/>
        </w:rPr>
        <w:t>磋商文件</w:t>
      </w:r>
    </w:p>
    <w:p>
      <w:pPr>
        <w:pStyle w:val="7"/>
        <w:numPr>
          <w:ilvl w:val="1"/>
          <w:numId w:val="5"/>
        </w:numPr>
        <w:tabs>
          <w:tab w:val="left" w:pos="967"/>
          <w:tab w:val="left" w:pos="968"/>
        </w:tabs>
        <w:spacing w:line="360" w:lineRule="auto"/>
        <w:ind w:left="968" w:leftChars="200" w:right="220" w:rightChars="100" w:hanging="528"/>
        <w:rPr>
          <w:color w:val="auto"/>
          <w:highlight w:val="none"/>
        </w:rPr>
      </w:pPr>
      <w:r>
        <w:rPr>
          <w:color w:val="auto"/>
          <w:highlight w:val="none"/>
        </w:rPr>
        <w:t>磋商文件的组成</w:t>
      </w:r>
    </w:p>
    <w:p>
      <w:pPr>
        <w:pStyle w:val="24"/>
        <w:numPr>
          <w:ilvl w:val="0"/>
          <w:numId w:val="7"/>
        </w:numPr>
        <w:tabs>
          <w:tab w:val="left" w:pos="1267"/>
        </w:tabs>
        <w:spacing w:line="360" w:lineRule="auto"/>
        <w:ind w:left="440" w:leftChars="200" w:right="220" w:rightChars="100"/>
        <w:rPr>
          <w:color w:val="auto"/>
          <w:sz w:val="21"/>
          <w:szCs w:val="21"/>
          <w:highlight w:val="none"/>
        </w:rPr>
      </w:pPr>
      <w:r>
        <w:rPr>
          <w:color w:val="auto"/>
          <w:sz w:val="21"/>
          <w:szCs w:val="21"/>
          <w:highlight w:val="none"/>
        </w:rPr>
        <w:t>磋商邀请</w:t>
      </w:r>
    </w:p>
    <w:p>
      <w:pPr>
        <w:pStyle w:val="24"/>
        <w:numPr>
          <w:ilvl w:val="0"/>
          <w:numId w:val="7"/>
        </w:numPr>
        <w:tabs>
          <w:tab w:val="left" w:pos="1267"/>
        </w:tabs>
        <w:spacing w:line="360" w:lineRule="auto"/>
        <w:ind w:left="440" w:leftChars="200" w:right="220" w:rightChars="100"/>
        <w:rPr>
          <w:color w:val="auto"/>
          <w:sz w:val="21"/>
          <w:szCs w:val="21"/>
          <w:highlight w:val="none"/>
        </w:rPr>
      </w:pPr>
      <w:r>
        <w:rPr>
          <w:color w:val="auto"/>
          <w:sz w:val="21"/>
          <w:szCs w:val="21"/>
          <w:highlight w:val="none"/>
        </w:rPr>
        <w:t>供应商须知</w:t>
      </w:r>
    </w:p>
    <w:p>
      <w:pPr>
        <w:pStyle w:val="24"/>
        <w:numPr>
          <w:ilvl w:val="0"/>
          <w:numId w:val="7"/>
        </w:numPr>
        <w:tabs>
          <w:tab w:val="left" w:pos="1267"/>
        </w:tabs>
        <w:spacing w:line="360" w:lineRule="auto"/>
        <w:ind w:left="440" w:leftChars="200" w:right="220" w:rightChars="100"/>
        <w:rPr>
          <w:color w:val="auto"/>
          <w:sz w:val="21"/>
          <w:szCs w:val="21"/>
          <w:highlight w:val="none"/>
        </w:rPr>
      </w:pPr>
      <w:r>
        <w:rPr>
          <w:color w:val="auto"/>
          <w:sz w:val="21"/>
          <w:szCs w:val="21"/>
          <w:highlight w:val="none"/>
        </w:rPr>
        <w:t>采购人需求</w:t>
      </w:r>
    </w:p>
    <w:p>
      <w:pPr>
        <w:pStyle w:val="24"/>
        <w:numPr>
          <w:ilvl w:val="0"/>
          <w:numId w:val="7"/>
        </w:numPr>
        <w:tabs>
          <w:tab w:val="left" w:pos="1267"/>
        </w:tabs>
        <w:spacing w:line="360" w:lineRule="auto"/>
        <w:ind w:left="440" w:leftChars="200" w:right="220" w:rightChars="100"/>
        <w:rPr>
          <w:color w:val="auto"/>
          <w:sz w:val="21"/>
          <w:szCs w:val="21"/>
          <w:highlight w:val="none"/>
        </w:rPr>
      </w:pPr>
      <w:r>
        <w:rPr>
          <w:color w:val="auto"/>
          <w:sz w:val="21"/>
          <w:szCs w:val="21"/>
          <w:highlight w:val="none"/>
        </w:rPr>
        <w:t>政府采购合同（样本）</w:t>
      </w:r>
    </w:p>
    <w:p>
      <w:pPr>
        <w:pStyle w:val="24"/>
        <w:numPr>
          <w:ilvl w:val="0"/>
          <w:numId w:val="7"/>
        </w:numPr>
        <w:tabs>
          <w:tab w:val="left" w:pos="1267"/>
        </w:tabs>
        <w:spacing w:line="360" w:lineRule="auto"/>
        <w:ind w:left="440" w:leftChars="200" w:right="220" w:rightChars="100"/>
        <w:rPr>
          <w:color w:val="auto"/>
          <w:sz w:val="21"/>
          <w:szCs w:val="21"/>
          <w:highlight w:val="none"/>
        </w:rPr>
      </w:pPr>
      <w:r>
        <w:rPr>
          <w:color w:val="auto"/>
          <w:sz w:val="21"/>
          <w:szCs w:val="21"/>
          <w:highlight w:val="none"/>
        </w:rPr>
        <w:t>磋商细则</w:t>
      </w:r>
    </w:p>
    <w:p>
      <w:pPr>
        <w:pStyle w:val="24"/>
        <w:numPr>
          <w:ilvl w:val="0"/>
          <w:numId w:val="7"/>
        </w:numPr>
        <w:tabs>
          <w:tab w:val="left" w:pos="1267"/>
        </w:tabs>
        <w:spacing w:line="360" w:lineRule="auto"/>
        <w:ind w:left="440" w:leftChars="200" w:right="220" w:rightChars="100"/>
        <w:rPr>
          <w:color w:val="auto"/>
          <w:sz w:val="21"/>
          <w:szCs w:val="21"/>
          <w:highlight w:val="none"/>
        </w:rPr>
      </w:pPr>
      <w:r>
        <w:rPr>
          <w:color w:val="auto"/>
          <w:sz w:val="21"/>
          <w:szCs w:val="21"/>
          <w:highlight w:val="none"/>
        </w:rPr>
        <w:t>响应文件格式</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磋商文件的澄清</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供应商如需澄清磋商文件的疑点，均应以书面形式加盖公章（电传、传真、电报无效）向采购代理机构提出澄清要求，通知应确保采购代理机构在磋商截止日期4天前收到。采购代理机构将用信函、传真等形式做出答复。</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磋商文件的补充和修改</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采购代理机构可以用书面补充通知的方式对磋商文件进行补充和修改。对磋商文件的补充和修正，将会在磋商邀请所述网站上公布，并用信函、传真等形式通知所有供应商。</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所颁发的补充通知将于磋商截止期前发往所有供应商。该补充通知应作为磋商文件的一部分。供应商在收到通知后应在响应文件中予以确认</w:t>
      </w:r>
      <w:r>
        <w:rPr>
          <w:rFonts w:hint="eastAsia"/>
          <w:color w:val="auto"/>
          <w:sz w:val="21"/>
          <w:szCs w:val="21"/>
          <w:highlight w:val="none"/>
          <w:lang w:val="en-US"/>
        </w:rPr>
        <w:t>.</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考虑到补充通知的影响，采购代理机构可决定延迟磋商时间。</w:t>
      </w:r>
    </w:p>
    <w:p>
      <w:pPr>
        <w:pStyle w:val="7"/>
        <w:numPr>
          <w:ilvl w:val="0"/>
          <w:numId w:val="5"/>
        </w:numPr>
        <w:tabs>
          <w:tab w:val="left" w:pos="757"/>
        </w:tabs>
        <w:spacing w:line="360" w:lineRule="auto"/>
        <w:ind w:left="968" w:leftChars="200" w:right="220" w:rightChars="100"/>
        <w:jc w:val="both"/>
        <w:rPr>
          <w:color w:val="auto"/>
          <w:highlight w:val="none"/>
        </w:rPr>
      </w:pPr>
      <w:bookmarkStart w:id="4" w:name="3__磋商总则"/>
      <w:bookmarkEnd w:id="4"/>
      <w:r>
        <w:rPr>
          <w:color w:val="auto"/>
          <w:highlight w:val="none"/>
        </w:rPr>
        <w:t>磋商总则</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响应文件的编写</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供应商应仔细阅读磋商文件的所有内容，按磋商文件的要求制作并递交响应文件，并保证所提供的全部资料的真实性、准确性，以确保其对磋商文件做出实质性响应；否则，将拒绝其参与磋商。供应商若提供不真实的材料，无论其材料是否重要，都将有可能直接导致磋商无效，并承担由此产生的法律责任。</w:t>
      </w:r>
    </w:p>
    <w:p>
      <w:pPr>
        <w:pStyle w:val="24"/>
        <w:numPr>
          <w:ilvl w:val="2"/>
          <w:numId w:val="5"/>
        </w:numPr>
        <w:tabs>
          <w:tab w:val="left" w:pos="1019"/>
        </w:tabs>
        <w:spacing w:line="360" w:lineRule="auto"/>
        <w:ind w:leftChars="200" w:right="220" w:rightChars="100" w:firstLine="0"/>
        <w:jc w:val="both"/>
        <w:rPr>
          <w:color w:val="auto"/>
          <w:sz w:val="21"/>
          <w:szCs w:val="21"/>
          <w:highlight w:val="none"/>
        </w:rPr>
      </w:pPr>
      <w:r>
        <w:rPr>
          <w:color w:val="auto"/>
          <w:sz w:val="21"/>
          <w:szCs w:val="21"/>
          <w:highlight w:val="none"/>
        </w:rPr>
        <w:t>语言和计量单位：响应文件和来往函件应用简体中文书写，供应商提供的支持文件、技术资料和印刷的文献可以用其他语言，但相应内容应附有中文翻译文本（经公证处公证），对不同文字文本响应文件的解释发生异议的，以中文文本为准。计量单位应使用国际公制单位。</w:t>
      </w:r>
    </w:p>
    <w:p>
      <w:pPr>
        <w:pStyle w:val="24"/>
        <w:numPr>
          <w:ilvl w:val="2"/>
          <w:numId w:val="5"/>
        </w:numPr>
        <w:tabs>
          <w:tab w:val="left" w:pos="1019"/>
        </w:tabs>
        <w:spacing w:line="360" w:lineRule="auto"/>
        <w:ind w:leftChars="200" w:right="220" w:rightChars="100" w:firstLine="0"/>
        <w:jc w:val="both"/>
        <w:rPr>
          <w:color w:val="auto"/>
          <w:sz w:val="21"/>
          <w:szCs w:val="21"/>
          <w:highlight w:val="none"/>
        </w:rPr>
      </w:pPr>
      <w:r>
        <w:rPr>
          <w:color w:val="auto"/>
          <w:sz w:val="21"/>
          <w:szCs w:val="21"/>
          <w:highlight w:val="none"/>
        </w:rPr>
        <w:t>供应商应用人民币报价。响应文件的大写金额和小写金额不一致的，以大写金额为准；总价金额与按单价汇总金额不一致的，以单价金额计算结果为准；单价金额小数点有明显错位的，应以总价为准，并修改单价。</w:t>
      </w:r>
    </w:p>
    <w:p>
      <w:pPr>
        <w:pStyle w:val="24"/>
        <w:numPr>
          <w:ilvl w:val="2"/>
          <w:numId w:val="5"/>
        </w:numPr>
        <w:tabs>
          <w:tab w:val="left" w:pos="1019"/>
        </w:tabs>
        <w:spacing w:line="360" w:lineRule="auto"/>
        <w:ind w:leftChars="200" w:right="220" w:rightChars="100" w:firstLine="0"/>
        <w:jc w:val="both"/>
        <w:rPr>
          <w:color w:val="auto"/>
          <w:sz w:val="21"/>
          <w:szCs w:val="21"/>
          <w:highlight w:val="none"/>
        </w:rPr>
      </w:pPr>
      <w:r>
        <w:rPr>
          <w:color w:val="auto"/>
          <w:sz w:val="21"/>
          <w:szCs w:val="21"/>
          <w:highlight w:val="none"/>
        </w:rPr>
        <w:t>供应商在编写响应文件时，应填写磋商文件要求的内容及其附件，并根据实际情况补充评审所需资料，响应文件只填写和提供了磋商文件要求的部分内容和附件，或没有提供磋商文件中所要求的全部资料及数据，或没有按实际情况提供磋商所需资料的，其可能导致的结果和责任由供应商自行承担。</w:t>
      </w:r>
    </w:p>
    <w:p>
      <w:pPr>
        <w:pStyle w:val="24"/>
        <w:numPr>
          <w:ilvl w:val="2"/>
          <w:numId w:val="5"/>
        </w:numPr>
        <w:tabs>
          <w:tab w:val="left" w:pos="1019"/>
        </w:tabs>
        <w:spacing w:line="360" w:lineRule="auto"/>
        <w:ind w:leftChars="200" w:right="220" w:rightChars="100" w:firstLine="0"/>
        <w:jc w:val="both"/>
        <w:rPr>
          <w:color w:val="auto"/>
          <w:sz w:val="21"/>
          <w:szCs w:val="21"/>
          <w:highlight w:val="none"/>
        </w:rPr>
      </w:pPr>
      <w:r>
        <w:rPr>
          <w:color w:val="auto"/>
          <w:sz w:val="21"/>
          <w:szCs w:val="21"/>
          <w:highlight w:val="none"/>
        </w:rPr>
        <w:t>供应商的报价明显低于其他报价，使得其报价可能低于其个别成本的，有可能影响商品质量和不能诚信履约的，应当要求该供应商作出书面说明并提供相关证明材料。供应商不能合理说明或者不能提供相关证明材料的，由磋商小组认定该供应商以低于成本报价，其报价应作无效报价处理。</w:t>
      </w:r>
    </w:p>
    <w:p>
      <w:pPr>
        <w:pStyle w:val="24"/>
        <w:numPr>
          <w:ilvl w:val="2"/>
          <w:numId w:val="5"/>
        </w:numPr>
        <w:tabs>
          <w:tab w:val="left" w:pos="1069"/>
        </w:tabs>
        <w:spacing w:line="360" w:lineRule="auto"/>
        <w:ind w:left="1069" w:leftChars="200" w:right="220" w:rightChars="100" w:hanging="629"/>
        <w:jc w:val="both"/>
        <w:rPr>
          <w:color w:val="auto"/>
          <w:sz w:val="21"/>
          <w:szCs w:val="21"/>
          <w:highlight w:val="none"/>
        </w:rPr>
      </w:pPr>
      <w:r>
        <w:rPr>
          <w:color w:val="auto"/>
          <w:sz w:val="21"/>
          <w:szCs w:val="21"/>
          <w:highlight w:val="none"/>
        </w:rPr>
        <w:t>采购代理机构不接受电报、电话、电传、传真等非约定形式参与磋商。</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响应文件的构成</w:t>
      </w:r>
    </w:p>
    <w:p>
      <w:pPr>
        <w:pStyle w:val="24"/>
        <w:numPr>
          <w:ilvl w:val="2"/>
          <w:numId w:val="5"/>
        </w:numPr>
        <w:tabs>
          <w:tab w:val="left" w:pos="1069"/>
        </w:tabs>
        <w:spacing w:before="70" w:line="360" w:lineRule="auto"/>
        <w:ind w:left="1069" w:leftChars="200" w:right="220" w:rightChars="100" w:hanging="629"/>
        <w:jc w:val="both"/>
        <w:rPr>
          <w:color w:val="auto"/>
          <w:sz w:val="21"/>
          <w:szCs w:val="21"/>
          <w:highlight w:val="none"/>
        </w:rPr>
      </w:pPr>
      <w:r>
        <w:rPr>
          <w:color w:val="auto"/>
          <w:sz w:val="21"/>
          <w:szCs w:val="21"/>
          <w:highlight w:val="none"/>
        </w:rPr>
        <w:t>供应商编写的响应文件格式详见响应文件目录表。</w:t>
      </w:r>
    </w:p>
    <w:p>
      <w:pPr>
        <w:pStyle w:val="7"/>
        <w:numPr>
          <w:ilvl w:val="2"/>
          <w:numId w:val="5"/>
        </w:numPr>
        <w:tabs>
          <w:tab w:val="left" w:pos="1074"/>
        </w:tabs>
        <w:spacing w:line="360" w:lineRule="auto"/>
        <w:ind w:left="1074" w:leftChars="200" w:right="220" w:rightChars="100" w:hanging="634"/>
        <w:rPr>
          <w:color w:val="auto"/>
          <w:highlight w:val="none"/>
        </w:rPr>
      </w:pPr>
      <w:r>
        <w:rPr>
          <w:color w:val="auto"/>
          <w:highlight w:val="none"/>
          <w:u w:val="single"/>
        </w:rPr>
        <w:t>供应商应按照磋商文件的要求编制带有目录和页码并装订成册的响应文件。</w:t>
      </w:r>
    </w:p>
    <w:p>
      <w:pPr>
        <w:pStyle w:val="24"/>
        <w:numPr>
          <w:ilvl w:val="2"/>
          <w:numId w:val="5"/>
        </w:numPr>
        <w:tabs>
          <w:tab w:val="left" w:pos="1069"/>
        </w:tabs>
        <w:spacing w:before="70" w:line="360" w:lineRule="auto"/>
        <w:ind w:left="1069" w:leftChars="200" w:right="220" w:rightChars="100" w:hanging="629"/>
        <w:jc w:val="both"/>
        <w:rPr>
          <w:color w:val="auto"/>
          <w:sz w:val="21"/>
          <w:szCs w:val="21"/>
          <w:highlight w:val="none"/>
        </w:rPr>
      </w:pPr>
      <w:r>
        <w:rPr>
          <w:color w:val="auto"/>
          <w:sz w:val="21"/>
          <w:szCs w:val="21"/>
          <w:highlight w:val="none"/>
        </w:rPr>
        <w:t>供应商必须自行承担因其响应文件的任何错漏而导致的一切后果。</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磋商的修改及撤回</w:t>
      </w:r>
    </w:p>
    <w:p>
      <w:pPr>
        <w:pStyle w:val="24"/>
        <w:numPr>
          <w:ilvl w:val="2"/>
          <w:numId w:val="5"/>
        </w:numPr>
        <w:tabs>
          <w:tab w:val="left" w:pos="1069"/>
        </w:tabs>
        <w:spacing w:line="360" w:lineRule="auto"/>
        <w:ind w:leftChars="200" w:right="220" w:rightChars="100" w:firstLine="0"/>
        <w:jc w:val="both"/>
        <w:rPr>
          <w:color w:val="auto"/>
          <w:sz w:val="21"/>
          <w:szCs w:val="21"/>
          <w:highlight w:val="none"/>
        </w:rPr>
      </w:pPr>
      <w:r>
        <w:rPr>
          <w:color w:val="auto"/>
          <w:sz w:val="21"/>
          <w:szCs w:val="21"/>
          <w:highlight w:val="none"/>
        </w:rPr>
        <w:t>在磋商截止时间前，供应商可以以书面通知的形式向采购代理机构修改或撤回其响应文件。修改后的响应文件须按照本项目规定的磋商截止时间之前重新递交，否则，采购代理机构将拒绝接受修改后的响应文件。</w:t>
      </w:r>
    </w:p>
    <w:p>
      <w:pPr>
        <w:pStyle w:val="24"/>
        <w:numPr>
          <w:ilvl w:val="2"/>
          <w:numId w:val="5"/>
        </w:numPr>
        <w:tabs>
          <w:tab w:val="left" w:pos="1019"/>
        </w:tabs>
        <w:spacing w:line="360" w:lineRule="auto"/>
        <w:ind w:leftChars="200" w:right="220" w:rightChars="100" w:firstLine="0"/>
        <w:jc w:val="both"/>
        <w:rPr>
          <w:color w:val="auto"/>
          <w:sz w:val="21"/>
          <w:szCs w:val="21"/>
          <w:highlight w:val="none"/>
        </w:rPr>
      </w:pPr>
      <w:r>
        <w:rPr>
          <w:color w:val="auto"/>
          <w:sz w:val="21"/>
          <w:szCs w:val="21"/>
          <w:highlight w:val="none"/>
        </w:rPr>
        <w:t>在磋商截止时间后，供应商不得对其响应文件作任何修改。从磋商截止时间至磋商有效期满之前，供应商不允许撤回其响应文件。</w:t>
      </w:r>
    </w:p>
    <w:p>
      <w:pPr>
        <w:pStyle w:val="7"/>
        <w:numPr>
          <w:ilvl w:val="0"/>
          <w:numId w:val="5"/>
        </w:numPr>
        <w:tabs>
          <w:tab w:val="left" w:pos="757"/>
        </w:tabs>
        <w:spacing w:line="360" w:lineRule="auto"/>
        <w:ind w:left="968" w:leftChars="200" w:right="220" w:rightChars="100"/>
        <w:jc w:val="both"/>
        <w:rPr>
          <w:color w:val="auto"/>
          <w:highlight w:val="none"/>
        </w:rPr>
      </w:pPr>
      <w:bookmarkStart w:id="5" w:name="4__磋商要求"/>
      <w:bookmarkEnd w:id="5"/>
      <w:r>
        <w:rPr>
          <w:color w:val="auto"/>
          <w:w w:val="95"/>
          <w:highlight w:val="none"/>
        </w:rPr>
        <w:t>磋商要求</w:t>
      </w:r>
    </w:p>
    <w:p>
      <w:pPr>
        <w:pStyle w:val="7"/>
        <w:numPr>
          <w:ilvl w:val="1"/>
          <w:numId w:val="8"/>
        </w:numPr>
        <w:tabs>
          <w:tab w:val="left" w:pos="968"/>
        </w:tabs>
        <w:spacing w:line="360" w:lineRule="auto"/>
        <w:ind w:leftChars="200" w:right="220" w:rightChars="100"/>
        <w:rPr>
          <w:color w:val="auto"/>
          <w:highlight w:val="none"/>
        </w:rPr>
      </w:pPr>
      <w:r>
        <w:rPr>
          <w:color w:val="auto"/>
          <w:w w:val="95"/>
          <w:highlight w:val="none"/>
        </w:rPr>
        <w:t>磋商</w:t>
      </w:r>
    </w:p>
    <w:p>
      <w:pPr>
        <w:pStyle w:val="24"/>
        <w:numPr>
          <w:ilvl w:val="2"/>
          <w:numId w:val="8"/>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全部响应文件应一式</w:t>
      </w:r>
      <w:r>
        <w:rPr>
          <w:rFonts w:hint="eastAsia"/>
          <w:color w:val="auto"/>
          <w:sz w:val="21"/>
          <w:szCs w:val="21"/>
          <w:highlight w:val="none"/>
        </w:rPr>
        <w:t>三</w:t>
      </w:r>
      <w:r>
        <w:rPr>
          <w:color w:val="auto"/>
          <w:sz w:val="21"/>
          <w:szCs w:val="21"/>
          <w:highlight w:val="none"/>
        </w:rPr>
        <w:t>份，正本一份，副本</w:t>
      </w:r>
      <w:r>
        <w:rPr>
          <w:rFonts w:hint="eastAsia"/>
          <w:color w:val="auto"/>
          <w:sz w:val="21"/>
          <w:szCs w:val="21"/>
          <w:highlight w:val="none"/>
        </w:rPr>
        <w:t>二</w:t>
      </w:r>
      <w:r>
        <w:rPr>
          <w:color w:val="auto"/>
          <w:sz w:val="21"/>
          <w:szCs w:val="21"/>
          <w:highlight w:val="none"/>
        </w:rPr>
        <w:t>份，副本可由正本复印而成；响应文件电</w:t>
      </w:r>
      <w:r>
        <w:rPr>
          <w:color w:val="auto"/>
          <w:spacing w:val="-19"/>
          <w:sz w:val="21"/>
          <w:szCs w:val="21"/>
          <w:highlight w:val="none"/>
        </w:rPr>
        <w:t>子版</w:t>
      </w:r>
      <w:r>
        <w:rPr>
          <w:color w:val="auto"/>
          <w:sz w:val="21"/>
          <w:szCs w:val="21"/>
          <w:highlight w:val="none"/>
        </w:rPr>
        <w:t>1</w:t>
      </w:r>
      <w:r>
        <w:rPr>
          <w:color w:val="auto"/>
          <w:spacing w:val="-17"/>
          <w:sz w:val="21"/>
          <w:szCs w:val="21"/>
          <w:highlight w:val="none"/>
        </w:rPr>
        <w:t>份，光盘或</w:t>
      </w:r>
      <w:r>
        <w:rPr>
          <w:rFonts w:hint="eastAsia"/>
          <w:color w:val="auto"/>
          <w:sz w:val="21"/>
          <w:szCs w:val="21"/>
          <w:highlight w:val="none"/>
          <w:lang w:val="en-US"/>
        </w:rPr>
        <w:t>U</w:t>
      </w:r>
      <w:r>
        <w:rPr>
          <w:color w:val="auto"/>
          <w:spacing w:val="-12"/>
          <w:sz w:val="21"/>
          <w:szCs w:val="21"/>
          <w:highlight w:val="none"/>
        </w:rPr>
        <w:t>盘介质，</w:t>
      </w:r>
      <w:r>
        <w:rPr>
          <w:color w:val="auto"/>
          <w:sz w:val="21"/>
          <w:szCs w:val="21"/>
          <w:highlight w:val="none"/>
        </w:rPr>
        <w:t>WORD</w:t>
      </w:r>
      <w:r>
        <w:rPr>
          <w:color w:val="auto"/>
          <w:spacing w:val="-36"/>
          <w:sz w:val="21"/>
          <w:szCs w:val="21"/>
          <w:highlight w:val="none"/>
        </w:rPr>
        <w:t>或</w:t>
      </w:r>
      <w:r>
        <w:rPr>
          <w:color w:val="auto"/>
          <w:sz w:val="21"/>
          <w:szCs w:val="21"/>
          <w:highlight w:val="none"/>
        </w:rPr>
        <w:t>EXCEL</w:t>
      </w:r>
      <w:r>
        <w:rPr>
          <w:color w:val="auto"/>
          <w:spacing w:val="-9"/>
          <w:sz w:val="21"/>
          <w:szCs w:val="21"/>
          <w:highlight w:val="none"/>
        </w:rPr>
        <w:t>格式，不留密码，无病毒，内容应与供应商打印产生的纸质响应文件内容一致，如有不同，以纸质响应文件为准。除特别注明外，响应文件应提交纸质文件。如果正本与副本不符，应以正本为准。响应文件应由供应商的合法授权代表正式签署，如有任何更改应由原签署人签字。无论磋商结果如何，供应商的全部响应文件均不退回。另按要求单独提交一个“唱标信封”。</w:t>
      </w:r>
    </w:p>
    <w:p>
      <w:pPr>
        <w:pStyle w:val="24"/>
        <w:numPr>
          <w:ilvl w:val="2"/>
          <w:numId w:val="8"/>
        </w:numPr>
        <w:tabs>
          <w:tab w:val="left" w:pos="1069"/>
        </w:tabs>
        <w:spacing w:line="360" w:lineRule="auto"/>
        <w:ind w:left="1069" w:leftChars="200" w:right="220" w:rightChars="100" w:hanging="629"/>
        <w:rPr>
          <w:color w:val="auto"/>
          <w:sz w:val="21"/>
          <w:szCs w:val="21"/>
          <w:highlight w:val="none"/>
        </w:rPr>
      </w:pPr>
      <w:r>
        <w:rPr>
          <w:color w:val="auto"/>
          <w:sz w:val="21"/>
          <w:szCs w:val="21"/>
          <w:highlight w:val="none"/>
        </w:rPr>
        <w:t>供应商应对磋商项目提供完整的详细的实施方案。</w:t>
      </w:r>
    </w:p>
    <w:p>
      <w:pPr>
        <w:pStyle w:val="24"/>
        <w:numPr>
          <w:ilvl w:val="2"/>
          <w:numId w:val="8"/>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所有响应文件应在磋商截止时间前送达磋商文件指定地点，交予采购代理机构专职负责人,任何迟于这个时间的磋商将被拒绝。</w:t>
      </w:r>
    </w:p>
    <w:p>
      <w:pPr>
        <w:pStyle w:val="24"/>
        <w:numPr>
          <w:ilvl w:val="2"/>
          <w:numId w:val="8"/>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所有响应文件必须封入密封的信封或包装，在封口上加盖供应商公章，并在每一信封或包装的封面上写明</w:t>
      </w:r>
      <w:r>
        <w:rPr>
          <w:rFonts w:hint="eastAsia"/>
          <w:color w:val="auto"/>
          <w:sz w:val="21"/>
          <w:szCs w:val="21"/>
          <w:highlight w:val="none"/>
        </w:rPr>
        <w:t>项目名称，项目编号、</w:t>
      </w:r>
      <w:r>
        <w:rPr>
          <w:color w:val="auto"/>
          <w:sz w:val="21"/>
          <w:szCs w:val="21"/>
          <w:highlight w:val="none"/>
        </w:rPr>
        <w:t>供应商</w:t>
      </w:r>
      <w:r>
        <w:rPr>
          <w:rFonts w:hint="eastAsia"/>
          <w:color w:val="auto"/>
          <w:sz w:val="21"/>
          <w:szCs w:val="21"/>
          <w:highlight w:val="none"/>
        </w:rPr>
        <w:t>名称、联系人、联系电话、在投标截止时间前不能开启的内容。</w:t>
      </w:r>
    </w:p>
    <w:p>
      <w:pPr>
        <w:pStyle w:val="24"/>
        <w:numPr>
          <w:ilvl w:val="2"/>
          <w:numId w:val="8"/>
        </w:numPr>
        <w:tabs>
          <w:tab w:val="left" w:pos="1019"/>
        </w:tabs>
        <w:spacing w:line="360" w:lineRule="auto"/>
        <w:ind w:leftChars="200" w:right="220" w:rightChars="100" w:firstLine="0"/>
        <w:rPr>
          <w:color w:val="auto"/>
          <w:sz w:val="21"/>
          <w:szCs w:val="21"/>
          <w:highlight w:val="none"/>
        </w:rPr>
      </w:pPr>
      <w:r>
        <w:rPr>
          <w:color w:val="auto"/>
          <w:sz w:val="21"/>
          <w:szCs w:val="21"/>
          <w:highlight w:val="none"/>
        </w:rPr>
        <w:t>采购代理机构不接受电报、电话、电传、传真、邮寄方式参与磋商。</w:t>
      </w:r>
    </w:p>
    <w:p>
      <w:pPr>
        <w:pStyle w:val="7"/>
        <w:numPr>
          <w:ilvl w:val="1"/>
          <w:numId w:val="9"/>
        </w:numPr>
        <w:tabs>
          <w:tab w:val="left" w:pos="968"/>
        </w:tabs>
        <w:spacing w:line="360" w:lineRule="auto"/>
        <w:ind w:leftChars="200" w:right="220" w:rightChars="100"/>
        <w:jc w:val="both"/>
        <w:rPr>
          <w:color w:val="auto"/>
          <w:highlight w:val="none"/>
        </w:rPr>
      </w:pPr>
      <w:r>
        <w:rPr>
          <w:color w:val="auto"/>
          <w:highlight w:val="none"/>
        </w:rPr>
        <w:t>磋商有效期</w:t>
      </w:r>
    </w:p>
    <w:p>
      <w:pPr>
        <w:pStyle w:val="10"/>
        <w:spacing w:before="1" w:line="360" w:lineRule="auto"/>
        <w:ind w:left="440" w:leftChars="200" w:right="220" w:rightChars="100" w:firstLine="420"/>
        <w:jc w:val="both"/>
        <w:rPr>
          <w:color w:val="auto"/>
          <w:highlight w:val="none"/>
        </w:rPr>
      </w:pPr>
      <w:r>
        <w:rPr>
          <w:color w:val="auto"/>
          <w:spacing w:val="-8"/>
          <w:highlight w:val="none"/>
        </w:rPr>
        <w:t>从磋商截止日起，磋商有效期为</w:t>
      </w:r>
      <w:r>
        <w:rPr>
          <w:color w:val="auto"/>
          <w:highlight w:val="none"/>
        </w:rPr>
        <w:t>90</w:t>
      </w:r>
      <w:r>
        <w:rPr>
          <w:color w:val="auto"/>
          <w:spacing w:val="-11"/>
          <w:highlight w:val="none"/>
        </w:rPr>
        <w:t>天。在特殊情况下，采购代理机构可于磋商有效期满之前要求供应商同意延长有效期，要求与答复均应以书面形式。供应商可以拒绝上述要求而其保证金不被没收，同意延期的供应商根据原截止期所享有的权利及其所负有的义务相应也延至新的截止期。</w:t>
      </w:r>
    </w:p>
    <w:p>
      <w:pPr>
        <w:pStyle w:val="7"/>
        <w:numPr>
          <w:ilvl w:val="1"/>
          <w:numId w:val="9"/>
        </w:numPr>
        <w:tabs>
          <w:tab w:val="left" w:pos="968"/>
        </w:tabs>
        <w:spacing w:line="360" w:lineRule="auto"/>
        <w:ind w:leftChars="200" w:right="220" w:rightChars="100"/>
        <w:jc w:val="both"/>
        <w:rPr>
          <w:color w:val="auto"/>
          <w:highlight w:val="none"/>
        </w:rPr>
      </w:pPr>
      <w:r>
        <w:rPr>
          <w:color w:val="auto"/>
          <w:highlight w:val="none"/>
        </w:rPr>
        <w:t>保证金</w:t>
      </w:r>
    </w:p>
    <w:p>
      <w:pPr>
        <w:pStyle w:val="10"/>
        <w:spacing w:before="1" w:line="360" w:lineRule="auto"/>
        <w:ind w:left="440" w:leftChars="200" w:right="220" w:rightChars="100"/>
        <w:rPr>
          <w:rFonts w:asciiTheme="minorEastAsia" w:hAnsiTheme="minorEastAsia" w:eastAsiaTheme="minorEastAsia" w:cstheme="minorEastAsia"/>
          <w:color w:val="auto"/>
          <w:highlight w:val="none"/>
          <w:lang w:val="en-US"/>
        </w:rPr>
      </w:pPr>
      <w:r>
        <w:rPr>
          <w:rFonts w:hint="eastAsia" w:asciiTheme="minorEastAsia" w:hAnsiTheme="minorEastAsia" w:eastAsiaTheme="minorEastAsia" w:cstheme="minorEastAsia"/>
          <w:color w:val="auto"/>
          <w:highlight w:val="none"/>
          <w:lang w:val="en-US"/>
        </w:rPr>
        <w:t>本项目不需要提供投标保证金</w:t>
      </w:r>
    </w:p>
    <w:p>
      <w:pPr>
        <w:pStyle w:val="7"/>
        <w:numPr>
          <w:ilvl w:val="0"/>
          <w:numId w:val="5"/>
        </w:numPr>
        <w:tabs>
          <w:tab w:val="left" w:pos="757"/>
        </w:tabs>
        <w:spacing w:line="360" w:lineRule="auto"/>
        <w:ind w:left="968" w:leftChars="200" w:right="220" w:rightChars="100"/>
        <w:jc w:val="both"/>
        <w:rPr>
          <w:color w:val="auto"/>
          <w:highlight w:val="none"/>
        </w:rPr>
      </w:pPr>
      <w:bookmarkStart w:id="6" w:name="5__磋商、成交与签约"/>
      <w:bookmarkEnd w:id="6"/>
      <w:r>
        <w:rPr>
          <w:color w:val="auto"/>
          <w:highlight w:val="none"/>
        </w:rPr>
        <w:t>磋商、成交与签约</w:t>
      </w:r>
    </w:p>
    <w:p>
      <w:pPr>
        <w:pStyle w:val="7"/>
        <w:numPr>
          <w:ilvl w:val="1"/>
          <w:numId w:val="5"/>
        </w:numPr>
        <w:tabs>
          <w:tab w:val="left" w:pos="968"/>
        </w:tabs>
        <w:spacing w:line="360" w:lineRule="auto"/>
        <w:ind w:left="968" w:leftChars="200" w:right="220" w:rightChars="100" w:hanging="528"/>
        <w:jc w:val="both"/>
        <w:rPr>
          <w:color w:val="auto"/>
          <w:highlight w:val="none"/>
        </w:rPr>
      </w:pPr>
      <w:r>
        <w:rPr>
          <w:color w:val="auto"/>
          <w:highlight w:val="none"/>
        </w:rPr>
        <w:t>磋商</w:t>
      </w:r>
    </w:p>
    <w:p>
      <w:pPr>
        <w:pStyle w:val="10"/>
        <w:spacing w:line="360" w:lineRule="auto"/>
        <w:ind w:left="440" w:leftChars="200" w:right="220" w:rightChars="100"/>
        <w:rPr>
          <w:color w:val="auto"/>
          <w:highlight w:val="none"/>
        </w:rPr>
      </w:pPr>
      <w:r>
        <w:rPr>
          <w:color w:val="auto"/>
          <w:highlight w:val="none"/>
        </w:rPr>
        <w:t>详见《第五章磋商细则》</w:t>
      </w:r>
    </w:p>
    <w:p>
      <w:pPr>
        <w:pStyle w:val="7"/>
        <w:numPr>
          <w:ilvl w:val="1"/>
          <w:numId w:val="10"/>
        </w:numPr>
        <w:tabs>
          <w:tab w:val="left" w:pos="968"/>
        </w:tabs>
        <w:spacing w:line="360" w:lineRule="auto"/>
        <w:ind w:leftChars="200" w:right="220" w:rightChars="100"/>
        <w:jc w:val="both"/>
        <w:rPr>
          <w:color w:val="auto"/>
          <w:highlight w:val="none"/>
        </w:rPr>
      </w:pPr>
      <w:r>
        <w:rPr>
          <w:color w:val="auto"/>
          <w:highlight w:val="none"/>
        </w:rPr>
        <w:t>定标与签约</w:t>
      </w:r>
    </w:p>
    <w:p>
      <w:pPr>
        <w:pStyle w:val="24"/>
        <w:numPr>
          <w:ilvl w:val="2"/>
          <w:numId w:val="10"/>
        </w:numPr>
        <w:tabs>
          <w:tab w:val="left" w:pos="1069"/>
        </w:tabs>
        <w:spacing w:before="1" w:line="360" w:lineRule="auto"/>
        <w:ind w:leftChars="200" w:right="220" w:rightChars="100" w:firstLine="0"/>
        <w:jc w:val="both"/>
        <w:rPr>
          <w:color w:val="auto"/>
          <w:sz w:val="21"/>
          <w:szCs w:val="21"/>
          <w:highlight w:val="none"/>
        </w:rPr>
      </w:pPr>
      <w:r>
        <w:rPr>
          <w:color w:val="auto"/>
          <w:spacing w:val="-2"/>
          <w:sz w:val="21"/>
          <w:szCs w:val="21"/>
          <w:highlight w:val="none"/>
        </w:rPr>
        <w:t>评审结果确定后，如有需要，采购代理机构应通知评委会推荐的成交候选人在</w:t>
      </w:r>
      <w:r>
        <w:rPr>
          <w:color w:val="auto"/>
          <w:sz w:val="21"/>
          <w:szCs w:val="21"/>
          <w:highlight w:val="none"/>
        </w:rPr>
        <w:t>2</w:t>
      </w:r>
      <w:r>
        <w:rPr>
          <w:color w:val="auto"/>
          <w:spacing w:val="-12"/>
          <w:sz w:val="21"/>
          <w:szCs w:val="21"/>
          <w:highlight w:val="none"/>
        </w:rPr>
        <w:t>个工作日内，按响应文件中所列的相关证件、证明文件、合同的原件送采购人核对与供应商响应文件</w:t>
      </w:r>
      <w:r>
        <w:rPr>
          <w:color w:val="auto"/>
          <w:spacing w:val="-14"/>
          <w:sz w:val="21"/>
          <w:szCs w:val="21"/>
          <w:highlight w:val="none"/>
        </w:rPr>
        <w:t>中的复印件是否一致。采购人在接到原件之日起</w:t>
      </w:r>
      <w:r>
        <w:rPr>
          <w:color w:val="auto"/>
          <w:sz w:val="21"/>
          <w:szCs w:val="21"/>
          <w:highlight w:val="none"/>
        </w:rPr>
        <w:t>3</w:t>
      </w:r>
      <w:r>
        <w:rPr>
          <w:color w:val="auto"/>
          <w:spacing w:val="-7"/>
          <w:sz w:val="21"/>
          <w:szCs w:val="21"/>
          <w:highlight w:val="none"/>
        </w:rPr>
        <w:t>个工作日内，核对没有不一致的，须确认成交的供应商；核对发现有不一致或供应商无正当理由不按时提供原件的，书面向采购代理机构提出，并报同级财政部门核实后按无效磋商处理。</w:t>
      </w:r>
    </w:p>
    <w:p>
      <w:pPr>
        <w:pStyle w:val="24"/>
        <w:numPr>
          <w:ilvl w:val="2"/>
          <w:numId w:val="10"/>
        </w:numPr>
        <w:tabs>
          <w:tab w:val="left" w:pos="1019"/>
        </w:tabs>
        <w:spacing w:line="360" w:lineRule="auto"/>
        <w:ind w:leftChars="200" w:right="220" w:rightChars="100" w:firstLine="0"/>
        <w:jc w:val="both"/>
        <w:rPr>
          <w:color w:val="auto"/>
          <w:sz w:val="21"/>
          <w:szCs w:val="21"/>
          <w:highlight w:val="none"/>
        </w:rPr>
      </w:pPr>
      <w:r>
        <w:rPr>
          <w:color w:val="auto"/>
          <w:sz w:val="21"/>
          <w:szCs w:val="21"/>
          <w:highlight w:val="none"/>
        </w:rPr>
        <w:t>采购人确认结果后，采购代理机构将成交结果以</w:t>
      </w:r>
      <w:r>
        <w:rPr>
          <w:rFonts w:hint="eastAsia"/>
          <w:color w:val="auto"/>
          <w:sz w:val="21"/>
          <w:szCs w:val="21"/>
          <w:highlight w:val="none"/>
        </w:rPr>
        <w:t>书面</w:t>
      </w:r>
      <w:r>
        <w:rPr>
          <w:color w:val="auto"/>
          <w:sz w:val="21"/>
          <w:szCs w:val="21"/>
          <w:highlight w:val="none"/>
        </w:rPr>
        <w:t>的方式通知所有未成交的供应商，并向成交供应商发出《成交通知书》。</w:t>
      </w:r>
    </w:p>
    <w:p>
      <w:pPr>
        <w:pStyle w:val="24"/>
        <w:numPr>
          <w:ilvl w:val="2"/>
          <w:numId w:val="10"/>
        </w:numPr>
        <w:tabs>
          <w:tab w:val="left" w:pos="1069"/>
        </w:tabs>
        <w:spacing w:line="360" w:lineRule="auto"/>
        <w:ind w:left="440" w:leftChars="200" w:right="220" w:rightChars="100"/>
        <w:jc w:val="both"/>
        <w:rPr>
          <w:color w:val="auto"/>
          <w:sz w:val="21"/>
          <w:szCs w:val="21"/>
          <w:highlight w:val="none"/>
        </w:rPr>
      </w:pPr>
      <w:r>
        <w:rPr>
          <w:color w:val="auto"/>
          <w:sz w:val="21"/>
          <w:szCs w:val="21"/>
          <w:highlight w:val="none"/>
        </w:rPr>
        <w:t>成交供应商应在规定时间内与采购人签订合同。</w:t>
      </w:r>
    </w:p>
    <w:p>
      <w:pPr>
        <w:pStyle w:val="24"/>
        <w:numPr>
          <w:ilvl w:val="2"/>
          <w:numId w:val="10"/>
        </w:numPr>
        <w:tabs>
          <w:tab w:val="left" w:pos="1069"/>
        </w:tabs>
        <w:spacing w:before="1" w:line="360" w:lineRule="auto"/>
        <w:ind w:leftChars="200" w:right="220" w:rightChars="100" w:firstLine="0"/>
        <w:jc w:val="both"/>
        <w:rPr>
          <w:color w:val="auto"/>
          <w:highlight w:val="none"/>
        </w:rPr>
      </w:pPr>
      <w:r>
        <w:rPr>
          <w:color w:val="auto"/>
          <w:sz w:val="21"/>
          <w:szCs w:val="21"/>
          <w:highlight w:val="none"/>
        </w:rPr>
        <w:t>在订定合同过程中，如发现成交供应商以他人名义参与磋商或者以其他方式弄虚作假，骗取成交的，采购人有权取消其成交资格，并将第二成交候选人确定为成交供应商，依此类推。</w:t>
      </w:r>
    </w:p>
    <w:p>
      <w:pPr>
        <w:pStyle w:val="7"/>
        <w:numPr>
          <w:ilvl w:val="0"/>
          <w:numId w:val="5"/>
        </w:numPr>
        <w:tabs>
          <w:tab w:val="left" w:pos="756"/>
          <w:tab w:val="left" w:pos="757"/>
        </w:tabs>
        <w:spacing w:before="70" w:line="360" w:lineRule="auto"/>
        <w:ind w:left="968" w:leftChars="200" w:right="220" w:rightChars="100"/>
        <w:rPr>
          <w:color w:val="auto"/>
          <w:highlight w:val="none"/>
        </w:rPr>
      </w:pPr>
      <w:r>
        <w:rPr>
          <w:color w:val="auto"/>
          <w:highlight w:val="none"/>
        </w:rPr>
        <w:t>采购代理服务费</w:t>
      </w:r>
    </w:p>
    <w:p>
      <w:pPr>
        <w:pStyle w:val="10"/>
        <w:spacing w:before="1" w:line="360" w:lineRule="auto"/>
        <w:ind w:left="440" w:leftChars="200" w:right="220" w:rightChars="100"/>
        <w:rPr>
          <w:color w:val="auto"/>
          <w:highlight w:val="none"/>
        </w:rPr>
      </w:pPr>
      <w:r>
        <w:rPr>
          <w:rFonts w:hint="eastAsia"/>
          <w:color w:val="auto"/>
          <w:highlight w:val="none"/>
          <w:lang w:val="en-US"/>
        </w:rPr>
        <w:t>6.1</w:t>
      </w:r>
      <w:r>
        <w:rPr>
          <w:rFonts w:hint="eastAsia"/>
          <w:color w:val="auto"/>
          <w:highlight w:val="none"/>
        </w:rPr>
        <w:t>本项目</w:t>
      </w:r>
      <w:r>
        <w:rPr>
          <w:color w:val="auto"/>
          <w:highlight w:val="none"/>
        </w:rPr>
        <w:t>招标代理服务费</w:t>
      </w:r>
      <w:r>
        <w:rPr>
          <w:rFonts w:hint="eastAsia"/>
          <w:color w:val="auto"/>
          <w:highlight w:val="none"/>
        </w:rPr>
        <w:t>由</w:t>
      </w:r>
      <w:r>
        <w:rPr>
          <w:rFonts w:hint="eastAsia"/>
          <w:color w:val="auto"/>
          <w:highlight w:val="none"/>
          <w:lang w:eastAsia="zh-CN"/>
        </w:rPr>
        <w:t>中标人</w:t>
      </w:r>
      <w:r>
        <w:rPr>
          <w:rFonts w:hint="eastAsia"/>
          <w:color w:val="auto"/>
          <w:highlight w:val="none"/>
        </w:rPr>
        <w:t>支付给招标代理机构。</w:t>
      </w:r>
    </w:p>
    <w:p>
      <w:pPr>
        <w:pStyle w:val="7"/>
        <w:numPr>
          <w:ilvl w:val="0"/>
          <w:numId w:val="5"/>
        </w:numPr>
        <w:tabs>
          <w:tab w:val="left" w:pos="756"/>
          <w:tab w:val="left" w:pos="757"/>
        </w:tabs>
        <w:spacing w:before="70" w:line="360" w:lineRule="auto"/>
        <w:ind w:left="968" w:leftChars="200" w:right="220" w:rightChars="100"/>
        <w:rPr>
          <w:color w:val="auto"/>
          <w:highlight w:val="none"/>
        </w:rPr>
      </w:pPr>
      <w:bookmarkStart w:id="7" w:name="8__询问、质疑"/>
      <w:bookmarkEnd w:id="7"/>
      <w:bookmarkStart w:id="8" w:name="7__公共资源交易服务费"/>
      <w:bookmarkEnd w:id="8"/>
      <w:bookmarkStart w:id="9" w:name="第三章_采购人需求"/>
      <w:bookmarkEnd w:id="9"/>
      <w:r>
        <w:rPr>
          <w:color w:val="auto"/>
          <w:highlight w:val="none"/>
        </w:rPr>
        <w:t>询问、质疑</w:t>
      </w:r>
    </w:p>
    <w:p>
      <w:pPr>
        <w:pStyle w:val="24"/>
        <w:numPr>
          <w:ilvl w:val="1"/>
          <w:numId w:val="5"/>
        </w:numPr>
        <w:tabs>
          <w:tab w:val="left" w:pos="1230"/>
        </w:tabs>
        <w:spacing w:line="360" w:lineRule="auto"/>
        <w:ind w:leftChars="200" w:right="220" w:rightChars="100" w:firstLine="420"/>
        <w:rPr>
          <w:color w:val="auto"/>
          <w:sz w:val="21"/>
          <w:szCs w:val="21"/>
          <w:highlight w:val="none"/>
        </w:rPr>
      </w:pPr>
      <w:r>
        <w:rPr>
          <w:color w:val="auto"/>
          <w:sz w:val="21"/>
          <w:szCs w:val="21"/>
          <w:highlight w:val="none"/>
        </w:rPr>
        <w:t>供应商可以向代理机构提出询问和质疑，代理机构依照相关规定就采购人委托授权范围内的事项作出答复。</w:t>
      </w:r>
    </w:p>
    <w:p>
      <w:pPr>
        <w:pStyle w:val="24"/>
        <w:numPr>
          <w:ilvl w:val="1"/>
          <w:numId w:val="5"/>
        </w:numPr>
        <w:tabs>
          <w:tab w:val="left" w:pos="1230"/>
        </w:tabs>
        <w:spacing w:before="50" w:line="360" w:lineRule="auto"/>
        <w:ind w:leftChars="200" w:right="220" w:rightChars="100" w:firstLine="420"/>
        <w:rPr>
          <w:color w:val="auto"/>
          <w:sz w:val="21"/>
          <w:szCs w:val="21"/>
          <w:highlight w:val="none"/>
        </w:rPr>
      </w:pPr>
      <w:r>
        <w:rPr>
          <w:color w:val="auto"/>
          <w:sz w:val="21"/>
          <w:szCs w:val="21"/>
          <w:highlight w:val="none"/>
        </w:rPr>
        <w:t>供应商认为磋商文件的内容损害其权益的，可以在磋商文件公示期间或者自期满之日</w:t>
      </w:r>
      <w:r>
        <w:rPr>
          <w:color w:val="auto"/>
          <w:spacing w:val="-27"/>
          <w:sz w:val="21"/>
          <w:szCs w:val="21"/>
          <w:highlight w:val="none"/>
        </w:rPr>
        <w:t>起</w:t>
      </w:r>
      <w:r>
        <w:rPr>
          <w:color w:val="auto"/>
          <w:sz w:val="21"/>
          <w:szCs w:val="21"/>
          <w:highlight w:val="none"/>
        </w:rPr>
        <w:t>7</w:t>
      </w:r>
      <w:r>
        <w:rPr>
          <w:color w:val="auto"/>
          <w:spacing w:val="-8"/>
          <w:sz w:val="21"/>
          <w:szCs w:val="21"/>
          <w:highlight w:val="none"/>
        </w:rPr>
        <w:t>个工作日内以书面形式向采购人或代理机构提出质疑，逾期质疑无效。</w:t>
      </w:r>
    </w:p>
    <w:p>
      <w:pPr>
        <w:pStyle w:val="24"/>
        <w:numPr>
          <w:ilvl w:val="1"/>
          <w:numId w:val="5"/>
        </w:numPr>
        <w:tabs>
          <w:tab w:val="left" w:pos="1230"/>
        </w:tabs>
        <w:spacing w:line="360" w:lineRule="auto"/>
        <w:ind w:leftChars="200" w:right="220" w:rightChars="100" w:firstLine="420"/>
        <w:jc w:val="both"/>
        <w:rPr>
          <w:color w:val="auto"/>
          <w:sz w:val="21"/>
          <w:szCs w:val="21"/>
          <w:highlight w:val="none"/>
        </w:rPr>
      </w:pPr>
      <w:r>
        <w:rPr>
          <w:color w:val="auto"/>
          <w:sz w:val="21"/>
          <w:szCs w:val="21"/>
          <w:highlight w:val="none"/>
        </w:rPr>
        <w:t>供应商在法定质疑期内须一次性提出针对同一采购程序环节的质疑。</w:t>
      </w:r>
    </w:p>
    <w:p>
      <w:pPr>
        <w:pStyle w:val="24"/>
        <w:numPr>
          <w:ilvl w:val="1"/>
          <w:numId w:val="5"/>
        </w:numPr>
        <w:tabs>
          <w:tab w:val="left" w:pos="1230"/>
        </w:tabs>
        <w:spacing w:line="360" w:lineRule="auto"/>
        <w:ind w:leftChars="200" w:right="220" w:rightChars="100" w:firstLine="420"/>
        <w:jc w:val="both"/>
        <w:rPr>
          <w:color w:val="auto"/>
          <w:sz w:val="21"/>
          <w:szCs w:val="21"/>
          <w:highlight w:val="none"/>
        </w:rPr>
      </w:pPr>
      <w:r>
        <w:rPr>
          <w:color w:val="auto"/>
          <w:sz w:val="21"/>
          <w:szCs w:val="21"/>
          <w:highlight w:val="none"/>
        </w:rPr>
        <w:t>供应商认为磋商过程和中选结果使自己的权益受到损害的，可以在知道或者应知其权</w:t>
      </w:r>
      <w:r>
        <w:rPr>
          <w:color w:val="auto"/>
          <w:spacing w:val="-7"/>
          <w:sz w:val="21"/>
          <w:szCs w:val="21"/>
          <w:highlight w:val="none"/>
        </w:rPr>
        <w:t>益受到损害之日起</w:t>
      </w:r>
      <w:r>
        <w:rPr>
          <w:color w:val="auto"/>
          <w:sz w:val="21"/>
          <w:szCs w:val="21"/>
          <w:highlight w:val="none"/>
        </w:rPr>
        <w:t>7</w:t>
      </w:r>
      <w:r>
        <w:rPr>
          <w:color w:val="auto"/>
          <w:spacing w:val="-9"/>
          <w:sz w:val="21"/>
          <w:szCs w:val="21"/>
          <w:highlight w:val="none"/>
        </w:rPr>
        <w:t>个工作日内，以书面形式向采购人或代理机构提出质疑，逾期质疑无效。</w:t>
      </w:r>
    </w:p>
    <w:p>
      <w:pPr>
        <w:pStyle w:val="24"/>
        <w:numPr>
          <w:ilvl w:val="1"/>
          <w:numId w:val="5"/>
        </w:numPr>
        <w:tabs>
          <w:tab w:val="left" w:pos="1230"/>
        </w:tabs>
        <w:spacing w:before="50" w:line="360" w:lineRule="auto"/>
        <w:ind w:leftChars="200" w:right="220" w:rightChars="100" w:firstLine="420"/>
        <w:jc w:val="both"/>
        <w:rPr>
          <w:color w:val="auto"/>
          <w:sz w:val="21"/>
          <w:szCs w:val="21"/>
          <w:highlight w:val="none"/>
        </w:rPr>
      </w:pPr>
      <w:r>
        <w:rPr>
          <w:color w:val="auto"/>
          <w:sz w:val="21"/>
          <w:szCs w:val="21"/>
          <w:highlight w:val="none"/>
        </w:rPr>
        <w:t>质疑函应当署名。质疑供应商为自然人的，应当由本人签字并以右手食指手指手印作为确认；质疑供应商为法人或者其他组织的，应当由法定代表人签字并加盖公章。质疑内容不得含有虚假、恶意成份。依照谁主张谁举证的原则，提出质疑者必须同时提交相关确凿的证据材料和注明证据的确切来源，证据来源必须合法，代理机构有权将质疑函转发质疑事项各关联方，请其作出解释说明。对捏造事实、滥用维权扰乱采购秩序的恶意质疑者，将上报政府采购监督管理部门依法处理。</w:t>
      </w:r>
    </w:p>
    <w:p>
      <w:pPr>
        <w:pStyle w:val="24"/>
        <w:numPr>
          <w:ilvl w:val="1"/>
          <w:numId w:val="5"/>
        </w:numPr>
        <w:tabs>
          <w:tab w:val="left" w:pos="1230"/>
        </w:tabs>
        <w:spacing w:before="47" w:line="360" w:lineRule="auto"/>
        <w:ind w:leftChars="200" w:right="220" w:rightChars="100" w:firstLine="420"/>
        <w:jc w:val="both"/>
        <w:rPr>
          <w:color w:val="auto"/>
          <w:sz w:val="21"/>
          <w:szCs w:val="21"/>
          <w:highlight w:val="none"/>
        </w:rPr>
      </w:pPr>
      <w:r>
        <w:rPr>
          <w:color w:val="auto"/>
          <w:sz w:val="21"/>
          <w:szCs w:val="21"/>
          <w:highlight w:val="none"/>
        </w:rPr>
        <w:t>质疑供应商对采购人、代理机构的质疑答复不满意，或者采购人、代理机构未在规定期限内作出答复的，可以在答复期满后15个工作日内向采购人的同级政府采购监督管理部门提起投诉。</w:t>
      </w:r>
    </w:p>
    <w:p>
      <w:pPr>
        <w:pStyle w:val="24"/>
        <w:numPr>
          <w:ilvl w:val="1"/>
          <w:numId w:val="5"/>
        </w:numPr>
        <w:tabs>
          <w:tab w:val="left" w:pos="1230"/>
        </w:tabs>
        <w:spacing w:before="47" w:line="360" w:lineRule="auto"/>
        <w:ind w:leftChars="200" w:right="220" w:rightChars="100" w:firstLine="420"/>
        <w:jc w:val="both"/>
        <w:rPr>
          <w:color w:val="auto"/>
          <w:sz w:val="21"/>
          <w:szCs w:val="21"/>
          <w:highlight w:val="none"/>
        </w:rPr>
      </w:pPr>
      <w:r>
        <w:rPr>
          <w:color w:val="auto"/>
          <w:sz w:val="21"/>
          <w:szCs w:val="21"/>
          <w:highlight w:val="none"/>
        </w:rPr>
        <w:t>询问及质疑函应按相应格式进行填写及签署，并递交书面文件至代理机构，没有签署的质疑函将不予受理。</w:t>
      </w:r>
    </w:p>
    <w:p>
      <w:pPr>
        <w:pStyle w:val="24"/>
        <w:numPr>
          <w:ilvl w:val="1"/>
          <w:numId w:val="5"/>
        </w:numPr>
        <w:tabs>
          <w:tab w:val="left" w:pos="1230"/>
        </w:tabs>
        <w:spacing w:before="47" w:line="360" w:lineRule="auto"/>
        <w:ind w:leftChars="200" w:right="220" w:rightChars="100" w:firstLine="420"/>
        <w:jc w:val="both"/>
        <w:rPr>
          <w:color w:val="auto"/>
          <w:sz w:val="21"/>
          <w:szCs w:val="21"/>
          <w:highlight w:val="none"/>
        </w:rPr>
      </w:pPr>
      <w:r>
        <w:rPr>
          <w:color w:val="auto"/>
          <w:sz w:val="21"/>
          <w:szCs w:val="21"/>
          <w:highlight w:val="none"/>
        </w:rPr>
        <w:t>询问、质疑受理单位：</w:t>
      </w:r>
      <w:r>
        <w:rPr>
          <w:rFonts w:hint="eastAsia"/>
          <w:color w:val="auto"/>
          <w:sz w:val="21"/>
          <w:szCs w:val="21"/>
          <w:highlight w:val="none"/>
        </w:rPr>
        <w:t>广东富信建设管理有限公司。</w:t>
      </w:r>
    </w:p>
    <w:p>
      <w:pPr>
        <w:pStyle w:val="24"/>
        <w:numPr>
          <w:ilvl w:val="1"/>
          <w:numId w:val="5"/>
        </w:numPr>
        <w:tabs>
          <w:tab w:val="left" w:pos="1230"/>
        </w:tabs>
        <w:spacing w:before="47" w:line="360" w:lineRule="auto"/>
        <w:ind w:leftChars="200" w:right="220" w:rightChars="100" w:firstLine="420"/>
        <w:jc w:val="both"/>
        <w:rPr>
          <w:color w:val="auto"/>
          <w:sz w:val="21"/>
          <w:szCs w:val="21"/>
          <w:highlight w:val="none"/>
        </w:rPr>
      </w:pPr>
      <w:r>
        <w:rPr>
          <w:color w:val="auto"/>
          <w:sz w:val="21"/>
          <w:szCs w:val="21"/>
          <w:highlight w:val="none"/>
        </w:rPr>
        <w:t>投诉受理单位：</w:t>
      </w:r>
      <w:r>
        <w:rPr>
          <w:rFonts w:hint="eastAsia"/>
          <w:color w:val="auto"/>
          <w:sz w:val="21"/>
          <w:szCs w:val="21"/>
          <w:highlight w:val="none"/>
        </w:rPr>
        <w:t>广州市天河区文化广电旅游体育局。</w:t>
      </w:r>
    </w:p>
    <w:p>
      <w:pPr>
        <w:spacing w:line="417" w:lineRule="auto"/>
        <w:jc w:val="both"/>
        <w:rPr>
          <w:color w:val="auto"/>
          <w:sz w:val="21"/>
          <w:szCs w:val="21"/>
          <w:highlight w:val="none"/>
        </w:rPr>
        <w:sectPr>
          <w:footerReference r:id="rId7" w:type="default"/>
          <w:pgSz w:w="12240" w:h="15840"/>
          <w:pgMar w:top="1380" w:right="900" w:bottom="880" w:left="1360" w:header="746" w:footer="688" w:gutter="0"/>
          <w:cols w:space="720" w:num="1"/>
        </w:sectPr>
      </w:pPr>
    </w:p>
    <w:p>
      <w:pPr>
        <w:pStyle w:val="10"/>
        <w:rPr>
          <w:color w:val="auto"/>
          <w:sz w:val="20"/>
          <w:highlight w:val="none"/>
        </w:rPr>
      </w:pPr>
      <w:bookmarkStart w:id="10" w:name="6__采购代理服务费"/>
      <w:bookmarkEnd w:id="10"/>
    </w:p>
    <w:p>
      <w:pPr>
        <w:pStyle w:val="10"/>
        <w:spacing w:before="6"/>
        <w:rPr>
          <w:color w:val="auto"/>
          <w:sz w:val="15"/>
          <w:highlight w:val="none"/>
        </w:rPr>
      </w:pPr>
    </w:p>
    <w:p>
      <w:pPr>
        <w:pStyle w:val="2"/>
        <w:ind w:left="169" w:leftChars="77" w:right="646"/>
        <w:rPr>
          <w:color w:val="auto"/>
          <w:highlight w:val="none"/>
        </w:rPr>
      </w:pPr>
      <w:bookmarkStart w:id="11" w:name="_bookmark2"/>
      <w:bookmarkEnd w:id="11"/>
      <w:r>
        <w:rPr>
          <w:color w:val="auto"/>
          <w:highlight w:val="none"/>
        </w:rPr>
        <w:t>第三章采购人需求</w:t>
      </w:r>
    </w:p>
    <w:p>
      <w:pPr>
        <w:pStyle w:val="38"/>
        <w:numPr>
          <w:ilvl w:val="0"/>
          <w:numId w:val="11"/>
        </w:numPr>
        <w:spacing w:line="360" w:lineRule="auto"/>
        <w:ind w:left="220" w:leftChars="100" w:right="567"/>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项目</w:t>
      </w:r>
      <w:r>
        <w:rPr>
          <w:rFonts w:asciiTheme="minorEastAsia" w:hAnsiTheme="minorEastAsia" w:eastAsiaTheme="minorEastAsia"/>
          <w:b/>
          <w:color w:val="auto"/>
          <w:sz w:val="21"/>
          <w:szCs w:val="21"/>
          <w:highlight w:val="none"/>
        </w:rPr>
        <w:t>背景</w:t>
      </w:r>
    </w:p>
    <w:p>
      <w:pPr>
        <w:spacing w:line="360" w:lineRule="auto"/>
        <w:ind w:left="220" w:leftChars="100" w:right="567" w:firstLine="56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随着城市更新改造步伐和现代化进程的加快，社会对文物保护的认识和要求越来越高，天河区的文物保护和抢救工作也日益繁重。天河区现有</w:t>
      </w:r>
      <w:r>
        <w:rPr>
          <w:rFonts w:asciiTheme="minorEastAsia" w:hAnsiTheme="minorEastAsia" w:eastAsiaTheme="minorEastAsia"/>
          <w:color w:val="auto"/>
          <w:sz w:val="21"/>
          <w:szCs w:val="21"/>
          <w:highlight w:val="none"/>
        </w:rPr>
        <w:t>229处文物（296个单体）</w:t>
      </w:r>
      <w:r>
        <w:rPr>
          <w:rFonts w:hint="eastAsia" w:asciiTheme="minorEastAsia" w:hAnsiTheme="minorEastAsia" w:eastAsiaTheme="minorEastAsia"/>
          <w:color w:val="auto"/>
          <w:sz w:val="21"/>
          <w:szCs w:val="21"/>
          <w:highlight w:val="none"/>
        </w:rPr>
        <w:t>，分布在2</w:t>
      </w:r>
      <w:r>
        <w:rPr>
          <w:rFonts w:asciiTheme="minorEastAsia" w:hAnsiTheme="minorEastAsia" w:eastAsiaTheme="minorEastAsia"/>
          <w:color w:val="auto"/>
          <w:sz w:val="21"/>
          <w:szCs w:val="21"/>
          <w:highlight w:val="none"/>
        </w:rPr>
        <w:t>0</w:t>
      </w:r>
      <w:r>
        <w:rPr>
          <w:rFonts w:hint="eastAsia" w:asciiTheme="minorEastAsia" w:hAnsiTheme="minorEastAsia" w:eastAsiaTheme="minorEastAsia"/>
          <w:color w:val="auto"/>
          <w:sz w:val="21"/>
          <w:szCs w:val="21"/>
          <w:highlight w:val="none"/>
        </w:rPr>
        <w:t>条街道，大量的城市基础设施建设和自然损毁等因素时刻威胁着文物安全。因此，加强文物安全巡查，在巡查基础上形成科学评估，对我区不可移动文物及时开展保养、修缮、抢救等补救性措施，加大人力物力投入，做好安全防患工作成了当下文物保护工作的首要任务。</w:t>
      </w:r>
    </w:p>
    <w:p>
      <w:pPr>
        <w:spacing w:line="360" w:lineRule="auto"/>
        <w:ind w:left="220" w:leftChars="100" w:right="567" w:firstLine="560"/>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根据《广州市文物保护规定》《广州市文化</w:t>
      </w:r>
      <w:r>
        <w:rPr>
          <w:rFonts w:hint="eastAsia" w:asciiTheme="minorEastAsia" w:hAnsiTheme="minorEastAsia" w:eastAsiaTheme="minorEastAsia"/>
          <w:color w:val="auto"/>
          <w:sz w:val="21"/>
          <w:szCs w:val="21"/>
          <w:highlight w:val="none"/>
          <w:lang w:val="en-US"/>
        </w:rPr>
        <w:t>广电</w:t>
      </w:r>
      <w:r>
        <w:rPr>
          <w:rFonts w:hint="eastAsia" w:asciiTheme="minorEastAsia" w:hAnsiTheme="minorEastAsia" w:eastAsiaTheme="minorEastAsia"/>
          <w:color w:val="auto"/>
          <w:sz w:val="21"/>
          <w:szCs w:val="21"/>
          <w:highlight w:val="none"/>
        </w:rPr>
        <w:t>新闻</w:t>
      </w:r>
      <w:r>
        <w:rPr>
          <w:rFonts w:hint="eastAsia" w:asciiTheme="minorEastAsia" w:hAnsiTheme="minorEastAsia" w:eastAsiaTheme="minorEastAsia"/>
          <w:color w:val="auto"/>
          <w:sz w:val="21"/>
          <w:szCs w:val="21"/>
          <w:highlight w:val="none"/>
          <w:lang w:val="en-US"/>
        </w:rPr>
        <w:t>出版</w:t>
      </w:r>
      <w:r>
        <w:rPr>
          <w:rFonts w:hint="eastAsia" w:asciiTheme="minorEastAsia" w:hAnsiTheme="minorEastAsia" w:eastAsiaTheme="minorEastAsia"/>
          <w:color w:val="auto"/>
          <w:sz w:val="21"/>
          <w:szCs w:val="21"/>
          <w:highlight w:val="none"/>
        </w:rPr>
        <w:t>局关于做好文物保护监督员招募及管理工作的意见》（穗文物〔2014〕650号）</w:t>
      </w:r>
      <w:r>
        <w:rPr>
          <w:rFonts w:hint="eastAsia" w:asciiTheme="minorEastAsia" w:hAnsiTheme="minorEastAsia" w:eastAsiaTheme="minorEastAsia"/>
          <w:color w:val="auto"/>
          <w:sz w:val="21"/>
          <w:szCs w:val="21"/>
          <w:highlight w:val="none"/>
          <w:lang w:eastAsia="zh-CN"/>
        </w:rPr>
        <w:t>、</w:t>
      </w:r>
      <w:r>
        <w:rPr>
          <w:rFonts w:hint="eastAsia"/>
          <w:color w:val="FF0000"/>
          <w:sz w:val="21"/>
          <w:szCs w:val="21"/>
          <w:highlight w:val="none"/>
          <w:lang w:eastAsia="zh-CN"/>
        </w:rPr>
        <w:t>《广州市文物监督员管理办法》（穗文广旅</w:t>
      </w:r>
      <w:r>
        <w:rPr>
          <w:rFonts w:hint="eastAsia" w:ascii="宋体" w:hAnsi="宋体" w:eastAsia="宋体"/>
          <w:color w:val="FF0000"/>
          <w:sz w:val="21"/>
          <w:szCs w:val="21"/>
          <w:highlight w:val="none"/>
        </w:rPr>
        <w:t>〔20</w:t>
      </w:r>
      <w:r>
        <w:rPr>
          <w:rFonts w:hint="eastAsia"/>
          <w:color w:val="FF0000"/>
          <w:sz w:val="21"/>
          <w:szCs w:val="21"/>
          <w:highlight w:val="none"/>
          <w:lang w:val="en-US" w:eastAsia="zh-CN"/>
        </w:rPr>
        <w:t>21</w:t>
      </w:r>
      <w:r>
        <w:rPr>
          <w:rFonts w:hint="eastAsia" w:ascii="宋体" w:hAnsi="宋体" w:eastAsia="宋体"/>
          <w:color w:val="FF0000"/>
          <w:sz w:val="21"/>
          <w:szCs w:val="21"/>
          <w:highlight w:val="none"/>
        </w:rPr>
        <w:t>〕</w:t>
      </w:r>
      <w:r>
        <w:rPr>
          <w:rFonts w:hint="eastAsia"/>
          <w:color w:val="FF0000"/>
          <w:sz w:val="21"/>
          <w:szCs w:val="21"/>
          <w:highlight w:val="none"/>
          <w:lang w:val="en-US" w:eastAsia="zh-CN"/>
        </w:rPr>
        <w:t>57号</w:t>
      </w:r>
      <w:r>
        <w:rPr>
          <w:rFonts w:hint="eastAsia"/>
          <w:color w:val="FF0000"/>
          <w:sz w:val="21"/>
          <w:szCs w:val="21"/>
          <w:highlight w:val="none"/>
          <w:lang w:eastAsia="zh-CN"/>
        </w:rPr>
        <w:t>）</w:t>
      </w:r>
      <w:r>
        <w:rPr>
          <w:rFonts w:hint="eastAsia" w:asciiTheme="minorEastAsia" w:hAnsiTheme="minorEastAsia" w:eastAsiaTheme="minorEastAsia"/>
          <w:color w:val="auto"/>
          <w:sz w:val="21"/>
          <w:szCs w:val="21"/>
          <w:highlight w:val="none"/>
          <w:lang w:eastAsia="zh-CN"/>
        </w:rPr>
        <w:t>等相关</w:t>
      </w:r>
      <w:r>
        <w:rPr>
          <w:rFonts w:hint="eastAsia" w:asciiTheme="minorEastAsia" w:hAnsiTheme="minorEastAsia" w:eastAsiaTheme="minorEastAsia"/>
          <w:color w:val="auto"/>
          <w:sz w:val="21"/>
          <w:szCs w:val="21"/>
          <w:highlight w:val="none"/>
        </w:rPr>
        <w:t>要求，结合天河区自身实际，拟向专业机构</w:t>
      </w:r>
      <w:r>
        <w:rPr>
          <w:rFonts w:hint="eastAsia" w:asciiTheme="minorEastAsia" w:hAnsiTheme="minorEastAsia" w:eastAsiaTheme="minorEastAsia"/>
          <w:b/>
          <w:bCs/>
          <w:color w:val="auto"/>
          <w:sz w:val="21"/>
          <w:szCs w:val="21"/>
          <w:highlight w:val="none"/>
        </w:rPr>
        <w:t>购买天河区文物监督保护工作服务</w:t>
      </w:r>
      <w:r>
        <w:rPr>
          <w:rFonts w:hint="eastAsia" w:asciiTheme="minorEastAsia" w:hAnsiTheme="minorEastAsia" w:eastAsiaTheme="minorEastAsia"/>
          <w:color w:val="auto"/>
          <w:sz w:val="21"/>
          <w:szCs w:val="21"/>
          <w:highlight w:val="none"/>
        </w:rPr>
        <w:t>,引进</w:t>
      </w:r>
      <w:r>
        <w:rPr>
          <w:rFonts w:hint="eastAsia" w:asciiTheme="minorEastAsia" w:hAnsiTheme="minorEastAsia" w:eastAsiaTheme="minorEastAsia"/>
          <w:color w:val="auto"/>
          <w:kern w:val="21"/>
          <w:sz w:val="21"/>
          <w:szCs w:val="21"/>
          <w:highlight w:val="none"/>
        </w:rPr>
        <w:t>专业技术团队</w:t>
      </w:r>
      <w:r>
        <w:rPr>
          <w:rFonts w:asciiTheme="minorEastAsia" w:hAnsiTheme="minorEastAsia" w:eastAsiaTheme="minorEastAsia"/>
          <w:color w:val="auto"/>
          <w:kern w:val="21"/>
          <w:sz w:val="21"/>
          <w:szCs w:val="21"/>
          <w:highlight w:val="none"/>
        </w:rPr>
        <w:t>，</w:t>
      </w:r>
      <w:r>
        <w:rPr>
          <w:rFonts w:hint="eastAsia" w:asciiTheme="minorEastAsia" w:hAnsiTheme="minorEastAsia" w:eastAsiaTheme="minorEastAsia"/>
          <w:color w:val="auto"/>
          <w:sz w:val="21"/>
          <w:szCs w:val="21"/>
          <w:highlight w:val="none"/>
        </w:rPr>
        <w:t>整合多方力量，</w:t>
      </w:r>
      <w:r>
        <w:rPr>
          <w:rFonts w:hint="eastAsia" w:asciiTheme="minorEastAsia" w:hAnsiTheme="minorEastAsia" w:eastAsiaTheme="minorEastAsia"/>
          <w:color w:val="auto"/>
          <w:kern w:val="21"/>
          <w:sz w:val="21"/>
          <w:szCs w:val="21"/>
          <w:highlight w:val="none"/>
        </w:rPr>
        <w:t>对区</w:t>
      </w:r>
      <w:r>
        <w:rPr>
          <w:rFonts w:hint="eastAsia" w:asciiTheme="minorEastAsia" w:hAnsiTheme="minorEastAsia" w:eastAsiaTheme="minorEastAsia"/>
          <w:color w:val="auto"/>
          <w:sz w:val="21"/>
          <w:szCs w:val="21"/>
          <w:highlight w:val="none"/>
        </w:rPr>
        <w:t>内</w:t>
      </w:r>
      <w:r>
        <w:rPr>
          <w:rFonts w:asciiTheme="minorEastAsia" w:hAnsiTheme="minorEastAsia" w:eastAsiaTheme="minorEastAsia"/>
          <w:color w:val="auto"/>
          <w:sz w:val="21"/>
          <w:szCs w:val="21"/>
          <w:highlight w:val="none"/>
        </w:rPr>
        <w:t>分片分</w:t>
      </w:r>
      <w:r>
        <w:rPr>
          <w:rFonts w:hint="eastAsia" w:asciiTheme="minorEastAsia" w:hAnsiTheme="minorEastAsia" w:eastAsiaTheme="minorEastAsia"/>
          <w:color w:val="auto"/>
          <w:sz w:val="21"/>
          <w:szCs w:val="21"/>
          <w:highlight w:val="none"/>
        </w:rPr>
        <w:t>社区实行</w:t>
      </w:r>
      <w:r>
        <w:rPr>
          <w:rFonts w:asciiTheme="minorEastAsia" w:hAnsiTheme="minorEastAsia" w:eastAsiaTheme="minorEastAsia"/>
          <w:color w:val="auto"/>
          <w:sz w:val="21"/>
          <w:szCs w:val="21"/>
          <w:highlight w:val="none"/>
        </w:rPr>
        <w:t>一对一的文物安全监管</w:t>
      </w:r>
      <w:r>
        <w:rPr>
          <w:rFonts w:hint="eastAsia" w:asciiTheme="minorEastAsia" w:hAnsiTheme="minorEastAsia" w:eastAsiaTheme="minorEastAsia"/>
          <w:color w:val="auto"/>
          <w:sz w:val="21"/>
          <w:szCs w:val="21"/>
          <w:highlight w:val="none"/>
        </w:rPr>
        <w:t>，建立</w:t>
      </w:r>
      <w:r>
        <w:rPr>
          <w:rFonts w:asciiTheme="minorEastAsia" w:hAnsiTheme="minorEastAsia" w:eastAsiaTheme="minorEastAsia"/>
          <w:color w:val="auto"/>
          <w:sz w:val="21"/>
          <w:szCs w:val="21"/>
          <w:highlight w:val="none"/>
        </w:rPr>
        <w:t>多层次、</w:t>
      </w:r>
      <w:r>
        <w:rPr>
          <w:rFonts w:hint="eastAsia" w:asciiTheme="minorEastAsia" w:hAnsiTheme="minorEastAsia" w:eastAsiaTheme="minorEastAsia"/>
          <w:color w:val="auto"/>
          <w:sz w:val="21"/>
          <w:szCs w:val="21"/>
          <w:highlight w:val="none"/>
        </w:rPr>
        <w:t>多方位</w:t>
      </w:r>
      <w:r>
        <w:rPr>
          <w:rFonts w:asciiTheme="minorEastAsia" w:hAnsiTheme="minorEastAsia" w:eastAsiaTheme="minorEastAsia"/>
          <w:color w:val="auto"/>
          <w:sz w:val="21"/>
          <w:szCs w:val="21"/>
          <w:highlight w:val="none"/>
        </w:rPr>
        <w:t>、多角度的立体式文物保护平台，协助</w:t>
      </w:r>
      <w:r>
        <w:rPr>
          <w:rFonts w:hint="eastAsia" w:asciiTheme="minorEastAsia" w:hAnsiTheme="minorEastAsia" w:eastAsiaTheme="minorEastAsia"/>
          <w:color w:val="auto"/>
          <w:sz w:val="21"/>
          <w:szCs w:val="21"/>
          <w:highlight w:val="none"/>
        </w:rPr>
        <w:t>广州市天河区文化广电旅游体育局推进</w:t>
      </w:r>
      <w:r>
        <w:rPr>
          <w:rFonts w:asciiTheme="minorEastAsia" w:hAnsiTheme="minorEastAsia" w:eastAsiaTheme="minorEastAsia"/>
          <w:color w:val="auto"/>
          <w:sz w:val="21"/>
          <w:szCs w:val="21"/>
          <w:highlight w:val="none"/>
        </w:rPr>
        <w:t>落实</w:t>
      </w:r>
      <w:r>
        <w:rPr>
          <w:rFonts w:hint="eastAsia" w:asciiTheme="minorEastAsia" w:hAnsiTheme="minorEastAsia" w:eastAsiaTheme="minorEastAsia"/>
          <w:color w:val="auto"/>
          <w:sz w:val="21"/>
          <w:szCs w:val="21"/>
          <w:highlight w:val="none"/>
        </w:rPr>
        <w:t>区</w:t>
      </w:r>
      <w:r>
        <w:rPr>
          <w:rFonts w:asciiTheme="minorEastAsia" w:hAnsiTheme="minorEastAsia" w:eastAsiaTheme="minorEastAsia"/>
          <w:color w:val="auto"/>
          <w:sz w:val="21"/>
          <w:szCs w:val="21"/>
          <w:highlight w:val="none"/>
        </w:rPr>
        <w:t>内文物</w:t>
      </w:r>
      <w:r>
        <w:rPr>
          <w:rFonts w:hint="eastAsia" w:asciiTheme="minorEastAsia" w:hAnsiTheme="minorEastAsia" w:eastAsiaTheme="minorEastAsia"/>
          <w:color w:val="auto"/>
          <w:sz w:val="21"/>
          <w:szCs w:val="21"/>
          <w:highlight w:val="none"/>
        </w:rPr>
        <w:t>保护</w:t>
      </w:r>
      <w:r>
        <w:rPr>
          <w:rFonts w:asciiTheme="minorEastAsia" w:hAnsiTheme="minorEastAsia" w:eastAsiaTheme="minorEastAsia"/>
          <w:color w:val="auto"/>
          <w:sz w:val="21"/>
          <w:szCs w:val="21"/>
          <w:highlight w:val="none"/>
        </w:rPr>
        <w:t>、管理、开发、利用工作</w:t>
      </w:r>
      <w:r>
        <w:rPr>
          <w:rFonts w:hint="eastAsia" w:asciiTheme="minorEastAsia" w:hAnsiTheme="minorEastAsia" w:eastAsiaTheme="minorEastAsia"/>
          <w:color w:val="auto"/>
          <w:sz w:val="21"/>
          <w:szCs w:val="21"/>
          <w:highlight w:val="none"/>
        </w:rPr>
        <w:t>。</w:t>
      </w:r>
    </w:p>
    <w:p>
      <w:pPr>
        <w:spacing w:line="360" w:lineRule="auto"/>
        <w:ind w:left="220" w:leftChars="100" w:right="567" w:firstLine="560"/>
        <w:rPr>
          <w:rFonts w:asciiTheme="minorEastAsia" w:hAnsiTheme="minorEastAsia" w:eastAsiaTheme="minorEastAsia"/>
          <w:color w:val="auto"/>
          <w:sz w:val="21"/>
          <w:szCs w:val="21"/>
          <w:highlight w:val="none"/>
        </w:rPr>
      </w:pPr>
    </w:p>
    <w:p>
      <w:pPr>
        <w:spacing w:line="360" w:lineRule="auto"/>
        <w:ind w:left="220" w:leftChars="100" w:right="567" w:firstLine="150" w:firstLineChars="71"/>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二、项目主要依据</w:t>
      </w:r>
    </w:p>
    <w:p>
      <w:pPr>
        <w:pStyle w:val="39"/>
        <w:tabs>
          <w:tab w:val="left" w:pos="0"/>
        </w:tabs>
        <w:spacing w:line="360" w:lineRule="auto"/>
        <w:ind w:left="220" w:leftChars="100" w:right="567" w:firstLine="420" w:firstLineChars="20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《中华人民共和国文物保护法》（2017修订）</w:t>
      </w:r>
    </w:p>
    <w:p>
      <w:pPr>
        <w:pStyle w:val="39"/>
        <w:tabs>
          <w:tab w:val="left" w:pos="0"/>
        </w:tabs>
        <w:spacing w:line="360" w:lineRule="auto"/>
        <w:ind w:left="220" w:leftChars="100" w:right="567" w:firstLine="420" w:firstLineChars="20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《中华人民共和国文物保护法实施条例》（2017修订）</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《国务院办公厅关于进一步加强文物安全工作的实施意见》（国办发〔2017〕81号）</w:t>
      </w:r>
    </w:p>
    <w:p>
      <w:pPr>
        <w:pStyle w:val="39"/>
        <w:tabs>
          <w:tab w:val="left" w:pos="0"/>
        </w:tabs>
        <w:spacing w:line="360" w:lineRule="auto"/>
        <w:ind w:left="220" w:leftChars="100" w:right="567" w:firstLine="420" w:firstLineChars="20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《广州市文物保护规定》（2015修订）</w:t>
      </w:r>
    </w:p>
    <w:p>
      <w:pPr>
        <w:pStyle w:val="39"/>
        <w:tabs>
          <w:tab w:val="left" w:pos="0"/>
        </w:tabs>
        <w:spacing w:line="360" w:lineRule="auto"/>
        <w:ind w:left="220" w:leftChars="100" w:right="567" w:firstLine="420" w:firstLineChars="20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《中国文物古迹保护准则》（2015）</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《广州市文物保护专项资金管理办法》（穗文广新规字〔2018〕10号）</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《广州市文物保护监督员管理办法》（2020年修订）</w:t>
      </w:r>
    </w:p>
    <w:p>
      <w:pPr>
        <w:pStyle w:val="39"/>
        <w:tabs>
          <w:tab w:val="left" w:pos="0"/>
        </w:tabs>
        <w:spacing w:line="360" w:lineRule="auto"/>
        <w:ind w:left="220" w:leftChars="100" w:right="567" w:firstLine="480"/>
        <w:jc w:val="both"/>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《广州市文化广电新闻出版局关于做好文物保护监督员招募及管理工作的意见》（穗文物〔2014〕650号）</w:t>
      </w:r>
    </w:p>
    <w:p>
      <w:pPr>
        <w:tabs>
          <w:tab w:val="left" w:pos="0"/>
        </w:tabs>
        <w:spacing w:line="360" w:lineRule="auto"/>
        <w:ind w:left="220" w:leftChars="100" w:right="567" w:firstLine="560"/>
        <w:jc w:val="both"/>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《广州市文物局关于加强我市安全巡查检查工作的通知》（文物2020033号）</w:t>
      </w:r>
    </w:p>
    <w:p>
      <w:pPr>
        <w:tabs>
          <w:tab w:val="left" w:pos="0"/>
        </w:tabs>
        <w:spacing w:line="360" w:lineRule="auto"/>
        <w:ind w:left="220" w:leftChars="100" w:right="567" w:firstLine="560"/>
        <w:jc w:val="both"/>
        <w:rPr>
          <w:rFonts w:asciiTheme="minorEastAsia" w:hAnsiTheme="minorEastAsia" w:eastAsiaTheme="minorEastAsia"/>
          <w:color w:val="FF0000"/>
          <w:sz w:val="21"/>
          <w:szCs w:val="21"/>
          <w:highlight w:val="none"/>
        </w:rPr>
      </w:pPr>
      <w:r>
        <w:rPr>
          <w:rFonts w:hint="eastAsia" w:asciiTheme="minorEastAsia" w:hAnsiTheme="minorEastAsia" w:eastAsiaTheme="minorEastAsia"/>
          <w:color w:val="FF0000"/>
          <w:sz w:val="21"/>
          <w:szCs w:val="21"/>
          <w:highlight w:val="none"/>
        </w:rPr>
        <w:t>《广州市文物监督员管理办法》（穗文广旅〔2021〕57号）</w:t>
      </w:r>
    </w:p>
    <w:p>
      <w:pPr>
        <w:spacing w:line="360" w:lineRule="auto"/>
        <w:ind w:left="220" w:leftChars="100" w:right="567"/>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三、最高限价</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本项目最高限价为</w:t>
      </w:r>
      <w:r>
        <w:rPr>
          <w:b/>
          <w:bCs/>
          <w:color w:val="auto"/>
          <w:szCs w:val="21"/>
          <w:highlight w:val="none"/>
        </w:rPr>
        <w:t>91</w:t>
      </w:r>
      <w:r>
        <w:rPr>
          <w:rFonts w:hint="eastAsia"/>
          <w:b/>
          <w:bCs/>
          <w:color w:val="auto"/>
          <w:szCs w:val="21"/>
          <w:highlight w:val="none"/>
        </w:rPr>
        <w:t>.</w:t>
      </w:r>
      <w:r>
        <w:rPr>
          <w:b/>
          <w:bCs/>
          <w:color w:val="auto"/>
          <w:szCs w:val="21"/>
          <w:highlight w:val="none"/>
        </w:rPr>
        <w:t>94</w:t>
      </w:r>
      <w:r>
        <w:rPr>
          <w:rFonts w:hint="eastAsia" w:asciiTheme="minorEastAsia" w:hAnsiTheme="minorEastAsia" w:eastAsiaTheme="minorEastAsia"/>
          <w:color w:val="auto"/>
          <w:kern w:val="21"/>
          <w:szCs w:val="21"/>
          <w:highlight w:val="none"/>
        </w:rPr>
        <w:t>万元，实行总价包干，包括人员工资、福利、服务费、税费等所有费用，采购人将不再支付任何费用。</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p>
    <w:p>
      <w:pPr>
        <w:spacing w:line="360" w:lineRule="auto"/>
        <w:ind w:left="220" w:leftChars="100" w:right="567"/>
        <w:outlineLvl w:val="1"/>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四、服务期限</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r>
        <w:rPr>
          <w:rFonts w:hint="eastAsia" w:asciiTheme="minorEastAsia" w:hAnsiTheme="minorEastAsia" w:eastAsiaTheme="minorEastAsia"/>
          <w:color w:val="auto"/>
          <w:kern w:val="21"/>
          <w:szCs w:val="21"/>
          <w:highlight w:val="none"/>
        </w:rPr>
        <w:t>本项目管理服务期限为：自合同签订约定之日起12个月。</w:t>
      </w:r>
    </w:p>
    <w:p>
      <w:pPr>
        <w:pStyle w:val="39"/>
        <w:tabs>
          <w:tab w:val="left" w:pos="0"/>
        </w:tabs>
        <w:spacing w:line="360" w:lineRule="auto"/>
        <w:ind w:left="220" w:leftChars="100" w:right="567" w:firstLine="480"/>
        <w:jc w:val="both"/>
        <w:rPr>
          <w:rFonts w:asciiTheme="minorEastAsia" w:hAnsiTheme="minorEastAsia" w:eastAsiaTheme="minorEastAsia"/>
          <w:color w:val="auto"/>
          <w:kern w:val="21"/>
          <w:szCs w:val="21"/>
          <w:highlight w:val="none"/>
        </w:rPr>
      </w:pPr>
    </w:p>
    <w:p>
      <w:pPr>
        <w:numPr>
          <w:ilvl w:val="0"/>
          <w:numId w:val="12"/>
        </w:numPr>
        <w:spacing w:line="360" w:lineRule="auto"/>
        <w:ind w:left="220" w:leftChars="100" w:right="567"/>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项目目标</w:t>
      </w:r>
    </w:p>
    <w:p>
      <w:pPr>
        <w:numPr>
          <w:ilvl w:val="255"/>
          <w:numId w:val="0"/>
        </w:numPr>
        <w:spacing w:line="360" w:lineRule="auto"/>
        <w:ind w:left="220" w:leftChars="100" w:right="567" w:firstLine="420" w:firstLineChars="20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（一）形成社区——街道——技术服务单位——区文化广电旅游体育局全方位、多层次的文物安全巡查体系，建立全区文物监督—保护机制，及时、准确掌握区内文物情况，确保天河区</w:t>
      </w:r>
      <w:r>
        <w:rPr>
          <w:rFonts w:cs="Courier New" w:asciiTheme="minorEastAsia" w:hAnsiTheme="minorEastAsia" w:eastAsiaTheme="minorEastAsia"/>
          <w:color w:val="auto"/>
          <w:kern w:val="2"/>
          <w:sz w:val="21"/>
          <w:szCs w:val="21"/>
          <w:highlight w:val="none"/>
        </w:rPr>
        <w:t>229</w:t>
      </w:r>
      <w:r>
        <w:rPr>
          <w:rFonts w:hint="eastAsia" w:cs="Courier New" w:asciiTheme="minorEastAsia" w:hAnsiTheme="minorEastAsia" w:eastAsiaTheme="minorEastAsia"/>
          <w:color w:val="auto"/>
          <w:kern w:val="2"/>
          <w:sz w:val="21"/>
          <w:szCs w:val="21"/>
          <w:highlight w:val="none"/>
        </w:rPr>
        <w:t>处不可移动文物的安全；</w:t>
      </w:r>
    </w:p>
    <w:p>
      <w:pPr>
        <w:numPr>
          <w:ilvl w:val="255"/>
          <w:numId w:val="0"/>
        </w:numPr>
        <w:spacing w:line="360" w:lineRule="auto"/>
        <w:ind w:left="220" w:leftChars="100" w:right="567" w:firstLine="420" w:firstLineChars="20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（二）完成我区文物资料库系统建设工作；</w:t>
      </w:r>
      <w:r>
        <w:rPr>
          <w:rFonts w:cs="Courier New" w:asciiTheme="minorEastAsia" w:hAnsiTheme="minorEastAsia" w:eastAsiaTheme="minorEastAsia"/>
          <w:color w:val="auto"/>
          <w:kern w:val="2"/>
          <w:sz w:val="21"/>
          <w:szCs w:val="21"/>
          <w:highlight w:val="none"/>
        </w:rPr>
        <w:t xml:space="preserve"> </w:t>
      </w:r>
    </w:p>
    <w:p>
      <w:pPr>
        <w:pStyle w:val="13"/>
        <w:tabs>
          <w:tab w:val="left" w:pos="540"/>
        </w:tabs>
        <w:adjustRightInd w:val="0"/>
        <w:snapToGrid w:val="0"/>
        <w:spacing w:line="360" w:lineRule="auto"/>
        <w:ind w:left="220" w:leftChars="100" w:right="567" w:firstLine="420" w:firstLineChars="20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（三）更有效、广泛地完成文物保护相关法律法规的宣传，提高公众文保意识；</w:t>
      </w:r>
    </w:p>
    <w:p>
      <w:pPr>
        <w:pStyle w:val="13"/>
        <w:tabs>
          <w:tab w:val="left" w:pos="540"/>
        </w:tabs>
        <w:adjustRightInd w:val="0"/>
        <w:snapToGrid w:val="0"/>
        <w:spacing w:line="360" w:lineRule="auto"/>
        <w:ind w:left="220" w:leftChars="100" w:right="567" w:firstLine="420" w:firstLineChars="200"/>
        <w:rPr>
          <w:rFonts w:asciiTheme="minorEastAsia" w:hAnsiTheme="minorEastAsia"/>
          <w:color w:val="auto"/>
          <w:sz w:val="21"/>
          <w:szCs w:val="21"/>
          <w:highlight w:val="none"/>
        </w:rPr>
      </w:pPr>
      <w:r>
        <w:rPr>
          <w:rFonts w:hint="eastAsia" w:asciiTheme="minorEastAsia" w:hAnsiTheme="minorEastAsia"/>
          <w:color w:val="auto"/>
          <w:sz w:val="21"/>
          <w:szCs w:val="21"/>
          <w:highlight w:val="none"/>
        </w:rPr>
        <w:t>（四）完成全区文物安全短期、长期评估，为我区有序推进文物修缮、抢险工程提供决策帮助，给文物所属街道及文物权属人提供专业技术咨询和建议的服务。</w:t>
      </w:r>
    </w:p>
    <w:p>
      <w:pPr>
        <w:pStyle w:val="13"/>
        <w:tabs>
          <w:tab w:val="left" w:pos="540"/>
        </w:tabs>
        <w:adjustRightInd w:val="0"/>
        <w:snapToGrid w:val="0"/>
        <w:spacing w:line="360" w:lineRule="auto"/>
        <w:ind w:left="220" w:leftChars="100" w:right="567" w:firstLine="420" w:firstLineChars="200"/>
        <w:rPr>
          <w:rFonts w:asciiTheme="minorEastAsia" w:hAnsiTheme="minorEastAsia"/>
          <w:color w:val="auto"/>
          <w:sz w:val="21"/>
          <w:szCs w:val="21"/>
          <w:highlight w:val="none"/>
        </w:rPr>
      </w:pPr>
    </w:p>
    <w:p>
      <w:pPr>
        <w:pStyle w:val="13"/>
        <w:numPr>
          <w:ilvl w:val="0"/>
          <w:numId w:val="12"/>
        </w:numPr>
        <w:tabs>
          <w:tab w:val="left" w:pos="540"/>
        </w:tabs>
        <w:adjustRightInd w:val="0"/>
        <w:snapToGrid w:val="0"/>
        <w:spacing w:line="360" w:lineRule="auto"/>
        <w:ind w:left="220" w:leftChars="100" w:right="567"/>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项目服务内容</w:t>
      </w:r>
    </w:p>
    <w:p>
      <w:pPr>
        <w:spacing w:line="360" w:lineRule="auto"/>
        <w:ind w:left="220" w:leftChars="100" w:right="567" w:firstLine="562"/>
        <w:rPr>
          <w:rFonts w:cs="Courier New" w:asciiTheme="minorEastAsia" w:hAnsiTheme="minorEastAsia" w:eastAsiaTheme="minorEastAsia"/>
          <w:b/>
          <w:bCs/>
          <w:color w:val="auto"/>
          <w:kern w:val="2"/>
          <w:sz w:val="21"/>
          <w:szCs w:val="21"/>
          <w:highlight w:val="none"/>
        </w:rPr>
      </w:pPr>
      <w:r>
        <w:rPr>
          <w:rFonts w:hint="eastAsia" w:cs="Courier New" w:asciiTheme="minorEastAsia" w:hAnsiTheme="minorEastAsia" w:eastAsiaTheme="minorEastAsia"/>
          <w:b/>
          <w:bCs/>
          <w:color w:val="auto"/>
          <w:kern w:val="2"/>
          <w:sz w:val="21"/>
          <w:szCs w:val="21"/>
          <w:highlight w:val="none"/>
        </w:rPr>
        <w:t>（一）文物巡查工作</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1.组织开展对</w:t>
      </w:r>
      <w:r>
        <w:rPr>
          <w:rFonts w:hint="eastAsia" w:cs="Courier New" w:asciiTheme="minorEastAsia" w:hAnsiTheme="minorEastAsia" w:eastAsiaTheme="minorEastAsia"/>
          <w:color w:val="auto"/>
          <w:kern w:val="2"/>
          <w:sz w:val="21"/>
          <w:szCs w:val="21"/>
          <w:highlight w:val="none"/>
        </w:rPr>
        <w:t>区辖内</w:t>
      </w:r>
      <w:r>
        <w:rPr>
          <w:rFonts w:cs="Courier New" w:asciiTheme="minorEastAsia" w:hAnsiTheme="minorEastAsia" w:eastAsiaTheme="minorEastAsia"/>
          <w:color w:val="auto"/>
          <w:kern w:val="2"/>
          <w:sz w:val="21"/>
          <w:szCs w:val="21"/>
          <w:highlight w:val="none"/>
        </w:rPr>
        <w:t>229</w:t>
      </w:r>
      <w:r>
        <w:rPr>
          <w:rFonts w:hint="eastAsia" w:cs="Courier New" w:asciiTheme="minorEastAsia" w:hAnsiTheme="minorEastAsia" w:eastAsiaTheme="minorEastAsia"/>
          <w:color w:val="auto"/>
          <w:kern w:val="2"/>
          <w:sz w:val="21"/>
          <w:szCs w:val="21"/>
          <w:highlight w:val="none"/>
        </w:rPr>
        <w:t>处文物（</w:t>
      </w:r>
      <w:r>
        <w:rPr>
          <w:rFonts w:cs="Courier New" w:asciiTheme="minorEastAsia" w:hAnsiTheme="minorEastAsia" w:eastAsiaTheme="minorEastAsia"/>
          <w:color w:val="auto"/>
          <w:kern w:val="2"/>
          <w:sz w:val="21"/>
          <w:szCs w:val="21"/>
          <w:highlight w:val="none"/>
        </w:rPr>
        <w:t>296</w:t>
      </w:r>
      <w:r>
        <w:rPr>
          <w:rFonts w:hint="eastAsia" w:cs="Courier New" w:asciiTheme="minorEastAsia" w:hAnsiTheme="minorEastAsia" w:eastAsiaTheme="minorEastAsia"/>
          <w:color w:val="auto"/>
          <w:kern w:val="2"/>
          <w:sz w:val="21"/>
          <w:szCs w:val="21"/>
          <w:highlight w:val="none"/>
        </w:rPr>
        <w:t>个单体）的巡查、记录、汇报工作，工作内容接受市级文物保护监督员的抽查复查，协助做好文物执法工作；</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2.文物巡查对象及巡查频次：</w:t>
      </w:r>
      <w:r>
        <w:rPr>
          <w:rFonts w:hint="eastAsia" w:cs="Courier New" w:asciiTheme="minorEastAsia" w:hAnsiTheme="minorEastAsia" w:eastAsiaTheme="minorEastAsia"/>
          <w:color w:val="auto"/>
          <w:kern w:val="2"/>
          <w:sz w:val="21"/>
          <w:szCs w:val="21"/>
          <w:highlight w:val="none"/>
        </w:rPr>
        <w:t>国家级重点文物保护单位（</w:t>
      </w:r>
      <w:r>
        <w:rPr>
          <w:rFonts w:cs="Courier New" w:asciiTheme="minorEastAsia" w:hAnsiTheme="minorEastAsia" w:eastAsiaTheme="minorEastAsia"/>
          <w:color w:val="auto"/>
          <w:kern w:val="2"/>
          <w:sz w:val="21"/>
          <w:szCs w:val="21"/>
          <w:highlight w:val="none"/>
        </w:rPr>
        <w:t>1处）、省级文物保护单位（4处）</w:t>
      </w:r>
      <w:r>
        <w:rPr>
          <w:rFonts w:hint="eastAsia" w:cs="Courier New" w:asciiTheme="minorEastAsia" w:hAnsiTheme="minorEastAsia" w:eastAsiaTheme="minorEastAsia"/>
          <w:color w:val="auto"/>
          <w:kern w:val="2"/>
          <w:sz w:val="21"/>
          <w:szCs w:val="21"/>
          <w:highlight w:val="none"/>
          <w:lang w:eastAsia="zh-CN"/>
        </w:rPr>
        <w:t>、</w:t>
      </w:r>
      <w:r>
        <w:rPr>
          <w:rFonts w:cs="Courier New" w:asciiTheme="minorEastAsia" w:hAnsiTheme="minorEastAsia" w:eastAsiaTheme="minorEastAsia"/>
          <w:color w:val="auto"/>
          <w:kern w:val="2"/>
          <w:sz w:val="21"/>
          <w:szCs w:val="21"/>
          <w:highlight w:val="none"/>
        </w:rPr>
        <w:t>市级文物保护单位（18处）每周巡查不少于</w:t>
      </w:r>
      <w:r>
        <w:rPr>
          <w:rFonts w:hint="eastAsia" w:cs="Courier New" w:asciiTheme="minorEastAsia" w:hAnsiTheme="minorEastAsia" w:eastAsiaTheme="minorEastAsia"/>
          <w:color w:val="auto"/>
          <w:kern w:val="2"/>
          <w:sz w:val="21"/>
          <w:szCs w:val="21"/>
          <w:highlight w:val="none"/>
          <w:lang w:val="en-US" w:eastAsia="zh-CN"/>
        </w:rPr>
        <w:t>3</w:t>
      </w:r>
      <w:r>
        <w:rPr>
          <w:rFonts w:cs="Courier New" w:asciiTheme="minorEastAsia" w:hAnsiTheme="minorEastAsia" w:eastAsiaTheme="minorEastAsia"/>
          <w:color w:val="auto"/>
          <w:kern w:val="2"/>
          <w:sz w:val="21"/>
          <w:szCs w:val="21"/>
          <w:highlight w:val="none"/>
        </w:rPr>
        <w:t>次，区级文物保护单位（73处）及尚未核定公布为文物保护单位的不可移动文物（129处）每周巡查不少于</w:t>
      </w:r>
      <w:r>
        <w:rPr>
          <w:rFonts w:hint="eastAsia" w:cs="Courier New" w:asciiTheme="minorEastAsia" w:hAnsiTheme="minorEastAsia" w:eastAsiaTheme="minorEastAsia"/>
          <w:color w:val="auto"/>
          <w:kern w:val="2"/>
          <w:sz w:val="21"/>
          <w:szCs w:val="21"/>
          <w:highlight w:val="none"/>
          <w:lang w:val="en-US" w:eastAsia="zh-CN"/>
        </w:rPr>
        <w:t>2</w:t>
      </w:r>
      <w:r>
        <w:rPr>
          <w:rFonts w:cs="Courier New" w:asciiTheme="minorEastAsia" w:hAnsiTheme="minorEastAsia" w:eastAsiaTheme="minorEastAsia"/>
          <w:color w:val="auto"/>
          <w:kern w:val="2"/>
          <w:sz w:val="21"/>
          <w:szCs w:val="21"/>
          <w:highlight w:val="none"/>
        </w:rPr>
        <w:t>次</w:t>
      </w:r>
      <w:r>
        <w:rPr>
          <w:rFonts w:hint="eastAsia" w:cs="Courier New" w:asciiTheme="minorEastAsia" w:hAnsiTheme="minorEastAsia" w:eastAsiaTheme="minorEastAsia"/>
          <w:color w:val="auto"/>
          <w:kern w:val="2"/>
          <w:sz w:val="21"/>
          <w:szCs w:val="21"/>
          <w:highlight w:val="none"/>
        </w:rPr>
        <w:t>、</w:t>
      </w:r>
      <w:r>
        <w:rPr>
          <w:rFonts w:cs="Courier New" w:asciiTheme="minorEastAsia" w:hAnsiTheme="minorEastAsia" w:eastAsiaTheme="minorEastAsia"/>
          <w:color w:val="auto"/>
          <w:kern w:val="2"/>
          <w:sz w:val="21"/>
          <w:szCs w:val="21"/>
          <w:highlight w:val="none"/>
        </w:rPr>
        <w:t>新发现文物线索（4处）每周巡查不少于1次。</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3.文物巡查内容：</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①不可移动文物是否有组织机构或专人管理、文物保护标志牌是否完好。</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②文物保护单位内及其保护范围、建设控制地带内是否发生违法建设行为，文物周边环境是否遭到破坏；经文物行政部门批准的建设工程是否公示行政审批许可。</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③是否发生擅自迁移、拆除不可移动文物或者擅自修缮不可移动文物，明显改变文物原状的违法行为。</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④是否存在盗窃、盗掘、非法经营文物等违法犯罪行为。</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⑤查看不可移动文物消防安全情况：是否符合国家、省、市消防有关规定，安防、消防、避雷等设施设备是否使用正常，是否存在火灾隐患等。</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hint="eastAsia"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⑥查看文物本体及附属设施安全情况：文物本体及附属设施是否存在破损、缺失、变形和开裂等情况；地基基础是否存在倾斜、沉降或开裂情况；文物竖向结构包括柱子、承重墙等是否存在倾斜、位移、变形、开裂情况；文物水平结构包括主梁、屋架、悬挑结构等是否存在位移、变形、开裂情况；文物本体是否存在生物附生、白蚁蛀蚀等情况。</w:t>
      </w:r>
    </w:p>
    <w:p>
      <w:pPr>
        <w:keepNext w:val="0"/>
        <w:keepLines w:val="0"/>
        <w:pageBreakBefore w:val="0"/>
        <w:widowControl w:val="0"/>
        <w:kinsoku/>
        <w:wordWrap/>
        <w:overflowPunct/>
        <w:topLinePunct w:val="0"/>
        <w:autoSpaceDE w:val="0"/>
        <w:autoSpaceDN w:val="0"/>
        <w:bidi w:val="0"/>
        <w:adjustRightInd/>
        <w:snapToGrid/>
        <w:spacing w:line="360" w:lineRule="auto"/>
        <w:ind w:left="220" w:leftChars="100" w:right="567" w:rightChars="0" w:firstLine="420" w:firstLineChars="200"/>
        <w:jc w:val="left"/>
        <w:textAlignment w:val="auto"/>
        <w:outlineLvl w:val="9"/>
        <w:rPr>
          <w:rFonts w:hint="eastAsia" w:cs="Courier New" w:asciiTheme="minorEastAsia" w:hAnsiTheme="minorEastAsia" w:eastAsiaTheme="minorEastAsia"/>
          <w:color w:val="auto"/>
          <w:kern w:val="2"/>
          <w:sz w:val="21"/>
          <w:szCs w:val="21"/>
          <w:highlight w:val="none"/>
          <w:lang w:val="zh-CN" w:eastAsia="zh-CN"/>
        </w:rPr>
      </w:pPr>
      <w:r>
        <w:rPr>
          <w:rFonts w:hint="eastAsia" w:cs="Courier New" w:asciiTheme="minorEastAsia" w:hAnsiTheme="minorEastAsia" w:eastAsiaTheme="minorEastAsia"/>
          <w:color w:val="auto"/>
          <w:kern w:val="2"/>
          <w:sz w:val="21"/>
          <w:szCs w:val="21"/>
          <w:highlight w:val="none"/>
          <w:lang w:val="zh-CN" w:eastAsia="zh-CN"/>
        </w:rPr>
        <w:t>⑦是否存在未报批或备案私自改变文物用途的情况。</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4.巡查结果反馈</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①制定科学规范的全区文物巡查信息表格，每次巡查必须填写，表格内容包括巡查文物保护单位的基本情况、巡查时间、巡查人员、巡查内容情况、发现的问题及采取的措施、巡查现场照片等。</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②每月汇总整理文物巡查信息，总结全区文物巡查情况并形成报告，内容应包括巡查组织实施情况、巡查结果、发现问题及措施建议、总结等。每年形成年度巡查报告，内容应包括巡查组织实施情况、巡查结果、主要问题、下一步工作计划等。（巡查月报上报时间为次月</w:t>
      </w:r>
      <w:r>
        <w:rPr>
          <w:rFonts w:cs="Courier New" w:asciiTheme="minorEastAsia" w:hAnsiTheme="minorEastAsia" w:eastAsiaTheme="minorEastAsia"/>
          <w:color w:val="auto"/>
          <w:kern w:val="2"/>
          <w:sz w:val="21"/>
          <w:szCs w:val="21"/>
          <w:highlight w:val="none"/>
        </w:rPr>
        <w:t>5日前，年度报告上报时间为次月15日前，遇节假日相应顺延）。</w:t>
      </w:r>
    </w:p>
    <w:p>
      <w:pPr>
        <w:spacing w:line="360" w:lineRule="auto"/>
        <w:ind w:left="220" w:leftChars="100" w:right="567" w:firstLine="562"/>
        <w:rPr>
          <w:rFonts w:cs="Courier New" w:asciiTheme="minorEastAsia" w:hAnsiTheme="minorEastAsia" w:eastAsiaTheme="minorEastAsia"/>
          <w:b/>
          <w:bCs/>
          <w:color w:val="auto"/>
          <w:kern w:val="2"/>
          <w:sz w:val="21"/>
          <w:szCs w:val="21"/>
          <w:highlight w:val="none"/>
        </w:rPr>
      </w:pPr>
    </w:p>
    <w:p>
      <w:pPr>
        <w:spacing w:line="360" w:lineRule="auto"/>
        <w:ind w:left="220" w:leftChars="100" w:right="567" w:firstLine="562"/>
        <w:rPr>
          <w:rFonts w:cs="Courier New" w:asciiTheme="minorEastAsia" w:hAnsiTheme="minorEastAsia" w:eastAsiaTheme="minorEastAsia"/>
          <w:b/>
          <w:bCs/>
          <w:color w:val="auto"/>
          <w:kern w:val="2"/>
          <w:sz w:val="21"/>
          <w:szCs w:val="21"/>
          <w:highlight w:val="none"/>
        </w:rPr>
      </w:pPr>
      <w:r>
        <w:rPr>
          <w:rFonts w:hint="eastAsia" w:cs="Courier New" w:asciiTheme="minorEastAsia" w:hAnsiTheme="minorEastAsia" w:eastAsiaTheme="minorEastAsia"/>
          <w:b/>
          <w:bCs/>
          <w:color w:val="auto"/>
          <w:kern w:val="2"/>
          <w:sz w:val="21"/>
          <w:szCs w:val="21"/>
          <w:highlight w:val="none"/>
        </w:rPr>
        <w:t>（二）突发事件应急处理工作</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1.及时报告文物安全隐患、文物违法建设施工，以及文物盗窃、盗掘、非法交易、走私、破坏等违法犯罪行为，并积极协助文物、公安、工商、海关等相关部门做好查处工作。</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2.发生文物安全突发事件，必须在接到事件发生消息后2个小时内赶到事故现场协助处理，并按国家、省、市的有关要求报告现场情况。</w:t>
      </w:r>
    </w:p>
    <w:p>
      <w:pPr>
        <w:spacing w:line="360" w:lineRule="auto"/>
        <w:ind w:left="220" w:leftChars="100" w:right="567" w:firstLine="562"/>
        <w:rPr>
          <w:rFonts w:cs="Courier New" w:asciiTheme="minorEastAsia" w:hAnsiTheme="minorEastAsia" w:eastAsiaTheme="minorEastAsia"/>
          <w:b/>
          <w:bCs/>
          <w:color w:val="auto"/>
          <w:kern w:val="2"/>
          <w:sz w:val="21"/>
          <w:szCs w:val="21"/>
          <w:highlight w:val="none"/>
        </w:rPr>
      </w:pPr>
      <w:r>
        <w:rPr>
          <w:rFonts w:hint="eastAsia" w:cs="Courier New" w:asciiTheme="minorEastAsia" w:hAnsiTheme="minorEastAsia" w:eastAsiaTheme="minorEastAsia"/>
          <w:b/>
          <w:bCs/>
          <w:color w:val="auto"/>
          <w:kern w:val="2"/>
          <w:sz w:val="21"/>
          <w:szCs w:val="21"/>
          <w:highlight w:val="none"/>
        </w:rPr>
        <w:t>（三）协助区文化广电旅游体育局开展有关文物安全的检查、抽查工作</w:t>
      </w:r>
    </w:p>
    <w:p>
      <w:pPr>
        <w:spacing w:line="360" w:lineRule="auto"/>
        <w:ind w:left="220" w:leftChars="100" w:right="567" w:firstLine="560"/>
        <w:rPr>
          <w:rFonts w:cs="Courier New" w:asciiTheme="minorEastAsia" w:hAnsiTheme="minorEastAsia" w:eastAsiaTheme="minorEastAsia"/>
          <w:b/>
          <w:bCs/>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协助区文化广电旅游体育局开展全区文物安全工作检查、抽查，实地调查全区不可移动文物安全情况。</w:t>
      </w:r>
    </w:p>
    <w:p>
      <w:pPr>
        <w:spacing w:line="360" w:lineRule="auto"/>
        <w:ind w:left="220" w:leftChars="100" w:right="567" w:firstLine="562"/>
        <w:rPr>
          <w:rFonts w:cs="Courier New" w:asciiTheme="minorEastAsia" w:hAnsiTheme="minorEastAsia" w:eastAsiaTheme="minorEastAsia"/>
          <w:b/>
          <w:bCs/>
          <w:color w:val="auto"/>
          <w:kern w:val="2"/>
          <w:sz w:val="21"/>
          <w:szCs w:val="21"/>
          <w:highlight w:val="none"/>
        </w:rPr>
      </w:pPr>
      <w:r>
        <w:rPr>
          <w:rFonts w:hint="eastAsia" w:cs="Courier New" w:asciiTheme="minorEastAsia" w:hAnsiTheme="minorEastAsia" w:eastAsiaTheme="minorEastAsia"/>
          <w:b/>
          <w:bCs/>
          <w:color w:val="auto"/>
          <w:kern w:val="2"/>
          <w:sz w:val="21"/>
          <w:szCs w:val="21"/>
          <w:highlight w:val="none"/>
        </w:rPr>
        <w:t>（四）文物保护知识宣传及业务培训工作</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cs="Courier New" w:asciiTheme="minorEastAsia" w:hAnsiTheme="minorEastAsia" w:eastAsiaTheme="minorEastAsia"/>
          <w:color w:val="auto"/>
          <w:kern w:val="2"/>
          <w:sz w:val="21"/>
          <w:szCs w:val="21"/>
          <w:highlight w:val="none"/>
        </w:rPr>
        <w:t>1.在开展文物巡查工作同时，配合文物行政部门开展文物保护法律法规宣传工作。</w:t>
      </w:r>
    </w:p>
    <w:p>
      <w:pPr>
        <w:tabs>
          <w:tab w:val="left" w:pos="540"/>
        </w:tabs>
        <w:adjustRightInd w:val="0"/>
        <w:snapToGrid w:val="0"/>
        <w:spacing w:line="360" w:lineRule="auto"/>
        <w:ind w:left="220" w:leftChars="100" w:right="567" w:firstLine="560"/>
        <w:rPr>
          <w:rFonts w:asciiTheme="minorEastAsia" w:hAnsiTheme="minorEastAsia"/>
          <w:color w:val="auto"/>
          <w:sz w:val="21"/>
          <w:szCs w:val="21"/>
          <w:highlight w:val="none"/>
        </w:rPr>
      </w:pPr>
      <w:r>
        <w:rPr>
          <w:rFonts w:cs="Courier New" w:asciiTheme="minorEastAsia" w:hAnsiTheme="minorEastAsia" w:eastAsiaTheme="minorEastAsia"/>
          <w:color w:val="auto"/>
          <w:kern w:val="2"/>
          <w:sz w:val="21"/>
          <w:szCs w:val="21"/>
          <w:highlight w:val="none"/>
        </w:rPr>
        <w:t>2.开展文物保护监督员业务专项培训</w:t>
      </w:r>
      <w:r>
        <w:rPr>
          <w:rFonts w:hint="eastAsia" w:cs="Courier New" w:asciiTheme="minorEastAsia" w:hAnsiTheme="minorEastAsia" w:eastAsiaTheme="minorEastAsia"/>
          <w:color w:val="auto"/>
          <w:kern w:val="2"/>
          <w:sz w:val="21"/>
          <w:szCs w:val="21"/>
          <w:highlight w:val="none"/>
        </w:rPr>
        <w:t>2次/年，协助区文化广电旅游体育局组织文物保护工作会务等。</w:t>
      </w:r>
    </w:p>
    <w:p>
      <w:pPr>
        <w:tabs>
          <w:tab w:val="left" w:pos="540"/>
        </w:tabs>
        <w:adjustRightInd w:val="0"/>
        <w:snapToGrid w:val="0"/>
        <w:spacing w:line="360" w:lineRule="auto"/>
        <w:ind w:left="220" w:leftChars="100" w:right="567" w:firstLine="562"/>
        <w:rPr>
          <w:rFonts w:asciiTheme="minorEastAsia" w:hAnsiTheme="minorEastAsia"/>
          <w:b/>
          <w:bCs/>
          <w:color w:val="auto"/>
          <w:sz w:val="21"/>
          <w:szCs w:val="21"/>
          <w:highlight w:val="none"/>
        </w:rPr>
      </w:pPr>
      <w:r>
        <w:rPr>
          <w:rFonts w:hint="eastAsia" w:cs="Courier New" w:asciiTheme="minorEastAsia" w:hAnsiTheme="minorEastAsia" w:eastAsiaTheme="minorEastAsia"/>
          <w:b/>
          <w:bCs/>
          <w:color w:val="auto"/>
          <w:kern w:val="2"/>
          <w:sz w:val="21"/>
          <w:szCs w:val="21"/>
          <w:highlight w:val="none"/>
        </w:rPr>
        <w:t>（五）文物现状评估、技术审查和咨询工作</w:t>
      </w:r>
    </w:p>
    <w:p>
      <w:pPr>
        <w:tabs>
          <w:tab w:val="left" w:pos="540"/>
        </w:tabs>
        <w:adjustRightInd w:val="0"/>
        <w:snapToGrid w:val="0"/>
        <w:spacing w:line="360" w:lineRule="auto"/>
        <w:ind w:left="220" w:leftChars="100" w:right="567" w:firstLine="560"/>
        <w:rPr>
          <w:rFonts w:asciiTheme="minorEastAsia" w:hAnsiTheme="minorEastAsia"/>
          <w:color w:val="auto"/>
          <w:sz w:val="21"/>
          <w:szCs w:val="21"/>
          <w:highlight w:val="none"/>
        </w:rPr>
      </w:pPr>
      <w:r>
        <w:rPr>
          <w:rFonts w:hint="eastAsia" w:cs="Courier New" w:asciiTheme="minorEastAsia" w:hAnsiTheme="minorEastAsia" w:eastAsiaTheme="minorEastAsia"/>
          <w:color w:val="auto"/>
          <w:kern w:val="2"/>
          <w:sz w:val="21"/>
          <w:szCs w:val="21"/>
          <w:highlight w:val="none"/>
        </w:rPr>
        <w:t>1．提供区内文物现场检查、纠纷处理、危害评定等专业技术咨询服务。</w:t>
      </w:r>
    </w:p>
    <w:p>
      <w:pPr>
        <w:tabs>
          <w:tab w:val="left" w:pos="540"/>
        </w:tabs>
        <w:adjustRightInd w:val="0"/>
        <w:snapToGrid w:val="0"/>
        <w:spacing w:line="360" w:lineRule="auto"/>
        <w:ind w:left="220" w:leftChars="100" w:right="567" w:firstLine="560"/>
        <w:rPr>
          <w:rFonts w:asciiTheme="minorEastAsia" w:hAnsiTheme="minorEastAsia"/>
          <w:color w:val="auto"/>
          <w:sz w:val="21"/>
          <w:szCs w:val="21"/>
          <w:highlight w:val="none"/>
        </w:rPr>
      </w:pPr>
      <w:r>
        <w:rPr>
          <w:rFonts w:hint="eastAsia" w:cs="Courier New" w:asciiTheme="minorEastAsia" w:hAnsiTheme="minorEastAsia" w:eastAsiaTheme="minorEastAsia"/>
          <w:color w:val="auto"/>
          <w:kern w:val="2"/>
          <w:sz w:val="21"/>
          <w:szCs w:val="21"/>
          <w:highlight w:val="none"/>
        </w:rPr>
        <w:t>2．对文物进行现状评估和实时监控，提供修缮、保养、维护计划和建议。包括对文物本体评估（保存状况、结构安全、材料、构件进行跟踪）和周边环境评估（历史文化背景、实体环境、资源）。</w:t>
      </w:r>
    </w:p>
    <w:p>
      <w:pPr>
        <w:tabs>
          <w:tab w:val="left" w:pos="540"/>
        </w:tabs>
        <w:adjustRightInd w:val="0"/>
        <w:snapToGrid w:val="0"/>
        <w:spacing w:line="360" w:lineRule="auto"/>
        <w:ind w:left="220" w:leftChars="100" w:right="567" w:firstLine="560"/>
        <w:rPr>
          <w:rFonts w:asciiTheme="minorEastAsia" w:hAnsiTheme="minorEastAsia"/>
          <w:color w:val="auto"/>
          <w:sz w:val="21"/>
          <w:szCs w:val="21"/>
          <w:highlight w:val="none"/>
        </w:rPr>
      </w:pPr>
      <w:r>
        <w:rPr>
          <w:rFonts w:hint="eastAsia" w:cs="Courier New" w:asciiTheme="minorEastAsia" w:hAnsiTheme="minorEastAsia" w:eastAsiaTheme="minorEastAsia"/>
          <w:color w:val="auto"/>
          <w:kern w:val="2"/>
          <w:sz w:val="21"/>
          <w:szCs w:val="21"/>
          <w:highlight w:val="none"/>
        </w:rPr>
        <w:t>3．</w:t>
      </w:r>
      <w:r>
        <w:rPr>
          <w:rFonts w:hint="eastAsia" w:cs="Courier New" w:asciiTheme="minorEastAsia" w:hAnsiTheme="minorEastAsia" w:eastAsiaTheme="minorEastAsia"/>
          <w:color w:val="auto"/>
          <w:kern w:val="2"/>
          <w:sz w:val="21"/>
          <w:szCs w:val="21"/>
          <w:highlight w:val="none"/>
          <w:lang w:eastAsia="zh-CN"/>
        </w:rPr>
        <w:t>推进并更新</w:t>
      </w:r>
      <w:r>
        <w:rPr>
          <w:rFonts w:hint="eastAsia" w:cs="Courier New" w:asciiTheme="minorEastAsia" w:hAnsiTheme="minorEastAsia" w:eastAsiaTheme="minorEastAsia"/>
          <w:color w:val="auto"/>
          <w:kern w:val="2"/>
          <w:sz w:val="21"/>
          <w:szCs w:val="21"/>
          <w:highlight w:val="none"/>
        </w:rPr>
        <w:t>文物保护短期(1-3年)和长期（3-5年）计划，包括定期检查、循环维护、环境控制、修缮计划等。</w:t>
      </w:r>
    </w:p>
    <w:p>
      <w:pPr>
        <w:tabs>
          <w:tab w:val="left" w:pos="540"/>
        </w:tabs>
        <w:adjustRightInd w:val="0"/>
        <w:snapToGrid w:val="0"/>
        <w:spacing w:line="360" w:lineRule="auto"/>
        <w:ind w:left="220" w:leftChars="100" w:right="567" w:firstLine="560"/>
        <w:rPr>
          <w:rFonts w:asciiTheme="minorEastAsia" w:hAnsiTheme="minorEastAsia"/>
          <w:color w:val="auto"/>
          <w:sz w:val="21"/>
          <w:szCs w:val="21"/>
          <w:highlight w:val="none"/>
        </w:rPr>
      </w:pPr>
      <w:r>
        <w:rPr>
          <w:rFonts w:hint="eastAsia" w:cs="Courier New" w:asciiTheme="minorEastAsia" w:hAnsiTheme="minorEastAsia" w:eastAsiaTheme="minorEastAsia"/>
          <w:color w:val="auto"/>
          <w:kern w:val="2"/>
          <w:sz w:val="21"/>
          <w:szCs w:val="21"/>
          <w:highlight w:val="none"/>
        </w:rPr>
        <w:t>4.为天河区文化广电旅游体育局提供区内不可移动文物情况排查、安全事故处理、日常维护技术支持、评估等专业技术咨询服务</w:t>
      </w:r>
      <w:r>
        <w:rPr>
          <w:rFonts w:hint="eastAsia" w:cs="Courier New" w:asciiTheme="minorEastAsia" w:hAnsiTheme="minorEastAsia" w:eastAsiaTheme="minorEastAsia"/>
          <w:color w:val="auto"/>
          <w:kern w:val="2"/>
          <w:sz w:val="21"/>
          <w:szCs w:val="21"/>
          <w:highlight w:val="none"/>
          <w:lang w:eastAsia="zh-CN"/>
        </w:rPr>
        <w:t>。</w:t>
      </w:r>
    </w:p>
    <w:p>
      <w:pPr>
        <w:tabs>
          <w:tab w:val="left" w:pos="540"/>
        </w:tabs>
        <w:adjustRightInd w:val="0"/>
        <w:snapToGrid w:val="0"/>
        <w:spacing w:line="360" w:lineRule="auto"/>
        <w:ind w:left="220" w:leftChars="100" w:right="567" w:firstLine="562"/>
        <w:rPr>
          <w:rFonts w:asciiTheme="minorEastAsia" w:hAnsiTheme="minorEastAsia"/>
          <w:b/>
          <w:bCs/>
          <w:color w:val="auto"/>
          <w:sz w:val="21"/>
          <w:szCs w:val="21"/>
          <w:highlight w:val="none"/>
        </w:rPr>
      </w:pPr>
      <w:r>
        <w:rPr>
          <w:rFonts w:hint="eastAsia" w:cs="Courier New" w:asciiTheme="minorEastAsia" w:hAnsiTheme="minorEastAsia" w:eastAsiaTheme="minorEastAsia"/>
          <w:b/>
          <w:bCs/>
          <w:color w:val="auto"/>
          <w:kern w:val="2"/>
          <w:sz w:val="21"/>
          <w:szCs w:val="21"/>
          <w:highlight w:val="none"/>
        </w:rPr>
        <w:t>（六）开展天河区文物库系统建设工作</w:t>
      </w:r>
    </w:p>
    <w:p>
      <w:pPr>
        <w:tabs>
          <w:tab w:val="left" w:pos="540"/>
        </w:tabs>
        <w:adjustRightInd w:val="0"/>
        <w:snapToGrid w:val="0"/>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完成</w:t>
      </w:r>
      <w:r>
        <w:rPr>
          <w:rFonts w:cs="Courier New" w:asciiTheme="minorEastAsia" w:hAnsiTheme="minorEastAsia" w:eastAsiaTheme="minorEastAsia"/>
          <w:color w:val="auto"/>
          <w:kern w:val="2"/>
          <w:sz w:val="21"/>
          <w:szCs w:val="21"/>
          <w:highlight w:val="none"/>
        </w:rPr>
        <w:t>229</w:t>
      </w:r>
      <w:r>
        <w:rPr>
          <w:rFonts w:hint="eastAsia" w:cs="Courier New" w:asciiTheme="minorEastAsia" w:hAnsiTheme="minorEastAsia" w:eastAsiaTheme="minorEastAsia"/>
          <w:color w:val="auto"/>
          <w:kern w:val="2"/>
          <w:sz w:val="21"/>
          <w:szCs w:val="21"/>
          <w:highlight w:val="none"/>
        </w:rPr>
        <w:t>处文物信息和相关数据、资料的收集、整理、汇编、更新等工作，建立天河文物库信息平台，包括</w:t>
      </w:r>
      <w:r>
        <w:rPr>
          <w:rFonts w:cs="Courier New" w:asciiTheme="minorEastAsia" w:hAnsiTheme="minorEastAsia" w:eastAsiaTheme="minorEastAsia"/>
          <w:color w:val="auto"/>
          <w:kern w:val="2"/>
          <w:sz w:val="21"/>
          <w:szCs w:val="21"/>
          <w:highlight w:val="none"/>
        </w:rPr>
        <w:t>文物巡查</w:t>
      </w:r>
      <w:r>
        <w:rPr>
          <w:rFonts w:hint="eastAsia" w:cs="Courier New" w:asciiTheme="minorEastAsia" w:hAnsiTheme="minorEastAsia" w:eastAsiaTheme="minorEastAsia"/>
          <w:color w:val="auto"/>
          <w:kern w:val="2"/>
          <w:sz w:val="21"/>
          <w:szCs w:val="21"/>
          <w:highlight w:val="none"/>
        </w:rPr>
        <w:t>、文物基础资料、文物两线、文物“四有”档案资料、文物工程等资料的信息化处理，建立方便操作、查询、搜索的软</w:t>
      </w:r>
      <w:r>
        <w:rPr>
          <w:rFonts w:cs="Courier New" w:asciiTheme="minorEastAsia" w:hAnsiTheme="minorEastAsia" w:eastAsiaTheme="minorEastAsia"/>
          <w:color w:val="auto"/>
          <w:kern w:val="2"/>
          <w:sz w:val="21"/>
          <w:szCs w:val="21"/>
          <w:highlight w:val="none"/>
        </w:rPr>
        <w:t>件平台</w:t>
      </w:r>
      <w:r>
        <w:rPr>
          <w:rFonts w:hint="eastAsia" w:cs="Courier New" w:asciiTheme="minorEastAsia" w:hAnsiTheme="minorEastAsia" w:eastAsiaTheme="minorEastAsia"/>
          <w:color w:val="auto"/>
          <w:kern w:val="2"/>
          <w:sz w:val="21"/>
          <w:szCs w:val="21"/>
          <w:highlight w:val="none"/>
        </w:rPr>
        <w:t>（含</w:t>
      </w:r>
      <w:r>
        <w:rPr>
          <w:rFonts w:cs="Courier New" w:asciiTheme="minorEastAsia" w:hAnsiTheme="minorEastAsia" w:eastAsiaTheme="minorEastAsia"/>
          <w:color w:val="auto"/>
          <w:kern w:val="2"/>
          <w:sz w:val="21"/>
          <w:szCs w:val="21"/>
          <w:highlight w:val="none"/>
        </w:rPr>
        <w:t>小程序</w:t>
      </w:r>
      <w:r>
        <w:rPr>
          <w:rFonts w:hint="eastAsia" w:cs="Courier New" w:asciiTheme="minorEastAsia" w:hAnsiTheme="minorEastAsia" w:eastAsiaTheme="minorEastAsia"/>
          <w:color w:val="auto"/>
          <w:kern w:val="2"/>
          <w:sz w:val="21"/>
          <w:szCs w:val="21"/>
          <w:highlight w:val="none"/>
        </w:rPr>
        <w:t>）。</w:t>
      </w:r>
    </w:p>
    <w:p>
      <w:pPr>
        <w:tabs>
          <w:tab w:val="left" w:pos="540"/>
        </w:tabs>
        <w:spacing w:line="360" w:lineRule="auto"/>
        <w:ind w:left="220" w:leftChars="100" w:right="567" w:firstLine="420" w:firstLineChars="200"/>
        <w:rPr>
          <w:rFonts w:asciiTheme="minorEastAsia" w:hAnsiTheme="minorEastAsia"/>
          <w:color w:val="auto"/>
          <w:sz w:val="21"/>
          <w:szCs w:val="21"/>
          <w:highlight w:val="none"/>
        </w:rPr>
      </w:pPr>
    </w:p>
    <w:p>
      <w:pPr>
        <w:pStyle w:val="13"/>
        <w:numPr>
          <w:ilvl w:val="0"/>
          <w:numId w:val="12"/>
        </w:numPr>
        <w:tabs>
          <w:tab w:val="left" w:pos="540"/>
        </w:tabs>
        <w:adjustRightInd w:val="0"/>
        <w:snapToGrid w:val="0"/>
        <w:spacing w:line="360" w:lineRule="auto"/>
        <w:ind w:left="220" w:leftChars="100" w:right="567"/>
        <w:rPr>
          <w:rFonts w:asciiTheme="minorEastAsia" w:hAnsiTheme="minorEastAsia"/>
          <w:b/>
          <w:color w:val="auto"/>
          <w:sz w:val="21"/>
          <w:szCs w:val="21"/>
          <w:highlight w:val="none"/>
        </w:rPr>
      </w:pPr>
      <w:r>
        <w:rPr>
          <w:rFonts w:hint="eastAsia" w:asciiTheme="minorEastAsia" w:hAnsiTheme="minorEastAsia"/>
          <w:b/>
          <w:color w:val="auto"/>
          <w:sz w:val="21"/>
          <w:szCs w:val="21"/>
          <w:highlight w:val="none"/>
        </w:rPr>
        <w:t>项目服务要求</w:t>
      </w:r>
    </w:p>
    <w:p>
      <w:pPr>
        <w:numPr>
          <w:ilvl w:val="0"/>
          <w:numId w:val="13"/>
        </w:num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中标人应保障专职文物保护监督员不少于</w:t>
      </w:r>
      <w:r>
        <w:rPr>
          <w:rFonts w:cs="Courier New" w:asciiTheme="minorEastAsia" w:hAnsiTheme="minorEastAsia" w:eastAsiaTheme="minorEastAsia"/>
          <w:color w:val="auto"/>
          <w:kern w:val="2"/>
          <w:sz w:val="21"/>
          <w:szCs w:val="21"/>
          <w:highlight w:val="none"/>
        </w:rPr>
        <w:t>6</w:t>
      </w:r>
      <w:r>
        <w:rPr>
          <w:rFonts w:hint="eastAsia" w:cs="Courier New" w:asciiTheme="minorEastAsia" w:hAnsiTheme="minorEastAsia" w:eastAsiaTheme="minorEastAsia"/>
          <w:color w:val="auto"/>
          <w:kern w:val="2"/>
          <w:sz w:val="21"/>
          <w:szCs w:val="21"/>
          <w:highlight w:val="none"/>
        </w:rPr>
        <w:t>人，所有人员应熟悉文物保护相关法律法规、具备文物保护专业知识，负责全面统筹全区文物巡查、资料保存建档日常工作，与区文化广电旅游体育局进行对接联络，分片区、分街道对文物点安全监察、专业技术指导，管理和指导兼职监督员开展文物巡查工作。应保障不少于半数专职文物监督员为建筑学、规划、工程等相关专业本科毕业，至少保障一名专职监督员为上述专业研究生学历并具有规划、建筑、工程其中一项专业初级职称或以上。</w:t>
      </w:r>
    </w:p>
    <w:p>
      <w:pPr>
        <w:numPr>
          <w:ilvl w:val="0"/>
          <w:numId w:val="13"/>
        </w:num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FF0000"/>
          <w:kern w:val="2"/>
          <w:sz w:val="21"/>
          <w:szCs w:val="21"/>
          <w:highlight w:val="none"/>
        </w:rPr>
        <w:t>中标人应遵守《广州市文物监督员管理办法》（穗文广旅〔2021〕57号）的有关规定，负责组建和管理文物保护监督员队伍。</w:t>
      </w:r>
      <w:r>
        <w:rPr>
          <w:rFonts w:hint="eastAsia" w:cs="Courier New" w:asciiTheme="minorEastAsia" w:hAnsiTheme="minorEastAsia" w:eastAsiaTheme="minorEastAsia"/>
          <w:color w:val="auto"/>
          <w:kern w:val="2"/>
          <w:sz w:val="21"/>
          <w:szCs w:val="21"/>
          <w:highlight w:val="none"/>
        </w:rPr>
        <w:t>中标人负责招募、组建兼职文物监督员队伍，根据我区文物数量及分布情况招募28名。文物监督员补贴按平均1000元/月/人发放，</w:t>
      </w:r>
      <w:r>
        <w:rPr>
          <w:rFonts w:hint="eastAsia"/>
          <w:color w:val="auto"/>
          <w:sz w:val="21"/>
          <w:szCs w:val="21"/>
          <w:highlight w:val="none"/>
        </w:rPr>
        <w:t>设置</w:t>
      </w:r>
      <w:r>
        <w:rPr>
          <w:rFonts w:hint="eastAsia"/>
          <w:color w:val="auto"/>
          <w:sz w:val="21"/>
          <w:szCs w:val="21"/>
          <w:highlight w:val="none"/>
          <w:lang w:val="en-US"/>
        </w:rPr>
        <w:t>10名</w:t>
      </w:r>
      <w:r>
        <w:rPr>
          <w:rFonts w:hint="eastAsia"/>
          <w:color w:val="auto"/>
          <w:sz w:val="21"/>
          <w:szCs w:val="21"/>
          <w:highlight w:val="none"/>
        </w:rPr>
        <w:t>优秀监督员并发放奖励。</w:t>
      </w:r>
      <w:r>
        <w:rPr>
          <w:rFonts w:hint="eastAsia" w:cs="Courier New" w:asciiTheme="minorEastAsia" w:hAnsiTheme="minorEastAsia" w:eastAsiaTheme="minorEastAsia"/>
          <w:color w:val="auto"/>
          <w:kern w:val="2"/>
          <w:sz w:val="21"/>
          <w:szCs w:val="21"/>
          <w:highlight w:val="none"/>
        </w:rPr>
        <w:t>兼职监督员应该具备相应的文物知识，熟悉文物安全巡查相关法律法规，熟练使用各种巡查必需的电子设备，能够独立承担文物巡查工作，完成巡查表格填写、照片收集工作。</w:t>
      </w:r>
    </w:p>
    <w:p>
      <w:pPr>
        <w:numPr>
          <w:ilvl w:val="0"/>
          <w:numId w:val="13"/>
        </w:num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中标人应按时定额为文物保护监督员发放劳务报酬、购买意外伤害保险；</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4</w:t>
      </w:r>
      <w:r>
        <w:rPr>
          <w:rFonts w:cs="Courier New" w:asciiTheme="minorEastAsia" w:hAnsiTheme="minorEastAsia" w:eastAsiaTheme="minorEastAsia"/>
          <w:color w:val="auto"/>
          <w:kern w:val="2"/>
          <w:sz w:val="21"/>
          <w:szCs w:val="21"/>
          <w:highlight w:val="none"/>
        </w:rPr>
        <w:t>.</w:t>
      </w:r>
      <w:r>
        <w:rPr>
          <w:rFonts w:hint="eastAsia" w:cs="Courier New" w:asciiTheme="minorEastAsia" w:hAnsiTheme="minorEastAsia" w:eastAsiaTheme="minorEastAsia"/>
          <w:color w:val="auto"/>
          <w:kern w:val="2"/>
          <w:sz w:val="21"/>
          <w:szCs w:val="21"/>
          <w:highlight w:val="none"/>
        </w:rPr>
        <w:t>中标人根据项目要求配备必要的办公场地，巡查专用车辆、配备项目使用要求的电脑、文物巡查服务辅助工具（如资料存储器、带照相录影功能的电子设备、硬盘）等；</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5</w:t>
      </w:r>
      <w:r>
        <w:rPr>
          <w:rFonts w:cs="Courier New" w:asciiTheme="minorEastAsia" w:hAnsiTheme="minorEastAsia" w:eastAsiaTheme="minorEastAsia"/>
          <w:color w:val="auto"/>
          <w:kern w:val="2"/>
          <w:sz w:val="21"/>
          <w:szCs w:val="21"/>
          <w:highlight w:val="none"/>
        </w:rPr>
        <w:t>.</w:t>
      </w:r>
      <w:r>
        <w:rPr>
          <w:rFonts w:hint="eastAsia" w:cs="Courier New" w:asciiTheme="minorEastAsia" w:hAnsiTheme="minorEastAsia" w:eastAsiaTheme="minorEastAsia"/>
          <w:color w:val="auto"/>
          <w:kern w:val="2"/>
          <w:sz w:val="21"/>
          <w:szCs w:val="21"/>
          <w:highlight w:val="none"/>
        </w:rPr>
        <w:t>中标人项目服务期内按要求完成巡查工作报告，并按时保质上报工作计划、总结、文物巡查情况等；</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6</w:t>
      </w:r>
      <w:r>
        <w:rPr>
          <w:rFonts w:cs="Courier New" w:asciiTheme="minorEastAsia" w:hAnsiTheme="minorEastAsia" w:eastAsiaTheme="minorEastAsia"/>
          <w:color w:val="auto"/>
          <w:kern w:val="2"/>
          <w:sz w:val="21"/>
          <w:szCs w:val="21"/>
          <w:highlight w:val="none"/>
        </w:rPr>
        <w:t>.</w:t>
      </w:r>
      <w:r>
        <w:rPr>
          <w:rFonts w:hint="eastAsia" w:cs="Courier New" w:asciiTheme="minorEastAsia" w:hAnsiTheme="minorEastAsia" w:eastAsiaTheme="minorEastAsia"/>
          <w:color w:val="auto"/>
          <w:kern w:val="2"/>
          <w:sz w:val="21"/>
          <w:szCs w:val="21"/>
          <w:highlight w:val="none"/>
        </w:rPr>
        <w:t>中标人协助文物保护知识宣传及业务培训工作；</w:t>
      </w:r>
    </w:p>
    <w:p>
      <w:pPr>
        <w:spacing w:line="360" w:lineRule="auto"/>
        <w:ind w:left="220" w:leftChars="100" w:right="567" w:firstLine="56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7</w:t>
      </w:r>
      <w:r>
        <w:rPr>
          <w:rFonts w:cs="Courier New" w:asciiTheme="minorEastAsia" w:hAnsiTheme="minorEastAsia" w:eastAsiaTheme="minorEastAsia"/>
          <w:color w:val="auto"/>
          <w:kern w:val="2"/>
          <w:sz w:val="21"/>
          <w:szCs w:val="21"/>
          <w:highlight w:val="none"/>
        </w:rPr>
        <w:t>.</w:t>
      </w:r>
      <w:r>
        <w:rPr>
          <w:rFonts w:hint="eastAsia" w:cs="Courier New" w:asciiTheme="minorEastAsia" w:hAnsiTheme="minorEastAsia" w:eastAsiaTheme="minorEastAsia"/>
          <w:color w:val="auto"/>
          <w:kern w:val="2"/>
          <w:sz w:val="21"/>
          <w:szCs w:val="21"/>
          <w:highlight w:val="none"/>
        </w:rPr>
        <w:t>中标人协助区文化广电旅游体育局开展有关文物安全的检查、抽查工作。</w:t>
      </w:r>
    </w:p>
    <w:p>
      <w:pPr>
        <w:spacing w:line="360" w:lineRule="auto"/>
        <w:ind w:left="220" w:leftChars="100" w:right="567" w:firstLine="420" w:firstLineChars="200"/>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8</w:t>
      </w:r>
      <w:r>
        <w:rPr>
          <w:rFonts w:cs="Courier New" w:asciiTheme="minorEastAsia" w:hAnsiTheme="minorEastAsia" w:eastAsiaTheme="minorEastAsia"/>
          <w:color w:val="auto"/>
          <w:kern w:val="2"/>
          <w:sz w:val="21"/>
          <w:szCs w:val="21"/>
          <w:highlight w:val="none"/>
        </w:rPr>
        <w:t>.</w:t>
      </w:r>
      <w:r>
        <w:rPr>
          <w:rFonts w:hint="eastAsia" w:cs="Courier New" w:asciiTheme="minorEastAsia" w:hAnsiTheme="minorEastAsia" w:eastAsiaTheme="minorEastAsia"/>
          <w:color w:val="auto"/>
          <w:kern w:val="2"/>
          <w:sz w:val="21"/>
          <w:szCs w:val="21"/>
          <w:highlight w:val="none"/>
        </w:rPr>
        <w:t>中标人须提供项目实施期间</w:t>
      </w:r>
      <w:r>
        <w:rPr>
          <w:rFonts w:cs="Courier New" w:asciiTheme="minorEastAsia" w:hAnsiTheme="minorEastAsia" w:eastAsiaTheme="minorEastAsia"/>
          <w:color w:val="auto"/>
          <w:kern w:val="2"/>
          <w:sz w:val="21"/>
          <w:szCs w:val="21"/>
          <w:highlight w:val="none"/>
        </w:rPr>
        <w:t>24小时服务热线，遇到采购人临时工作需要，中标人须全力配合。</w:t>
      </w:r>
    </w:p>
    <w:p>
      <w:pPr>
        <w:pStyle w:val="2"/>
        <w:rPr>
          <w:color w:val="auto"/>
          <w:highlight w:val="none"/>
        </w:rPr>
      </w:pPr>
    </w:p>
    <w:p>
      <w:pPr>
        <w:spacing w:line="360" w:lineRule="auto"/>
        <w:ind w:left="220" w:leftChars="100" w:right="567" w:firstLine="150" w:firstLineChars="71"/>
        <w:outlineLvl w:val="0"/>
        <w:rPr>
          <w:rFonts w:cs="Courier New" w:asciiTheme="minorEastAsia" w:hAnsiTheme="minorEastAsia" w:eastAsiaTheme="minorEastAsia"/>
          <w:b/>
          <w:color w:val="auto"/>
          <w:kern w:val="2"/>
          <w:sz w:val="21"/>
          <w:szCs w:val="21"/>
          <w:highlight w:val="none"/>
        </w:rPr>
      </w:pPr>
      <w:r>
        <w:rPr>
          <w:rFonts w:hint="eastAsia" w:cs="Courier New" w:asciiTheme="minorEastAsia" w:hAnsiTheme="minorEastAsia" w:eastAsiaTheme="minorEastAsia"/>
          <w:b/>
          <w:color w:val="auto"/>
          <w:kern w:val="2"/>
          <w:sz w:val="21"/>
          <w:szCs w:val="21"/>
          <w:highlight w:val="none"/>
        </w:rPr>
        <w:t>八、考核标准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hint="eastAsia" w:asciiTheme="minorEastAsia" w:hAnsiTheme="minorEastAsia"/>
          <w:b/>
          <w:bCs/>
          <w:color w:val="auto"/>
          <w:sz w:val="21"/>
          <w:szCs w:val="21"/>
          <w:highlight w:val="none"/>
        </w:rPr>
        <w:t>本项目的前</w:t>
      </w:r>
      <w:r>
        <w:rPr>
          <w:rFonts w:asciiTheme="minorEastAsia" w:hAnsiTheme="minorEastAsia"/>
          <w:b/>
          <w:bCs/>
          <w:color w:val="auto"/>
          <w:sz w:val="21"/>
          <w:szCs w:val="21"/>
          <w:highlight w:val="none"/>
        </w:rPr>
        <w:t>3</w:t>
      </w:r>
      <w:r>
        <w:rPr>
          <w:rFonts w:hint="eastAsia" w:asciiTheme="minorEastAsia" w:hAnsiTheme="minorEastAsia"/>
          <w:b/>
          <w:bCs/>
          <w:color w:val="auto"/>
          <w:sz w:val="21"/>
          <w:szCs w:val="21"/>
          <w:highlight w:val="none"/>
        </w:rPr>
        <w:t>个月为项目考核期。若考核期中，若中标人分数低于</w:t>
      </w:r>
      <w:r>
        <w:rPr>
          <w:rFonts w:asciiTheme="minorEastAsia" w:hAnsiTheme="minorEastAsia"/>
          <w:b/>
          <w:bCs/>
          <w:color w:val="auto"/>
          <w:sz w:val="21"/>
          <w:szCs w:val="21"/>
          <w:highlight w:val="none"/>
        </w:rPr>
        <w:t>80分（满分100分，具体评分要求见考核期评分标准），经采购监管部门同意后，采购人可解除服务合同，取消中标人的中标资格。</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hint="eastAsia" w:asciiTheme="minorEastAsia" w:hAnsiTheme="minorEastAsia"/>
          <w:b/>
          <w:bCs/>
          <w:color w:val="auto"/>
          <w:sz w:val="21"/>
          <w:szCs w:val="21"/>
          <w:highlight w:val="none"/>
        </w:rPr>
        <w:t>考核期评分标准：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1.初始分100分。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2.巡查次数不达要求，每少一次扣2分。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3.巡查无填写文物信息表格，每次扣2分。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4.巡查填写文物信息表格不合规范，上传照片达不到标准，每次</w:t>
      </w:r>
      <w:r>
        <w:rPr>
          <w:rFonts w:hint="eastAsia" w:asciiTheme="minorEastAsia" w:hAnsiTheme="minorEastAsia"/>
          <w:b/>
          <w:bCs/>
          <w:color w:val="auto"/>
          <w:sz w:val="21"/>
          <w:szCs w:val="21"/>
          <w:highlight w:val="none"/>
        </w:rPr>
        <w:t>扣</w:t>
      </w:r>
      <w:r>
        <w:rPr>
          <w:rFonts w:asciiTheme="minorEastAsia" w:hAnsiTheme="minorEastAsia"/>
          <w:b/>
          <w:bCs/>
          <w:color w:val="auto"/>
          <w:sz w:val="21"/>
          <w:szCs w:val="21"/>
          <w:highlight w:val="none"/>
        </w:rPr>
        <w:t>1分。</w:t>
      </w:r>
    </w:p>
    <w:p>
      <w:pPr>
        <w:pStyle w:val="13"/>
        <w:tabs>
          <w:tab w:val="left" w:pos="540"/>
        </w:tabs>
        <w:spacing w:line="360" w:lineRule="auto"/>
        <w:ind w:left="220" w:leftChars="100" w:right="567" w:firstLine="422" w:firstLineChars="200"/>
        <w:rPr>
          <w:rFonts w:hint="eastAsia" w:asciiTheme="minorEastAsia" w:hAnsiTheme="minorEastAsia"/>
          <w:b/>
          <w:bCs/>
          <w:color w:val="auto"/>
          <w:sz w:val="21"/>
          <w:szCs w:val="21"/>
          <w:highlight w:val="none"/>
        </w:rPr>
      </w:pPr>
      <w:r>
        <w:rPr>
          <w:rFonts w:hint="eastAsia" w:asciiTheme="minorEastAsia" w:hAnsiTheme="minorEastAsia"/>
          <w:b/>
          <w:bCs/>
          <w:color w:val="auto"/>
          <w:sz w:val="21"/>
          <w:szCs w:val="21"/>
          <w:highlight w:val="none"/>
        </w:rPr>
        <w:t>5.巡查结果反馈不及时造成文物安全隐患加重的，一次扣5分。</w:t>
      </w:r>
    </w:p>
    <w:p>
      <w:pPr>
        <w:pStyle w:val="13"/>
        <w:tabs>
          <w:tab w:val="left" w:pos="540"/>
        </w:tabs>
        <w:spacing w:line="360" w:lineRule="auto"/>
        <w:ind w:left="220" w:leftChars="100" w:right="567" w:firstLine="422" w:firstLineChars="200"/>
        <w:rPr>
          <w:rFonts w:hint="eastAsia" w:asciiTheme="minorEastAsia" w:hAnsiTheme="minorEastAsia"/>
          <w:b/>
          <w:bCs/>
          <w:color w:val="auto"/>
          <w:sz w:val="21"/>
          <w:szCs w:val="21"/>
          <w:highlight w:val="none"/>
        </w:rPr>
      </w:pPr>
      <w:r>
        <w:rPr>
          <w:rFonts w:hint="eastAsia" w:asciiTheme="minorEastAsia" w:hAnsiTheme="minorEastAsia"/>
          <w:b/>
          <w:bCs/>
          <w:color w:val="auto"/>
          <w:sz w:val="21"/>
          <w:szCs w:val="21"/>
          <w:highlight w:val="none"/>
        </w:rPr>
        <w:t>6.因巡查不到位发生重大文物安全事故，一次扣10分。</w:t>
      </w:r>
    </w:p>
    <w:p>
      <w:pPr>
        <w:pStyle w:val="13"/>
        <w:tabs>
          <w:tab w:val="left" w:pos="540"/>
        </w:tabs>
        <w:spacing w:line="360" w:lineRule="auto"/>
        <w:ind w:left="220" w:leftChars="100" w:right="567" w:firstLine="422" w:firstLineChars="200"/>
        <w:rPr>
          <w:rFonts w:hint="eastAsia" w:asciiTheme="minorEastAsia" w:hAnsiTheme="minorEastAsia"/>
          <w:b/>
          <w:bCs/>
          <w:color w:val="auto"/>
          <w:sz w:val="21"/>
          <w:szCs w:val="21"/>
          <w:highlight w:val="none"/>
        </w:rPr>
      </w:pPr>
      <w:r>
        <w:rPr>
          <w:rFonts w:hint="eastAsia" w:asciiTheme="minorEastAsia" w:hAnsiTheme="minorEastAsia"/>
          <w:b/>
          <w:bCs/>
          <w:color w:val="auto"/>
          <w:sz w:val="21"/>
          <w:szCs w:val="21"/>
          <w:highlight w:val="none"/>
        </w:rPr>
        <w:t>7.不配合做好国家、省、市的其他有关文物安全的巡查任务的，一次扣10分。</w:t>
      </w:r>
    </w:p>
    <w:p>
      <w:pPr>
        <w:pStyle w:val="13"/>
        <w:tabs>
          <w:tab w:val="left" w:pos="540"/>
        </w:tabs>
        <w:spacing w:line="360" w:lineRule="auto"/>
        <w:ind w:left="220" w:leftChars="100" w:right="567" w:firstLine="422" w:firstLineChars="200"/>
        <w:rPr>
          <w:rFonts w:hint="eastAsia" w:asciiTheme="minorEastAsia" w:hAnsiTheme="minorEastAsia"/>
          <w:b/>
          <w:bCs/>
          <w:color w:val="auto"/>
          <w:sz w:val="21"/>
          <w:szCs w:val="21"/>
          <w:highlight w:val="none"/>
        </w:rPr>
      </w:pPr>
      <w:r>
        <w:rPr>
          <w:rFonts w:hint="eastAsia" w:asciiTheme="minorEastAsia" w:hAnsiTheme="minorEastAsia"/>
          <w:b/>
          <w:bCs/>
          <w:color w:val="auto"/>
          <w:sz w:val="21"/>
          <w:szCs w:val="21"/>
          <w:highlight w:val="none"/>
        </w:rPr>
        <w:t>8.发生文物安全突发事件，没有在2小时内赶到事故现场协助处理或没有及时报告现场情况的，扣10分。</w:t>
      </w:r>
    </w:p>
    <w:p>
      <w:pPr>
        <w:pStyle w:val="13"/>
        <w:tabs>
          <w:tab w:val="left" w:pos="540"/>
        </w:tabs>
        <w:spacing w:line="360" w:lineRule="auto"/>
        <w:ind w:left="220" w:leftChars="100" w:right="567" w:firstLine="422" w:firstLineChars="200"/>
        <w:rPr>
          <w:rFonts w:asciiTheme="minorEastAsia" w:hAnsiTheme="minorEastAsia"/>
          <w:color w:val="auto"/>
          <w:sz w:val="21"/>
          <w:szCs w:val="21"/>
          <w:highlight w:val="none"/>
        </w:rPr>
      </w:pPr>
      <w:r>
        <w:rPr>
          <w:rFonts w:hint="eastAsia" w:asciiTheme="minorEastAsia" w:hAnsiTheme="minorEastAsia"/>
          <w:b/>
          <w:bCs/>
          <w:color w:val="auto"/>
          <w:sz w:val="21"/>
          <w:szCs w:val="21"/>
          <w:highlight w:val="none"/>
        </w:rPr>
        <w:t>9.在服务期间，经相关部门审核确定为重大失误的，一次扣20分。</w:t>
      </w:r>
    </w:p>
    <w:p>
      <w:pPr>
        <w:rPr>
          <w:color w:val="auto"/>
          <w:highlight w:val="none"/>
        </w:rPr>
      </w:pPr>
    </w:p>
    <w:p>
      <w:pPr>
        <w:numPr>
          <w:ilvl w:val="255"/>
          <w:numId w:val="0"/>
        </w:numPr>
        <w:spacing w:line="360" w:lineRule="auto"/>
        <w:ind w:left="220" w:leftChars="100" w:right="567" w:firstLine="422" w:firstLineChars="200"/>
        <w:outlineLvl w:val="0"/>
        <w:rPr>
          <w:rFonts w:cs="Courier New" w:asciiTheme="minorEastAsia" w:hAnsiTheme="minorEastAsia" w:eastAsiaTheme="minorEastAsia"/>
          <w:b/>
          <w:color w:val="auto"/>
          <w:kern w:val="2"/>
          <w:sz w:val="21"/>
          <w:szCs w:val="21"/>
          <w:highlight w:val="none"/>
        </w:rPr>
      </w:pPr>
      <w:r>
        <w:rPr>
          <w:rFonts w:hint="eastAsia" w:cs="Courier New" w:asciiTheme="minorEastAsia" w:hAnsiTheme="minorEastAsia" w:eastAsiaTheme="minorEastAsia"/>
          <w:b/>
          <w:color w:val="auto"/>
          <w:kern w:val="2"/>
          <w:sz w:val="21"/>
          <w:szCs w:val="21"/>
          <w:highlight w:val="none"/>
        </w:rPr>
        <w:t>九、违约责任</w:t>
      </w:r>
    </w:p>
    <w:p>
      <w:pPr>
        <w:numPr>
          <w:ilvl w:val="255"/>
          <w:numId w:val="0"/>
        </w:numPr>
        <w:spacing w:line="360" w:lineRule="auto"/>
        <w:ind w:left="220" w:leftChars="100" w:right="567" w:firstLine="420" w:firstLineChars="200"/>
        <w:jc w:val="both"/>
        <w:outlineLvl w:val="0"/>
        <w:rPr>
          <w:color w:val="auto"/>
          <w:sz w:val="21"/>
          <w:szCs w:val="21"/>
          <w:highlight w:val="none"/>
        </w:rPr>
      </w:pPr>
      <w:r>
        <w:rPr>
          <w:rFonts w:cs="Courier New" w:asciiTheme="minorEastAsia" w:hAnsiTheme="minorEastAsia" w:eastAsiaTheme="minorEastAsia"/>
          <w:bCs/>
          <w:color w:val="auto"/>
          <w:kern w:val="2"/>
          <w:sz w:val="21"/>
          <w:szCs w:val="21"/>
          <w:highlight w:val="none"/>
        </w:rPr>
        <w:t>1.中标人不得将本项目发包或转包，否则，将视中标人违约，采购人可以解除服务合同。</w:t>
      </w:r>
      <w:r>
        <w:rPr>
          <w:rFonts w:hint="eastAsia"/>
          <w:color w:val="auto"/>
          <w:sz w:val="21"/>
          <w:szCs w:val="21"/>
          <w:highlight w:val="none"/>
        </w:rPr>
        <w:t>同时，中标人应向采购人支付合同价款</w:t>
      </w:r>
      <w:r>
        <w:rPr>
          <w:rFonts w:hint="eastAsia"/>
          <w:color w:val="auto"/>
          <w:sz w:val="21"/>
          <w:szCs w:val="21"/>
          <w:highlight w:val="none"/>
          <w:lang w:val="en-US"/>
        </w:rPr>
        <w:t>1</w:t>
      </w:r>
      <w:r>
        <w:rPr>
          <w:rFonts w:hint="eastAsia"/>
          <w:color w:val="auto"/>
          <w:sz w:val="21"/>
          <w:szCs w:val="21"/>
          <w:highlight w:val="none"/>
        </w:rPr>
        <w:t>0%的违约赔偿金。</w:t>
      </w:r>
    </w:p>
    <w:p>
      <w:pPr>
        <w:numPr>
          <w:ilvl w:val="255"/>
          <w:numId w:val="0"/>
        </w:numPr>
        <w:spacing w:line="360" w:lineRule="auto"/>
        <w:ind w:left="220" w:leftChars="100" w:right="567" w:firstLine="420" w:firstLineChars="200"/>
        <w:jc w:val="both"/>
        <w:outlineLvl w:val="0"/>
        <w:rPr>
          <w:color w:val="auto"/>
          <w:sz w:val="21"/>
          <w:szCs w:val="21"/>
          <w:highlight w:val="none"/>
        </w:rPr>
      </w:pPr>
      <w:r>
        <w:rPr>
          <w:rFonts w:hint="eastAsia"/>
          <w:color w:val="auto"/>
          <w:sz w:val="21"/>
          <w:szCs w:val="21"/>
          <w:highlight w:val="none"/>
        </w:rPr>
        <w:t>2.服务期限内，采购人每次对中标人抽查考核不合格的，每违反一次，按合同总价的2%向采购人支付违约金。超过五次抽查不合格或综合测评不合格的，采购人可单方解除本合同，同时，中标人应向采购人支付合同价款</w:t>
      </w:r>
      <w:r>
        <w:rPr>
          <w:rFonts w:hint="eastAsia"/>
          <w:color w:val="auto"/>
          <w:sz w:val="21"/>
          <w:szCs w:val="21"/>
          <w:highlight w:val="none"/>
          <w:lang w:val="en-US"/>
        </w:rPr>
        <w:t>1</w:t>
      </w:r>
      <w:r>
        <w:rPr>
          <w:rFonts w:hint="eastAsia"/>
          <w:color w:val="auto"/>
          <w:sz w:val="21"/>
          <w:szCs w:val="21"/>
          <w:highlight w:val="none"/>
        </w:rPr>
        <w:t>0%的违约赔偿金。</w:t>
      </w:r>
    </w:p>
    <w:p>
      <w:pPr>
        <w:numPr>
          <w:ilvl w:val="255"/>
          <w:numId w:val="0"/>
        </w:numPr>
        <w:spacing w:line="360" w:lineRule="auto"/>
        <w:ind w:left="220" w:leftChars="100" w:right="567" w:firstLine="420" w:firstLineChars="200"/>
        <w:jc w:val="both"/>
        <w:outlineLvl w:val="0"/>
        <w:rPr>
          <w:rFonts w:cs="Courier New" w:asciiTheme="minorEastAsia" w:hAnsiTheme="minorEastAsia" w:eastAsiaTheme="minorEastAsia"/>
          <w:bCs/>
          <w:color w:val="auto"/>
          <w:kern w:val="2"/>
          <w:sz w:val="21"/>
          <w:szCs w:val="21"/>
          <w:highlight w:val="none"/>
        </w:rPr>
      </w:pPr>
      <w:r>
        <w:rPr>
          <w:rFonts w:cs="Courier New" w:asciiTheme="minorEastAsia" w:hAnsiTheme="minorEastAsia" w:eastAsiaTheme="minorEastAsia"/>
          <w:bCs/>
          <w:color w:val="auto"/>
          <w:kern w:val="2"/>
          <w:sz w:val="21"/>
          <w:szCs w:val="21"/>
          <w:highlight w:val="none"/>
        </w:rPr>
        <w:t>3.服务期间，双方必须严格履行合同，在执行过程中，如遇未尽事宜，双方可协商解决，单方面无权变更合同。</w:t>
      </w:r>
    </w:p>
    <w:p>
      <w:pPr>
        <w:numPr>
          <w:ilvl w:val="255"/>
          <w:numId w:val="0"/>
        </w:numPr>
        <w:spacing w:line="360" w:lineRule="auto"/>
        <w:ind w:left="220" w:leftChars="100" w:right="567" w:firstLine="420" w:firstLineChars="200"/>
        <w:jc w:val="both"/>
        <w:outlineLvl w:val="0"/>
        <w:rPr>
          <w:rFonts w:cs="Courier New" w:asciiTheme="minorEastAsia" w:hAnsiTheme="minorEastAsia" w:eastAsiaTheme="minorEastAsia"/>
          <w:bCs/>
          <w:color w:val="auto"/>
          <w:kern w:val="2"/>
          <w:sz w:val="21"/>
          <w:szCs w:val="21"/>
          <w:highlight w:val="none"/>
        </w:rPr>
      </w:pPr>
      <w:r>
        <w:rPr>
          <w:rFonts w:cs="Courier New" w:asciiTheme="minorEastAsia" w:hAnsiTheme="minorEastAsia" w:eastAsiaTheme="minorEastAsia"/>
          <w:bCs/>
          <w:color w:val="auto"/>
          <w:kern w:val="2"/>
          <w:sz w:val="21"/>
          <w:szCs w:val="21"/>
          <w:highlight w:val="none"/>
        </w:rPr>
        <w:t>4.服务期间，中标人应遵守国家的有关法律、法规及当地政府的有关规定，严格内部管理并负责其为完成本项目承包合同的全部人员的聘用合同及劳动法律关系和相应的风险责任。中标人有违反本项目招标文件用户需求对文物保护监督员劳动保障规定情形的，采购人可书面通知中标人及时整改；中标人未按要求时限整改的，采购人有权单方终止合同</w:t>
      </w:r>
      <w:r>
        <w:rPr>
          <w:rFonts w:hint="eastAsia" w:cs="Courier New" w:asciiTheme="minorEastAsia" w:hAnsiTheme="minorEastAsia" w:eastAsiaTheme="minorEastAsia"/>
          <w:bCs/>
          <w:color w:val="auto"/>
          <w:kern w:val="2"/>
          <w:sz w:val="21"/>
          <w:szCs w:val="21"/>
          <w:highlight w:val="none"/>
        </w:rPr>
        <w:t>。</w:t>
      </w:r>
      <w:r>
        <w:rPr>
          <w:rFonts w:hint="eastAsia"/>
          <w:color w:val="auto"/>
          <w:sz w:val="21"/>
          <w:szCs w:val="21"/>
          <w:highlight w:val="none"/>
        </w:rPr>
        <w:t>同时，中标人应向采购人支付合同价款</w:t>
      </w:r>
      <w:r>
        <w:rPr>
          <w:rFonts w:hint="eastAsia"/>
          <w:color w:val="auto"/>
          <w:sz w:val="21"/>
          <w:szCs w:val="21"/>
          <w:highlight w:val="none"/>
          <w:lang w:val="en-US"/>
        </w:rPr>
        <w:t>1</w:t>
      </w:r>
      <w:r>
        <w:rPr>
          <w:rFonts w:hint="eastAsia"/>
          <w:color w:val="auto"/>
          <w:sz w:val="21"/>
          <w:szCs w:val="21"/>
          <w:highlight w:val="none"/>
        </w:rPr>
        <w:t>0%的违约金，违约金不足弥补采购人因此遭受的实际损失的，中标人还应补足采购人因此遭受的实际损失。</w:t>
      </w:r>
    </w:p>
    <w:p>
      <w:pPr>
        <w:numPr>
          <w:ilvl w:val="255"/>
          <w:numId w:val="0"/>
        </w:numPr>
        <w:spacing w:line="360" w:lineRule="auto"/>
        <w:ind w:left="220" w:leftChars="100" w:right="567" w:firstLine="422" w:firstLineChars="200"/>
        <w:outlineLvl w:val="0"/>
        <w:rPr>
          <w:rFonts w:cs="Courier New" w:asciiTheme="minorEastAsia" w:hAnsiTheme="minorEastAsia" w:eastAsiaTheme="minorEastAsia"/>
          <w:b/>
          <w:color w:val="auto"/>
          <w:kern w:val="2"/>
          <w:sz w:val="21"/>
          <w:szCs w:val="21"/>
          <w:highlight w:val="none"/>
          <w:lang w:val="en-US"/>
        </w:rPr>
      </w:pPr>
    </w:p>
    <w:p>
      <w:pPr>
        <w:numPr>
          <w:ilvl w:val="255"/>
          <w:numId w:val="0"/>
        </w:numPr>
        <w:spacing w:line="360" w:lineRule="auto"/>
        <w:ind w:left="220" w:leftChars="100" w:right="567" w:firstLine="422" w:firstLineChars="200"/>
        <w:outlineLvl w:val="0"/>
        <w:rPr>
          <w:rFonts w:cs="Courier New" w:asciiTheme="minorEastAsia" w:hAnsiTheme="minorEastAsia" w:eastAsiaTheme="minorEastAsia"/>
          <w:b/>
          <w:color w:val="auto"/>
          <w:kern w:val="2"/>
          <w:sz w:val="21"/>
          <w:szCs w:val="21"/>
          <w:highlight w:val="none"/>
        </w:rPr>
      </w:pPr>
      <w:r>
        <w:rPr>
          <w:rFonts w:hint="eastAsia" w:cs="Courier New" w:asciiTheme="minorEastAsia" w:hAnsiTheme="minorEastAsia" w:eastAsiaTheme="minorEastAsia"/>
          <w:b/>
          <w:color w:val="auto"/>
          <w:kern w:val="2"/>
          <w:sz w:val="21"/>
          <w:szCs w:val="21"/>
          <w:highlight w:val="none"/>
        </w:rPr>
        <w:t>十、付款方式</w:t>
      </w:r>
    </w:p>
    <w:p>
      <w:pPr>
        <w:spacing w:line="360" w:lineRule="auto"/>
        <w:ind w:left="220" w:leftChars="100" w:right="567" w:firstLine="420" w:firstLineChars="200"/>
        <w:outlineLvl w:val="0"/>
        <w:rPr>
          <w:rFonts w:cs="Courier New" w:asciiTheme="minorEastAsia" w:hAnsiTheme="minorEastAsia" w:eastAsiaTheme="minorEastAsia"/>
          <w:bCs/>
          <w:color w:val="auto"/>
          <w:kern w:val="2"/>
          <w:sz w:val="21"/>
          <w:szCs w:val="21"/>
          <w:highlight w:val="none"/>
        </w:rPr>
      </w:pPr>
      <w:r>
        <w:rPr>
          <w:rFonts w:hint="eastAsia" w:cs="Courier New" w:asciiTheme="minorEastAsia" w:hAnsiTheme="minorEastAsia" w:eastAsiaTheme="minorEastAsia"/>
          <w:bCs/>
          <w:color w:val="auto"/>
          <w:kern w:val="2"/>
          <w:sz w:val="21"/>
          <w:szCs w:val="21"/>
          <w:highlight w:val="none"/>
        </w:rPr>
        <w:t>项目费用按年度结算，项目合同签订后，中标人向采购人提供请款资料，采购人于</w:t>
      </w:r>
      <w:r>
        <w:rPr>
          <w:rFonts w:cs="Courier New" w:asciiTheme="minorEastAsia" w:hAnsiTheme="minorEastAsia" w:eastAsiaTheme="minorEastAsia"/>
          <w:bCs/>
          <w:color w:val="auto"/>
          <w:kern w:val="2"/>
          <w:sz w:val="21"/>
          <w:szCs w:val="21"/>
          <w:highlight w:val="none"/>
        </w:rPr>
        <w:t>10个工作日内支付合同总金额的</w:t>
      </w:r>
      <w:r>
        <w:rPr>
          <w:rFonts w:hint="eastAsia" w:cs="Courier New" w:asciiTheme="minorEastAsia" w:hAnsiTheme="minorEastAsia" w:eastAsiaTheme="minorEastAsia"/>
          <w:bCs/>
          <w:color w:val="auto"/>
          <w:kern w:val="2"/>
          <w:sz w:val="21"/>
          <w:szCs w:val="21"/>
          <w:highlight w:val="none"/>
          <w:lang w:val="en-US" w:eastAsia="zh-CN"/>
        </w:rPr>
        <w:t>40%</w:t>
      </w:r>
      <w:r>
        <w:rPr>
          <w:rFonts w:cs="Courier New" w:asciiTheme="minorEastAsia" w:hAnsiTheme="minorEastAsia" w:eastAsiaTheme="minorEastAsia"/>
          <w:bCs/>
          <w:color w:val="auto"/>
          <w:kern w:val="2"/>
          <w:sz w:val="21"/>
          <w:szCs w:val="21"/>
          <w:highlight w:val="none"/>
        </w:rPr>
        <w:t>；中标人通过考核期后，中标人向采购人提供请款资料，采购人于10个工作日内支付当年度合同总金额的</w:t>
      </w:r>
      <w:r>
        <w:rPr>
          <w:rFonts w:hint="eastAsia" w:cs="Courier New" w:asciiTheme="minorEastAsia" w:hAnsiTheme="minorEastAsia" w:eastAsiaTheme="minorEastAsia"/>
          <w:bCs/>
          <w:color w:val="auto"/>
          <w:kern w:val="2"/>
          <w:sz w:val="21"/>
          <w:szCs w:val="21"/>
          <w:highlight w:val="none"/>
          <w:lang w:val="en-US" w:eastAsia="zh-CN"/>
        </w:rPr>
        <w:t>30</w:t>
      </w:r>
      <w:r>
        <w:rPr>
          <w:rFonts w:cs="Courier New" w:asciiTheme="minorEastAsia" w:hAnsiTheme="minorEastAsia" w:eastAsiaTheme="minorEastAsia"/>
          <w:bCs/>
          <w:color w:val="auto"/>
          <w:kern w:val="2"/>
          <w:sz w:val="21"/>
          <w:szCs w:val="21"/>
          <w:highlight w:val="none"/>
        </w:rPr>
        <w:t>%；中标人在完成合同服务内容后，于服务期最后一个月内向采购人提供请款资料，采购人于10个工作日内支付当年度合同总金额的</w:t>
      </w:r>
      <w:r>
        <w:rPr>
          <w:rFonts w:hint="eastAsia" w:cs="Courier New" w:asciiTheme="minorEastAsia" w:hAnsiTheme="minorEastAsia" w:eastAsiaTheme="minorEastAsia"/>
          <w:bCs/>
          <w:color w:val="auto"/>
          <w:kern w:val="2"/>
          <w:sz w:val="21"/>
          <w:szCs w:val="21"/>
          <w:highlight w:val="none"/>
          <w:lang w:val="en-US" w:eastAsia="zh-CN"/>
        </w:rPr>
        <w:t>30</w:t>
      </w:r>
      <w:r>
        <w:rPr>
          <w:rFonts w:cs="Courier New" w:asciiTheme="minorEastAsia" w:hAnsiTheme="minorEastAsia" w:eastAsiaTheme="minorEastAsia"/>
          <w:bCs/>
          <w:color w:val="auto"/>
          <w:kern w:val="2"/>
          <w:sz w:val="21"/>
          <w:szCs w:val="21"/>
          <w:highlight w:val="none"/>
        </w:rPr>
        <w:t>%。</w:t>
      </w:r>
    </w:p>
    <w:p>
      <w:pPr>
        <w:spacing w:line="360" w:lineRule="auto"/>
        <w:ind w:left="220" w:leftChars="100" w:right="567" w:firstLine="560"/>
        <w:jc w:val="both"/>
        <w:outlineLvl w:val="0"/>
        <w:rPr>
          <w:rFonts w:cs="Courier New" w:asciiTheme="minorEastAsia" w:hAnsiTheme="minorEastAsia" w:eastAsiaTheme="minorEastAsia"/>
          <w:bCs/>
          <w:color w:val="auto"/>
          <w:kern w:val="2"/>
          <w:sz w:val="21"/>
          <w:szCs w:val="21"/>
          <w:highlight w:val="none"/>
        </w:rPr>
      </w:pPr>
      <w:r>
        <w:rPr>
          <w:rFonts w:hint="eastAsia" w:cs="Courier New" w:asciiTheme="minorEastAsia" w:hAnsiTheme="minorEastAsia" w:eastAsiaTheme="minorEastAsia"/>
          <w:bCs/>
          <w:color w:val="auto"/>
          <w:kern w:val="2"/>
          <w:sz w:val="21"/>
          <w:szCs w:val="21"/>
          <w:highlight w:val="none"/>
        </w:rPr>
        <w:t>2</w:t>
      </w:r>
      <w:r>
        <w:rPr>
          <w:rFonts w:cs="Courier New" w:asciiTheme="minorEastAsia" w:hAnsiTheme="minorEastAsia" w:eastAsiaTheme="minorEastAsia"/>
          <w:bCs/>
          <w:color w:val="auto"/>
          <w:kern w:val="2"/>
          <w:sz w:val="21"/>
          <w:szCs w:val="21"/>
          <w:highlight w:val="none"/>
        </w:rPr>
        <w:t>.中标人凭以下有效文件与采购人请款：</w:t>
      </w:r>
    </w:p>
    <w:p>
      <w:pPr>
        <w:spacing w:line="360" w:lineRule="auto"/>
        <w:ind w:left="220" w:leftChars="100" w:right="567" w:firstLine="560"/>
        <w:jc w:val="both"/>
        <w:outlineLvl w:val="0"/>
        <w:rPr>
          <w:rFonts w:cs="Courier New" w:asciiTheme="minorEastAsia" w:hAnsiTheme="minorEastAsia" w:eastAsiaTheme="minorEastAsia"/>
          <w:bCs/>
          <w:color w:val="auto"/>
          <w:kern w:val="2"/>
          <w:sz w:val="21"/>
          <w:szCs w:val="21"/>
          <w:highlight w:val="none"/>
        </w:rPr>
      </w:pPr>
      <w:r>
        <w:rPr>
          <w:rFonts w:hint="eastAsia" w:cs="Courier New" w:asciiTheme="minorEastAsia" w:hAnsiTheme="minorEastAsia" w:eastAsiaTheme="minorEastAsia"/>
          <w:bCs/>
          <w:color w:val="auto"/>
          <w:kern w:val="2"/>
          <w:sz w:val="21"/>
          <w:szCs w:val="21"/>
          <w:highlight w:val="none"/>
        </w:rPr>
        <w:t>（</w:t>
      </w:r>
      <w:r>
        <w:rPr>
          <w:rFonts w:cs="Courier New" w:asciiTheme="minorEastAsia" w:hAnsiTheme="minorEastAsia" w:eastAsiaTheme="minorEastAsia"/>
          <w:bCs/>
          <w:color w:val="auto"/>
          <w:kern w:val="2"/>
          <w:sz w:val="21"/>
          <w:szCs w:val="21"/>
          <w:highlight w:val="none"/>
        </w:rPr>
        <w:t>1）合同；</w:t>
      </w:r>
    </w:p>
    <w:p>
      <w:pPr>
        <w:spacing w:line="360" w:lineRule="auto"/>
        <w:ind w:left="220" w:leftChars="100" w:right="567" w:firstLine="560"/>
        <w:jc w:val="both"/>
        <w:outlineLvl w:val="0"/>
        <w:rPr>
          <w:rFonts w:cs="Courier New" w:asciiTheme="minorEastAsia" w:hAnsiTheme="minorEastAsia" w:eastAsiaTheme="minorEastAsia"/>
          <w:bCs/>
          <w:color w:val="auto"/>
          <w:kern w:val="2"/>
          <w:sz w:val="21"/>
          <w:szCs w:val="21"/>
          <w:highlight w:val="none"/>
        </w:rPr>
      </w:pPr>
      <w:r>
        <w:rPr>
          <w:rFonts w:hint="eastAsia" w:cs="Courier New" w:asciiTheme="minorEastAsia" w:hAnsiTheme="minorEastAsia" w:eastAsiaTheme="minorEastAsia"/>
          <w:bCs/>
          <w:color w:val="auto"/>
          <w:kern w:val="2"/>
          <w:sz w:val="21"/>
          <w:szCs w:val="21"/>
          <w:highlight w:val="none"/>
        </w:rPr>
        <w:t>（</w:t>
      </w:r>
      <w:r>
        <w:rPr>
          <w:rFonts w:cs="Courier New" w:asciiTheme="minorEastAsia" w:hAnsiTheme="minorEastAsia" w:eastAsiaTheme="minorEastAsia"/>
          <w:bCs/>
          <w:color w:val="auto"/>
          <w:kern w:val="2"/>
          <w:sz w:val="21"/>
          <w:szCs w:val="21"/>
          <w:highlight w:val="none"/>
        </w:rPr>
        <w:t>2）中标人开具的正式发票；</w:t>
      </w:r>
    </w:p>
    <w:p>
      <w:pPr>
        <w:spacing w:line="360" w:lineRule="auto"/>
        <w:ind w:left="220" w:leftChars="100" w:right="567" w:firstLine="560"/>
        <w:jc w:val="both"/>
        <w:outlineLvl w:val="0"/>
        <w:rPr>
          <w:rFonts w:cs="Courier New" w:asciiTheme="minorEastAsia" w:hAnsiTheme="minorEastAsia" w:eastAsiaTheme="minorEastAsia"/>
          <w:bCs/>
          <w:color w:val="auto"/>
          <w:kern w:val="2"/>
          <w:sz w:val="21"/>
          <w:szCs w:val="21"/>
          <w:highlight w:val="none"/>
        </w:rPr>
      </w:pPr>
      <w:r>
        <w:rPr>
          <w:rFonts w:hint="eastAsia" w:cs="Courier New" w:asciiTheme="minorEastAsia" w:hAnsiTheme="minorEastAsia" w:eastAsiaTheme="minorEastAsia"/>
          <w:bCs/>
          <w:color w:val="auto"/>
          <w:kern w:val="2"/>
          <w:sz w:val="21"/>
          <w:szCs w:val="21"/>
          <w:highlight w:val="none"/>
        </w:rPr>
        <w:t>（</w:t>
      </w:r>
      <w:r>
        <w:rPr>
          <w:rFonts w:cs="Courier New" w:asciiTheme="minorEastAsia" w:hAnsiTheme="minorEastAsia" w:eastAsiaTheme="minorEastAsia"/>
          <w:bCs/>
          <w:color w:val="auto"/>
          <w:kern w:val="2"/>
          <w:sz w:val="21"/>
          <w:szCs w:val="21"/>
          <w:highlight w:val="none"/>
        </w:rPr>
        <w:t>3）</w:t>
      </w:r>
      <w:r>
        <w:rPr>
          <w:rFonts w:hint="eastAsia" w:cs="Courier New" w:asciiTheme="minorEastAsia" w:hAnsiTheme="minorEastAsia" w:eastAsiaTheme="minorEastAsia"/>
          <w:bCs/>
          <w:color w:val="auto"/>
          <w:kern w:val="2"/>
          <w:sz w:val="21"/>
          <w:szCs w:val="21"/>
          <w:highlight w:val="none"/>
        </w:rPr>
        <w:t>采购人请款需要的其他资料。</w:t>
      </w:r>
    </w:p>
    <w:p>
      <w:pPr>
        <w:pStyle w:val="10"/>
        <w:spacing w:line="360" w:lineRule="auto"/>
        <w:ind w:left="220" w:leftChars="100" w:right="567"/>
        <w:rPr>
          <w:b/>
          <w:color w:val="auto"/>
          <w:highlight w:val="none"/>
        </w:rPr>
      </w:pPr>
      <w:r>
        <w:rPr>
          <w:rFonts w:hint="eastAsia" w:cs="Courier New" w:asciiTheme="minorEastAsia" w:hAnsiTheme="minorEastAsia" w:eastAsiaTheme="minorEastAsia"/>
          <w:bCs/>
          <w:color w:val="auto"/>
          <w:kern w:val="2"/>
          <w:highlight w:val="none"/>
        </w:rPr>
        <w:t>3</w:t>
      </w:r>
      <w:r>
        <w:rPr>
          <w:rFonts w:cs="Courier New" w:asciiTheme="minorEastAsia" w:hAnsiTheme="minorEastAsia" w:eastAsiaTheme="minorEastAsia"/>
          <w:bCs/>
          <w:color w:val="auto"/>
          <w:kern w:val="2"/>
          <w:highlight w:val="none"/>
        </w:rPr>
        <w:t>.因采购人使用的是财政资金，采购人在前款规定的付款时间为向政府采购支付部门提出办理财政支付申请手续的时间（不含政府财政支付部门审核的时间），在规定时间内提出支付申请手续后即视为采购人已经按期支付。</w:t>
      </w:r>
    </w:p>
    <w:p>
      <w:pPr>
        <w:rPr>
          <w:color w:val="auto"/>
          <w:highlight w:val="none"/>
        </w:rPr>
        <w:sectPr>
          <w:footerReference r:id="rId8" w:type="default"/>
          <w:pgSz w:w="12240" w:h="15840"/>
          <w:pgMar w:top="1380" w:right="900" w:bottom="880" w:left="1360" w:header="746" w:footer="688" w:gutter="0"/>
          <w:cols w:space="720" w:num="1"/>
        </w:sectPr>
      </w:pPr>
    </w:p>
    <w:p>
      <w:pPr>
        <w:rPr>
          <w:color w:val="auto"/>
          <w:highlight w:val="none"/>
        </w:rPr>
      </w:pPr>
    </w:p>
    <w:p>
      <w:pPr>
        <w:tabs>
          <w:tab w:val="left" w:pos="1281"/>
        </w:tabs>
        <w:spacing w:before="54"/>
        <w:ind w:right="646"/>
        <w:jc w:val="center"/>
        <w:rPr>
          <w:color w:val="auto"/>
          <w:sz w:val="32"/>
          <w:highlight w:val="none"/>
        </w:rPr>
      </w:pPr>
      <w:r>
        <w:rPr>
          <w:color w:val="auto"/>
          <w:sz w:val="32"/>
          <w:highlight w:val="none"/>
        </w:rPr>
        <w:t>第四章</w:t>
      </w:r>
      <w:r>
        <w:rPr>
          <w:color w:val="auto"/>
          <w:sz w:val="32"/>
          <w:highlight w:val="none"/>
        </w:rPr>
        <w:tab/>
      </w:r>
      <w:r>
        <w:rPr>
          <w:color w:val="auto"/>
          <w:sz w:val="32"/>
          <w:highlight w:val="none"/>
        </w:rPr>
        <w:t>政府采购合同</w:t>
      </w:r>
    </w:p>
    <w:p>
      <w:pPr>
        <w:spacing w:line="120" w:lineRule="atLeast"/>
        <w:jc w:val="center"/>
        <w:rPr>
          <w:rFonts w:ascii="黑体" w:eastAsia="黑体"/>
          <w:b/>
          <w:color w:val="auto"/>
          <w:sz w:val="44"/>
          <w:highlight w:val="none"/>
        </w:rPr>
      </w:pPr>
    </w:p>
    <w:p>
      <w:pPr>
        <w:tabs>
          <w:tab w:val="left" w:pos="720"/>
        </w:tabs>
        <w:spacing w:line="360" w:lineRule="auto"/>
        <w:jc w:val="center"/>
        <w:rPr>
          <w:rFonts w:ascii="仿宋_GB2312" w:hAnsi="仿宋" w:eastAsia="仿宋_GB2312"/>
          <w:b/>
          <w:color w:val="auto"/>
          <w:sz w:val="72"/>
          <w:szCs w:val="72"/>
          <w:highlight w:val="none"/>
        </w:rPr>
      </w:pPr>
      <w:r>
        <w:rPr>
          <w:rFonts w:hint="eastAsia" w:ascii="仿宋_GB2312" w:hAnsi="仿宋" w:eastAsia="仿宋_GB2312"/>
          <w:b/>
          <w:color w:val="auto"/>
          <w:sz w:val="72"/>
          <w:szCs w:val="72"/>
          <w:highlight w:val="none"/>
        </w:rPr>
        <w:t>采购合同书（样本）</w:t>
      </w:r>
    </w:p>
    <w:p>
      <w:pPr>
        <w:tabs>
          <w:tab w:val="left" w:pos="720"/>
        </w:tabs>
        <w:spacing w:line="360" w:lineRule="auto"/>
        <w:jc w:val="center"/>
        <w:rPr>
          <w:rFonts w:ascii="仿宋_GB2312" w:hAnsi="仿宋" w:eastAsia="仿宋_GB2312"/>
          <w:b/>
          <w:color w:val="auto"/>
          <w:sz w:val="44"/>
          <w:szCs w:val="44"/>
          <w:highlight w:val="none"/>
        </w:rPr>
      </w:pPr>
      <w:r>
        <w:rPr>
          <w:rFonts w:hint="eastAsia" w:ascii="仿宋_GB2312" w:hAnsi="仿宋" w:eastAsia="仿宋_GB2312"/>
          <w:b/>
          <w:color w:val="auto"/>
          <w:sz w:val="44"/>
          <w:szCs w:val="44"/>
          <w:highlight w:val="none"/>
        </w:rPr>
        <w:t>（服务类）</w:t>
      </w:r>
    </w:p>
    <w:p>
      <w:pPr>
        <w:jc w:val="center"/>
        <w:rPr>
          <w:rFonts w:ascii="仿宋_GB2312" w:hAnsi="仿宋" w:eastAsia="仿宋_GB2312"/>
          <w:b/>
          <w:color w:val="auto"/>
          <w:sz w:val="84"/>
          <w:szCs w:val="84"/>
          <w:highlight w:val="none"/>
        </w:rPr>
      </w:pPr>
      <w:r>
        <w:rPr>
          <w:b/>
          <w:bCs/>
          <w:color w:val="auto"/>
          <w:sz w:val="28"/>
          <w:szCs w:val="28"/>
          <w:highlight w:val="none"/>
        </w:rPr>
        <w:t>(</w:t>
      </w:r>
      <w:r>
        <w:rPr>
          <w:rFonts w:hint="eastAsia"/>
          <w:b/>
          <w:bCs/>
          <w:color w:val="auto"/>
          <w:sz w:val="28"/>
          <w:szCs w:val="28"/>
          <w:highlight w:val="none"/>
        </w:rPr>
        <w:t>此合同样本仅供参考</w:t>
      </w:r>
      <w:r>
        <w:rPr>
          <w:b/>
          <w:bCs/>
          <w:color w:val="auto"/>
          <w:sz w:val="28"/>
          <w:szCs w:val="28"/>
          <w:highlight w:val="none"/>
        </w:rPr>
        <w:t>,</w:t>
      </w:r>
      <w:r>
        <w:rPr>
          <w:rFonts w:hint="eastAsia"/>
          <w:b/>
          <w:bCs/>
          <w:color w:val="auto"/>
          <w:sz w:val="28"/>
          <w:szCs w:val="28"/>
          <w:highlight w:val="none"/>
        </w:rPr>
        <w:t>合同具体细则以中标后各方协定为准</w:t>
      </w:r>
      <w:r>
        <w:rPr>
          <w:b/>
          <w:bCs/>
          <w:color w:val="auto"/>
          <w:sz w:val="28"/>
          <w:szCs w:val="28"/>
          <w:highlight w:val="none"/>
        </w:rPr>
        <w:t>)</w:t>
      </w:r>
    </w:p>
    <w:p>
      <w:pPr>
        <w:tabs>
          <w:tab w:val="left" w:pos="720"/>
        </w:tabs>
        <w:spacing w:line="360" w:lineRule="auto"/>
        <w:rPr>
          <w:rFonts w:ascii="仿宋_GB2312" w:hAnsi="仿宋" w:eastAsia="仿宋_GB2312"/>
          <w:b/>
          <w:color w:val="auto"/>
          <w:sz w:val="84"/>
          <w:szCs w:val="84"/>
          <w:highlight w:val="none"/>
        </w:rPr>
      </w:pPr>
    </w:p>
    <w:p>
      <w:pPr>
        <w:tabs>
          <w:tab w:val="left" w:pos="720"/>
        </w:tabs>
        <w:spacing w:line="360" w:lineRule="auto"/>
        <w:rPr>
          <w:rFonts w:eastAsia="仿宋_GB2312"/>
          <w:color w:val="auto"/>
          <w:sz w:val="28"/>
          <w:szCs w:val="28"/>
          <w:highlight w:val="none"/>
        </w:rPr>
      </w:pPr>
      <w:r>
        <w:rPr>
          <w:rFonts w:hint="eastAsia" w:ascii="仿宋_GB2312" w:hAnsi="仿宋" w:eastAsia="仿宋_GB2312"/>
          <w:b/>
          <w:color w:val="auto"/>
          <w:sz w:val="32"/>
          <w:szCs w:val="32"/>
          <w:highlight w:val="none"/>
        </w:rPr>
        <w:t>项目编号：</w:t>
      </w:r>
    </w:p>
    <w:p>
      <w:pPr>
        <w:tabs>
          <w:tab w:val="left" w:pos="720"/>
        </w:tabs>
        <w:spacing w:line="360" w:lineRule="auto"/>
        <w:rPr>
          <w:rFonts w:hint="eastAsia" w:eastAsia="仿宋_GB2312"/>
          <w:color w:val="auto"/>
          <w:sz w:val="28"/>
          <w:szCs w:val="28"/>
          <w:highlight w:val="none"/>
          <w:lang w:eastAsia="zh-CN"/>
        </w:rPr>
      </w:pPr>
      <w:r>
        <w:rPr>
          <w:rFonts w:hint="eastAsia" w:ascii="仿宋_GB2312" w:hAnsi="仿宋" w:eastAsia="仿宋_GB2312"/>
          <w:b/>
          <w:color w:val="auto"/>
          <w:sz w:val="32"/>
          <w:szCs w:val="32"/>
          <w:highlight w:val="none"/>
        </w:rPr>
        <w:t>项目名称：</w:t>
      </w:r>
      <w:r>
        <w:rPr>
          <w:rFonts w:hint="eastAsia" w:ascii="仿宋_GB2312" w:hAnsi="仿宋" w:eastAsia="仿宋_GB2312"/>
          <w:b/>
          <w:color w:val="auto"/>
          <w:sz w:val="32"/>
          <w:szCs w:val="32"/>
          <w:highlight w:val="none"/>
          <w:u w:val="single"/>
          <w:lang w:val="en-US" w:eastAsia="zh-CN"/>
        </w:rPr>
        <w:t>2022年</w:t>
      </w:r>
      <w:r>
        <w:rPr>
          <w:rFonts w:hint="eastAsia" w:ascii="仿宋_GB2312" w:hAnsi="仿宋" w:eastAsia="仿宋_GB2312"/>
          <w:b/>
          <w:color w:val="auto"/>
          <w:sz w:val="32"/>
          <w:szCs w:val="32"/>
          <w:highlight w:val="none"/>
          <w:u w:val="single"/>
          <w:lang w:eastAsia="zh-CN"/>
        </w:rPr>
        <w:t>天河区文物监督保护服务工作项目</w:t>
      </w:r>
    </w:p>
    <w:p>
      <w:pPr>
        <w:tabs>
          <w:tab w:val="left" w:pos="720"/>
        </w:tabs>
        <w:spacing w:line="360" w:lineRule="auto"/>
        <w:rPr>
          <w:rFonts w:ascii="仿宋_GB2312" w:hAnsi="仿宋" w:eastAsia="仿宋_GB2312"/>
          <w:b/>
          <w:color w:val="auto"/>
          <w:sz w:val="32"/>
          <w:szCs w:val="32"/>
          <w:highlight w:val="none"/>
        </w:rPr>
      </w:pPr>
      <w:r>
        <w:rPr>
          <w:rFonts w:hint="eastAsia" w:ascii="仿宋_GB2312" w:hAnsi="仿宋" w:eastAsia="仿宋_GB2312"/>
          <w:b/>
          <w:color w:val="auto"/>
          <w:sz w:val="32"/>
          <w:szCs w:val="32"/>
          <w:highlight w:val="none"/>
        </w:rPr>
        <w:t>签订日期：</w:t>
      </w:r>
      <w:r>
        <w:rPr>
          <w:rFonts w:hint="eastAsia" w:ascii="仿宋_GB2312" w:hAnsi="仿宋" w:eastAsia="仿宋_GB2312"/>
          <w:b/>
          <w:color w:val="auto"/>
          <w:sz w:val="32"/>
          <w:szCs w:val="32"/>
          <w:highlight w:val="none"/>
          <w:u w:val="single"/>
        </w:rPr>
        <w:t>20</w:t>
      </w:r>
      <w:r>
        <w:rPr>
          <w:rFonts w:hint="eastAsia" w:ascii="仿宋_GB2312" w:hAnsi="仿宋" w:eastAsia="仿宋_GB2312"/>
          <w:b/>
          <w:color w:val="auto"/>
          <w:sz w:val="32"/>
          <w:szCs w:val="32"/>
          <w:highlight w:val="none"/>
          <w:u w:val="single"/>
          <w:lang w:val="en-US"/>
        </w:rPr>
        <w:t>2</w:t>
      </w:r>
      <w:r>
        <w:rPr>
          <w:rFonts w:hint="eastAsia" w:ascii="仿宋_GB2312" w:hAnsi="仿宋" w:eastAsia="仿宋_GB2312"/>
          <w:b/>
          <w:color w:val="auto"/>
          <w:sz w:val="32"/>
          <w:szCs w:val="32"/>
          <w:highlight w:val="none"/>
          <w:u w:val="single"/>
          <w:lang w:val="en-US" w:eastAsia="zh-CN"/>
        </w:rPr>
        <w:t>2</w:t>
      </w:r>
      <w:r>
        <w:rPr>
          <w:rFonts w:hint="eastAsia" w:ascii="仿宋_GB2312" w:hAnsi="仿宋" w:eastAsia="仿宋_GB2312"/>
          <w:b/>
          <w:color w:val="auto"/>
          <w:sz w:val="32"/>
          <w:szCs w:val="32"/>
          <w:highlight w:val="none"/>
          <w:u w:val="single"/>
        </w:rPr>
        <w:t>年</w:t>
      </w:r>
      <w:r>
        <w:rPr>
          <w:rFonts w:hint="eastAsia" w:ascii="仿宋_GB2312" w:hAnsi="仿宋" w:eastAsia="仿宋_GB2312"/>
          <w:b/>
          <w:color w:val="auto"/>
          <w:sz w:val="32"/>
          <w:szCs w:val="32"/>
          <w:highlight w:val="none"/>
          <w:u w:val="single"/>
          <w:lang w:val="en-US" w:eastAsia="zh-CN"/>
        </w:rPr>
        <w:t xml:space="preserve">  </w:t>
      </w:r>
      <w:r>
        <w:rPr>
          <w:rFonts w:hint="eastAsia" w:ascii="仿宋_GB2312" w:hAnsi="仿宋" w:eastAsia="仿宋_GB2312"/>
          <w:b/>
          <w:color w:val="auto"/>
          <w:sz w:val="32"/>
          <w:szCs w:val="32"/>
          <w:highlight w:val="none"/>
          <w:u w:val="single"/>
        </w:rPr>
        <w:t>月</w:t>
      </w:r>
    </w:p>
    <w:p>
      <w:pPr>
        <w:tabs>
          <w:tab w:val="left" w:pos="720"/>
        </w:tabs>
        <w:adjustRightInd w:val="0"/>
        <w:snapToGrid w:val="0"/>
        <w:spacing w:line="360" w:lineRule="auto"/>
        <w:rPr>
          <w:rFonts w:ascii="仿宋_GB2312" w:hAnsi="仿宋" w:eastAsia="仿宋_GB2312"/>
          <w:color w:val="auto"/>
          <w:sz w:val="32"/>
          <w:szCs w:val="32"/>
          <w:highlight w:val="none"/>
        </w:rPr>
      </w:pPr>
    </w:p>
    <w:p>
      <w:pPr>
        <w:tabs>
          <w:tab w:val="left" w:pos="720"/>
        </w:tabs>
        <w:adjustRightInd w:val="0"/>
        <w:snapToGrid w:val="0"/>
        <w:spacing w:line="360" w:lineRule="auto"/>
        <w:ind w:firstLine="1280" w:firstLineChars="4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甲方：</w:t>
      </w:r>
      <w:r>
        <w:rPr>
          <w:rFonts w:hint="eastAsia" w:ascii="仿宋_GB2312" w:hAnsi="仿宋" w:eastAsia="仿宋_GB2312"/>
          <w:color w:val="auto"/>
          <w:sz w:val="32"/>
          <w:szCs w:val="32"/>
          <w:highlight w:val="none"/>
          <w:u w:val="single"/>
        </w:rPr>
        <w:t>广州市天河区文化广电旅游体育局</w:t>
      </w:r>
    </w:p>
    <w:p>
      <w:pPr>
        <w:tabs>
          <w:tab w:val="left" w:pos="720"/>
        </w:tabs>
        <w:adjustRightInd w:val="0"/>
        <w:snapToGrid w:val="0"/>
        <w:spacing w:line="360" w:lineRule="auto"/>
        <w:ind w:firstLine="1280" w:firstLineChars="400"/>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乙方：</w:t>
      </w:r>
      <w:r>
        <w:rPr>
          <w:rFonts w:hint="eastAsia" w:ascii="仿宋_GB2312" w:hAnsi="仿宋" w:eastAsia="仿宋_GB2312"/>
          <w:color w:val="auto"/>
          <w:sz w:val="32"/>
          <w:szCs w:val="32"/>
          <w:highlight w:val="none"/>
          <w:u w:val="single"/>
        </w:rPr>
        <w:t>（中标单位）</w:t>
      </w:r>
    </w:p>
    <w:p>
      <w:pPr>
        <w:tabs>
          <w:tab w:val="left" w:pos="720"/>
        </w:tabs>
        <w:adjustRightInd w:val="0"/>
        <w:snapToGrid w:val="0"/>
        <w:spacing w:line="360" w:lineRule="auto"/>
        <w:ind w:firstLine="1280" w:firstLineChars="400"/>
        <w:rPr>
          <w:rFonts w:ascii="仿宋_GB2312" w:hAnsi="仿宋" w:eastAsia="仿宋_GB2312"/>
          <w:color w:val="auto"/>
          <w:sz w:val="32"/>
          <w:szCs w:val="32"/>
          <w:highlight w:val="none"/>
        </w:rPr>
      </w:pPr>
    </w:p>
    <w:p>
      <w:pPr>
        <w:rPr>
          <w:color w:val="auto"/>
          <w:sz w:val="32"/>
          <w:highlight w:val="none"/>
        </w:rPr>
      </w:pPr>
    </w:p>
    <w:p>
      <w:pPr>
        <w:jc w:val="center"/>
        <w:rPr>
          <w:b/>
          <w:bCs/>
          <w:color w:val="auto"/>
          <w:sz w:val="32"/>
          <w:szCs w:val="32"/>
          <w:highlight w:val="none"/>
        </w:rPr>
      </w:pPr>
      <w:r>
        <w:rPr>
          <w:rFonts w:ascii="黑体" w:eastAsia="黑体"/>
          <w:b/>
          <w:bCs/>
          <w:color w:val="auto"/>
          <w:sz w:val="36"/>
          <w:highlight w:val="none"/>
        </w:rPr>
        <w:br w:type="page"/>
      </w:r>
      <w:r>
        <w:rPr>
          <w:rFonts w:hint="eastAsia" w:eastAsia="黑体"/>
          <w:b/>
          <w:bCs/>
          <w:color w:val="auto"/>
          <w:sz w:val="32"/>
          <w:szCs w:val="32"/>
          <w:highlight w:val="none"/>
          <w:lang w:eastAsia="zh-CN"/>
        </w:rPr>
        <w:t>2022年天河区文物监督保护服务工作项目</w:t>
      </w:r>
      <w:r>
        <w:rPr>
          <w:rFonts w:hint="eastAsia"/>
          <w:b/>
          <w:bCs/>
          <w:color w:val="auto"/>
          <w:sz w:val="32"/>
          <w:szCs w:val="32"/>
          <w:highlight w:val="none"/>
        </w:rPr>
        <w:t>采购合同（样本）</w:t>
      </w:r>
    </w:p>
    <w:p>
      <w:pPr>
        <w:widowControl/>
        <w:spacing w:line="360" w:lineRule="auto"/>
        <w:rPr>
          <w:color w:val="auto"/>
          <w:sz w:val="24"/>
          <w:szCs w:val="24"/>
          <w:highlight w:val="none"/>
        </w:rPr>
      </w:pPr>
    </w:p>
    <w:p>
      <w:pPr>
        <w:spacing w:line="360" w:lineRule="auto"/>
        <w:ind w:left="220" w:leftChars="100" w:right="220" w:rightChars="100"/>
        <w:rPr>
          <w:color w:val="auto"/>
          <w:sz w:val="21"/>
          <w:szCs w:val="21"/>
          <w:highlight w:val="none"/>
        </w:rPr>
      </w:pPr>
      <w:r>
        <w:rPr>
          <w:rFonts w:hint="eastAsia"/>
          <w:color w:val="auto"/>
          <w:sz w:val="21"/>
          <w:szCs w:val="21"/>
          <w:highlight w:val="none"/>
        </w:rPr>
        <w:t>甲方：</w:t>
      </w:r>
      <w:r>
        <w:rPr>
          <w:rFonts w:hint="eastAsia"/>
          <w:color w:val="auto"/>
          <w:sz w:val="21"/>
          <w:szCs w:val="21"/>
          <w:highlight w:val="none"/>
          <w:u w:val="single"/>
        </w:rPr>
        <w:t>广州市天河区文化广电旅游体育局</w:t>
      </w:r>
      <w:r>
        <w:rPr>
          <w:rFonts w:hint="eastAsia"/>
          <w:color w:val="auto"/>
          <w:sz w:val="21"/>
          <w:szCs w:val="21"/>
          <w:highlight w:val="none"/>
        </w:rPr>
        <w:t>（以下简称甲方）</w:t>
      </w:r>
    </w:p>
    <w:p>
      <w:pPr>
        <w:spacing w:line="360" w:lineRule="auto"/>
        <w:ind w:left="220" w:leftChars="100" w:right="220" w:rightChars="100"/>
        <w:rPr>
          <w:color w:val="auto"/>
          <w:sz w:val="21"/>
          <w:szCs w:val="21"/>
          <w:highlight w:val="none"/>
        </w:rPr>
      </w:pPr>
      <w:r>
        <w:rPr>
          <w:rFonts w:hint="eastAsia"/>
          <w:color w:val="auto"/>
          <w:sz w:val="21"/>
          <w:szCs w:val="21"/>
          <w:highlight w:val="none"/>
        </w:rPr>
        <w:t>乙方：（以下简称乙方）</w:t>
      </w:r>
    </w:p>
    <w:p>
      <w:pPr>
        <w:spacing w:line="360" w:lineRule="auto"/>
        <w:ind w:left="220" w:leftChars="100" w:right="220" w:rightChars="100"/>
        <w:rPr>
          <w:color w:val="auto"/>
          <w:sz w:val="21"/>
          <w:szCs w:val="21"/>
          <w:highlight w:val="none"/>
        </w:rPr>
      </w:pPr>
    </w:p>
    <w:p>
      <w:pPr>
        <w:spacing w:line="360" w:lineRule="auto"/>
        <w:ind w:left="220" w:leftChars="100" w:right="220" w:rightChars="100" w:firstLine="480"/>
        <w:rPr>
          <w:rFonts w:ascii="time of new roman" w:hAnsi="time of new roman"/>
          <w:color w:val="auto"/>
          <w:sz w:val="21"/>
          <w:szCs w:val="21"/>
          <w:highlight w:val="none"/>
        </w:rPr>
      </w:pPr>
      <w:bookmarkStart w:id="12" w:name="_Toc496096030"/>
      <w:bookmarkStart w:id="13" w:name="_Toc496123824"/>
      <w:bookmarkStart w:id="14" w:name="_Toc496045536"/>
      <w:r>
        <w:rPr>
          <w:rFonts w:hint="eastAsia" w:ascii="time of new roman" w:hAnsi="time of new roman"/>
          <w:color w:val="auto"/>
          <w:sz w:val="21"/>
          <w:szCs w:val="21"/>
          <w:highlight w:val="none"/>
        </w:rPr>
        <w:t>根据《中华人民共和国民法典》、《中华人民共和国政府采购法》及</w:t>
      </w:r>
      <w:r>
        <w:rPr>
          <w:rFonts w:hint="eastAsia" w:cs="Tahoma"/>
          <w:color w:val="auto"/>
          <w:sz w:val="21"/>
          <w:szCs w:val="21"/>
          <w:highlight w:val="none"/>
          <w:lang w:eastAsia="zh-CN"/>
        </w:rPr>
        <w:t>2022年天河区文物监督保护服务工作项目</w:t>
      </w:r>
      <w:r>
        <w:rPr>
          <w:rFonts w:hint="eastAsia" w:ascii="time of new roman" w:hAnsi="time of new roman"/>
          <w:color w:val="auto"/>
          <w:sz w:val="21"/>
          <w:szCs w:val="21"/>
          <w:highlight w:val="none"/>
        </w:rPr>
        <w:t>招标文件和投标文件（</w:t>
      </w:r>
      <w:r>
        <w:rPr>
          <w:rFonts w:hint="eastAsia"/>
          <w:color w:val="auto"/>
          <w:sz w:val="21"/>
          <w:szCs w:val="21"/>
          <w:highlight w:val="none"/>
        </w:rPr>
        <w:t>招标编号</w:t>
      </w:r>
      <w:r>
        <w:rPr>
          <w:rFonts w:hint="eastAsia" w:ascii="time of new roman" w:hAnsi="time of new roman"/>
          <w:color w:val="auto"/>
          <w:sz w:val="21"/>
          <w:szCs w:val="21"/>
          <w:highlight w:val="none"/>
        </w:rPr>
        <w:t>：FXZB2021-075-CG）的要求，</w:t>
      </w:r>
      <w:r>
        <w:rPr>
          <w:rFonts w:hint="eastAsia" w:cs="Tahoma"/>
          <w:color w:val="auto"/>
          <w:sz w:val="21"/>
          <w:szCs w:val="21"/>
          <w:highlight w:val="none"/>
        </w:rPr>
        <w:t>广州市天河区文化广电旅游体育局</w:t>
      </w:r>
      <w:r>
        <w:rPr>
          <w:rFonts w:hint="eastAsia"/>
          <w:color w:val="auto"/>
          <w:sz w:val="21"/>
          <w:szCs w:val="21"/>
          <w:highlight w:val="none"/>
        </w:rPr>
        <w:t>作为</w:t>
      </w:r>
      <w:r>
        <w:rPr>
          <w:rFonts w:hint="eastAsia" w:cs="Tahoma"/>
          <w:color w:val="auto"/>
          <w:sz w:val="21"/>
          <w:szCs w:val="21"/>
          <w:highlight w:val="none"/>
          <w:lang w:eastAsia="zh-CN"/>
        </w:rPr>
        <w:t>2022年天河区文物监督保护服务工作项目</w:t>
      </w:r>
      <w:r>
        <w:rPr>
          <w:rFonts w:hint="eastAsia"/>
          <w:color w:val="auto"/>
          <w:sz w:val="21"/>
          <w:szCs w:val="21"/>
          <w:highlight w:val="none"/>
        </w:rPr>
        <w:t>的甲方，委托</w:t>
      </w:r>
      <w:r>
        <w:rPr>
          <w:rFonts w:hint="eastAsia"/>
          <w:color w:val="auto"/>
          <w:sz w:val="21"/>
          <w:szCs w:val="21"/>
          <w:highlight w:val="none"/>
          <w:u w:val="single"/>
        </w:rPr>
        <w:t>（乙方）</w:t>
      </w:r>
      <w:r>
        <w:rPr>
          <w:rFonts w:hint="eastAsia"/>
          <w:color w:val="auto"/>
          <w:sz w:val="21"/>
          <w:szCs w:val="21"/>
          <w:highlight w:val="none"/>
        </w:rPr>
        <w:t>按招标文件和投标文件要求开展工作，</w:t>
      </w:r>
      <w:r>
        <w:rPr>
          <w:rFonts w:hint="eastAsia" w:ascii="time of new roman" w:hAnsi="time of new roman"/>
          <w:color w:val="auto"/>
          <w:sz w:val="21"/>
          <w:szCs w:val="21"/>
          <w:highlight w:val="none"/>
        </w:rPr>
        <w:t>经双方协商一致，签订本合同。</w:t>
      </w:r>
    </w:p>
    <w:p>
      <w:pPr>
        <w:spacing w:line="360" w:lineRule="auto"/>
        <w:ind w:left="220" w:leftChars="100" w:right="220" w:rightChars="100"/>
        <w:rPr>
          <w:color w:val="auto"/>
          <w:sz w:val="21"/>
          <w:szCs w:val="21"/>
          <w:highlight w:val="none"/>
        </w:rPr>
      </w:pPr>
    </w:p>
    <w:bookmarkEnd w:id="12"/>
    <w:bookmarkEnd w:id="13"/>
    <w:bookmarkEnd w:id="14"/>
    <w:p>
      <w:pPr>
        <w:numPr>
          <w:ilvl w:val="0"/>
          <w:numId w:val="14"/>
        </w:numPr>
        <w:spacing w:line="360" w:lineRule="auto"/>
        <w:ind w:left="220" w:leftChars="100" w:right="220" w:rightChars="100"/>
        <w:outlineLvl w:val="2"/>
        <w:rPr>
          <w:b/>
          <w:color w:val="auto"/>
          <w:sz w:val="24"/>
          <w:szCs w:val="24"/>
          <w:highlight w:val="none"/>
        </w:rPr>
      </w:pPr>
      <w:bookmarkStart w:id="15" w:name="_Toc504062525"/>
      <w:bookmarkStart w:id="16" w:name="_Toc513652311"/>
      <w:bookmarkStart w:id="17" w:name="_Toc514163563"/>
      <w:bookmarkStart w:id="18" w:name="_Toc504741257"/>
      <w:bookmarkStart w:id="19" w:name="_Toc504122261"/>
      <w:bookmarkStart w:id="20" w:name="_Toc498265680"/>
      <w:bookmarkStart w:id="21" w:name="_Toc25672871"/>
      <w:bookmarkStart w:id="22" w:name="_Toc515971196"/>
      <w:bookmarkStart w:id="23" w:name="_Toc515957279"/>
      <w:bookmarkStart w:id="24" w:name="_Toc498978635"/>
      <w:bookmarkStart w:id="25" w:name="_Toc499278259"/>
      <w:bookmarkStart w:id="26" w:name="_Toc503169247"/>
      <w:bookmarkStart w:id="27" w:name="_Toc515956927"/>
      <w:bookmarkStart w:id="28" w:name="_Toc25245895"/>
      <w:bookmarkStart w:id="29" w:name="_Toc498079525"/>
      <w:bookmarkStart w:id="30" w:name="_Toc11921998"/>
      <w:r>
        <w:rPr>
          <w:rFonts w:hint="eastAsia"/>
          <w:b/>
          <w:color w:val="auto"/>
          <w:sz w:val="24"/>
          <w:szCs w:val="24"/>
          <w:highlight w:val="none"/>
        </w:rPr>
        <w:t>合同的组成</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详细价格、服务说明及其它有关合同的特定信息由合同附件说明。所有附件及本项目的招投标文件、会议纪要、协议等均为本合同不可分割之一部分。内容有不一致的，按下列排列顺序优先解释：1、本合同及其附件；2、中标通知书；3、招标文件；4、投标文件。</w:t>
      </w:r>
    </w:p>
    <w:p>
      <w:pPr>
        <w:spacing w:line="360" w:lineRule="auto"/>
        <w:ind w:right="220" w:rightChars="100"/>
        <w:rPr>
          <w:color w:val="auto"/>
          <w:sz w:val="21"/>
          <w:szCs w:val="21"/>
          <w:highlight w:val="none"/>
        </w:rPr>
      </w:pPr>
      <w:bookmarkStart w:id="31" w:name="_Toc496045537"/>
      <w:bookmarkStart w:id="32" w:name="_Toc496096031"/>
      <w:bookmarkStart w:id="33" w:name="_Toc496123825"/>
    </w:p>
    <w:bookmarkEnd w:id="31"/>
    <w:bookmarkEnd w:id="32"/>
    <w:bookmarkEnd w:id="33"/>
    <w:p>
      <w:pPr>
        <w:numPr>
          <w:ilvl w:val="0"/>
          <w:numId w:val="14"/>
        </w:numPr>
        <w:spacing w:line="360" w:lineRule="auto"/>
        <w:ind w:left="220" w:leftChars="100" w:right="220" w:rightChars="100"/>
        <w:outlineLvl w:val="2"/>
        <w:rPr>
          <w:b/>
          <w:color w:val="auto"/>
          <w:sz w:val="24"/>
          <w:szCs w:val="24"/>
          <w:highlight w:val="none"/>
        </w:rPr>
      </w:pPr>
      <w:bookmarkStart w:id="34" w:name="_Toc25672872"/>
      <w:bookmarkStart w:id="35" w:name="_Toc503169248"/>
      <w:bookmarkStart w:id="36" w:name="_Toc25245896"/>
      <w:bookmarkStart w:id="37" w:name="_Toc504122262"/>
      <w:bookmarkStart w:id="38" w:name="_Toc11921999"/>
      <w:bookmarkStart w:id="39" w:name="_Toc498978636"/>
      <w:bookmarkStart w:id="40" w:name="_Toc499278260"/>
      <w:bookmarkStart w:id="41" w:name="_Toc515957280"/>
      <w:bookmarkStart w:id="42" w:name="_Toc513652312"/>
      <w:bookmarkStart w:id="43" w:name="_Toc498079526"/>
      <w:bookmarkStart w:id="44" w:name="_Toc504062526"/>
      <w:bookmarkStart w:id="45" w:name="_Toc504741258"/>
      <w:bookmarkStart w:id="46" w:name="_Toc515956928"/>
      <w:bookmarkStart w:id="47" w:name="_Toc515971197"/>
      <w:bookmarkStart w:id="48" w:name="_Toc514163564"/>
      <w:bookmarkStart w:id="49" w:name="_Toc498265681"/>
      <w:r>
        <w:rPr>
          <w:rFonts w:hint="eastAsia"/>
          <w:b/>
          <w:color w:val="auto"/>
          <w:sz w:val="24"/>
          <w:szCs w:val="24"/>
          <w:highlight w:val="none"/>
        </w:rPr>
        <w:t>合同金额</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合同金额为（大写）：人民币_________________元（¥_______________元）。</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50" w:name="_Toc515956929"/>
      <w:bookmarkStart w:id="51" w:name="_Toc515971198"/>
      <w:bookmarkStart w:id="52" w:name="_Toc515957281"/>
      <w:bookmarkStart w:id="53" w:name="_Toc25672873"/>
      <w:bookmarkStart w:id="54" w:name="_Toc11922000"/>
      <w:bookmarkStart w:id="55" w:name="_Toc25245897"/>
      <w:r>
        <w:rPr>
          <w:rFonts w:hint="eastAsia"/>
          <w:b/>
          <w:color w:val="auto"/>
          <w:sz w:val="24"/>
          <w:szCs w:val="24"/>
          <w:highlight w:val="none"/>
        </w:rPr>
        <w:t>服务范围</w:t>
      </w:r>
      <w:bookmarkEnd w:id="50"/>
      <w:bookmarkEnd w:id="51"/>
      <w:bookmarkEnd w:id="52"/>
      <w:bookmarkEnd w:id="53"/>
      <w:bookmarkEnd w:id="54"/>
      <w:bookmarkEnd w:id="55"/>
      <w:r>
        <w:rPr>
          <w:rFonts w:hint="eastAsia"/>
          <w:color w:val="auto"/>
          <w:sz w:val="21"/>
          <w:szCs w:val="21"/>
          <w:highlight w:val="none"/>
        </w:rPr>
        <w:t>（按采购人需求第六部分）</w:t>
      </w:r>
    </w:p>
    <w:p>
      <w:pPr>
        <w:spacing w:line="360" w:lineRule="auto"/>
        <w:ind w:left="220" w:leftChars="100" w:right="220" w:rightChars="100"/>
        <w:rPr>
          <w:color w:val="auto"/>
          <w:sz w:val="21"/>
          <w:szCs w:val="21"/>
          <w:highlight w:val="none"/>
        </w:rPr>
      </w:pPr>
      <w:r>
        <w:rPr>
          <w:rFonts w:hint="eastAsia"/>
          <w:color w:val="auto"/>
          <w:sz w:val="21"/>
          <w:szCs w:val="21"/>
          <w:highlight w:val="none"/>
        </w:rPr>
        <w:t>　　甲方聘请乙方提供以下服务：</w:t>
      </w:r>
    </w:p>
    <w:p>
      <w:pPr>
        <w:spacing w:line="360" w:lineRule="auto"/>
        <w:ind w:left="220" w:leftChars="100" w:right="220" w:rightChars="100"/>
        <w:rPr>
          <w:color w:val="auto"/>
          <w:sz w:val="21"/>
          <w:szCs w:val="21"/>
          <w:highlight w:val="none"/>
          <w:u w:val="single"/>
        </w:rPr>
      </w:pPr>
      <w:r>
        <w:rPr>
          <w:rFonts w:hint="eastAsia"/>
          <w:color w:val="auto"/>
          <w:sz w:val="21"/>
          <w:szCs w:val="21"/>
          <w:highlight w:val="none"/>
        </w:rPr>
        <w:t>　　1．本合同项下的服务指；</w:t>
      </w:r>
    </w:p>
    <w:p>
      <w:pPr>
        <w:spacing w:line="360" w:lineRule="auto"/>
        <w:ind w:left="220" w:leftChars="100" w:right="220" w:rightChars="100"/>
        <w:rPr>
          <w:color w:val="auto"/>
          <w:sz w:val="21"/>
          <w:szCs w:val="21"/>
          <w:highlight w:val="none"/>
        </w:rPr>
      </w:pPr>
      <w:r>
        <w:rPr>
          <w:rFonts w:hint="eastAsia"/>
          <w:color w:val="auto"/>
          <w:sz w:val="21"/>
          <w:szCs w:val="21"/>
          <w:highlight w:val="none"/>
        </w:rPr>
        <w:t>　　2．……</w:t>
      </w:r>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3．……</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56" w:name="_Toc504122263"/>
      <w:bookmarkStart w:id="57" w:name="_Toc504741259"/>
      <w:bookmarkStart w:id="58" w:name="_Toc503169249"/>
      <w:bookmarkStart w:id="59" w:name="_Toc498265682"/>
      <w:bookmarkStart w:id="60" w:name="_Toc496045538"/>
      <w:bookmarkStart w:id="61" w:name="_Toc513652313"/>
      <w:bookmarkStart w:id="62" w:name="_Toc499278261"/>
      <w:bookmarkStart w:id="63" w:name="_Toc514163565"/>
      <w:bookmarkStart w:id="64" w:name="_Toc496096032"/>
      <w:bookmarkStart w:id="65" w:name="_Toc498079527"/>
      <w:bookmarkStart w:id="66" w:name="_Toc498978637"/>
      <w:bookmarkStart w:id="67" w:name="_Toc496123826"/>
      <w:bookmarkStart w:id="68" w:name="_Toc504062527"/>
      <w:bookmarkStart w:id="69" w:name="_Toc515957282"/>
      <w:bookmarkStart w:id="70" w:name="_Toc515956930"/>
      <w:bookmarkStart w:id="71" w:name="_Toc515971199"/>
      <w:bookmarkStart w:id="72" w:name="_Toc25245898"/>
      <w:bookmarkStart w:id="73" w:name="_Toc11922001"/>
      <w:bookmarkStart w:id="74" w:name="_Toc25672874"/>
      <w:r>
        <w:rPr>
          <w:rFonts w:hint="eastAsia"/>
          <w:b/>
          <w:color w:val="auto"/>
          <w:sz w:val="24"/>
          <w:szCs w:val="24"/>
          <w:highlight w:val="none"/>
        </w:rPr>
        <w:t>服务期限</w:t>
      </w:r>
      <w:bookmarkEnd w:id="56"/>
      <w:bookmarkEnd w:id="57"/>
      <w:bookmarkEnd w:id="58"/>
      <w:bookmarkEnd w:id="59"/>
      <w:bookmarkEnd w:id="60"/>
      <w:bookmarkEnd w:id="61"/>
      <w:bookmarkEnd w:id="62"/>
      <w:bookmarkEnd w:id="63"/>
      <w:bookmarkEnd w:id="64"/>
      <w:bookmarkEnd w:id="65"/>
      <w:bookmarkEnd w:id="66"/>
      <w:bookmarkEnd w:id="67"/>
      <w:bookmarkEnd w:id="68"/>
      <w:r>
        <w:rPr>
          <w:rFonts w:hint="eastAsia"/>
          <w:b/>
          <w:color w:val="auto"/>
          <w:sz w:val="24"/>
          <w:szCs w:val="24"/>
          <w:highlight w:val="none"/>
        </w:rPr>
        <w:t>和服务地点</w:t>
      </w:r>
      <w:bookmarkEnd w:id="69"/>
      <w:bookmarkEnd w:id="70"/>
      <w:bookmarkEnd w:id="71"/>
      <w:bookmarkEnd w:id="72"/>
      <w:bookmarkEnd w:id="73"/>
      <w:bookmarkEnd w:id="74"/>
    </w:p>
    <w:p>
      <w:pPr>
        <w:spacing w:line="360" w:lineRule="auto"/>
        <w:ind w:left="220" w:leftChars="100" w:right="220" w:rightChars="100" w:firstLine="435"/>
        <w:rPr>
          <w:color w:val="auto"/>
          <w:sz w:val="21"/>
          <w:szCs w:val="21"/>
          <w:highlight w:val="none"/>
        </w:rPr>
      </w:pPr>
      <w:r>
        <w:rPr>
          <w:rFonts w:hint="eastAsia"/>
          <w:color w:val="auto"/>
          <w:sz w:val="21"/>
          <w:szCs w:val="21"/>
          <w:highlight w:val="none"/>
        </w:rPr>
        <w:t>服务期限：委托服务期间自______年______月至______年______月止。</w:t>
      </w:r>
    </w:p>
    <w:p>
      <w:pPr>
        <w:spacing w:line="360" w:lineRule="auto"/>
        <w:ind w:left="220" w:leftChars="100" w:right="220" w:rightChars="100" w:firstLine="435"/>
        <w:rPr>
          <w:color w:val="auto"/>
          <w:sz w:val="21"/>
          <w:szCs w:val="21"/>
          <w:highlight w:val="none"/>
        </w:rPr>
      </w:pPr>
      <w:r>
        <w:rPr>
          <w:rFonts w:hint="eastAsia"/>
          <w:color w:val="auto"/>
          <w:sz w:val="21"/>
          <w:szCs w:val="21"/>
          <w:highlight w:val="none"/>
        </w:rPr>
        <w:t>服务地点：</w:t>
      </w:r>
    </w:p>
    <w:p>
      <w:pPr>
        <w:spacing w:line="360" w:lineRule="auto"/>
        <w:ind w:left="220" w:leftChars="100" w:right="220" w:rightChars="100" w:firstLine="435"/>
        <w:rPr>
          <w:color w:val="auto"/>
          <w:sz w:val="21"/>
          <w:szCs w:val="21"/>
          <w:highlight w:val="none"/>
        </w:rPr>
      </w:pPr>
      <w:r>
        <w:rPr>
          <w:rFonts w:hint="eastAsia"/>
          <w:color w:val="auto"/>
          <w:sz w:val="21"/>
          <w:szCs w:val="21"/>
          <w:highlight w:val="none"/>
        </w:rPr>
        <w:t>方式：</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75" w:name="_Toc25245899"/>
      <w:bookmarkStart w:id="76" w:name="_Toc515971200"/>
      <w:bookmarkStart w:id="77" w:name="_Toc515956931"/>
      <w:bookmarkStart w:id="78" w:name="_Toc504741262"/>
      <w:bookmarkStart w:id="79" w:name="_Toc25672875"/>
      <w:bookmarkStart w:id="80" w:name="_Toc514163567"/>
      <w:bookmarkStart w:id="81" w:name="_Toc515957283"/>
      <w:bookmarkStart w:id="82" w:name="_Toc513652315"/>
      <w:bookmarkStart w:id="83" w:name="_Toc504122266"/>
      <w:bookmarkStart w:id="84" w:name="_Toc504062530"/>
      <w:bookmarkStart w:id="85" w:name="_Toc11922002"/>
      <w:r>
        <w:rPr>
          <w:rFonts w:hint="eastAsia"/>
          <w:b/>
          <w:color w:val="auto"/>
          <w:sz w:val="24"/>
          <w:szCs w:val="24"/>
          <w:highlight w:val="none"/>
        </w:rPr>
        <w:t>甲乙方的权利和义务</w:t>
      </w:r>
      <w:bookmarkEnd w:id="75"/>
      <w:bookmarkEnd w:id="76"/>
      <w:bookmarkEnd w:id="77"/>
      <w:bookmarkEnd w:id="78"/>
      <w:bookmarkEnd w:id="79"/>
      <w:bookmarkEnd w:id="80"/>
      <w:bookmarkEnd w:id="81"/>
      <w:bookmarkEnd w:id="82"/>
      <w:bookmarkEnd w:id="83"/>
      <w:bookmarkEnd w:id="84"/>
      <w:bookmarkEnd w:id="85"/>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（一）甲方的权利和义务</w:t>
      </w:r>
    </w:p>
    <w:p>
      <w:pPr>
        <w:pStyle w:val="2"/>
        <w:rPr>
          <w:color w:val="auto"/>
          <w:highlight w:val="none"/>
        </w:rPr>
      </w:pPr>
    </w:p>
    <w:p>
      <w:pPr>
        <w:pStyle w:val="2"/>
        <w:numPr>
          <w:ilvl w:val="0"/>
          <w:numId w:val="15"/>
        </w:numPr>
        <w:spacing w:line="360" w:lineRule="auto"/>
        <w:ind w:left="440" w:leftChars="200" w:firstLine="0"/>
        <w:jc w:val="left"/>
        <w:rPr>
          <w:b w:val="0"/>
          <w:bCs w:val="0"/>
          <w:color w:val="auto"/>
          <w:sz w:val="21"/>
          <w:szCs w:val="21"/>
          <w:highlight w:val="none"/>
        </w:rPr>
      </w:pPr>
      <w:r>
        <w:rPr>
          <w:rFonts w:hint="eastAsia"/>
          <w:b w:val="0"/>
          <w:bCs w:val="0"/>
          <w:color w:val="auto"/>
          <w:sz w:val="21"/>
          <w:szCs w:val="21"/>
          <w:highlight w:val="none"/>
        </w:rPr>
        <w:t>甲方有权按本合同及招标文件的约定对乙方进行考核。</w:t>
      </w:r>
    </w:p>
    <w:p>
      <w:pPr>
        <w:numPr>
          <w:ilvl w:val="0"/>
          <w:numId w:val="15"/>
        </w:numPr>
        <w:spacing w:line="360" w:lineRule="auto"/>
        <w:ind w:left="440" w:leftChars="200" w:firstLine="0"/>
        <w:rPr>
          <w:color w:val="auto"/>
          <w:sz w:val="21"/>
          <w:szCs w:val="21"/>
          <w:highlight w:val="none"/>
        </w:rPr>
      </w:pPr>
      <w:r>
        <w:rPr>
          <w:rFonts w:hint="eastAsia"/>
          <w:color w:val="auto"/>
          <w:sz w:val="21"/>
          <w:szCs w:val="21"/>
          <w:highlight w:val="none"/>
        </w:rPr>
        <w:t>甲方应为乙方履行本合同项下义务提供必要的便利及进行相关的协调配合工作。</w:t>
      </w:r>
    </w:p>
    <w:p>
      <w:pPr>
        <w:numPr>
          <w:ilvl w:val="0"/>
          <w:numId w:val="15"/>
        </w:numPr>
        <w:spacing w:line="360" w:lineRule="auto"/>
        <w:ind w:left="440" w:leftChars="200" w:firstLine="0"/>
        <w:rPr>
          <w:color w:val="auto"/>
          <w:highlight w:val="none"/>
        </w:rPr>
      </w:pPr>
      <w:r>
        <w:rPr>
          <w:rFonts w:hint="eastAsia"/>
          <w:color w:val="auto"/>
          <w:sz w:val="21"/>
          <w:szCs w:val="21"/>
          <w:highlight w:val="none"/>
        </w:rPr>
        <w:t>甲方应及时为乙方办理本合同项下款项的付款申请及审批手续。</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（二）乙方的权利和义务</w:t>
      </w:r>
    </w:p>
    <w:p>
      <w:pPr>
        <w:numPr>
          <w:ilvl w:val="0"/>
          <w:numId w:val="16"/>
        </w:numPr>
        <w:spacing w:line="360" w:lineRule="auto"/>
        <w:ind w:left="440" w:leftChars="200" w:right="220" w:rightChars="100"/>
        <w:rPr>
          <w:color w:val="auto"/>
          <w:sz w:val="21"/>
          <w:szCs w:val="21"/>
          <w:highlight w:val="none"/>
        </w:rPr>
      </w:pPr>
      <w:r>
        <w:rPr>
          <w:color w:val="auto"/>
          <w:sz w:val="21"/>
          <w:szCs w:val="21"/>
          <w:highlight w:val="none"/>
        </w:rPr>
        <w:t>乙方应按本合同约定的服务内容正确</w:t>
      </w:r>
      <w:r>
        <w:rPr>
          <w:rFonts w:hint="eastAsia"/>
          <w:color w:val="auto"/>
          <w:sz w:val="21"/>
          <w:szCs w:val="21"/>
          <w:highlight w:val="none"/>
        </w:rPr>
        <w:t>、</w:t>
      </w:r>
      <w:r>
        <w:rPr>
          <w:color w:val="auto"/>
          <w:sz w:val="21"/>
          <w:szCs w:val="21"/>
          <w:highlight w:val="none"/>
        </w:rPr>
        <w:t>完全履行本合同项下义务</w:t>
      </w:r>
      <w:r>
        <w:rPr>
          <w:rFonts w:hint="eastAsia"/>
          <w:color w:val="auto"/>
          <w:sz w:val="21"/>
          <w:szCs w:val="21"/>
          <w:highlight w:val="none"/>
        </w:rPr>
        <w:t>，</w:t>
      </w:r>
      <w:r>
        <w:rPr>
          <w:color w:val="auto"/>
          <w:sz w:val="21"/>
          <w:szCs w:val="21"/>
          <w:highlight w:val="none"/>
        </w:rPr>
        <w:t>达到招标文件采购人需求规定的服务目标</w:t>
      </w:r>
      <w:r>
        <w:rPr>
          <w:rFonts w:hint="eastAsia"/>
          <w:color w:val="auto"/>
          <w:sz w:val="21"/>
          <w:szCs w:val="21"/>
          <w:highlight w:val="none"/>
        </w:rPr>
        <w:t>。</w:t>
      </w:r>
    </w:p>
    <w:p>
      <w:pPr>
        <w:numPr>
          <w:ilvl w:val="0"/>
          <w:numId w:val="16"/>
        </w:numPr>
        <w:spacing w:line="360" w:lineRule="auto"/>
        <w:ind w:left="440" w:leftChars="200" w:right="220" w:rightChars="100"/>
        <w:rPr>
          <w:color w:val="auto"/>
          <w:sz w:val="21"/>
          <w:szCs w:val="21"/>
          <w:highlight w:val="none"/>
        </w:rPr>
      </w:pPr>
      <w:r>
        <w:rPr>
          <w:rFonts w:hint="eastAsia"/>
          <w:color w:val="auto"/>
          <w:sz w:val="21"/>
          <w:szCs w:val="21"/>
          <w:highlight w:val="none"/>
        </w:rPr>
        <w:t>乙方应积极配合甲方对本项目的考察，否则，视为对乙方的考察不合格。</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乙方应保障专职文物保护监督员不少于</w:t>
      </w:r>
      <w:r>
        <w:rPr>
          <w:rFonts w:cs="Courier New" w:asciiTheme="minorEastAsia" w:hAnsiTheme="minorEastAsia" w:eastAsiaTheme="minorEastAsia"/>
          <w:color w:val="auto"/>
          <w:kern w:val="2"/>
          <w:sz w:val="21"/>
          <w:szCs w:val="21"/>
          <w:highlight w:val="none"/>
        </w:rPr>
        <w:t>6</w:t>
      </w:r>
      <w:r>
        <w:rPr>
          <w:rFonts w:hint="eastAsia" w:cs="Courier New" w:asciiTheme="minorEastAsia" w:hAnsiTheme="minorEastAsia" w:eastAsiaTheme="minorEastAsia"/>
          <w:color w:val="auto"/>
          <w:kern w:val="2"/>
          <w:sz w:val="21"/>
          <w:szCs w:val="21"/>
          <w:highlight w:val="none"/>
        </w:rPr>
        <w:t>人，所有人员应熟悉文物保护相关法律法规、具备文物保护专业知识，负责全面统筹全区文物巡查、资料保存建档日常工作，与区文化广电旅游体育局进行对接联络，分片区、分街道对文物点安全监察、专业技术指导，管理和指导兼职监督员开展文物巡查工作。应保障不少于半数专职文物监督员为建筑学、规划、工程等相关专业本科毕业，至少保障一名专职监督员为上述专业研究生学历并具有规划、建筑、工程其中一项专业初级职称或以上。乙方负责招募、组建兼职文物监督员队伍，根据我区文物数量及分布情况招募28名。文物监督员补贴按平均1000元/月/人发放，设置10名优秀监督员并发放奖励。兼职监督员应该具备相应的文物知识，熟悉文物安全巡查相关法律法规，熟练使用各种巡查必需的电子设备，能够独立承担文物巡查工作，完成巡查表格填写、照片收集工作。</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乙方应按时定额为文物保护监督员发放劳务报酬、购买意外伤害保险；</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乙方根据项目要求配备必要的办公场地，巡查专用车辆、配备项目使用要求的电脑、文物巡查服务辅助工具（如资料存储器、带照相录影功能的电子设备、硬盘）等；</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乙方项目服务期内按要求完成巡查工作报告，并按时保质上报工作计划、总结、文物巡查情况等；</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乙方协助文物保护知识宣传及业务培训工作；</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乙方协助区文化广电旅游体育局开展有关文物安全的检查、抽查工作。</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乙方须提供项目实施期间</w:t>
      </w:r>
      <w:r>
        <w:rPr>
          <w:rFonts w:cs="Courier New" w:asciiTheme="minorEastAsia" w:hAnsiTheme="minorEastAsia" w:eastAsiaTheme="minorEastAsia"/>
          <w:color w:val="auto"/>
          <w:kern w:val="2"/>
          <w:sz w:val="21"/>
          <w:szCs w:val="21"/>
          <w:highlight w:val="none"/>
        </w:rPr>
        <w:t>24小时服务热线，遇到采购人临时工作需要，乙方须全力配合。</w:t>
      </w:r>
    </w:p>
    <w:p>
      <w:pPr>
        <w:numPr>
          <w:ilvl w:val="0"/>
          <w:numId w:val="16"/>
        </w:numPr>
        <w:spacing w:line="360" w:lineRule="auto"/>
        <w:ind w:left="440" w:leftChars="200" w:right="567"/>
        <w:rPr>
          <w:rFonts w:cs="Courier New" w:asciiTheme="minorEastAsia" w:hAnsiTheme="minorEastAsia" w:eastAsiaTheme="minorEastAsia"/>
          <w:color w:val="auto"/>
          <w:kern w:val="2"/>
          <w:sz w:val="21"/>
          <w:szCs w:val="21"/>
          <w:highlight w:val="none"/>
        </w:rPr>
      </w:pPr>
      <w:r>
        <w:rPr>
          <w:rFonts w:hint="eastAsia" w:cs="Courier New" w:asciiTheme="minorEastAsia" w:hAnsiTheme="minorEastAsia" w:eastAsiaTheme="minorEastAsia"/>
          <w:color w:val="auto"/>
          <w:kern w:val="2"/>
          <w:sz w:val="21"/>
          <w:szCs w:val="21"/>
          <w:highlight w:val="none"/>
        </w:rPr>
        <w:t>乙方应保证按投标文件的规定及时为甲方提供服务。</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86" w:name="_Toc25672876"/>
      <w:bookmarkStart w:id="87" w:name="_Toc503169254"/>
      <w:bookmarkStart w:id="88" w:name="_Toc514163568"/>
      <w:bookmarkStart w:id="89" w:name="_Toc498265687"/>
      <w:bookmarkStart w:id="90" w:name="_Toc496123829"/>
      <w:bookmarkStart w:id="91" w:name="_Toc496096035"/>
      <w:bookmarkStart w:id="92" w:name="_Toc513652316"/>
      <w:bookmarkStart w:id="93" w:name="_Toc504741264"/>
      <w:bookmarkStart w:id="94" w:name="_Toc504062532"/>
      <w:bookmarkStart w:id="95" w:name="_Toc504122268"/>
      <w:bookmarkStart w:id="96" w:name="_Toc11922003"/>
      <w:bookmarkStart w:id="97" w:name="_Toc515971201"/>
      <w:bookmarkStart w:id="98" w:name="_Toc496045541"/>
      <w:bookmarkStart w:id="99" w:name="_Toc499278266"/>
      <w:bookmarkStart w:id="100" w:name="_Toc25245900"/>
      <w:bookmarkStart w:id="101" w:name="_Toc515957284"/>
      <w:bookmarkStart w:id="102" w:name="_Toc515956932"/>
      <w:bookmarkStart w:id="103" w:name="_Toc498079532"/>
      <w:bookmarkStart w:id="104" w:name="_Toc498978642"/>
      <w:r>
        <w:rPr>
          <w:rFonts w:hint="eastAsia"/>
          <w:b/>
          <w:color w:val="auto"/>
          <w:sz w:val="24"/>
          <w:szCs w:val="24"/>
          <w:highlight w:val="none"/>
        </w:rPr>
        <w:t>考核标准</w:t>
      </w:r>
      <w:bookmarkEnd w:id="86"/>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bookmarkStart w:id="105" w:name="_Toc25672877"/>
      <w:r>
        <w:rPr>
          <w:rFonts w:hint="eastAsia" w:asciiTheme="minorEastAsia" w:hAnsiTheme="minorEastAsia"/>
          <w:b/>
          <w:bCs/>
          <w:color w:val="auto"/>
          <w:sz w:val="21"/>
          <w:szCs w:val="21"/>
          <w:highlight w:val="none"/>
        </w:rPr>
        <w:t>本项目的前</w:t>
      </w:r>
      <w:r>
        <w:rPr>
          <w:rFonts w:asciiTheme="minorEastAsia" w:hAnsiTheme="minorEastAsia"/>
          <w:b/>
          <w:bCs/>
          <w:color w:val="auto"/>
          <w:sz w:val="21"/>
          <w:szCs w:val="21"/>
          <w:highlight w:val="none"/>
        </w:rPr>
        <w:t>3</w:t>
      </w:r>
      <w:r>
        <w:rPr>
          <w:rFonts w:hint="eastAsia" w:asciiTheme="minorEastAsia" w:hAnsiTheme="minorEastAsia"/>
          <w:b/>
          <w:bCs/>
          <w:color w:val="auto"/>
          <w:sz w:val="21"/>
          <w:szCs w:val="21"/>
          <w:highlight w:val="none"/>
        </w:rPr>
        <w:t>个月为项目考核期。若考核期中，若中标人分数低于</w:t>
      </w:r>
      <w:r>
        <w:rPr>
          <w:rFonts w:asciiTheme="minorEastAsia" w:hAnsiTheme="minorEastAsia"/>
          <w:b/>
          <w:bCs/>
          <w:color w:val="auto"/>
          <w:sz w:val="21"/>
          <w:szCs w:val="21"/>
          <w:highlight w:val="none"/>
        </w:rPr>
        <w:t>80分（满分100分，具体评分要求见考核期评分标准），经采购监管部门同意后，采购人可解除服务合同，取消中标人的中标资格。</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hint="eastAsia" w:asciiTheme="minorEastAsia" w:hAnsiTheme="minorEastAsia"/>
          <w:b/>
          <w:bCs/>
          <w:color w:val="auto"/>
          <w:sz w:val="21"/>
          <w:szCs w:val="21"/>
          <w:highlight w:val="none"/>
        </w:rPr>
        <w:t>考核期评分标准：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1.初始分100分。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2.巡查次数不达要求，每少一次扣2分。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3.巡查无填写文物信息表格，每次扣2分。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4.巡查填写文物信息表格不合规范，上传照片达不到标准，每次</w:t>
      </w:r>
      <w:r>
        <w:rPr>
          <w:rFonts w:hint="eastAsia" w:asciiTheme="minorEastAsia" w:hAnsiTheme="minorEastAsia"/>
          <w:b/>
          <w:bCs/>
          <w:color w:val="auto"/>
          <w:sz w:val="21"/>
          <w:szCs w:val="21"/>
          <w:highlight w:val="none"/>
        </w:rPr>
        <w:t>扣</w:t>
      </w:r>
      <w:r>
        <w:rPr>
          <w:rFonts w:asciiTheme="minorEastAsia" w:hAnsiTheme="minorEastAsia"/>
          <w:b/>
          <w:bCs/>
          <w:color w:val="auto"/>
          <w:sz w:val="21"/>
          <w:szCs w:val="21"/>
          <w:highlight w:val="none"/>
        </w:rPr>
        <w:t>1分。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5.因巡查不到位发生重大文物安全事故，一次扣10分。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6.不配合做好国家、省、市的其他有关文物安全的巡查任务的，一次扣10分。</w:t>
      </w:r>
    </w:p>
    <w:p>
      <w:pPr>
        <w:pStyle w:val="13"/>
        <w:tabs>
          <w:tab w:val="left" w:pos="540"/>
        </w:tabs>
        <w:spacing w:line="360" w:lineRule="auto"/>
        <w:ind w:left="220" w:leftChars="100" w:right="567" w:firstLine="422" w:firstLineChars="200"/>
        <w:outlineLvl w:val="0"/>
        <w:rPr>
          <w:rFonts w:cs="Courier New" w:asciiTheme="minorEastAsia" w:hAnsiTheme="minorEastAsia"/>
          <w:b/>
          <w:bCs/>
          <w:color w:val="auto"/>
          <w:kern w:val="2"/>
          <w:sz w:val="21"/>
          <w:szCs w:val="21"/>
          <w:highlight w:val="none"/>
        </w:rPr>
      </w:pPr>
      <w:r>
        <w:rPr>
          <w:rFonts w:asciiTheme="minorEastAsia" w:hAnsiTheme="minorEastAsia"/>
          <w:b/>
          <w:bCs/>
          <w:color w:val="auto"/>
          <w:sz w:val="21"/>
          <w:szCs w:val="21"/>
          <w:highlight w:val="none"/>
        </w:rPr>
        <w:t>7.发生文物安全突发事件，没有在2小时内赶到事故现场协助处理或没有及时报告现场情况的，扣10分。</w:t>
      </w:r>
    </w:p>
    <w:p>
      <w:pPr>
        <w:pStyle w:val="13"/>
        <w:tabs>
          <w:tab w:val="left" w:pos="540"/>
        </w:tabs>
        <w:spacing w:line="360" w:lineRule="auto"/>
        <w:ind w:left="220" w:leftChars="100" w:right="567" w:firstLine="422" w:firstLineChars="200"/>
        <w:rPr>
          <w:rFonts w:asciiTheme="minorEastAsia" w:hAnsiTheme="minorEastAsia"/>
          <w:b/>
          <w:bCs/>
          <w:color w:val="auto"/>
          <w:sz w:val="21"/>
          <w:szCs w:val="21"/>
          <w:highlight w:val="none"/>
        </w:rPr>
      </w:pPr>
      <w:r>
        <w:rPr>
          <w:rFonts w:asciiTheme="minorEastAsia" w:hAnsiTheme="minorEastAsia"/>
          <w:b/>
          <w:bCs/>
          <w:color w:val="auto"/>
          <w:sz w:val="21"/>
          <w:szCs w:val="21"/>
          <w:highlight w:val="none"/>
        </w:rPr>
        <w:t>8.在服务期间，经相关部门审核确定为重大失误的，一次扣20</w:t>
      </w:r>
      <w:r>
        <w:rPr>
          <w:rFonts w:hint="eastAsia" w:asciiTheme="minorEastAsia" w:hAnsiTheme="minorEastAsia"/>
          <w:b/>
          <w:bCs/>
          <w:color w:val="auto"/>
          <w:sz w:val="21"/>
          <w:szCs w:val="21"/>
          <w:highlight w:val="none"/>
        </w:rPr>
        <w:t>分。</w:t>
      </w:r>
    </w:p>
    <w:p>
      <w:pPr>
        <w:numPr>
          <w:ilvl w:val="0"/>
          <w:numId w:val="14"/>
        </w:numPr>
        <w:spacing w:line="360" w:lineRule="auto"/>
        <w:ind w:left="220" w:leftChars="100" w:right="220" w:rightChars="100"/>
        <w:outlineLvl w:val="2"/>
        <w:rPr>
          <w:b/>
          <w:color w:val="auto"/>
          <w:sz w:val="24"/>
          <w:szCs w:val="24"/>
          <w:highlight w:val="none"/>
        </w:rPr>
      </w:pPr>
      <w:r>
        <w:rPr>
          <w:rFonts w:hint="eastAsia"/>
          <w:b/>
          <w:color w:val="auto"/>
          <w:sz w:val="24"/>
          <w:szCs w:val="24"/>
          <w:highlight w:val="none"/>
        </w:rPr>
        <w:t>付款方式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spacing w:line="360" w:lineRule="auto"/>
        <w:ind w:left="220" w:leftChars="100" w:right="220" w:rightChars="100" w:firstLine="371" w:firstLineChars="177"/>
        <w:rPr>
          <w:color w:val="auto"/>
          <w:sz w:val="21"/>
          <w:szCs w:val="21"/>
          <w:highlight w:val="none"/>
        </w:rPr>
      </w:pPr>
      <w:bookmarkStart w:id="106" w:name="_Toc496096036"/>
      <w:bookmarkStart w:id="107" w:name="_Toc496045542"/>
      <w:bookmarkStart w:id="108" w:name="_Toc496123830"/>
      <w:r>
        <w:rPr>
          <w:rFonts w:hint="eastAsia"/>
          <w:color w:val="auto"/>
          <w:sz w:val="21"/>
          <w:szCs w:val="21"/>
          <w:highlight w:val="none"/>
        </w:rPr>
        <w:t>1.项目费用按年度结算，项目合同签订后，中标人向采购人提供请款资料，采购人于10个工作日内支付合同总金额的</w:t>
      </w:r>
      <w:r>
        <w:rPr>
          <w:rFonts w:hint="eastAsia"/>
          <w:color w:val="auto"/>
          <w:sz w:val="21"/>
          <w:szCs w:val="21"/>
          <w:highlight w:val="none"/>
          <w:lang w:val="en-US" w:eastAsia="zh-CN"/>
        </w:rPr>
        <w:t>40</w:t>
      </w:r>
      <w:r>
        <w:rPr>
          <w:rFonts w:hint="eastAsia"/>
          <w:color w:val="auto"/>
          <w:sz w:val="21"/>
          <w:szCs w:val="21"/>
          <w:highlight w:val="none"/>
        </w:rPr>
        <w:t>%；中标人通过考核期后，中标人向采购人提供请款资料，采购人于10个工作日内支付当年度合同总金额的</w:t>
      </w:r>
      <w:r>
        <w:rPr>
          <w:rFonts w:hint="eastAsia"/>
          <w:color w:val="auto"/>
          <w:sz w:val="21"/>
          <w:szCs w:val="21"/>
          <w:highlight w:val="none"/>
          <w:lang w:val="en-US" w:eastAsia="zh-CN"/>
        </w:rPr>
        <w:t>30%</w:t>
      </w:r>
      <w:r>
        <w:rPr>
          <w:rFonts w:hint="eastAsia"/>
          <w:color w:val="auto"/>
          <w:sz w:val="21"/>
          <w:szCs w:val="21"/>
          <w:highlight w:val="none"/>
        </w:rPr>
        <w:t>；中标人在完成合同服务内容后，于服务期最后一个月内向采购人提供请款资料，采购人于10个工作日内支付当年度合同总金额的</w:t>
      </w:r>
      <w:r>
        <w:rPr>
          <w:rFonts w:hint="eastAsia"/>
          <w:color w:val="auto"/>
          <w:sz w:val="21"/>
          <w:szCs w:val="21"/>
          <w:highlight w:val="none"/>
          <w:lang w:val="en-US" w:eastAsia="zh-CN"/>
        </w:rPr>
        <w:t>30</w:t>
      </w:r>
      <w:r>
        <w:rPr>
          <w:rFonts w:hint="eastAsia"/>
          <w:color w:val="auto"/>
          <w:sz w:val="21"/>
          <w:szCs w:val="21"/>
          <w:highlight w:val="none"/>
        </w:rPr>
        <w:t>%。</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3.乙方凭以下有效文件与甲方请款：</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（1）合同；</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（2）乙方开具的正式发票；</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（3）中标通知书；</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（4）甲方请款需要的其他资料；</w:t>
      </w:r>
    </w:p>
    <w:p>
      <w:pPr>
        <w:spacing w:line="360" w:lineRule="auto"/>
        <w:ind w:left="220" w:leftChars="100" w:right="220" w:rightChars="100" w:firstLine="371" w:firstLineChars="177"/>
        <w:rPr>
          <w:color w:val="auto"/>
          <w:sz w:val="21"/>
          <w:szCs w:val="21"/>
          <w:highlight w:val="none"/>
        </w:rPr>
      </w:pPr>
      <w:r>
        <w:rPr>
          <w:rFonts w:hint="eastAsia"/>
          <w:color w:val="auto"/>
          <w:sz w:val="21"/>
          <w:szCs w:val="21"/>
          <w:highlight w:val="none"/>
        </w:rPr>
        <w:t>4.因甲方使用的是财政资金，甲方在前款规定的付款时间为向政府采购支付部门提出办理财政支付申请手续的时间（不含政府财政支付部门审核的时间），在规定时间内提出支付申请手续后即视为甲方已经按期支付。</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109" w:name="_Toc25245901"/>
      <w:bookmarkStart w:id="110" w:name="_Toc11922004"/>
      <w:bookmarkStart w:id="111" w:name="_Toc504062534"/>
      <w:bookmarkStart w:id="112" w:name="_Toc504122270"/>
      <w:bookmarkStart w:id="113" w:name="_Toc515971202"/>
      <w:bookmarkStart w:id="114" w:name="_Toc515956933"/>
      <w:bookmarkStart w:id="115" w:name="_Toc25672878"/>
      <w:bookmarkStart w:id="116" w:name="_Toc513652318"/>
      <w:bookmarkStart w:id="117" w:name="_Toc514163570"/>
      <w:bookmarkStart w:id="118" w:name="_Toc504741266"/>
      <w:bookmarkStart w:id="119" w:name="_Toc515957285"/>
      <w:r>
        <w:rPr>
          <w:rFonts w:hint="eastAsia"/>
          <w:b/>
          <w:color w:val="auto"/>
          <w:sz w:val="24"/>
          <w:szCs w:val="24"/>
          <w:highlight w:val="none"/>
        </w:rPr>
        <w:t>违约责任</w:t>
      </w:r>
      <w:bookmarkEnd w:id="109"/>
      <w:bookmarkEnd w:id="110"/>
      <w:bookmarkEnd w:id="111"/>
      <w:bookmarkEnd w:id="112"/>
      <w:bookmarkEnd w:id="113"/>
      <w:bookmarkEnd w:id="114"/>
      <w:bookmarkEnd w:id="115"/>
      <w:bookmarkEnd w:id="116"/>
      <w:bookmarkEnd w:id="117"/>
      <w:bookmarkEnd w:id="118"/>
      <w:bookmarkEnd w:id="119"/>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1.乙方不得将本项目分包或转包，否则，将视乙方违约，甲方可以单方提前解除服务合同，同时，乙方应向甲方支付合同价款</w:t>
      </w:r>
      <w:r>
        <w:rPr>
          <w:rFonts w:hint="eastAsia"/>
          <w:color w:val="auto"/>
          <w:sz w:val="21"/>
          <w:szCs w:val="21"/>
          <w:highlight w:val="none"/>
          <w:lang w:val="en-US"/>
        </w:rPr>
        <w:t>1</w:t>
      </w:r>
      <w:r>
        <w:rPr>
          <w:rFonts w:hint="eastAsia"/>
          <w:color w:val="auto"/>
          <w:sz w:val="21"/>
          <w:szCs w:val="21"/>
          <w:highlight w:val="none"/>
        </w:rPr>
        <w:t>0%的违约赔偿金。</w:t>
      </w:r>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2.服务期限内，甲方每次对乙方抽查考核不合格的，每违反一次，按合同总价的2%向甲方支付违约金。超过五次抽查不合格或综合测评不合格的，甲方可单方解除本合同，同时，乙方应向甲方支付合同价款</w:t>
      </w:r>
      <w:r>
        <w:rPr>
          <w:rFonts w:hint="eastAsia"/>
          <w:color w:val="auto"/>
          <w:sz w:val="21"/>
          <w:szCs w:val="21"/>
          <w:highlight w:val="none"/>
          <w:lang w:val="en-US"/>
        </w:rPr>
        <w:t>1</w:t>
      </w:r>
      <w:r>
        <w:rPr>
          <w:rFonts w:hint="eastAsia"/>
          <w:color w:val="auto"/>
          <w:sz w:val="21"/>
          <w:szCs w:val="21"/>
          <w:highlight w:val="none"/>
        </w:rPr>
        <w:t>0%的违约赔偿金。</w:t>
      </w:r>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3.服务期间，双方必须严格履行合同，在执行过程中，如遇未尽事宜，双方可协商解决，单方面无权变更合同。</w:t>
      </w:r>
    </w:p>
    <w:p>
      <w:pPr>
        <w:numPr>
          <w:ilvl w:val="255"/>
          <w:numId w:val="0"/>
        </w:numPr>
        <w:spacing w:line="360" w:lineRule="auto"/>
        <w:ind w:left="220" w:leftChars="100" w:right="567" w:firstLine="420" w:firstLineChars="200"/>
        <w:jc w:val="both"/>
        <w:outlineLvl w:val="0"/>
        <w:rPr>
          <w:color w:val="auto"/>
          <w:sz w:val="21"/>
          <w:szCs w:val="21"/>
          <w:highlight w:val="none"/>
        </w:rPr>
      </w:pPr>
      <w:r>
        <w:rPr>
          <w:rFonts w:hint="eastAsia"/>
          <w:color w:val="auto"/>
          <w:sz w:val="21"/>
          <w:szCs w:val="21"/>
          <w:highlight w:val="none"/>
        </w:rPr>
        <w:t>4.服务期间，乙方应遵守国家的有关法律、法规及当地政府的有关规定，严格内部管理并负责其为完成本项目承包合同的全部人员的聘用合同及劳动法律关系和相应的风险责任。乙方有违反本项目招标文件用户需求对文物保护监督员劳动保障规定情形的，甲方可书面通知乙方及时整改；乙方未按要求时限整改的，甲方人有权单方终止合同，同时，乙方应向采购人支付合同价款</w:t>
      </w:r>
      <w:r>
        <w:rPr>
          <w:rFonts w:hint="eastAsia"/>
          <w:color w:val="auto"/>
          <w:sz w:val="21"/>
          <w:szCs w:val="21"/>
          <w:highlight w:val="none"/>
          <w:lang w:val="en-US"/>
        </w:rPr>
        <w:t>1</w:t>
      </w:r>
      <w:r>
        <w:rPr>
          <w:rFonts w:hint="eastAsia"/>
          <w:color w:val="auto"/>
          <w:sz w:val="21"/>
          <w:szCs w:val="21"/>
          <w:highlight w:val="none"/>
        </w:rPr>
        <w:t>0%的违约金，违约金不足弥补甲方因此遭受的实际损失的，乙方还应补足采购人因此遭受的实际损失。</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120" w:name="_Toc504741267"/>
      <w:bookmarkStart w:id="121" w:name="_Toc499278268"/>
      <w:bookmarkStart w:id="122" w:name="_Toc515957286"/>
      <w:bookmarkStart w:id="123" w:name="_Toc11922005"/>
      <w:bookmarkStart w:id="124" w:name="_Toc514163571"/>
      <w:bookmarkStart w:id="125" w:name="_Toc498265689"/>
      <w:bookmarkStart w:id="126" w:name="_Toc25245902"/>
      <w:bookmarkStart w:id="127" w:name="_Toc498079534"/>
      <w:bookmarkStart w:id="128" w:name="_Toc25672879"/>
      <w:bookmarkStart w:id="129" w:name="_Toc515956934"/>
      <w:bookmarkStart w:id="130" w:name="_Toc504122271"/>
      <w:bookmarkStart w:id="131" w:name="_Toc515971203"/>
      <w:bookmarkStart w:id="132" w:name="_Toc503169256"/>
      <w:bookmarkStart w:id="133" w:name="_Toc504062535"/>
      <w:bookmarkStart w:id="134" w:name="_Toc513652319"/>
      <w:bookmarkStart w:id="135" w:name="_Toc498978644"/>
      <w:r>
        <w:rPr>
          <w:rFonts w:hint="eastAsia"/>
          <w:b/>
          <w:color w:val="auto"/>
          <w:sz w:val="24"/>
          <w:szCs w:val="24"/>
          <w:highlight w:val="none"/>
        </w:rPr>
        <w:t>争端的解决</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spacing w:line="360" w:lineRule="auto"/>
        <w:ind w:left="220" w:leftChars="100" w:right="220" w:rightChars="100" w:firstLine="420" w:firstLineChars="200"/>
        <w:rPr>
          <w:rFonts w:cs="仿宋"/>
          <w:color w:val="auto"/>
          <w:sz w:val="21"/>
          <w:szCs w:val="21"/>
          <w:highlight w:val="none"/>
        </w:rPr>
      </w:pPr>
      <w:r>
        <w:rPr>
          <w:rFonts w:hint="eastAsia" w:cs="仿宋"/>
          <w:color w:val="auto"/>
          <w:sz w:val="21"/>
          <w:szCs w:val="21"/>
          <w:highlight w:val="none"/>
        </w:rPr>
        <w:t>合同执行过程中发生的任何争议，如双方不能通过友好协商解决，甲、乙双方一致同意向甲方所在地人民法院提起诉讼。</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136" w:name="_Toc499278269"/>
      <w:bookmarkStart w:id="137" w:name="_Toc515956935"/>
      <w:bookmarkStart w:id="138" w:name="_Toc515971204"/>
      <w:bookmarkStart w:id="139" w:name="_Toc498079535"/>
      <w:bookmarkStart w:id="140" w:name="_Toc498265690"/>
      <w:bookmarkStart w:id="141" w:name="_Toc504062536"/>
      <w:bookmarkStart w:id="142" w:name="_Toc513652320"/>
      <w:bookmarkStart w:id="143" w:name="_Toc25672880"/>
      <w:bookmarkStart w:id="144" w:name="_Toc498978645"/>
      <w:bookmarkStart w:id="145" w:name="_Toc503169257"/>
      <w:bookmarkStart w:id="146" w:name="_Toc514163572"/>
      <w:bookmarkStart w:id="147" w:name="_Toc504122272"/>
      <w:bookmarkStart w:id="148" w:name="_Toc515957287"/>
      <w:bookmarkStart w:id="149" w:name="_Toc11922006"/>
      <w:bookmarkStart w:id="150" w:name="_Toc25245903"/>
      <w:bookmarkStart w:id="151" w:name="_Toc504741268"/>
      <w:r>
        <w:rPr>
          <w:rFonts w:hint="eastAsia"/>
          <w:b/>
          <w:color w:val="auto"/>
          <w:sz w:val="24"/>
          <w:szCs w:val="24"/>
          <w:highlight w:val="none"/>
        </w:rPr>
        <w:t>不可抗力</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360" w:lineRule="auto"/>
        <w:ind w:left="220" w:leftChars="100" w:right="220" w:rightChars="100" w:firstLine="420" w:firstLineChars="200"/>
        <w:rPr>
          <w:rFonts w:cs="仿宋"/>
          <w:color w:val="auto"/>
          <w:sz w:val="21"/>
          <w:szCs w:val="21"/>
          <w:highlight w:val="none"/>
        </w:rPr>
      </w:pPr>
      <w:r>
        <w:rPr>
          <w:rFonts w:hint="eastAsia" w:cs="仿宋"/>
          <w:color w:val="auto"/>
          <w:sz w:val="21"/>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ind w:left="220" w:leftChars="100" w:right="220" w:rightChars="100"/>
        <w:rPr>
          <w:color w:val="auto"/>
          <w:sz w:val="21"/>
          <w:szCs w:val="21"/>
          <w:highlight w:val="none"/>
        </w:rPr>
      </w:pPr>
    </w:p>
    <w:p>
      <w:pPr>
        <w:numPr>
          <w:ilvl w:val="0"/>
          <w:numId w:val="14"/>
        </w:numPr>
        <w:spacing w:line="360" w:lineRule="auto"/>
        <w:ind w:left="220" w:leftChars="100" w:right="220" w:rightChars="100"/>
        <w:outlineLvl w:val="2"/>
        <w:rPr>
          <w:b/>
          <w:color w:val="auto"/>
          <w:sz w:val="24"/>
          <w:szCs w:val="24"/>
          <w:highlight w:val="none"/>
        </w:rPr>
      </w:pPr>
      <w:bookmarkStart w:id="152" w:name="_Toc25245904"/>
      <w:bookmarkStart w:id="153" w:name="_Toc515956936"/>
      <w:bookmarkStart w:id="154" w:name="_Toc514163573"/>
      <w:bookmarkStart w:id="155" w:name="_Toc25672881"/>
      <w:bookmarkStart w:id="156" w:name="_Toc504122273"/>
      <w:bookmarkStart w:id="157" w:name="_Toc498079536"/>
      <w:bookmarkStart w:id="158" w:name="_Toc515971205"/>
      <w:bookmarkStart w:id="159" w:name="_Toc498978646"/>
      <w:bookmarkStart w:id="160" w:name="_Toc499278270"/>
      <w:bookmarkStart w:id="161" w:name="_Toc504741269"/>
      <w:bookmarkStart w:id="162" w:name="_Toc513652321"/>
      <w:bookmarkStart w:id="163" w:name="_Toc515957288"/>
      <w:bookmarkStart w:id="164" w:name="_Toc503169258"/>
      <w:bookmarkStart w:id="165" w:name="_Toc11922007"/>
      <w:bookmarkStart w:id="166" w:name="_Toc498265691"/>
      <w:bookmarkStart w:id="167" w:name="_Toc504062537"/>
      <w:r>
        <w:rPr>
          <w:rFonts w:hint="eastAsia"/>
          <w:b/>
          <w:color w:val="auto"/>
          <w:sz w:val="24"/>
          <w:szCs w:val="24"/>
          <w:highlight w:val="none"/>
        </w:rPr>
        <w:t>税费</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在中国境内、外发生的与本合同执行有关的一切税费均由乙方负担。</w:t>
      </w:r>
    </w:p>
    <w:p>
      <w:pPr>
        <w:spacing w:line="360" w:lineRule="auto"/>
        <w:ind w:left="220" w:leftChars="100" w:right="220" w:rightChars="100"/>
        <w:rPr>
          <w:color w:val="auto"/>
          <w:sz w:val="21"/>
          <w:szCs w:val="21"/>
          <w:highlight w:val="none"/>
        </w:rPr>
      </w:pPr>
    </w:p>
    <w:bookmarkEnd w:id="106"/>
    <w:bookmarkEnd w:id="107"/>
    <w:bookmarkEnd w:id="108"/>
    <w:p>
      <w:pPr>
        <w:numPr>
          <w:ilvl w:val="0"/>
          <w:numId w:val="14"/>
        </w:numPr>
        <w:spacing w:line="360" w:lineRule="auto"/>
        <w:ind w:left="220" w:leftChars="100" w:right="220" w:rightChars="100"/>
        <w:outlineLvl w:val="2"/>
        <w:rPr>
          <w:b/>
          <w:color w:val="auto"/>
          <w:sz w:val="24"/>
          <w:szCs w:val="24"/>
          <w:highlight w:val="none"/>
        </w:rPr>
      </w:pPr>
      <w:bookmarkStart w:id="168" w:name="_Toc515971206"/>
      <w:bookmarkStart w:id="169" w:name="_Toc504062538"/>
      <w:bookmarkStart w:id="170" w:name="_Toc11922008"/>
      <w:bookmarkStart w:id="171" w:name="_Toc504122274"/>
      <w:bookmarkStart w:id="172" w:name="_Toc504741270"/>
      <w:bookmarkStart w:id="173" w:name="_Toc498978647"/>
      <w:bookmarkStart w:id="174" w:name="_Toc25672882"/>
      <w:bookmarkStart w:id="175" w:name="_Toc515956937"/>
      <w:bookmarkStart w:id="176" w:name="_Toc499278271"/>
      <w:bookmarkStart w:id="177" w:name="_Toc515957289"/>
      <w:bookmarkStart w:id="178" w:name="_Toc513652322"/>
      <w:bookmarkStart w:id="179" w:name="_Toc25245905"/>
      <w:bookmarkStart w:id="180" w:name="_Toc514163574"/>
      <w:bookmarkStart w:id="181" w:name="_Toc498079537"/>
      <w:bookmarkStart w:id="182" w:name="_Toc498265692"/>
      <w:bookmarkStart w:id="183" w:name="_Toc503169259"/>
      <w:r>
        <w:rPr>
          <w:rFonts w:hint="eastAsia"/>
          <w:b/>
          <w:color w:val="auto"/>
          <w:sz w:val="24"/>
          <w:szCs w:val="24"/>
          <w:highlight w:val="none"/>
        </w:rPr>
        <w:t>合同生效</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1.本合同正本份，具有同等法律效力，甲、乙双方各执份，同级政府采购监督管理部门一份，招标代理机构一份。合同自双方签字之日起即时生效。</w:t>
      </w:r>
    </w:p>
    <w:p>
      <w:pPr>
        <w:spacing w:line="360" w:lineRule="auto"/>
        <w:ind w:left="220" w:leftChars="100" w:right="220" w:rightChars="100" w:firstLine="420" w:firstLineChars="200"/>
        <w:rPr>
          <w:color w:val="auto"/>
          <w:sz w:val="21"/>
          <w:szCs w:val="21"/>
          <w:highlight w:val="none"/>
        </w:rPr>
      </w:pPr>
      <w:r>
        <w:rPr>
          <w:rFonts w:hint="eastAsia"/>
          <w:color w:val="auto"/>
          <w:sz w:val="21"/>
          <w:szCs w:val="21"/>
          <w:highlight w:val="none"/>
        </w:rPr>
        <w:t>2.本合同未尽事宜，由双方协商处理。</w:t>
      </w:r>
    </w:p>
    <w:p>
      <w:pPr>
        <w:spacing w:line="360" w:lineRule="auto"/>
        <w:ind w:left="220" w:leftChars="100" w:right="220" w:rightChars="100"/>
        <w:rPr>
          <w:color w:val="auto"/>
          <w:sz w:val="21"/>
          <w:szCs w:val="21"/>
          <w:highlight w:val="none"/>
        </w:rPr>
      </w:pPr>
    </w:p>
    <w:p>
      <w:pPr>
        <w:spacing w:line="360" w:lineRule="auto"/>
        <w:ind w:left="220" w:leftChars="100" w:right="220" w:rightChars="100"/>
        <w:rPr>
          <w:color w:val="auto"/>
          <w:sz w:val="21"/>
          <w:szCs w:val="21"/>
          <w:highlight w:val="none"/>
        </w:rPr>
      </w:pPr>
      <w:r>
        <w:rPr>
          <w:rFonts w:hint="eastAsia"/>
          <w:color w:val="auto"/>
          <w:sz w:val="21"/>
          <w:szCs w:val="21"/>
          <w:highlight w:val="none"/>
        </w:rPr>
        <w:t>甲方：广州市天河区文化广电旅游体育局</w:t>
      </w:r>
      <w:r>
        <w:rPr>
          <w:rFonts w:hint="eastAsia"/>
          <w:color w:val="auto"/>
          <w:sz w:val="21"/>
          <w:szCs w:val="21"/>
          <w:highlight w:val="none"/>
          <w:lang w:val="en-US"/>
        </w:rPr>
        <w:t xml:space="preserve">                     </w:t>
      </w:r>
      <w:r>
        <w:rPr>
          <w:rFonts w:hint="eastAsia"/>
          <w:color w:val="auto"/>
          <w:sz w:val="21"/>
          <w:szCs w:val="21"/>
          <w:highlight w:val="none"/>
        </w:rPr>
        <w:t>乙方：</w:t>
      </w:r>
    </w:p>
    <w:p>
      <w:pPr>
        <w:spacing w:line="360" w:lineRule="auto"/>
        <w:ind w:left="220" w:leftChars="100" w:right="220" w:rightChars="100"/>
        <w:rPr>
          <w:color w:val="auto"/>
          <w:sz w:val="21"/>
          <w:szCs w:val="21"/>
          <w:highlight w:val="none"/>
        </w:rPr>
      </w:pPr>
      <w:r>
        <w:rPr>
          <w:rFonts w:hint="eastAsia"/>
          <w:color w:val="auto"/>
          <w:sz w:val="21"/>
          <w:szCs w:val="21"/>
          <w:highlight w:val="none"/>
        </w:rPr>
        <w:t>（盖章）</w:t>
      </w:r>
      <w:r>
        <w:rPr>
          <w:rFonts w:hint="eastAsia"/>
          <w:color w:val="auto"/>
          <w:sz w:val="21"/>
          <w:szCs w:val="21"/>
          <w:highlight w:val="none"/>
          <w:lang w:val="en-US"/>
        </w:rPr>
        <w:t xml:space="preserve">                                                 </w:t>
      </w:r>
      <w:r>
        <w:rPr>
          <w:rFonts w:hint="eastAsia"/>
          <w:color w:val="auto"/>
          <w:sz w:val="21"/>
          <w:szCs w:val="21"/>
          <w:highlight w:val="none"/>
        </w:rPr>
        <w:t>（盖章）</w:t>
      </w:r>
    </w:p>
    <w:p>
      <w:pPr>
        <w:spacing w:line="360" w:lineRule="auto"/>
        <w:ind w:left="220" w:leftChars="100" w:right="220" w:rightChars="100"/>
        <w:rPr>
          <w:color w:val="auto"/>
          <w:sz w:val="21"/>
          <w:szCs w:val="21"/>
          <w:highlight w:val="none"/>
        </w:rPr>
      </w:pPr>
      <w:r>
        <w:rPr>
          <w:rFonts w:hint="eastAsia"/>
          <w:color w:val="auto"/>
          <w:sz w:val="21"/>
          <w:szCs w:val="21"/>
          <w:highlight w:val="none"/>
        </w:rPr>
        <w:t>地址：</w:t>
      </w:r>
      <w:r>
        <w:rPr>
          <w:rFonts w:hint="eastAsia"/>
          <w:color w:val="auto"/>
          <w:sz w:val="21"/>
          <w:szCs w:val="21"/>
          <w:highlight w:val="none"/>
          <w:lang w:val="en-US"/>
        </w:rPr>
        <w:t xml:space="preserve">                                                    </w:t>
      </w:r>
      <w:r>
        <w:rPr>
          <w:rFonts w:hint="eastAsia"/>
          <w:color w:val="auto"/>
          <w:sz w:val="21"/>
          <w:szCs w:val="21"/>
          <w:highlight w:val="none"/>
        </w:rPr>
        <w:t>地址：</w:t>
      </w:r>
    </w:p>
    <w:p>
      <w:pPr>
        <w:spacing w:line="360" w:lineRule="auto"/>
        <w:ind w:left="220" w:leftChars="100" w:right="220" w:rightChars="100"/>
        <w:rPr>
          <w:color w:val="auto"/>
          <w:sz w:val="21"/>
          <w:szCs w:val="21"/>
          <w:highlight w:val="none"/>
        </w:rPr>
      </w:pPr>
      <w:r>
        <w:rPr>
          <w:rFonts w:hint="eastAsia"/>
          <w:color w:val="auto"/>
          <w:sz w:val="21"/>
          <w:szCs w:val="21"/>
          <w:highlight w:val="none"/>
        </w:rPr>
        <w:t>法人代表：</w:t>
      </w:r>
      <w:r>
        <w:rPr>
          <w:rFonts w:hint="eastAsia"/>
          <w:color w:val="auto"/>
          <w:sz w:val="21"/>
          <w:szCs w:val="21"/>
          <w:highlight w:val="none"/>
          <w:lang w:val="en-US"/>
        </w:rPr>
        <w:t xml:space="preserve">                                                </w:t>
      </w:r>
      <w:r>
        <w:rPr>
          <w:rFonts w:hint="eastAsia"/>
          <w:color w:val="auto"/>
          <w:sz w:val="21"/>
          <w:szCs w:val="21"/>
          <w:highlight w:val="none"/>
        </w:rPr>
        <w:t>法人代表：</w:t>
      </w:r>
    </w:p>
    <w:p>
      <w:pPr>
        <w:spacing w:line="360" w:lineRule="auto"/>
        <w:ind w:left="220" w:leftChars="100" w:right="220" w:rightChars="100"/>
        <w:rPr>
          <w:color w:val="auto"/>
          <w:sz w:val="21"/>
          <w:szCs w:val="21"/>
          <w:highlight w:val="none"/>
        </w:rPr>
      </w:pPr>
      <w:r>
        <w:rPr>
          <w:rFonts w:hint="eastAsia"/>
          <w:color w:val="auto"/>
          <w:sz w:val="21"/>
          <w:szCs w:val="21"/>
          <w:highlight w:val="none"/>
        </w:rPr>
        <w:t>项目负责人：</w:t>
      </w:r>
      <w:r>
        <w:rPr>
          <w:rFonts w:hint="eastAsia"/>
          <w:color w:val="auto"/>
          <w:sz w:val="21"/>
          <w:szCs w:val="21"/>
          <w:highlight w:val="none"/>
          <w:lang w:val="en-US"/>
        </w:rPr>
        <w:t xml:space="preserve">                                              </w:t>
      </w:r>
      <w:r>
        <w:rPr>
          <w:rFonts w:hint="eastAsia"/>
          <w:color w:val="auto"/>
          <w:sz w:val="21"/>
          <w:szCs w:val="21"/>
          <w:highlight w:val="none"/>
        </w:rPr>
        <w:t>项目负责人：</w:t>
      </w:r>
    </w:p>
    <w:p>
      <w:pPr>
        <w:spacing w:line="360" w:lineRule="auto"/>
        <w:ind w:right="220" w:rightChars="100" w:firstLine="210" w:firstLineChars="100"/>
        <w:rPr>
          <w:color w:val="auto"/>
          <w:sz w:val="21"/>
          <w:szCs w:val="21"/>
          <w:highlight w:val="none"/>
        </w:rPr>
      </w:pPr>
      <w:r>
        <w:rPr>
          <w:rFonts w:hint="eastAsia"/>
          <w:color w:val="auto"/>
          <w:sz w:val="21"/>
          <w:szCs w:val="21"/>
          <w:highlight w:val="none"/>
        </w:rPr>
        <w:t>电话：</w:t>
      </w:r>
      <w:r>
        <w:rPr>
          <w:rFonts w:hint="eastAsia"/>
          <w:color w:val="auto"/>
          <w:sz w:val="21"/>
          <w:szCs w:val="21"/>
          <w:highlight w:val="none"/>
          <w:lang w:val="en-US"/>
        </w:rPr>
        <w:t xml:space="preserve">                                                    </w:t>
      </w:r>
      <w:r>
        <w:rPr>
          <w:rFonts w:hint="eastAsia"/>
          <w:color w:val="auto"/>
          <w:sz w:val="21"/>
          <w:szCs w:val="21"/>
          <w:highlight w:val="none"/>
        </w:rPr>
        <w:t>电话：</w:t>
      </w:r>
    </w:p>
    <w:p>
      <w:pPr>
        <w:spacing w:line="360" w:lineRule="auto"/>
        <w:ind w:right="220" w:rightChars="100" w:firstLine="6510" w:firstLineChars="3100"/>
        <w:rPr>
          <w:color w:val="auto"/>
          <w:sz w:val="21"/>
          <w:szCs w:val="21"/>
          <w:highlight w:val="none"/>
        </w:rPr>
      </w:pPr>
      <w:r>
        <w:rPr>
          <w:rFonts w:hint="eastAsia"/>
          <w:color w:val="auto"/>
          <w:sz w:val="21"/>
          <w:szCs w:val="21"/>
          <w:highlight w:val="none"/>
        </w:rPr>
        <w:t>开户银行：</w:t>
      </w:r>
    </w:p>
    <w:p>
      <w:pPr>
        <w:spacing w:line="360" w:lineRule="auto"/>
        <w:ind w:right="220" w:rightChars="100" w:firstLine="6510" w:firstLineChars="3100"/>
        <w:rPr>
          <w:color w:val="auto"/>
          <w:sz w:val="21"/>
          <w:szCs w:val="21"/>
          <w:highlight w:val="none"/>
        </w:rPr>
      </w:pPr>
      <w:r>
        <w:rPr>
          <w:rFonts w:hint="eastAsia"/>
          <w:color w:val="auto"/>
          <w:sz w:val="21"/>
          <w:szCs w:val="21"/>
          <w:highlight w:val="none"/>
        </w:rPr>
        <w:t>帐号：</w:t>
      </w:r>
    </w:p>
    <w:p>
      <w:pPr>
        <w:spacing w:line="360" w:lineRule="auto"/>
        <w:ind w:left="220" w:leftChars="100" w:right="220" w:rightChars="100"/>
        <w:rPr>
          <w:color w:val="auto"/>
          <w:sz w:val="21"/>
          <w:szCs w:val="21"/>
          <w:highlight w:val="none"/>
        </w:rPr>
      </w:pPr>
      <w:r>
        <w:rPr>
          <w:rFonts w:hint="eastAsia"/>
          <w:color w:val="auto"/>
          <w:sz w:val="21"/>
          <w:szCs w:val="21"/>
          <w:highlight w:val="none"/>
        </w:rPr>
        <w:t>签约日期：202</w:t>
      </w:r>
      <w:r>
        <w:rPr>
          <w:rFonts w:hint="eastAsia"/>
          <w:color w:val="auto"/>
          <w:sz w:val="21"/>
          <w:szCs w:val="21"/>
          <w:highlight w:val="none"/>
          <w:lang w:val="en-US" w:eastAsia="zh-CN"/>
        </w:rPr>
        <w:t>2</w:t>
      </w:r>
      <w:r>
        <w:rPr>
          <w:rFonts w:hint="eastAsia"/>
          <w:color w:val="auto"/>
          <w:sz w:val="21"/>
          <w:szCs w:val="21"/>
          <w:highlight w:val="none"/>
        </w:rPr>
        <w:t>年</w:t>
      </w:r>
      <w:r>
        <w:rPr>
          <w:rFonts w:hint="eastAsia"/>
          <w:color w:val="auto"/>
          <w:sz w:val="21"/>
          <w:szCs w:val="21"/>
          <w:highlight w:val="none"/>
          <w:lang w:val="en-US"/>
        </w:rPr>
        <w:t xml:space="preserve"> </w:t>
      </w:r>
      <w:r>
        <w:rPr>
          <w:rFonts w:hint="eastAsia"/>
          <w:color w:val="auto"/>
          <w:sz w:val="21"/>
          <w:szCs w:val="21"/>
          <w:highlight w:val="none"/>
        </w:rPr>
        <w:t>月</w:t>
      </w:r>
      <w:r>
        <w:rPr>
          <w:rFonts w:hint="eastAsia"/>
          <w:color w:val="auto"/>
          <w:sz w:val="21"/>
          <w:szCs w:val="21"/>
          <w:highlight w:val="none"/>
          <w:lang w:val="en-US"/>
        </w:rPr>
        <w:t xml:space="preserve"> </w:t>
      </w:r>
      <w:r>
        <w:rPr>
          <w:rFonts w:hint="eastAsia"/>
          <w:color w:val="auto"/>
          <w:sz w:val="21"/>
          <w:szCs w:val="21"/>
          <w:highlight w:val="none"/>
        </w:rPr>
        <w:t>日</w:t>
      </w:r>
      <w:r>
        <w:rPr>
          <w:rFonts w:hint="eastAsia"/>
          <w:color w:val="auto"/>
          <w:sz w:val="21"/>
          <w:szCs w:val="21"/>
          <w:highlight w:val="none"/>
          <w:lang w:val="en-US"/>
        </w:rPr>
        <w:t xml:space="preserve">                                     </w:t>
      </w:r>
      <w:r>
        <w:rPr>
          <w:rFonts w:hint="eastAsia"/>
          <w:color w:val="auto"/>
          <w:sz w:val="21"/>
          <w:szCs w:val="21"/>
          <w:highlight w:val="none"/>
        </w:rPr>
        <w:t>签约日期：202</w:t>
      </w:r>
      <w:r>
        <w:rPr>
          <w:rFonts w:hint="eastAsia"/>
          <w:color w:val="auto"/>
          <w:sz w:val="21"/>
          <w:szCs w:val="21"/>
          <w:highlight w:val="none"/>
          <w:lang w:val="en-US" w:eastAsia="zh-CN"/>
        </w:rPr>
        <w:t>2</w:t>
      </w:r>
      <w:r>
        <w:rPr>
          <w:rFonts w:hint="eastAsia"/>
          <w:color w:val="auto"/>
          <w:sz w:val="21"/>
          <w:szCs w:val="21"/>
          <w:highlight w:val="none"/>
        </w:rPr>
        <w:t>年</w:t>
      </w:r>
      <w:r>
        <w:rPr>
          <w:rFonts w:hint="eastAsia"/>
          <w:color w:val="auto"/>
          <w:sz w:val="21"/>
          <w:szCs w:val="21"/>
          <w:highlight w:val="none"/>
          <w:lang w:val="en-US"/>
        </w:rPr>
        <w:t xml:space="preserve"> </w:t>
      </w:r>
      <w:r>
        <w:rPr>
          <w:rFonts w:hint="eastAsia"/>
          <w:color w:val="auto"/>
          <w:sz w:val="21"/>
          <w:szCs w:val="21"/>
          <w:highlight w:val="none"/>
        </w:rPr>
        <w:t>月</w:t>
      </w:r>
      <w:r>
        <w:rPr>
          <w:rFonts w:hint="eastAsia"/>
          <w:color w:val="auto"/>
          <w:sz w:val="21"/>
          <w:szCs w:val="21"/>
          <w:highlight w:val="none"/>
          <w:lang w:val="en-US"/>
        </w:rPr>
        <w:t xml:space="preserve"> </w:t>
      </w:r>
      <w:r>
        <w:rPr>
          <w:rFonts w:hint="eastAsia"/>
          <w:color w:val="auto"/>
          <w:sz w:val="21"/>
          <w:szCs w:val="21"/>
          <w:highlight w:val="none"/>
        </w:rPr>
        <w:t>日</w:t>
      </w:r>
    </w:p>
    <w:p>
      <w:pPr>
        <w:pStyle w:val="2"/>
        <w:ind w:left="0"/>
        <w:jc w:val="both"/>
        <w:rPr>
          <w:color w:val="auto"/>
          <w:highlight w:val="none"/>
        </w:rPr>
      </w:pPr>
    </w:p>
    <w:p>
      <w:pPr>
        <w:pStyle w:val="2"/>
        <w:jc w:val="both"/>
        <w:rPr>
          <w:color w:val="auto"/>
          <w:highlight w:val="none"/>
        </w:rPr>
      </w:pPr>
    </w:p>
    <w:p>
      <w:pPr>
        <w:rPr>
          <w:color w:val="auto"/>
          <w:highlight w:val="none"/>
        </w:rPr>
      </w:pPr>
      <w:r>
        <w:rPr>
          <w:color w:val="auto"/>
          <w:highlight w:val="none"/>
        </w:rPr>
        <w:br w:type="page"/>
      </w:r>
    </w:p>
    <w:p>
      <w:pPr>
        <w:pStyle w:val="2"/>
        <w:ind w:left="582"/>
        <w:rPr>
          <w:color w:val="auto"/>
          <w:highlight w:val="none"/>
        </w:rPr>
      </w:pPr>
      <w:r>
        <w:rPr>
          <w:color w:val="auto"/>
          <w:highlight w:val="none"/>
        </w:rPr>
        <w:t>第五章磋商细则</w:t>
      </w:r>
    </w:p>
    <w:p>
      <w:pPr>
        <w:pStyle w:val="10"/>
        <w:rPr>
          <w:b/>
          <w:color w:val="auto"/>
          <w:sz w:val="20"/>
          <w:highlight w:val="none"/>
        </w:rPr>
      </w:pPr>
    </w:p>
    <w:p>
      <w:pPr>
        <w:pStyle w:val="10"/>
        <w:spacing w:before="3"/>
        <w:rPr>
          <w:b/>
          <w:color w:val="auto"/>
          <w:highlight w:val="none"/>
        </w:rPr>
      </w:pPr>
    </w:p>
    <w:p>
      <w:pPr>
        <w:pStyle w:val="7"/>
        <w:spacing w:before="70" w:line="360" w:lineRule="auto"/>
        <w:ind w:left="440" w:leftChars="200" w:right="567" w:firstLine="0"/>
        <w:jc w:val="both"/>
        <w:rPr>
          <w:color w:val="auto"/>
          <w:spacing w:val="-5"/>
          <w:highlight w:val="none"/>
        </w:rPr>
      </w:pPr>
      <w:bookmarkStart w:id="184" w:name="一__说明"/>
      <w:bookmarkEnd w:id="184"/>
      <w:r>
        <w:rPr>
          <w:color w:val="auto"/>
          <w:spacing w:val="-5"/>
          <w:highlight w:val="none"/>
        </w:rPr>
        <w:t>一说明</w:t>
      </w:r>
      <w:bookmarkStart w:id="185" w:name="1.概述"/>
      <w:bookmarkEnd w:id="185"/>
    </w:p>
    <w:p>
      <w:pPr>
        <w:pStyle w:val="7"/>
        <w:spacing w:before="70" w:line="360" w:lineRule="auto"/>
        <w:ind w:left="440" w:leftChars="200" w:right="567" w:firstLine="0"/>
        <w:jc w:val="both"/>
        <w:rPr>
          <w:color w:val="auto"/>
          <w:highlight w:val="none"/>
        </w:rPr>
      </w:pPr>
      <w:r>
        <w:rPr>
          <w:color w:val="auto"/>
          <w:highlight w:val="none"/>
        </w:rPr>
        <w:t>1.概述</w:t>
      </w:r>
    </w:p>
    <w:p>
      <w:pPr>
        <w:pStyle w:val="10"/>
        <w:spacing w:line="360" w:lineRule="auto"/>
        <w:ind w:left="440" w:leftChars="200" w:right="567" w:firstLine="420"/>
        <w:jc w:val="both"/>
        <w:rPr>
          <w:color w:val="auto"/>
          <w:highlight w:val="none"/>
        </w:rPr>
      </w:pPr>
      <w:r>
        <w:rPr>
          <w:color w:val="auto"/>
          <w:spacing w:val="-9"/>
          <w:highlight w:val="none"/>
        </w:rPr>
        <w:t>根据《中华人民共和国政府采购法》和地方政府关于政府采购的有关规定，遵循“公平、公正、科学、择优”的原则，结合本项目的技术和商务需求，由</w:t>
      </w:r>
      <w:r>
        <w:rPr>
          <w:rFonts w:hint="eastAsia"/>
          <w:color w:val="auto"/>
          <w:spacing w:val="-9"/>
          <w:highlight w:val="none"/>
        </w:rPr>
        <w:t>广东富信建设管理有限公司</w:t>
      </w:r>
      <w:r>
        <w:rPr>
          <w:color w:val="auto"/>
          <w:spacing w:val="-9"/>
          <w:highlight w:val="none"/>
        </w:rPr>
        <w:t>编制本磋商细则，并经磋商小组确认。内容包括本次竞争性磋商的过程和方法。</w:t>
      </w:r>
    </w:p>
    <w:p>
      <w:pPr>
        <w:pStyle w:val="7"/>
        <w:spacing w:before="117" w:line="360" w:lineRule="auto"/>
        <w:ind w:left="440" w:leftChars="200" w:right="567" w:firstLine="0"/>
        <w:rPr>
          <w:color w:val="auto"/>
          <w:highlight w:val="none"/>
        </w:rPr>
      </w:pPr>
      <w:bookmarkStart w:id="186" w:name="2.磋商小组的组成"/>
      <w:bookmarkEnd w:id="186"/>
      <w:r>
        <w:rPr>
          <w:color w:val="auto"/>
          <w:highlight w:val="none"/>
        </w:rPr>
        <w:t>2.磋商小组的组成</w:t>
      </w:r>
    </w:p>
    <w:p>
      <w:pPr>
        <w:pStyle w:val="10"/>
        <w:spacing w:line="360" w:lineRule="auto"/>
        <w:ind w:left="440" w:leftChars="200" w:right="567" w:firstLine="420"/>
        <w:jc w:val="both"/>
        <w:rPr>
          <w:color w:val="auto"/>
          <w:highlight w:val="none"/>
        </w:rPr>
      </w:pPr>
      <w:r>
        <w:rPr>
          <w:color w:val="auto"/>
          <w:spacing w:val="-2"/>
          <w:highlight w:val="none"/>
        </w:rPr>
        <w:t>全部磋商过程由依法组建的磋商小组负责完成，磋商小组由</w:t>
      </w:r>
      <w:r>
        <w:rPr>
          <w:rFonts w:hint="eastAsia"/>
          <w:color w:val="auto"/>
          <w:spacing w:val="-2"/>
          <w:highlight w:val="none"/>
        </w:rPr>
        <w:t>三</w:t>
      </w:r>
      <w:r>
        <w:rPr>
          <w:color w:val="auto"/>
          <w:spacing w:val="-2"/>
          <w:highlight w:val="none"/>
        </w:rPr>
        <w:t>人</w:t>
      </w:r>
      <w:r>
        <w:rPr>
          <w:rFonts w:hint="eastAsia"/>
          <w:color w:val="auto"/>
          <w:spacing w:val="-2"/>
          <w:highlight w:val="none"/>
        </w:rPr>
        <w:t>或以上</w:t>
      </w:r>
      <w:r>
        <w:rPr>
          <w:color w:val="auto"/>
          <w:spacing w:val="-2"/>
          <w:highlight w:val="none"/>
        </w:rPr>
        <w:t>单数组成。磋商小组下设工作小组，主要由采购代理机构工作人员组成，负责整理文件等工作。</w:t>
      </w:r>
    </w:p>
    <w:p>
      <w:pPr>
        <w:pStyle w:val="7"/>
        <w:spacing w:before="120" w:line="360" w:lineRule="auto"/>
        <w:ind w:left="440" w:leftChars="200" w:right="567" w:firstLine="0"/>
        <w:jc w:val="both"/>
        <w:rPr>
          <w:color w:val="auto"/>
          <w:highlight w:val="none"/>
        </w:rPr>
      </w:pPr>
      <w:bookmarkStart w:id="187" w:name="二__磋商须知"/>
      <w:bookmarkEnd w:id="187"/>
      <w:r>
        <w:rPr>
          <w:color w:val="auto"/>
          <w:highlight w:val="none"/>
        </w:rPr>
        <w:t>二磋商须知</w:t>
      </w:r>
      <w:bookmarkStart w:id="188" w:name="1.关于磋商方案"/>
      <w:bookmarkEnd w:id="188"/>
    </w:p>
    <w:p>
      <w:pPr>
        <w:pStyle w:val="7"/>
        <w:spacing w:before="120" w:line="360" w:lineRule="auto"/>
        <w:ind w:left="440" w:leftChars="200" w:right="567" w:firstLine="0"/>
        <w:jc w:val="both"/>
        <w:rPr>
          <w:color w:val="auto"/>
          <w:highlight w:val="none"/>
        </w:rPr>
      </w:pPr>
      <w:r>
        <w:rPr>
          <w:color w:val="auto"/>
          <w:highlight w:val="none"/>
        </w:rPr>
        <w:t>1</w:t>
      </w:r>
      <w:r>
        <w:rPr>
          <w:color w:val="auto"/>
          <w:spacing w:val="-3"/>
          <w:highlight w:val="none"/>
        </w:rPr>
        <w:t>.关于磋商方案</w:t>
      </w:r>
    </w:p>
    <w:p>
      <w:pPr>
        <w:pStyle w:val="10"/>
        <w:spacing w:line="360" w:lineRule="auto"/>
        <w:ind w:left="440" w:leftChars="200" w:right="567" w:firstLine="420"/>
        <w:rPr>
          <w:color w:val="auto"/>
          <w:highlight w:val="none"/>
        </w:rPr>
      </w:pPr>
      <w:r>
        <w:rPr>
          <w:color w:val="auto"/>
          <w:highlight w:val="none"/>
        </w:rPr>
        <w:t>磋商小组应当严格遵守磋商纪律和磋商工作规则，按照磋商文件载明的磋商方法、评审标准开展磋商活动。</w:t>
      </w:r>
    </w:p>
    <w:p>
      <w:pPr>
        <w:pStyle w:val="7"/>
        <w:numPr>
          <w:ilvl w:val="0"/>
          <w:numId w:val="17"/>
        </w:numPr>
        <w:tabs>
          <w:tab w:val="left" w:pos="654"/>
        </w:tabs>
        <w:spacing w:before="117" w:line="360" w:lineRule="auto"/>
        <w:ind w:left="968" w:leftChars="200" w:right="567"/>
        <w:rPr>
          <w:color w:val="auto"/>
          <w:highlight w:val="none"/>
        </w:rPr>
      </w:pPr>
      <w:bookmarkStart w:id="189" w:name="2.关于磋商"/>
      <w:bookmarkEnd w:id="189"/>
      <w:r>
        <w:rPr>
          <w:color w:val="auto"/>
          <w:highlight w:val="none"/>
        </w:rPr>
        <w:t>关于磋商</w:t>
      </w:r>
    </w:p>
    <w:p>
      <w:pPr>
        <w:pStyle w:val="24"/>
        <w:numPr>
          <w:ilvl w:val="0"/>
          <w:numId w:val="18"/>
        </w:numPr>
        <w:tabs>
          <w:tab w:val="left" w:pos="965"/>
        </w:tabs>
        <w:spacing w:line="360" w:lineRule="auto"/>
        <w:ind w:left="440" w:leftChars="200" w:right="567"/>
        <w:rPr>
          <w:color w:val="auto"/>
          <w:sz w:val="21"/>
          <w:szCs w:val="21"/>
          <w:highlight w:val="none"/>
        </w:rPr>
      </w:pPr>
      <w:r>
        <w:rPr>
          <w:color w:val="auto"/>
          <w:sz w:val="21"/>
          <w:szCs w:val="21"/>
          <w:highlight w:val="none"/>
        </w:rPr>
        <w:t>采购代理机构负责主持整个磋商会议；</w:t>
      </w:r>
    </w:p>
    <w:p>
      <w:pPr>
        <w:pStyle w:val="24"/>
        <w:numPr>
          <w:ilvl w:val="0"/>
          <w:numId w:val="18"/>
        </w:numPr>
        <w:tabs>
          <w:tab w:val="left" w:pos="971"/>
        </w:tabs>
        <w:spacing w:line="360" w:lineRule="auto"/>
        <w:ind w:left="966" w:leftChars="200" w:right="567" w:hanging="526"/>
        <w:rPr>
          <w:color w:val="auto"/>
          <w:sz w:val="21"/>
          <w:szCs w:val="21"/>
          <w:highlight w:val="none"/>
        </w:rPr>
      </w:pPr>
      <w:r>
        <w:rPr>
          <w:color w:val="auto"/>
          <w:sz w:val="21"/>
          <w:szCs w:val="21"/>
          <w:highlight w:val="none"/>
        </w:rPr>
        <w:t>在磋商活动中，磋商小组应当根据《磋商文件》分别与每一位供应商进行单独磋商，并根据磋商小组将综合考虑技术性能指标、供应商综合实力、最终报价、服务期限、保修期、服务承诺及供应商提供的其他优惠条件等。使用综合评分法，推荐满足磋商文件全部实质性要求且按评审因素的量化指标评审得分最高的供应商为成交候选供应商，其余依次替补。</w:t>
      </w:r>
    </w:p>
    <w:p>
      <w:pPr>
        <w:pStyle w:val="7"/>
        <w:numPr>
          <w:ilvl w:val="0"/>
          <w:numId w:val="17"/>
        </w:numPr>
        <w:tabs>
          <w:tab w:val="left" w:pos="654"/>
        </w:tabs>
        <w:spacing w:before="119" w:line="360" w:lineRule="auto"/>
        <w:ind w:left="968" w:leftChars="200" w:right="567"/>
        <w:rPr>
          <w:color w:val="auto"/>
          <w:highlight w:val="none"/>
        </w:rPr>
      </w:pPr>
      <w:bookmarkStart w:id="190" w:name="3.关于纪律"/>
      <w:bookmarkEnd w:id="190"/>
      <w:r>
        <w:rPr>
          <w:color w:val="auto"/>
          <w:highlight w:val="none"/>
        </w:rPr>
        <w:t>关于纪律</w:t>
      </w:r>
    </w:p>
    <w:p>
      <w:pPr>
        <w:pStyle w:val="24"/>
        <w:numPr>
          <w:ilvl w:val="1"/>
          <w:numId w:val="17"/>
        </w:numPr>
        <w:tabs>
          <w:tab w:val="left" w:pos="1070"/>
        </w:tabs>
        <w:spacing w:before="1" w:line="360" w:lineRule="auto"/>
        <w:ind w:left="440" w:leftChars="200" w:right="567"/>
        <w:rPr>
          <w:color w:val="auto"/>
          <w:sz w:val="21"/>
          <w:szCs w:val="21"/>
          <w:highlight w:val="none"/>
        </w:rPr>
      </w:pPr>
      <w:r>
        <w:rPr>
          <w:color w:val="auto"/>
          <w:sz w:val="21"/>
          <w:szCs w:val="21"/>
          <w:highlight w:val="none"/>
        </w:rPr>
        <w:t>磋商小组成员不得与任何供应商或者与磋商结果有利害关系的人进行私下接触</w:t>
      </w:r>
      <w:r>
        <w:rPr>
          <w:rFonts w:hint="eastAsia"/>
          <w:color w:val="auto"/>
          <w:sz w:val="21"/>
          <w:szCs w:val="21"/>
          <w:highlight w:val="none"/>
        </w:rPr>
        <w:t>，</w:t>
      </w:r>
      <w:r>
        <w:rPr>
          <w:color w:val="auto"/>
          <w:sz w:val="21"/>
          <w:szCs w:val="21"/>
          <w:highlight w:val="none"/>
        </w:rPr>
        <w:t>不得收受供应商、中介人、其他利害关系人的财物或者其他好处；</w:t>
      </w:r>
    </w:p>
    <w:p>
      <w:pPr>
        <w:pStyle w:val="24"/>
        <w:numPr>
          <w:ilvl w:val="1"/>
          <w:numId w:val="17"/>
        </w:numPr>
        <w:tabs>
          <w:tab w:val="left" w:pos="1070"/>
        </w:tabs>
        <w:spacing w:line="360" w:lineRule="auto"/>
        <w:ind w:left="440" w:leftChars="200" w:right="567"/>
        <w:rPr>
          <w:color w:val="auto"/>
          <w:sz w:val="21"/>
          <w:szCs w:val="21"/>
          <w:highlight w:val="none"/>
        </w:rPr>
      </w:pPr>
      <w:r>
        <w:rPr>
          <w:color w:val="auto"/>
          <w:sz w:val="21"/>
          <w:szCs w:val="21"/>
          <w:highlight w:val="none"/>
        </w:rPr>
        <w:t>磋商小组成员应本着客观、公正的原则独立给出评价意见；</w:t>
      </w:r>
    </w:p>
    <w:p>
      <w:pPr>
        <w:pStyle w:val="24"/>
        <w:numPr>
          <w:ilvl w:val="1"/>
          <w:numId w:val="17"/>
        </w:numPr>
        <w:tabs>
          <w:tab w:val="left" w:pos="1070"/>
        </w:tabs>
        <w:spacing w:line="360" w:lineRule="auto"/>
        <w:ind w:left="440" w:leftChars="200" w:right="567"/>
        <w:rPr>
          <w:color w:val="auto"/>
          <w:sz w:val="21"/>
          <w:szCs w:val="21"/>
          <w:highlight w:val="none"/>
        </w:rPr>
      </w:pPr>
      <w:r>
        <w:rPr>
          <w:color w:val="auto"/>
          <w:sz w:val="21"/>
          <w:szCs w:val="21"/>
          <w:highlight w:val="none"/>
        </w:rPr>
        <w:t>磋商小组成员之间不得相互串通进行评分；</w:t>
      </w:r>
    </w:p>
    <w:p>
      <w:pPr>
        <w:pStyle w:val="24"/>
        <w:numPr>
          <w:ilvl w:val="1"/>
          <w:numId w:val="17"/>
        </w:numPr>
        <w:tabs>
          <w:tab w:val="left" w:pos="1070"/>
        </w:tabs>
        <w:spacing w:line="360" w:lineRule="auto"/>
        <w:ind w:left="440" w:leftChars="200" w:right="567"/>
        <w:rPr>
          <w:color w:val="auto"/>
          <w:sz w:val="21"/>
          <w:szCs w:val="21"/>
          <w:highlight w:val="none"/>
        </w:rPr>
      </w:pPr>
      <w:r>
        <w:rPr>
          <w:color w:val="auto"/>
          <w:sz w:val="21"/>
          <w:szCs w:val="21"/>
          <w:highlight w:val="none"/>
        </w:rPr>
        <w:t>磋商小组成员不得试图影响其他磋商小组成员的评价意见；</w:t>
      </w:r>
    </w:p>
    <w:p>
      <w:pPr>
        <w:pStyle w:val="24"/>
        <w:numPr>
          <w:ilvl w:val="1"/>
          <w:numId w:val="17"/>
        </w:numPr>
        <w:tabs>
          <w:tab w:val="left" w:pos="1070"/>
        </w:tabs>
        <w:spacing w:line="360" w:lineRule="auto"/>
        <w:ind w:left="440" w:leftChars="200" w:right="567"/>
        <w:rPr>
          <w:color w:val="auto"/>
          <w:sz w:val="21"/>
          <w:szCs w:val="21"/>
          <w:highlight w:val="none"/>
        </w:rPr>
      </w:pPr>
      <w:r>
        <w:rPr>
          <w:color w:val="auto"/>
          <w:sz w:val="21"/>
          <w:szCs w:val="21"/>
          <w:highlight w:val="none"/>
        </w:rPr>
        <w:t>磋商小组应关闭通讯工具或设置为振动状态，并统一交由工作人员保管。</w:t>
      </w:r>
      <w:bookmarkStart w:id="191" w:name="4.关于回避"/>
      <w:bookmarkEnd w:id="191"/>
    </w:p>
    <w:p>
      <w:pPr>
        <w:pStyle w:val="24"/>
        <w:tabs>
          <w:tab w:val="left" w:pos="1070"/>
        </w:tabs>
        <w:spacing w:before="1" w:line="360" w:lineRule="auto"/>
        <w:ind w:leftChars="200" w:right="567"/>
        <w:rPr>
          <w:b/>
          <w:color w:val="auto"/>
          <w:sz w:val="21"/>
          <w:szCs w:val="21"/>
          <w:highlight w:val="none"/>
        </w:rPr>
      </w:pPr>
      <w:r>
        <w:rPr>
          <w:b/>
          <w:color w:val="auto"/>
          <w:sz w:val="21"/>
          <w:szCs w:val="21"/>
          <w:highlight w:val="none"/>
        </w:rPr>
        <w:t>4.关于回避</w:t>
      </w:r>
    </w:p>
    <w:p>
      <w:pPr>
        <w:pStyle w:val="10"/>
        <w:spacing w:line="360" w:lineRule="auto"/>
        <w:ind w:left="440" w:leftChars="200" w:right="567" w:firstLine="420"/>
        <w:rPr>
          <w:color w:val="auto"/>
          <w:highlight w:val="none"/>
        </w:rPr>
      </w:pPr>
      <w:r>
        <w:rPr>
          <w:color w:val="auto"/>
          <w:highlight w:val="none"/>
        </w:rPr>
        <w:t>有下列情形之一的，不得担任磋商小组成员，如事先不知情的，应在采购代理机构宣读供应商名单及工作纪律后主动提出回避：</w:t>
      </w:r>
    </w:p>
    <w:p>
      <w:pPr>
        <w:pStyle w:val="24"/>
        <w:numPr>
          <w:ilvl w:val="0"/>
          <w:numId w:val="19"/>
        </w:numPr>
        <w:tabs>
          <w:tab w:val="left" w:pos="965"/>
        </w:tabs>
        <w:spacing w:line="360" w:lineRule="auto"/>
        <w:ind w:left="440" w:leftChars="200" w:right="567"/>
        <w:rPr>
          <w:color w:val="auto"/>
          <w:sz w:val="21"/>
          <w:szCs w:val="21"/>
          <w:highlight w:val="none"/>
        </w:rPr>
      </w:pPr>
      <w:r>
        <w:rPr>
          <w:color w:val="auto"/>
          <w:spacing w:val="-7"/>
          <w:sz w:val="21"/>
          <w:szCs w:val="21"/>
          <w:highlight w:val="none"/>
        </w:rPr>
        <w:t>参加采购活动前</w:t>
      </w:r>
      <w:r>
        <w:rPr>
          <w:color w:val="auto"/>
          <w:sz w:val="21"/>
          <w:szCs w:val="21"/>
          <w:highlight w:val="none"/>
        </w:rPr>
        <w:t>3</w:t>
      </w:r>
      <w:r>
        <w:rPr>
          <w:color w:val="auto"/>
          <w:spacing w:val="-8"/>
          <w:sz w:val="21"/>
          <w:szCs w:val="21"/>
          <w:highlight w:val="none"/>
        </w:rPr>
        <w:t>年内与供应商存在劳动关系；</w:t>
      </w:r>
    </w:p>
    <w:p>
      <w:pPr>
        <w:pStyle w:val="10"/>
        <w:spacing w:before="4" w:line="360" w:lineRule="auto"/>
        <w:ind w:left="440" w:leftChars="200" w:right="567"/>
        <w:rPr>
          <w:color w:val="auto"/>
          <w:highlight w:val="none"/>
        </w:rPr>
      </w:pPr>
    </w:p>
    <w:p>
      <w:pPr>
        <w:pStyle w:val="24"/>
        <w:numPr>
          <w:ilvl w:val="0"/>
          <w:numId w:val="19"/>
        </w:numPr>
        <w:tabs>
          <w:tab w:val="left" w:pos="965"/>
        </w:tabs>
        <w:spacing w:line="360" w:lineRule="auto"/>
        <w:ind w:left="440" w:leftChars="200" w:right="567"/>
        <w:rPr>
          <w:color w:val="auto"/>
          <w:sz w:val="21"/>
          <w:szCs w:val="21"/>
          <w:highlight w:val="none"/>
        </w:rPr>
      </w:pPr>
      <w:r>
        <w:rPr>
          <w:color w:val="auto"/>
          <w:spacing w:val="-7"/>
          <w:sz w:val="21"/>
          <w:szCs w:val="21"/>
          <w:highlight w:val="none"/>
        </w:rPr>
        <w:t>参加采购活动前</w:t>
      </w:r>
      <w:r>
        <w:rPr>
          <w:color w:val="auto"/>
          <w:sz w:val="21"/>
          <w:szCs w:val="21"/>
          <w:highlight w:val="none"/>
        </w:rPr>
        <w:t>3</w:t>
      </w:r>
      <w:r>
        <w:rPr>
          <w:color w:val="auto"/>
          <w:spacing w:val="-8"/>
          <w:sz w:val="21"/>
          <w:szCs w:val="21"/>
          <w:highlight w:val="none"/>
        </w:rPr>
        <w:t>年内担任供应商的董事、监事；</w:t>
      </w:r>
    </w:p>
    <w:p>
      <w:pPr>
        <w:pStyle w:val="24"/>
        <w:numPr>
          <w:ilvl w:val="0"/>
          <w:numId w:val="19"/>
        </w:numPr>
        <w:tabs>
          <w:tab w:val="left" w:pos="965"/>
        </w:tabs>
        <w:spacing w:line="360" w:lineRule="auto"/>
        <w:ind w:left="440" w:leftChars="200" w:right="567"/>
        <w:rPr>
          <w:color w:val="auto"/>
          <w:sz w:val="21"/>
          <w:szCs w:val="21"/>
          <w:highlight w:val="none"/>
        </w:rPr>
      </w:pPr>
      <w:r>
        <w:rPr>
          <w:color w:val="auto"/>
          <w:spacing w:val="-7"/>
          <w:sz w:val="21"/>
          <w:szCs w:val="21"/>
          <w:highlight w:val="none"/>
        </w:rPr>
        <w:t>参加采购活动前</w:t>
      </w:r>
      <w:r>
        <w:rPr>
          <w:color w:val="auto"/>
          <w:sz w:val="21"/>
          <w:szCs w:val="21"/>
          <w:highlight w:val="none"/>
        </w:rPr>
        <w:t>3</w:t>
      </w:r>
      <w:r>
        <w:rPr>
          <w:color w:val="auto"/>
          <w:spacing w:val="-8"/>
          <w:sz w:val="21"/>
          <w:szCs w:val="21"/>
          <w:highlight w:val="none"/>
        </w:rPr>
        <w:t>年内是供应商的控股股东或者实际控制人；</w:t>
      </w:r>
    </w:p>
    <w:p>
      <w:pPr>
        <w:pStyle w:val="24"/>
        <w:numPr>
          <w:ilvl w:val="0"/>
          <w:numId w:val="19"/>
        </w:numPr>
        <w:tabs>
          <w:tab w:val="left" w:pos="971"/>
        </w:tabs>
        <w:spacing w:line="360" w:lineRule="auto"/>
        <w:ind w:left="440" w:leftChars="200" w:right="567" w:firstLine="0"/>
        <w:rPr>
          <w:color w:val="auto"/>
          <w:sz w:val="21"/>
          <w:szCs w:val="21"/>
          <w:highlight w:val="none"/>
        </w:rPr>
      </w:pPr>
      <w:r>
        <w:rPr>
          <w:color w:val="auto"/>
          <w:sz w:val="21"/>
          <w:szCs w:val="21"/>
          <w:highlight w:val="none"/>
        </w:rPr>
        <w:t>与供应商的法定代表人或者负责人有夫妻、直系血亲、三代以内旁系血亲或者近姻亲关系；</w:t>
      </w:r>
    </w:p>
    <w:p>
      <w:pPr>
        <w:pStyle w:val="24"/>
        <w:numPr>
          <w:ilvl w:val="0"/>
          <w:numId w:val="19"/>
        </w:numPr>
        <w:tabs>
          <w:tab w:val="left" w:pos="965"/>
        </w:tabs>
        <w:spacing w:line="360" w:lineRule="auto"/>
        <w:ind w:left="440" w:leftChars="200" w:right="567"/>
        <w:rPr>
          <w:color w:val="auto"/>
          <w:sz w:val="21"/>
          <w:szCs w:val="21"/>
          <w:highlight w:val="none"/>
        </w:rPr>
      </w:pPr>
      <w:r>
        <w:rPr>
          <w:color w:val="auto"/>
          <w:sz w:val="21"/>
          <w:szCs w:val="21"/>
          <w:highlight w:val="none"/>
        </w:rPr>
        <w:t>与参加该采购项目供应商发生过法律纠纷的；</w:t>
      </w:r>
    </w:p>
    <w:p>
      <w:pPr>
        <w:pStyle w:val="24"/>
        <w:numPr>
          <w:ilvl w:val="0"/>
          <w:numId w:val="19"/>
        </w:numPr>
        <w:tabs>
          <w:tab w:val="left" w:pos="965"/>
        </w:tabs>
        <w:spacing w:line="360" w:lineRule="auto"/>
        <w:ind w:left="440" w:leftChars="200" w:right="567"/>
        <w:rPr>
          <w:color w:val="auto"/>
          <w:sz w:val="21"/>
          <w:szCs w:val="21"/>
          <w:highlight w:val="none"/>
        </w:rPr>
      </w:pPr>
      <w:r>
        <w:rPr>
          <w:color w:val="auto"/>
          <w:sz w:val="21"/>
          <w:szCs w:val="21"/>
          <w:highlight w:val="none"/>
        </w:rPr>
        <w:t>磋商小组中，同一任职单位评审专家超过二名的；</w:t>
      </w:r>
    </w:p>
    <w:p>
      <w:pPr>
        <w:pStyle w:val="24"/>
        <w:numPr>
          <w:ilvl w:val="0"/>
          <w:numId w:val="19"/>
        </w:numPr>
        <w:tabs>
          <w:tab w:val="left" w:pos="971"/>
        </w:tabs>
        <w:spacing w:line="360" w:lineRule="auto"/>
        <w:ind w:left="440" w:leftChars="200" w:right="567" w:firstLine="0"/>
        <w:rPr>
          <w:color w:val="auto"/>
          <w:sz w:val="21"/>
          <w:szCs w:val="21"/>
          <w:highlight w:val="none"/>
        </w:rPr>
      </w:pPr>
      <w:r>
        <w:rPr>
          <w:color w:val="auto"/>
          <w:sz w:val="21"/>
          <w:szCs w:val="21"/>
          <w:highlight w:val="none"/>
        </w:rPr>
        <w:t>任职单位与采购人或参加该采购项目的供应商存在行政隶属关系的</w:t>
      </w:r>
      <w:r>
        <w:rPr>
          <w:color w:val="auto"/>
          <w:spacing w:val="4"/>
          <w:sz w:val="21"/>
          <w:szCs w:val="21"/>
          <w:highlight w:val="none"/>
        </w:rPr>
        <w:t>（</w:t>
      </w:r>
      <w:r>
        <w:rPr>
          <w:color w:val="auto"/>
          <w:sz w:val="21"/>
          <w:szCs w:val="21"/>
          <w:highlight w:val="none"/>
        </w:rPr>
        <w:t>不含采购人代表）；</w:t>
      </w:r>
    </w:p>
    <w:p>
      <w:pPr>
        <w:pStyle w:val="24"/>
        <w:numPr>
          <w:ilvl w:val="0"/>
          <w:numId w:val="19"/>
        </w:numPr>
        <w:tabs>
          <w:tab w:val="left" w:pos="965"/>
        </w:tabs>
        <w:spacing w:line="360" w:lineRule="auto"/>
        <w:ind w:left="440" w:leftChars="200" w:right="567"/>
        <w:rPr>
          <w:color w:val="auto"/>
          <w:sz w:val="21"/>
          <w:szCs w:val="21"/>
          <w:highlight w:val="none"/>
        </w:rPr>
      </w:pPr>
      <w:r>
        <w:rPr>
          <w:color w:val="auto"/>
          <w:sz w:val="21"/>
          <w:szCs w:val="21"/>
          <w:highlight w:val="none"/>
        </w:rPr>
        <w:t>参与磋商文件论证的（不含采购人代表）；</w:t>
      </w:r>
    </w:p>
    <w:p>
      <w:pPr>
        <w:pStyle w:val="24"/>
        <w:numPr>
          <w:ilvl w:val="0"/>
          <w:numId w:val="19"/>
        </w:numPr>
        <w:tabs>
          <w:tab w:val="left" w:pos="965"/>
        </w:tabs>
        <w:spacing w:line="360" w:lineRule="auto"/>
        <w:ind w:left="440" w:leftChars="200" w:right="567"/>
        <w:rPr>
          <w:color w:val="auto"/>
          <w:sz w:val="21"/>
          <w:szCs w:val="21"/>
          <w:highlight w:val="none"/>
        </w:rPr>
      </w:pPr>
      <w:r>
        <w:rPr>
          <w:color w:val="auto"/>
          <w:sz w:val="21"/>
          <w:szCs w:val="21"/>
          <w:highlight w:val="none"/>
        </w:rPr>
        <w:t>与供应商有其他可能影响政府采购活动公平、公正进行的关系；</w:t>
      </w:r>
      <w:bookmarkStart w:id="192" w:name="5.关于磋商小组成员责任"/>
      <w:bookmarkEnd w:id="192"/>
    </w:p>
    <w:p>
      <w:pPr>
        <w:pStyle w:val="24"/>
        <w:tabs>
          <w:tab w:val="left" w:pos="965"/>
        </w:tabs>
        <w:spacing w:line="360" w:lineRule="auto"/>
        <w:ind w:leftChars="200" w:right="567"/>
        <w:rPr>
          <w:b/>
          <w:color w:val="auto"/>
          <w:sz w:val="21"/>
          <w:szCs w:val="21"/>
          <w:highlight w:val="none"/>
        </w:rPr>
      </w:pPr>
      <w:r>
        <w:rPr>
          <w:b/>
          <w:color w:val="auto"/>
          <w:sz w:val="21"/>
          <w:szCs w:val="21"/>
          <w:highlight w:val="none"/>
        </w:rPr>
        <w:t>5.关于磋商小组成员责任</w:t>
      </w:r>
    </w:p>
    <w:p>
      <w:pPr>
        <w:pStyle w:val="24"/>
        <w:numPr>
          <w:ilvl w:val="1"/>
          <w:numId w:val="19"/>
        </w:numPr>
        <w:tabs>
          <w:tab w:val="left" w:pos="1385"/>
        </w:tabs>
        <w:spacing w:line="360" w:lineRule="auto"/>
        <w:ind w:left="440" w:leftChars="200" w:right="567"/>
        <w:rPr>
          <w:color w:val="auto"/>
          <w:highlight w:val="none"/>
        </w:rPr>
      </w:pPr>
      <w:r>
        <w:rPr>
          <w:color w:val="auto"/>
          <w:sz w:val="21"/>
          <w:szCs w:val="21"/>
          <w:highlight w:val="none"/>
        </w:rPr>
        <w:t>磋商小组应在其书面意见上签字确认；</w:t>
      </w:r>
    </w:p>
    <w:p>
      <w:pPr>
        <w:pStyle w:val="24"/>
        <w:numPr>
          <w:ilvl w:val="1"/>
          <w:numId w:val="19"/>
        </w:numPr>
        <w:tabs>
          <w:tab w:val="left" w:pos="1385"/>
        </w:tabs>
        <w:spacing w:line="360" w:lineRule="auto"/>
        <w:ind w:left="440" w:leftChars="200" w:right="567"/>
        <w:rPr>
          <w:color w:val="auto"/>
          <w:sz w:val="21"/>
          <w:szCs w:val="21"/>
          <w:highlight w:val="none"/>
        </w:rPr>
      </w:pPr>
      <w:r>
        <w:rPr>
          <w:color w:val="auto"/>
          <w:sz w:val="21"/>
          <w:szCs w:val="21"/>
          <w:highlight w:val="none"/>
        </w:rPr>
        <w:t>磋商小组对其所提出的意见承担个人责任。</w:t>
      </w:r>
      <w:bookmarkStart w:id="193" w:name="6．关于保密"/>
      <w:bookmarkEnd w:id="193"/>
    </w:p>
    <w:p>
      <w:pPr>
        <w:pStyle w:val="24"/>
        <w:tabs>
          <w:tab w:val="left" w:pos="1385"/>
        </w:tabs>
        <w:spacing w:line="360" w:lineRule="auto"/>
        <w:ind w:leftChars="200" w:right="567"/>
        <w:rPr>
          <w:b/>
          <w:color w:val="auto"/>
          <w:sz w:val="21"/>
          <w:szCs w:val="21"/>
          <w:highlight w:val="none"/>
        </w:rPr>
      </w:pPr>
      <w:r>
        <w:rPr>
          <w:b/>
          <w:color w:val="auto"/>
          <w:sz w:val="21"/>
          <w:szCs w:val="21"/>
          <w:highlight w:val="none"/>
        </w:rPr>
        <w:t>6．关于保密</w:t>
      </w:r>
    </w:p>
    <w:p>
      <w:pPr>
        <w:pStyle w:val="24"/>
        <w:numPr>
          <w:ilvl w:val="0"/>
          <w:numId w:val="20"/>
        </w:numPr>
        <w:tabs>
          <w:tab w:val="left" w:pos="1393"/>
        </w:tabs>
        <w:spacing w:line="360" w:lineRule="auto"/>
        <w:ind w:left="966" w:leftChars="200" w:right="567" w:hanging="526"/>
        <w:rPr>
          <w:color w:val="auto"/>
          <w:sz w:val="21"/>
          <w:szCs w:val="21"/>
          <w:highlight w:val="none"/>
        </w:rPr>
      </w:pPr>
      <w:r>
        <w:rPr>
          <w:color w:val="auto"/>
          <w:sz w:val="21"/>
          <w:szCs w:val="21"/>
          <w:highlight w:val="none"/>
        </w:rPr>
        <w:t>磋商小组成员评审时，应各自独立进行评审，不得发表任何具有倾向性、诱导性或歧视性的见解，不得对其他评委的评审意见施加任何影响；磋商小组成员和与磋商活动有关的工作人员不得透露对响应文件的评审和比较、成交候选人的推荐情况以及磋商有关的其他情况；</w:t>
      </w:r>
    </w:p>
    <w:p>
      <w:pPr>
        <w:pStyle w:val="24"/>
        <w:numPr>
          <w:ilvl w:val="0"/>
          <w:numId w:val="20"/>
        </w:numPr>
        <w:tabs>
          <w:tab w:val="left" w:pos="1393"/>
        </w:tabs>
        <w:spacing w:line="360" w:lineRule="auto"/>
        <w:ind w:left="966" w:leftChars="200" w:right="567" w:hanging="526"/>
        <w:rPr>
          <w:color w:val="auto"/>
          <w:sz w:val="21"/>
          <w:szCs w:val="21"/>
          <w:highlight w:val="none"/>
        </w:rPr>
      </w:pPr>
      <w:r>
        <w:rPr>
          <w:color w:val="auto"/>
          <w:sz w:val="21"/>
          <w:szCs w:val="21"/>
          <w:highlight w:val="none"/>
        </w:rPr>
        <w:t>前款所称与磋商活动有关的工作人员，是指磋商小组成员以外的因参与磋商监督工作或者事务性工作而知悉有关磋商情况的所有人员。</w:t>
      </w:r>
    </w:p>
    <w:p>
      <w:pPr>
        <w:pStyle w:val="7"/>
        <w:tabs>
          <w:tab w:val="left" w:pos="859"/>
        </w:tabs>
        <w:spacing w:before="120" w:line="360" w:lineRule="auto"/>
        <w:ind w:left="440" w:leftChars="200" w:right="567" w:firstLine="0"/>
        <w:rPr>
          <w:color w:val="auto"/>
          <w:highlight w:val="none"/>
        </w:rPr>
      </w:pPr>
      <w:bookmarkStart w:id="194" w:name="三__磋商原则"/>
      <w:bookmarkEnd w:id="194"/>
      <w:r>
        <w:rPr>
          <w:color w:val="auto"/>
          <w:highlight w:val="none"/>
        </w:rPr>
        <w:t>三</w:t>
      </w:r>
      <w:r>
        <w:rPr>
          <w:color w:val="auto"/>
          <w:highlight w:val="none"/>
        </w:rPr>
        <w:tab/>
      </w:r>
      <w:r>
        <w:rPr>
          <w:color w:val="auto"/>
          <w:highlight w:val="none"/>
        </w:rPr>
        <w:t>磋商原则</w:t>
      </w:r>
    </w:p>
    <w:p>
      <w:pPr>
        <w:pStyle w:val="10"/>
        <w:spacing w:before="1" w:line="360" w:lineRule="auto"/>
        <w:ind w:left="440" w:leftChars="200" w:right="567" w:firstLine="420"/>
        <w:rPr>
          <w:color w:val="auto"/>
          <w:highlight w:val="none"/>
        </w:rPr>
      </w:pPr>
      <w:r>
        <w:rPr>
          <w:color w:val="auto"/>
          <w:highlight w:val="none"/>
        </w:rPr>
        <w:t>磋商工作应依据《中华人民共和国政府采购法》以及国家和地方政府关于政府采购的有关规定，遵循“公平、公正、科学、择优”的原则进行。</w:t>
      </w:r>
    </w:p>
    <w:p>
      <w:pPr>
        <w:pStyle w:val="7"/>
        <w:tabs>
          <w:tab w:val="left" w:pos="859"/>
        </w:tabs>
        <w:spacing w:before="119" w:line="360" w:lineRule="auto"/>
        <w:ind w:left="440" w:leftChars="200" w:right="567" w:firstLine="0"/>
        <w:rPr>
          <w:color w:val="auto"/>
          <w:highlight w:val="none"/>
        </w:rPr>
      </w:pPr>
      <w:bookmarkStart w:id="195" w:name="四__磋商流程"/>
      <w:bookmarkEnd w:id="195"/>
      <w:r>
        <w:rPr>
          <w:color w:val="auto"/>
          <w:highlight w:val="none"/>
        </w:rPr>
        <w:t>四</w:t>
      </w:r>
      <w:r>
        <w:rPr>
          <w:color w:val="auto"/>
          <w:highlight w:val="none"/>
        </w:rPr>
        <w:tab/>
      </w:r>
      <w:r>
        <w:rPr>
          <w:color w:val="auto"/>
          <w:highlight w:val="none"/>
        </w:rPr>
        <w:t>磋商流程</w:t>
      </w:r>
    </w:p>
    <w:p>
      <w:pPr>
        <w:pStyle w:val="7"/>
        <w:numPr>
          <w:ilvl w:val="0"/>
          <w:numId w:val="21"/>
        </w:numPr>
        <w:tabs>
          <w:tab w:val="left" w:pos="654"/>
        </w:tabs>
        <w:spacing w:before="1" w:line="360" w:lineRule="auto"/>
        <w:ind w:left="968" w:leftChars="200" w:right="567"/>
        <w:jc w:val="left"/>
        <w:rPr>
          <w:color w:val="auto"/>
          <w:highlight w:val="none"/>
        </w:rPr>
      </w:pPr>
      <w:bookmarkStart w:id="196" w:name="1.递交及接收响应文件"/>
      <w:bookmarkEnd w:id="196"/>
      <w:r>
        <w:rPr>
          <w:color w:val="auto"/>
          <w:highlight w:val="none"/>
        </w:rPr>
        <w:t>递交及接收响应文件</w:t>
      </w:r>
    </w:p>
    <w:p>
      <w:pPr>
        <w:pStyle w:val="24"/>
        <w:numPr>
          <w:ilvl w:val="1"/>
          <w:numId w:val="21"/>
        </w:numPr>
        <w:tabs>
          <w:tab w:val="left" w:pos="1228"/>
        </w:tabs>
        <w:spacing w:line="360" w:lineRule="auto"/>
        <w:ind w:leftChars="200" w:right="567" w:firstLine="420"/>
        <w:jc w:val="both"/>
        <w:rPr>
          <w:color w:val="auto"/>
          <w:sz w:val="21"/>
          <w:szCs w:val="21"/>
          <w:highlight w:val="none"/>
        </w:rPr>
      </w:pPr>
      <w:r>
        <w:rPr>
          <w:color w:val="auto"/>
          <w:sz w:val="21"/>
          <w:szCs w:val="21"/>
          <w:highlight w:val="none"/>
        </w:rPr>
        <w:t>采购代理机构按《磋商文件》规定的时间和地点接收响应文件和组织磋商会。供应商必须派法定代表人或其授权代表人参加并签到；对于首次报价及最终报价，采购代理机构将公开唱出，由供应商法定代表人或其授权代表人签名确认。采购代理机构负责做好有关记录。供应商不派出其授权代表参加开标会的，视为完全同意开标内容及对开标会过程无异议。</w:t>
      </w:r>
    </w:p>
    <w:p>
      <w:pPr>
        <w:pStyle w:val="24"/>
        <w:numPr>
          <w:ilvl w:val="1"/>
          <w:numId w:val="21"/>
        </w:numPr>
        <w:tabs>
          <w:tab w:val="left" w:pos="1228"/>
        </w:tabs>
        <w:spacing w:line="360" w:lineRule="auto"/>
        <w:ind w:leftChars="200" w:right="567" w:firstLine="420"/>
        <w:jc w:val="both"/>
        <w:rPr>
          <w:color w:val="auto"/>
          <w:sz w:val="21"/>
          <w:szCs w:val="21"/>
          <w:highlight w:val="none"/>
        </w:rPr>
      </w:pPr>
      <w:r>
        <w:rPr>
          <w:color w:val="auto"/>
          <w:sz w:val="21"/>
          <w:szCs w:val="21"/>
          <w:highlight w:val="none"/>
        </w:rPr>
        <w:t>响应供应商授权代表必须持本人身份证原件参加磋商会，如响应供应商代表非法定代表人，还应持法定代表人授权委托书。</w:t>
      </w:r>
    </w:p>
    <w:p>
      <w:pPr>
        <w:pStyle w:val="24"/>
        <w:numPr>
          <w:ilvl w:val="1"/>
          <w:numId w:val="21"/>
        </w:numPr>
        <w:tabs>
          <w:tab w:val="left" w:pos="1228"/>
        </w:tabs>
        <w:spacing w:line="360" w:lineRule="auto"/>
        <w:ind w:leftChars="200" w:right="567" w:firstLine="420"/>
        <w:jc w:val="both"/>
        <w:rPr>
          <w:color w:val="auto"/>
          <w:sz w:val="21"/>
          <w:szCs w:val="21"/>
          <w:highlight w:val="none"/>
        </w:rPr>
      </w:pPr>
      <w:r>
        <w:rPr>
          <w:color w:val="auto"/>
          <w:sz w:val="21"/>
          <w:szCs w:val="21"/>
          <w:highlight w:val="none"/>
        </w:rPr>
        <w:t>开封响应文件前，由响应供应商代表（按签到先后顺序的前三家响应供应商代表）检查磋商响应文件的密封情况，也可以由采购人委托的机构检查并见证，经确认无误后由响应供应商的授权代表抽签决定磋商顺序。</w:t>
      </w:r>
    </w:p>
    <w:p>
      <w:pPr>
        <w:pStyle w:val="7"/>
        <w:spacing w:before="118" w:line="360" w:lineRule="auto"/>
        <w:ind w:left="440" w:leftChars="200" w:right="567" w:firstLine="0"/>
        <w:rPr>
          <w:color w:val="auto"/>
          <w:highlight w:val="none"/>
        </w:rPr>
      </w:pPr>
      <w:bookmarkStart w:id="197" w:name="2、磋商说明"/>
      <w:bookmarkEnd w:id="197"/>
      <w:r>
        <w:rPr>
          <w:color w:val="auto"/>
          <w:highlight w:val="none"/>
        </w:rPr>
        <w:t>2、磋商说明</w:t>
      </w:r>
    </w:p>
    <w:p>
      <w:pPr>
        <w:pStyle w:val="24"/>
        <w:numPr>
          <w:ilvl w:val="1"/>
          <w:numId w:val="22"/>
        </w:numPr>
        <w:tabs>
          <w:tab w:val="left" w:pos="1175"/>
        </w:tabs>
        <w:spacing w:line="360" w:lineRule="auto"/>
        <w:ind w:leftChars="200" w:right="567" w:firstLine="420"/>
        <w:rPr>
          <w:color w:val="auto"/>
          <w:spacing w:val="-5"/>
          <w:sz w:val="21"/>
          <w:szCs w:val="21"/>
          <w:highlight w:val="none"/>
        </w:rPr>
      </w:pPr>
      <w:r>
        <w:rPr>
          <w:color w:val="auto"/>
          <w:spacing w:val="-5"/>
          <w:sz w:val="21"/>
          <w:szCs w:val="21"/>
          <w:highlight w:val="none"/>
        </w:rPr>
        <w:t>磋商小组应当对响应文件进行评审。进行初步评审时，磋商小组要审查每份响应文件是否符合《资格性审查表》</w:t>
      </w:r>
      <w:r>
        <w:rPr>
          <w:rFonts w:hint="eastAsia"/>
          <w:color w:val="auto"/>
          <w:spacing w:val="-5"/>
          <w:sz w:val="21"/>
          <w:szCs w:val="21"/>
          <w:highlight w:val="none"/>
        </w:rPr>
        <w:t>和《符合性审查表》</w:t>
      </w:r>
      <w:r>
        <w:rPr>
          <w:color w:val="auto"/>
          <w:spacing w:val="-5"/>
          <w:sz w:val="21"/>
          <w:szCs w:val="21"/>
          <w:highlight w:val="none"/>
        </w:rPr>
        <w:t>的要求，同一品牌同一型号的产品可有多家响应供应商参与竞争，但只作为一个响应供应商计算，未实质性响应磋商文件的响应文件按无效响应处理，磋商小组应当告知提交响应文件的供应商。</w:t>
      </w:r>
    </w:p>
    <w:p>
      <w:pPr>
        <w:pStyle w:val="7"/>
        <w:spacing w:line="360" w:lineRule="auto"/>
        <w:ind w:left="440" w:leftChars="200" w:right="567" w:firstLine="0"/>
        <w:rPr>
          <w:color w:val="auto"/>
          <w:highlight w:val="none"/>
        </w:rPr>
      </w:pPr>
      <w:r>
        <w:rPr>
          <w:color w:val="auto"/>
          <w:highlight w:val="none"/>
        </w:rPr>
        <w:t>磋商过程中出现下列情况之一时，本项目作无效处理：</w:t>
      </w:r>
    </w:p>
    <w:p>
      <w:pPr>
        <w:pStyle w:val="24"/>
        <w:numPr>
          <w:ilvl w:val="2"/>
          <w:numId w:val="22"/>
        </w:numPr>
        <w:tabs>
          <w:tab w:val="left" w:pos="1697"/>
          <w:tab w:val="left" w:pos="1698"/>
        </w:tabs>
        <w:spacing w:before="1" w:line="360" w:lineRule="auto"/>
        <w:ind w:left="861" w:leftChars="200" w:right="567" w:hanging="421"/>
        <w:rPr>
          <w:color w:val="auto"/>
          <w:sz w:val="21"/>
          <w:szCs w:val="21"/>
          <w:highlight w:val="none"/>
        </w:rPr>
      </w:pPr>
      <w:r>
        <w:rPr>
          <w:color w:val="auto"/>
          <w:sz w:val="21"/>
          <w:szCs w:val="21"/>
          <w:highlight w:val="none"/>
        </w:rPr>
        <w:t>符合专业条件的供应商或者对响应文件作实质响应的供应商不足两家的；</w:t>
      </w:r>
    </w:p>
    <w:p>
      <w:pPr>
        <w:pStyle w:val="24"/>
        <w:numPr>
          <w:ilvl w:val="2"/>
          <w:numId w:val="22"/>
        </w:numPr>
        <w:tabs>
          <w:tab w:val="left" w:pos="1697"/>
          <w:tab w:val="left" w:pos="1698"/>
        </w:tabs>
        <w:spacing w:line="360" w:lineRule="auto"/>
        <w:ind w:left="861" w:leftChars="200" w:right="567" w:hanging="421"/>
        <w:rPr>
          <w:color w:val="auto"/>
          <w:sz w:val="21"/>
          <w:szCs w:val="21"/>
          <w:highlight w:val="none"/>
        </w:rPr>
      </w:pPr>
      <w:r>
        <w:rPr>
          <w:color w:val="auto"/>
          <w:sz w:val="21"/>
          <w:szCs w:val="21"/>
          <w:highlight w:val="none"/>
        </w:rPr>
        <w:t>供应商的报价均超过了采购预算，采购人不能支付的；</w:t>
      </w:r>
    </w:p>
    <w:p>
      <w:pPr>
        <w:pStyle w:val="24"/>
        <w:numPr>
          <w:ilvl w:val="2"/>
          <w:numId w:val="22"/>
        </w:numPr>
        <w:tabs>
          <w:tab w:val="left" w:pos="1697"/>
          <w:tab w:val="left" w:pos="1698"/>
        </w:tabs>
        <w:spacing w:line="360" w:lineRule="auto"/>
        <w:ind w:left="861" w:leftChars="200" w:right="567" w:hanging="421"/>
        <w:rPr>
          <w:color w:val="auto"/>
          <w:sz w:val="21"/>
          <w:szCs w:val="21"/>
          <w:highlight w:val="none"/>
        </w:rPr>
      </w:pPr>
      <w:r>
        <w:rPr>
          <w:color w:val="auto"/>
          <w:sz w:val="21"/>
          <w:szCs w:val="21"/>
          <w:highlight w:val="none"/>
        </w:rPr>
        <w:t>因重大变故，采购任务取消的。</w:t>
      </w:r>
    </w:p>
    <w:p>
      <w:pPr>
        <w:pStyle w:val="24"/>
        <w:numPr>
          <w:ilvl w:val="1"/>
          <w:numId w:val="22"/>
        </w:numPr>
        <w:tabs>
          <w:tab w:val="left" w:pos="1175"/>
        </w:tabs>
        <w:spacing w:line="360" w:lineRule="auto"/>
        <w:ind w:leftChars="200" w:right="567" w:firstLine="420"/>
        <w:rPr>
          <w:color w:val="auto"/>
          <w:spacing w:val="-5"/>
          <w:sz w:val="21"/>
          <w:szCs w:val="21"/>
          <w:highlight w:val="none"/>
        </w:rPr>
      </w:pPr>
      <w:r>
        <w:rPr>
          <w:color w:val="auto"/>
          <w:spacing w:val="-5"/>
          <w:sz w:val="21"/>
          <w:szCs w:val="21"/>
          <w:highlight w:val="none"/>
        </w:rPr>
        <w:t>审查内容详见附表：《资格性审查表》</w:t>
      </w:r>
      <w:r>
        <w:rPr>
          <w:rFonts w:hint="eastAsia"/>
          <w:color w:val="auto"/>
          <w:spacing w:val="-5"/>
          <w:sz w:val="21"/>
          <w:szCs w:val="21"/>
          <w:highlight w:val="none"/>
        </w:rPr>
        <w:t>和《符合性审查表》</w:t>
      </w:r>
    </w:p>
    <w:p>
      <w:pPr>
        <w:pStyle w:val="24"/>
        <w:numPr>
          <w:ilvl w:val="1"/>
          <w:numId w:val="22"/>
        </w:numPr>
        <w:tabs>
          <w:tab w:val="left" w:pos="1175"/>
        </w:tabs>
        <w:spacing w:line="360" w:lineRule="auto"/>
        <w:ind w:leftChars="200" w:right="567" w:firstLine="420"/>
        <w:rPr>
          <w:color w:val="auto"/>
          <w:spacing w:val="-5"/>
          <w:sz w:val="21"/>
          <w:szCs w:val="21"/>
          <w:highlight w:val="none"/>
        </w:rPr>
      </w:pPr>
      <w:r>
        <w:rPr>
          <w:color w:val="auto"/>
          <w:spacing w:val="-5"/>
          <w:sz w:val="21"/>
          <w:szCs w:val="21"/>
          <w:highlight w:val="none"/>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将只对确定为实质上响应磋商文件要求的响应文件，即通过资格性、符合性审(检)查表的响应文件进行评价和比较。</w:t>
      </w:r>
    </w:p>
    <w:p>
      <w:pPr>
        <w:pStyle w:val="24"/>
        <w:numPr>
          <w:ilvl w:val="1"/>
          <w:numId w:val="22"/>
        </w:numPr>
        <w:tabs>
          <w:tab w:val="left" w:pos="1175"/>
        </w:tabs>
        <w:spacing w:line="360" w:lineRule="auto"/>
        <w:ind w:leftChars="200" w:right="567" w:firstLine="420"/>
        <w:rPr>
          <w:color w:val="auto"/>
          <w:sz w:val="21"/>
          <w:szCs w:val="21"/>
          <w:highlight w:val="none"/>
        </w:rPr>
      </w:pPr>
      <w:r>
        <w:rPr>
          <w:color w:val="auto"/>
          <w:spacing w:val="-5"/>
          <w:sz w:val="21"/>
          <w:szCs w:val="21"/>
          <w:highlight w:val="none"/>
        </w:rPr>
        <w:t>对磋商文件中描述有歧义或前后不一致的地方，磋商小组有权进行评判，但对</w:t>
      </w:r>
      <w:r>
        <w:rPr>
          <w:color w:val="auto"/>
          <w:sz w:val="21"/>
          <w:szCs w:val="21"/>
          <w:highlight w:val="none"/>
        </w:rPr>
        <w:t>同一条款的评判应适用于每个响应供应商。</w:t>
      </w:r>
    </w:p>
    <w:p>
      <w:pPr>
        <w:pStyle w:val="24"/>
        <w:numPr>
          <w:ilvl w:val="1"/>
          <w:numId w:val="22"/>
        </w:numPr>
        <w:tabs>
          <w:tab w:val="left" w:pos="1175"/>
        </w:tabs>
        <w:spacing w:line="360" w:lineRule="auto"/>
        <w:ind w:leftChars="200" w:right="567" w:firstLine="420"/>
        <w:rPr>
          <w:color w:val="auto"/>
          <w:spacing w:val="-5"/>
          <w:sz w:val="21"/>
          <w:szCs w:val="21"/>
          <w:highlight w:val="none"/>
        </w:rPr>
      </w:pPr>
      <w:r>
        <w:rPr>
          <w:color w:val="auto"/>
          <w:spacing w:val="-5"/>
          <w:sz w:val="21"/>
          <w:szCs w:val="21"/>
          <w:highlight w:val="none"/>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4"/>
        <w:numPr>
          <w:ilvl w:val="1"/>
          <w:numId w:val="22"/>
        </w:numPr>
        <w:tabs>
          <w:tab w:val="left" w:pos="1175"/>
        </w:tabs>
        <w:spacing w:line="360" w:lineRule="auto"/>
        <w:ind w:leftChars="200" w:right="567" w:firstLine="420"/>
        <w:rPr>
          <w:color w:val="auto"/>
          <w:sz w:val="21"/>
          <w:szCs w:val="21"/>
          <w:highlight w:val="none"/>
        </w:rPr>
      </w:pPr>
      <w:r>
        <w:rPr>
          <w:color w:val="auto"/>
          <w:spacing w:val="-5"/>
          <w:sz w:val="21"/>
          <w:szCs w:val="21"/>
          <w:highlight w:val="none"/>
        </w:rPr>
        <w:t>磋商小组所有成员应当集中与单一供应商分别进行磋商，并给予所有参加磋商</w:t>
      </w:r>
      <w:r>
        <w:rPr>
          <w:color w:val="auto"/>
          <w:sz w:val="21"/>
          <w:szCs w:val="21"/>
          <w:highlight w:val="none"/>
        </w:rPr>
        <w:t>的供应商平等的磋商机会，磋商内容形成磋商纪要文件。</w:t>
      </w:r>
    </w:p>
    <w:p>
      <w:pPr>
        <w:pStyle w:val="24"/>
        <w:numPr>
          <w:ilvl w:val="1"/>
          <w:numId w:val="22"/>
        </w:numPr>
        <w:tabs>
          <w:tab w:val="left" w:pos="1177"/>
        </w:tabs>
        <w:spacing w:line="360" w:lineRule="auto"/>
        <w:ind w:leftChars="200" w:right="567" w:firstLine="420"/>
        <w:rPr>
          <w:color w:val="auto"/>
          <w:sz w:val="21"/>
          <w:szCs w:val="21"/>
          <w:highlight w:val="none"/>
        </w:rPr>
      </w:pPr>
      <w:r>
        <w:rPr>
          <w:color w:val="auto"/>
          <w:sz w:val="21"/>
          <w:szCs w:val="21"/>
          <w:highlight w:val="none"/>
        </w:rPr>
        <w:t>在磋商过程中，磋商小组可以根据磋商文件和磋商情况实质性变动采购需求中的技术、服务要求以及合同草案条款，但不得变动磋商文件中的其他内容。实质性变动的内容，须经磋商小组的一致同意，任何形式的决定须以符合公平、公正原则和有利</w:t>
      </w:r>
      <w:r>
        <w:rPr>
          <w:color w:val="auto"/>
          <w:spacing w:val="-5"/>
          <w:sz w:val="21"/>
          <w:szCs w:val="21"/>
          <w:highlight w:val="none"/>
        </w:rPr>
        <w:t>项目的顺利实施为前提。</w:t>
      </w:r>
    </w:p>
    <w:p>
      <w:pPr>
        <w:pStyle w:val="24"/>
        <w:numPr>
          <w:ilvl w:val="1"/>
          <w:numId w:val="22"/>
        </w:numPr>
        <w:tabs>
          <w:tab w:val="left" w:pos="1175"/>
        </w:tabs>
        <w:spacing w:line="360" w:lineRule="auto"/>
        <w:ind w:leftChars="200" w:right="567" w:firstLine="420"/>
        <w:rPr>
          <w:color w:val="auto"/>
          <w:sz w:val="21"/>
          <w:szCs w:val="21"/>
          <w:highlight w:val="none"/>
        </w:rPr>
      </w:pPr>
      <w:r>
        <w:rPr>
          <w:color w:val="auto"/>
          <w:sz w:val="21"/>
          <w:szCs w:val="21"/>
          <w:highlight w:val="none"/>
        </w:rPr>
        <w:t>对磋商文件作出的实质性变动是磋商文件的有效组成部分，磋商小组应当及时以书面形式同时通知所有参加磋商的供应商。</w:t>
      </w:r>
    </w:p>
    <w:p>
      <w:pPr>
        <w:pStyle w:val="24"/>
        <w:numPr>
          <w:ilvl w:val="1"/>
          <w:numId w:val="22"/>
        </w:numPr>
        <w:tabs>
          <w:tab w:val="left" w:pos="1175"/>
        </w:tabs>
        <w:spacing w:line="360" w:lineRule="auto"/>
        <w:ind w:leftChars="200" w:right="567" w:firstLine="420"/>
        <w:rPr>
          <w:color w:val="auto"/>
          <w:sz w:val="21"/>
          <w:szCs w:val="21"/>
          <w:highlight w:val="none"/>
        </w:rPr>
      </w:pPr>
      <w:r>
        <w:rPr>
          <w:color w:val="auto"/>
          <w:sz w:val="21"/>
          <w:szCs w:val="21"/>
          <w:highlight w:val="none"/>
        </w:rPr>
        <w:t>供应商应当按照磋商文件的变动情况和磋商小组的要求重新提交响应文件，并由其法定代表人或授权代表签字或者加盖公章。由授权代表签字的，应当附法定代表人</w:t>
      </w:r>
      <w:r>
        <w:rPr>
          <w:color w:val="auto"/>
          <w:spacing w:val="-2"/>
          <w:sz w:val="21"/>
          <w:szCs w:val="21"/>
          <w:highlight w:val="none"/>
        </w:rPr>
        <w:t>授权书。供应商为自然人的，应当由本人签字并附身份证明。</w:t>
      </w:r>
    </w:p>
    <w:p>
      <w:pPr>
        <w:pStyle w:val="24"/>
        <w:numPr>
          <w:ilvl w:val="1"/>
          <w:numId w:val="22"/>
        </w:numPr>
        <w:tabs>
          <w:tab w:val="left" w:pos="1228"/>
        </w:tabs>
        <w:spacing w:line="360" w:lineRule="auto"/>
        <w:ind w:leftChars="200" w:right="567" w:firstLine="420"/>
        <w:rPr>
          <w:color w:val="auto"/>
          <w:sz w:val="21"/>
          <w:szCs w:val="21"/>
          <w:highlight w:val="none"/>
        </w:rPr>
      </w:pPr>
      <w:r>
        <w:rPr>
          <w:color w:val="auto"/>
          <w:sz w:val="21"/>
          <w:szCs w:val="21"/>
          <w:highlight w:val="none"/>
        </w:rPr>
        <w:t>在磋商过程中，响应供应商提交的澄清、说明或者更正文件和最终报价文件，由响应供应商法人代表或授权代表签署后生效，响应供应商应受其约束。</w:t>
      </w:r>
    </w:p>
    <w:p>
      <w:pPr>
        <w:pStyle w:val="24"/>
        <w:numPr>
          <w:ilvl w:val="1"/>
          <w:numId w:val="22"/>
        </w:numPr>
        <w:tabs>
          <w:tab w:val="left" w:pos="1228"/>
        </w:tabs>
        <w:spacing w:line="360" w:lineRule="auto"/>
        <w:ind w:leftChars="200" w:right="567" w:firstLine="420"/>
        <w:rPr>
          <w:color w:val="auto"/>
          <w:sz w:val="21"/>
          <w:szCs w:val="21"/>
          <w:highlight w:val="none"/>
        </w:rPr>
      </w:pPr>
      <w:r>
        <w:rPr>
          <w:color w:val="auto"/>
          <w:sz w:val="21"/>
          <w:szCs w:val="21"/>
          <w:highlight w:val="none"/>
        </w:rPr>
        <w:t>已提交响应文件的供应商，在提交最后报价之前，可以根据磋商情况退出磋商。采购代理机构应当退还退出磋商的供应商的磋商保证金。</w:t>
      </w:r>
    </w:p>
    <w:p>
      <w:pPr>
        <w:pStyle w:val="24"/>
        <w:numPr>
          <w:ilvl w:val="1"/>
          <w:numId w:val="22"/>
        </w:numPr>
        <w:tabs>
          <w:tab w:val="left" w:pos="1283"/>
        </w:tabs>
        <w:spacing w:line="360" w:lineRule="auto"/>
        <w:ind w:leftChars="200" w:right="567" w:firstLine="420"/>
        <w:jc w:val="both"/>
        <w:rPr>
          <w:color w:val="auto"/>
          <w:sz w:val="21"/>
          <w:szCs w:val="21"/>
          <w:highlight w:val="none"/>
        </w:rPr>
      </w:pPr>
      <w:r>
        <w:rPr>
          <w:color w:val="auto"/>
          <w:spacing w:val="-7"/>
          <w:sz w:val="21"/>
          <w:szCs w:val="21"/>
          <w:highlight w:val="none"/>
        </w:rPr>
        <w:t>磋商结束后，磋商小组应当要求所有实质性响应的供应商在规定时间内提交最后报价及作出有关承诺。如磋商小组没有对磋商文件作实质性变动增加新的需求，第二次报价不得高于第一次报价。除非供应商另有说明，最终报价总价与第一次报价总价下浮的比例，其报价明细项按相同比例下浮。</w:t>
      </w:r>
    </w:p>
    <w:p>
      <w:pPr>
        <w:pStyle w:val="24"/>
        <w:numPr>
          <w:ilvl w:val="1"/>
          <w:numId w:val="22"/>
        </w:numPr>
        <w:tabs>
          <w:tab w:val="left" w:pos="1283"/>
        </w:tabs>
        <w:spacing w:line="360" w:lineRule="auto"/>
        <w:ind w:leftChars="200" w:right="567" w:firstLine="420"/>
        <w:rPr>
          <w:color w:val="auto"/>
          <w:sz w:val="21"/>
          <w:szCs w:val="21"/>
          <w:highlight w:val="none"/>
        </w:rPr>
      </w:pPr>
      <w:r>
        <w:rPr>
          <w:color w:val="auto"/>
          <w:spacing w:val="-1"/>
          <w:sz w:val="21"/>
          <w:szCs w:val="21"/>
          <w:highlight w:val="none"/>
        </w:rPr>
        <w:t>经磋商确定最终采购需求和提交最后报价的供应商后，由磋商小组采用综合评分法对提交最后报价的供应商的响应文件和最后报价进行综合评分。</w:t>
      </w:r>
    </w:p>
    <w:p>
      <w:pPr>
        <w:pStyle w:val="24"/>
        <w:numPr>
          <w:ilvl w:val="1"/>
          <w:numId w:val="22"/>
        </w:numPr>
        <w:tabs>
          <w:tab w:val="left" w:pos="1283"/>
        </w:tabs>
        <w:spacing w:line="360" w:lineRule="auto"/>
        <w:ind w:leftChars="200" w:right="567" w:firstLine="420"/>
        <w:jc w:val="both"/>
        <w:rPr>
          <w:color w:val="auto"/>
          <w:spacing w:val="-5"/>
          <w:sz w:val="21"/>
          <w:szCs w:val="21"/>
          <w:highlight w:val="none"/>
        </w:rPr>
      </w:pPr>
      <w:r>
        <w:rPr>
          <w:color w:val="auto"/>
          <w:spacing w:val="-5"/>
          <w:sz w:val="21"/>
          <w:szCs w:val="21"/>
          <w:highlight w:val="none"/>
        </w:rPr>
        <w:t>综合评分法，是指响应文件满足磋商文件全部实质性要求且按评审因素的量化指标评审得分最高的供应商为成交候选供应商的评审方法。磋商小组没有义务必须接受最低报价的供应商的报价。</w:t>
      </w:r>
    </w:p>
    <w:p>
      <w:pPr>
        <w:pStyle w:val="24"/>
        <w:numPr>
          <w:ilvl w:val="1"/>
          <w:numId w:val="22"/>
        </w:numPr>
        <w:tabs>
          <w:tab w:val="left" w:pos="1283"/>
        </w:tabs>
        <w:spacing w:line="360" w:lineRule="auto"/>
        <w:ind w:leftChars="200" w:right="567" w:firstLine="420"/>
        <w:jc w:val="both"/>
        <w:rPr>
          <w:color w:val="auto"/>
          <w:spacing w:val="-5"/>
          <w:sz w:val="21"/>
          <w:szCs w:val="21"/>
          <w:highlight w:val="none"/>
        </w:rPr>
      </w:pPr>
      <w:r>
        <w:rPr>
          <w:rFonts w:hint="eastAsia"/>
          <w:color w:val="auto"/>
          <w:spacing w:val="-5"/>
          <w:sz w:val="21"/>
          <w:szCs w:val="21"/>
          <w:highlight w:val="none"/>
        </w:rPr>
        <w:t>★供应商的报价明显低于其他投标人或低于最高限价80%的，有可能影响产品质量或者不能诚信履约的，供应商需提供成本分析表、计算依据、同类项目（指单个合同中标金额不少于本项目最高限价、项目内容等同于或多于本项目用户需求书所列全部内容、均由供应商独立完成的项目）销售发票、合同详细报价、合同支付款明细、每个子项验收合格证明材料原件、参与本项目的所有人员的社保证明文件（需提供网页查询链接）、公司纳税情况、2019年度财务报告和纳税申报表，必须是盈利。供应商不能合理说明其投标报价的合理性并提供以上证明材料（原件现场备查），磋商小组可认定该供应商是以低于成本报价竞标的，其投标应作无效投标处理。</w:t>
      </w:r>
    </w:p>
    <w:p>
      <w:pPr>
        <w:pStyle w:val="7"/>
        <w:spacing w:before="119" w:line="360" w:lineRule="auto"/>
        <w:ind w:left="440" w:leftChars="200" w:right="567" w:firstLine="0"/>
        <w:rPr>
          <w:color w:val="auto"/>
          <w:highlight w:val="none"/>
        </w:rPr>
      </w:pPr>
      <w:bookmarkStart w:id="198" w:name="3、评分及其统计"/>
      <w:bookmarkEnd w:id="198"/>
      <w:r>
        <w:rPr>
          <w:color w:val="auto"/>
          <w:highlight w:val="none"/>
        </w:rPr>
        <w:t>3、评分及其统计</w:t>
      </w:r>
    </w:p>
    <w:p>
      <w:pPr>
        <w:pStyle w:val="24"/>
        <w:numPr>
          <w:ilvl w:val="0"/>
          <w:numId w:val="23"/>
        </w:numPr>
        <w:tabs>
          <w:tab w:val="left" w:pos="965"/>
        </w:tabs>
        <w:spacing w:line="360" w:lineRule="auto"/>
        <w:ind w:left="440" w:leftChars="200" w:right="567"/>
        <w:rPr>
          <w:color w:val="auto"/>
          <w:sz w:val="21"/>
          <w:szCs w:val="21"/>
          <w:highlight w:val="none"/>
        </w:rPr>
      </w:pPr>
      <w:r>
        <w:rPr>
          <w:color w:val="auto"/>
          <w:sz w:val="21"/>
          <w:szCs w:val="21"/>
          <w:highlight w:val="none"/>
        </w:rPr>
        <w:t>计算综合得分</w:t>
      </w:r>
    </w:p>
    <w:p>
      <w:pPr>
        <w:pStyle w:val="10"/>
        <w:spacing w:line="360" w:lineRule="auto"/>
        <w:ind w:left="440" w:leftChars="200" w:right="567" w:firstLine="420"/>
        <w:rPr>
          <w:color w:val="auto"/>
          <w:spacing w:val="-5"/>
          <w:highlight w:val="none"/>
        </w:rPr>
      </w:pPr>
      <w:r>
        <w:rPr>
          <w:color w:val="auto"/>
          <w:spacing w:val="-5"/>
          <w:highlight w:val="none"/>
        </w:rPr>
        <w:t>评审时，磋商小组各成员应当独立对每个有效响应的文件进行评分，然后汇总每个供应商每项评分因素的得分。磋商小组全部成员的技术或商务评分的算术平均值即为该响应供应商的技术或商务评分。然后，评出该响应供应商的价格评分。将各响应供应商的技术评分、商务评分和价格评分相加得出其综合得分。将各综合得分由高到低顺序排列，综合得分相同的，按下列顺序比较确定：（1）</w:t>
      </w:r>
      <w:r>
        <w:rPr>
          <w:rFonts w:hint="eastAsia"/>
          <w:color w:val="auto"/>
          <w:spacing w:val="-5"/>
          <w:highlight w:val="none"/>
        </w:rPr>
        <w:t>技术评分</w:t>
      </w:r>
      <w:r>
        <w:rPr>
          <w:color w:val="auto"/>
          <w:spacing w:val="-5"/>
          <w:highlight w:val="none"/>
        </w:rPr>
        <w:t>（由高到低）；（2）评标价（由低到高）。如以上都相同的，名次由磋商小组抽签确定。磋商小组按上述排列向采购人推荐综合总得分第一名为成交候选供应商，其余依次为成交备选供应商。</w:t>
      </w:r>
    </w:p>
    <w:p>
      <w:pPr>
        <w:pStyle w:val="24"/>
        <w:numPr>
          <w:ilvl w:val="0"/>
          <w:numId w:val="23"/>
        </w:numPr>
        <w:tabs>
          <w:tab w:val="left" w:pos="965"/>
        </w:tabs>
        <w:spacing w:before="1" w:line="360" w:lineRule="auto"/>
        <w:ind w:left="440" w:leftChars="200" w:right="567"/>
        <w:rPr>
          <w:color w:val="auto"/>
          <w:sz w:val="21"/>
          <w:szCs w:val="21"/>
          <w:highlight w:val="none"/>
        </w:rPr>
      </w:pPr>
      <w:r>
        <w:rPr>
          <w:color w:val="auto"/>
          <w:sz w:val="21"/>
          <w:szCs w:val="21"/>
          <w:highlight w:val="none"/>
        </w:rPr>
        <w:t>分值（权重）分配</w:t>
      </w:r>
    </w:p>
    <w:p>
      <w:pPr>
        <w:pStyle w:val="10"/>
        <w:spacing w:line="360" w:lineRule="auto"/>
        <w:ind w:left="440" w:leftChars="200" w:right="567"/>
        <w:rPr>
          <w:color w:val="auto"/>
          <w:highlight w:val="none"/>
        </w:rPr>
      </w:pPr>
      <w:r>
        <w:rPr>
          <w:color w:val="auto"/>
          <w:highlight w:val="none"/>
        </w:rPr>
        <w:t>评分总分最高为100分，商务、技术及价格评分分值（权重）分配设置如下：</w:t>
      </w:r>
    </w:p>
    <w:tbl>
      <w:tblPr>
        <w:tblStyle w:val="18"/>
        <w:tblW w:w="8120"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30"/>
        <w:gridCol w:w="2030"/>
        <w:gridCol w:w="2030"/>
        <w:gridCol w:w="2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7" w:hRule="atLeast"/>
        </w:trPr>
        <w:tc>
          <w:tcPr>
            <w:tcW w:w="2030" w:type="dxa"/>
            <w:vAlign w:val="center"/>
          </w:tcPr>
          <w:p>
            <w:pPr>
              <w:pStyle w:val="25"/>
              <w:spacing w:before="98" w:line="360" w:lineRule="auto"/>
              <w:ind w:left="440" w:leftChars="200" w:right="567"/>
              <w:jc w:val="center"/>
              <w:rPr>
                <w:rFonts w:ascii="宋体" w:eastAsia="宋体"/>
                <w:color w:val="auto"/>
                <w:sz w:val="21"/>
                <w:szCs w:val="21"/>
                <w:highlight w:val="none"/>
              </w:rPr>
            </w:pPr>
            <w:r>
              <w:rPr>
                <w:rFonts w:hint="eastAsia" w:ascii="宋体" w:eastAsia="宋体"/>
                <w:color w:val="auto"/>
                <w:sz w:val="21"/>
                <w:szCs w:val="21"/>
                <w:highlight w:val="none"/>
              </w:rPr>
              <w:t>分值比例</w:t>
            </w:r>
          </w:p>
        </w:tc>
        <w:tc>
          <w:tcPr>
            <w:tcW w:w="2030" w:type="dxa"/>
            <w:vAlign w:val="center"/>
          </w:tcPr>
          <w:p>
            <w:pPr>
              <w:pStyle w:val="25"/>
              <w:spacing w:before="98" w:line="360" w:lineRule="auto"/>
              <w:ind w:left="440" w:leftChars="200" w:right="567"/>
              <w:jc w:val="center"/>
              <w:rPr>
                <w:rFonts w:ascii="宋体" w:eastAsia="宋体"/>
                <w:color w:val="auto"/>
                <w:sz w:val="21"/>
                <w:szCs w:val="21"/>
                <w:highlight w:val="none"/>
              </w:rPr>
            </w:pPr>
            <w:r>
              <w:rPr>
                <w:rFonts w:hint="eastAsia" w:ascii="宋体" w:eastAsia="宋体"/>
                <w:color w:val="auto"/>
                <w:sz w:val="21"/>
                <w:szCs w:val="21"/>
                <w:highlight w:val="none"/>
              </w:rPr>
              <w:t>商务评分</w:t>
            </w:r>
          </w:p>
        </w:tc>
        <w:tc>
          <w:tcPr>
            <w:tcW w:w="2030" w:type="dxa"/>
            <w:vAlign w:val="center"/>
          </w:tcPr>
          <w:p>
            <w:pPr>
              <w:pStyle w:val="25"/>
              <w:spacing w:before="98" w:line="360" w:lineRule="auto"/>
              <w:ind w:left="440" w:leftChars="200" w:right="567"/>
              <w:jc w:val="center"/>
              <w:rPr>
                <w:rFonts w:ascii="宋体" w:eastAsia="宋体"/>
                <w:color w:val="auto"/>
                <w:sz w:val="21"/>
                <w:szCs w:val="21"/>
                <w:highlight w:val="none"/>
              </w:rPr>
            </w:pPr>
            <w:r>
              <w:rPr>
                <w:rFonts w:hint="eastAsia" w:ascii="宋体" w:eastAsia="宋体"/>
                <w:color w:val="auto"/>
                <w:sz w:val="21"/>
                <w:szCs w:val="21"/>
                <w:highlight w:val="none"/>
              </w:rPr>
              <w:t>技术评分</w:t>
            </w:r>
          </w:p>
        </w:tc>
        <w:tc>
          <w:tcPr>
            <w:tcW w:w="2030" w:type="dxa"/>
            <w:vAlign w:val="center"/>
          </w:tcPr>
          <w:p>
            <w:pPr>
              <w:pStyle w:val="25"/>
              <w:spacing w:before="98" w:line="360" w:lineRule="auto"/>
              <w:ind w:left="440" w:leftChars="200" w:right="567"/>
              <w:jc w:val="center"/>
              <w:rPr>
                <w:rFonts w:ascii="宋体" w:eastAsia="宋体"/>
                <w:color w:val="auto"/>
                <w:sz w:val="21"/>
                <w:szCs w:val="21"/>
                <w:highlight w:val="none"/>
              </w:rPr>
            </w:pPr>
            <w:r>
              <w:rPr>
                <w:rFonts w:hint="eastAsia" w:ascii="宋体" w:eastAsia="宋体"/>
                <w:color w:val="auto"/>
                <w:sz w:val="21"/>
                <w:szCs w:val="21"/>
                <w:highlight w:val="none"/>
              </w:rPr>
              <w:t>价格评分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trPr>
        <w:tc>
          <w:tcPr>
            <w:tcW w:w="2030" w:type="dxa"/>
          </w:tcPr>
          <w:p>
            <w:pPr>
              <w:pStyle w:val="25"/>
              <w:spacing w:before="100" w:line="360" w:lineRule="auto"/>
              <w:ind w:left="440" w:leftChars="200" w:right="567"/>
              <w:jc w:val="center"/>
              <w:rPr>
                <w:rFonts w:ascii="宋体"/>
                <w:color w:val="auto"/>
                <w:sz w:val="21"/>
                <w:szCs w:val="21"/>
                <w:highlight w:val="none"/>
              </w:rPr>
            </w:pPr>
            <w:r>
              <w:rPr>
                <w:rFonts w:ascii="宋体"/>
                <w:color w:val="auto"/>
                <w:sz w:val="21"/>
                <w:szCs w:val="21"/>
                <w:highlight w:val="none"/>
              </w:rPr>
              <w:t>100</w:t>
            </w:r>
          </w:p>
        </w:tc>
        <w:tc>
          <w:tcPr>
            <w:tcW w:w="2030" w:type="dxa"/>
          </w:tcPr>
          <w:p>
            <w:pPr>
              <w:pStyle w:val="25"/>
              <w:spacing w:before="100" w:line="360" w:lineRule="auto"/>
              <w:ind w:left="440" w:leftChars="200" w:right="567"/>
              <w:jc w:val="center"/>
              <w:rPr>
                <w:rFonts w:ascii="宋体"/>
                <w:color w:val="auto"/>
                <w:sz w:val="21"/>
                <w:szCs w:val="21"/>
                <w:highlight w:val="none"/>
                <w:lang w:val="en-US"/>
              </w:rPr>
            </w:pPr>
            <w:r>
              <w:rPr>
                <w:rFonts w:hint="eastAsia" w:ascii="宋体"/>
                <w:color w:val="auto"/>
                <w:sz w:val="21"/>
                <w:szCs w:val="21"/>
                <w:highlight w:val="none"/>
                <w:lang w:val="en-US"/>
              </w:rPr>
              <w:t>40</w:t>
            </w:r>
          </w:p>
        </w:tc>
        <w:tc>
          <w:tcPr>
            <w:tcW w:w="2030" w:type="dxa"/>
          </w:tcPr>
          <w:p>
            <w:pPr>
              <w:pStyle w:val="25"/>
              <w:spacing w:before="100" w:line="360" w:lineRule="auto"/>
              <w:ind w:left="440" w:leftChars="200" w:right="567"/>
              <w:jc w:val="center"/>
              <w:rPr>
                <w:rFonts w:ascii="宋体"/>
                <w:color w:val="auto"/>
                <w:sz w:val="21"/>
                <w:szCs w:val="21"/>
                <w:highlight w:val="none"/>
                <w:lang w:val="en-US"/>
              </w:rPr>
            </w:pPr>
            <w:r>
              <w:rPr>
                <w:rFonts w:hint="eastAsia" w:ascii="宋体"/>
                <w:color w:val="auto"/>
                <w:sz w:val="21"/>
                <w:szCs w:val="21"/>
                <w:highlight w:val="none"/>
                <w:lang w:val="en-US"/>
              </w:rPr>
              <w:t>40</w:t>
            </w:r>
          </w:p>
        </w:tc>
        <w:tc>
          <w:tcPr>
            <w:tcW w:w="2030" w:type="dxa"/>
          </w:tcPr>
          <w:p>
            <w:pPr>
              <w:pStyle w:val="25"/>
              <w:spacing w:before="100" w:line="360" w:lineRule="auto"/>
              <w:ind w:left="440" w:leftChars="200" w:right="567"/>
              <w:jc w:val="center"/>
              <w:rPr>
                <w:rFonts w:ascii="宋体"/>
                <w:color w:val="auto"/>
                <w:sz w:val="21"/>
                <w:szCs w:val="21"/>
                <w:highlight w:val="none"/>
                <w:lang w:val="en-US"/>
              </w:rPr>
            </w:pPr>
            <w:r>
              <w:rPr>
                <w:rFonts w:hint="eastAsia" w:ascii="宋体"/>
                <w:color w:val="auto"/>
                <w:sz w:val="21"/>
                <w:szCs w:val="21"/>
                <w:highlight w:val="none"/>
                <w:lang w:val="en-US"/>
              </w:rPr>
              <w:t>20</w:t>
            </w:r>
          </w:p>
        </w:tc>
      </w:tr>
    </w:tbl>
    <w:p>
      <w:pPr>
        <w:pStyle w:val="7"/>
        <w:tabs>
          <w:tab w:val="left" w:pos="859"/>
        </w:tabs>
        <w:spacing w:before="158" w:line="360" w:lineRule="auto"/>
        <w:ind w:left="440" w:leftChars="200" w:right="567" w:firstLine="0"/>
        <w:rPr>
          <w:color w:val="auto"/>
          <w:highlight w:val="none"/>
        </w:rPr>
      </w:pPr>
      <w:bookmarkStart w:id="199" w:name="五__确定成交供应商"/>
      <w:bookmarkEnd w:id="199"/>
      <w:r>
        <w:rPr>
          <w:color w:val="auto"/>
          <w:highlight w:val="none"/>
        </w:rPr>
        <w:t>五</w:t>
      </w:r>
      <w:r>
        <w:rPr>
          <w:color w:val="auto"/>
          <w:highlight w:val="none"/>
        </w:rPr>
        <w:tab/>
      </w:r>
      <w:r>
        <w:rPr>
          <w:color w:val="auto"/>
          <w:highlight w:val="none"/>
        </w:rPr>
        <w:t>确定成交供应商</w:t>
      </w:r>
    </w:p>
    <w:p>
      <w:pPr>
        <w:pStyle w:val="10"/>
        <w:spacing w:line="360" w:lineRule="auto"/>
        <w:ind w:left="440" w:leftChars="200" w:right="567" w:firstLine="420"/>
        <w:jc w:val="both"/>
        <w:rPr>
          <w:color w:val="auto"/>
          <w:spacing w:val="-7"/>
          <w:highlight w:val="none"/>
        </w:rPr>
      </w:pPr>
      <w:r>
        <w:rPr>
          <w:color w:val="auto"/>
          <w:spacing w:val="-7"/>
          <w:highlight w:val="none"/>
        </w:rPr>
        <w:t>1、磋商小组应当根据综合评分情况，按照评审综合得分由高到低顺序推荐成交候选供应商，并编写评审报告。</w:t>
      </w:r>
    </w:p>
    <w:p>
      <w:pPr>
        <w:pStyle w:val="10"/>
        <w:spacing w:line="360" w:lineRule="auto"/>
        <w:ind w:left="440" w:leftChars="200" w:right="567" w:firstLine="420"/>
        <w:jc w:val="both"/>
        <w:rPr>
          <w:color w:val="auto"/>
          <w:spacing w:val="-7"/>
          <w:highlight w:val="none"/>
        </w:rPr>
      </w:pPr>
      <w:r>
        <w:rPr>
          <w:color w:val="auto"/>
          <w:spacing w:val="-7"/>
          <w:highlight w:val="none"/>
        </w:rPr>
        <w:t>2、采购代理机构应当在评审结束后2个工作日内将评审报告送采购人确认。</w:t>
      </w:r>
    </w:p>
    <w:p>
      <w:pPr>
        <w:pStyle w:val="10"/>
        <w:spacing w:line="360" w:lineRule="auto"/>
        <w:ind w:left="440" w:leftChars="200" w:right="567" w:firstLine="420"/>
        <w:jc w:val="both"/>
        <w:rPr>
          <w:color w:val="auto"/>
          <w:spacing w:val="-7"/>
          <w:highlight w:val="none"/>
        </w:rPr>
      </w:pPr>
      <w:r>
        <w:rPr>
          <w:color w:val="auto"/>
          <w:spacing w:val="-7"/>
          <w:highlight w:val="none"/>
        </w:rPr>
        <w:t>3、采购人应当在收到评审报告后5个工作日内，从评审报告提出的成交候选供应商中，按照排序由高到低的原则确定成交供应商，也可以书面授权磋商小组直接确定成交供应商。</w:t>
      </w:r>
    </w:p>
    <w:p>
      <w:pPr>
        <w:pStyle w:val="10"/>
        <w:spacing w:line="360" w:lineRule="auto"/>
        <w:ind w:left="440" w:leftChars="200" w:right="567"/>
        <w:rPr>
          <w:color w:val="auto"/>
          <w:highlight w:val="none"/>
        </w:rPr>
      </w:pPr>
      <w:r>
        <w:rPr>
          <w:rFonts w:hint="eastAsia"/>
          <w:color w:val="auto"/>
          <w:highlight w:val="none"/>
          <w:lang w:val="en-US"/>
        </w:rPr>
        <w:t>4</w:t>
      </w:r>
      <w:r>
        <w:rPr>
          <w:color w:val="auto"/>
          <w:highlight w:val="none"/>
        </w:rPr>
        <w:t>、替补候选人的设定与使用</w:t>
      </w:r>
    </w:p>
    <w:p>
      <w:pPr>
        <w:pStyle w:val="10"/>
        <w:spacing w:line="360" w:lineRule="auto"/>
        <w:ind w:left="440" w:leftChars="200" w:right="567" w:firstLine="420"/>
        <w:jc w:val="both"/>
        <w:rPr>
          <w:color w:val="auto"/>
          <w:highlight w:val="none"/>
        </w:rPr>
      </w:pPr>
      <w:r>
        <w:rPr>
          <w:color w:val="auto"/>
          <w:spacing w:val="-7"/>
          <w:highlight w:val="none"/>
        </w:rPr>
        <w:t>排名第一的成交候选供应商放弃成交、或因不可抗力提出不能履行合同、或者竞争性磋商文件规定应当递交履约担保而在规定的期限内未能递交、或成交候选供应商拒绝与采购人签订合同的，采购人可以按照评审报告推荐的成交候选供应商名单排序确定下一候选供应商作为成交供应商，也可以重新开展采购活动。拒绝签订政府采购合同的成交供应商不得参加对该项目重新开展的采购活动。</w:t>
      </w:r>
    </w:p>
    <w:p>
      <w:pPr>
        <w:pStyle w:val="10"/>
        <w:spacing w:line="360" w:lineRule="auto"/>
        <w:ind w:left="440" w:leftChars="200" w:right="567"/>
        <w:rPr>
          <w:color w:val="auto"/>
          <w:highlight w:val="none"/>
        </w:rPr>
      </w:pPr>
      <w:r>
        <w:rPr>
          <w:rFonts w:hint="eastAsia"/>
          <w:color w:val="auto"/>
          <w:highlight w:val="none"/>
          <w:lang w:val="en-US"/>
        </w:rPr>
        <w:t>5</w:t>
      </w:r>
      <w:r>
        <w:rPr>
          <w:color w:val="auto"/>
          <w:highlight w:val="none"/>
        </w:rPr>
        <w:t>、磋商失败的情形：</w:t>
      </w:r>
    </w:p>
    <w:p>
      <w:pPr>
        <w:pStyle w:val="10"/>
        <w:spacing w:line="360" w:lineRule="auto"/>
        <w:ind w:left="440" w:leftChars="200" w:right="567" w:firstLine="420"/>
        <w:rPr>
          <w:color w:val="auto"/>
          <w:highlight w:val="none"/>
        </w:rPr>
      </w:pPr>
      <w:r>
        <w:rPr>
          <w:color w:val="auto"/>
          <w:highlight w:val="none"/>
        </w:rPr>
        <w:t>出现下列情形之一的，采购人或者采购代理机构应当终止竞争性磋商采购活动，</w:t>
      </w:r>
      <w:r>
        <w:rPr>
          <w:color w:val="auto"/>
          <w:w w:val="95"/>
          <w:highlight w:val="none"/>
        </w:rPr>
        <w:t>发</w:t>
      </w:r>
      <w:r>
        <w:rPr>
          <w:color w:val="auto"/>
          <w:highlight w:val="none"/>
        </w:rPr>
        <w:t>布项目终止公告并说明原因，重新开展采购活动：</w:t>
      </w:r>
    </w:p>
    <w:p>
      <w:pPr>
        <w:pStyle w:val="24"/>
        <w:numPr>
          <w:ilvl w:val="0"/>
          <w:numId w:val="24"/>
        </w:numPr>
        <w:tabs>
          <w:tab w:val="left" w:pos="965"/>
        </w:tabs>
        <w:spacing w:line="360" w:lineRule="auto"/>
        <w:ind w:left="440" w:leftChars="200" w:right="567"/>
        <w:rPr>
          <w:color w:val="auto"/>
          <w:sz w:val="21"/>
          <w:szCs w:val="21"/>
          <w:highlight w:val="none"/>
        </w:rPr>
      </w:pPr>
      <w:r>
        <w:rPr>
          <w:color w:val="auto"/>
          <w:sz w:val="21"/>
          <w:szCs w:val="21"/>
          <w:highlight w:val="none"/>
        </w:rPr>
        <w:t>因情况变化，不再符合规定的竞争性磋商采购方式适用情形的；</w:t>
      </w:r>
    </w:p>
    <w:p>
      <w:pPr>
        <w:pStyle w:val="24"/>
        <w:numPr>
          <w:ilvl w:val="0"/>
          <w:numId w:val="24"/>
        </w:numPr>
        <w:tabs>
          <w:tab w:val="left" w:pos="965"/>
        </w:tabs>
        <w:spacing w:before="1" w:line="360" w:lineRule="auto"/>
        <w:ind w:left="440" w:leftChars="200" w:right="567"/>
        <w:rPr>
          <w:color w:val="auto"/>
          <w:sz w:val="21"/>
          <w:szCs w:val="21"/>
          <w:highlight w:val="none"/>
        </w:rPr>
      </w:pPr>
      <w:r>
        <w:rPr>
          <w:color w:val="auto"/>
          <w:sz w:val="21"/>
          <w:szCs w:val="21"/>
          <w:highlight w:val="none"/>
        </w:rPr>
        <w:t>出现影响采购公正的违法、违规行为的。</w:t>
      </w:r>
    </w:p>
    <w:p>
      <w:pPr>
        <w:pStyle w:val="7"/>
        <w:tabs>
          <w:tab w:val="left" w:pos="859"/>
        </w:tabs>
        <w:spacing w:before="1" w:line="360" w:lineRule="auto"/>
        <w:ind w:right="567"/>
        <w:rPr>
          <w:color w:val="auto"/>
          <w:highlight w:val="none"/>
        </w:rPr>
      </w:pPr>
      <w:r>
        <w:rPr>
          <w:color w:val="auto"/>
          <w:highlight w:val="none"/>
        </w:rPr>
        <w:t>六磋商评审附表</w:t>
      </w:r>
    </w:p>
    <w:p>
      <w:pPr>
        <w:pStyle w:val="10"/>
        <w:spacing w:before="70" w:line="360" w:lineRule="auto"/>
        <w:ind w:left="440" w:leftChars="200" w:right="567" w:firstLine="420" w:firstLineChars="200"/>
        <w:rPr>
          <w:color w:val="auto"/>
          <w:highlight w:val="none"/>
          <w:lang w:val="en-US"/>
        </w:rPr>
      </w:pPr>
      <w:r>
        <w:rPr>
          <w:rFonts w:hint="eastAsia"/>
          <w:color w:val="auto"/>
          <w:highlight w:val="none"/>
        </w:rPr>
        <w:t>附件</w:t>
      </w:r>
      <w:r>
        <w:rPr>
          <w:color w:val="auto"/>
          <w:highlight w:val="none"/>
        </w:rPr>
        <w:t>1：资格审查表</w:t>
      </w:r>
    </w:p>
    <w:p>
      <w:pPr>
        <w:pStyle w:val="24"/>
        <w:tabs>
          <w:tab w:val="left" w:pos="965"/>
        </w:tabs>
        <w:spacing w:before="1" w:line="360" w:lineRule="auto"/>
        <w:ind w:leftChars="200" w:right="567" w:firstLine="420" w:firstLineChars="200"/>
        <w:rPr>
          <w:color w:val="auto"/>
          <w:sz w:val="21"/>
          <w:szCs w:val="21"/>
          <w:highlight w:val="none"/>
        </w:rPr>
      </w:pPr>
      <w:r>
        <w:rPr>
          <w:rFonts w:hint="eastAsia"/>
          <w:color w:val="auto"/>
          <w:sz w:val="21"/>
          <w:szCs w:val="21"/>
          <w:highlight w:val="none"/>
        </w:rPr>
        <w:t>附件</w:t>
      </w:r>
      <w:r>
        <w:rPr>
          <w:rFonts w:hint="eastAsia"/>
          <w:color w:val="auto"/>
          <w:sz w:val="21"/>
          <w:szCs w:val="21"/>
          <w:highlight w:val="none"/>
          <w:lang w:val="en-US"/>
        </w:rPr>
        <w:t>2：</w:t>
      </w:r>
      <w:r>
        <w:rPr>
          <w:color w:val="auto"/>
          <w:sz w:val="21"/>
          <w:szCs w:val="21"/>
          <w:highlight w:val="none"/>
        </w:rPr>
        <w:t>符合</w:t>
      </w:r>
      <w:r>
        <w:rPr>
          <w:rFonts w:hint="eastAsia"/>
          <w:color w:val="auto"/>
          <w:sz w:val="21"/>
          <w:szCs w:val="21"/>
          <w:highlight w:val="none"/>
        </w:rPr>
        <w:t>性审查表</w:t>
      </w:r>
    </w:p>
    <w:p>
      <w:pPr>
        <w:pStyle w:val="24"/>
        <w:tabs>
          <w:tab w:val="left" w:pos="965"/>
        </w:tabs>
        <w:spacing w:before="1" w:line="360" w:lineRule="auto"/>
        <w:ind w:leftChars="200" w:right="567" w:firstLine="420" w:firstLineChars="200"/>
        <w:rPr>
          <w:color w:val="auto"/>
          <w:sz w:val="21"/>
          <w:szCs w:val="21"/>
          <w:highlight w:val="none"/>
          <w:lang w:val="en-US"/>
        </w:rPr>
      </w:pPr>
      <w:r>
        <w:rPr>
          <w:rFonts w:hint="eastAsia"/>
          <w:color w:val="auto"/>
          <w:sz w:val="21"/>
          <w:szCs w:val="21"/>
          <w:highlight w:val="none"/>
        </w:rPr>
        <w:t>附件</w:t>
      </w:r>
      <w:r>
        <w:rPr>
          <w:rFonts w:hint="eastAsia"/>
          <w:color w:val="auto"/>
          <w:sz w:val="21"/>
          <w:szCs w:val="21"/>
          <w:highlight w:val="none"/>
          <w:lang w:val="en-US"/>
        </w:rPr>
        <w:t>3：商务评分表</w:t>
      </w:r>
    </w:p>
    <w:p>
      <w:pPr>
        <w:pStyle w:val="24"/>
        <w:tabs>
          <w:tab w:val="left" w:pos="965"/>
        </w:tabs>
        <w:spacing w:before="1" w:line="360" w:lineRule="auto"/>
        <w:ind w:leftChars="200" w:right="567" w:firstLine="420" w:firstLineChars="200"/>
        <w:rPr>
          <w:color w:val="auto"/>
          <w:sz w:val="21"/>
          <w:szCs w:val="21"/>
          <w:highlight w:val="none"/>
          <w:lang w:val="en-US"/>
        </w:rPr>
      </w:pPr>
      <w:r>
        <w:rPr>
          <w:rFonts w:hint="eastAsia"/>
          <w:color w:val="auto"/>
          <w:sz w:val="21"/>
          <w:szCs w:val="21"/>
          <w:highlight w:val="none"/>
          <w:lang w:val="en-US"/>
        </w:rPr>
        <w:t>附件4：技术评分表</w:t>
      </w:r>
    </w:p>
    <w:p>
      <w:pPr>
        <w:pStyle w:val="24"/>
        <w:tabs>
          <w:tab w:val="left" w:pos="965"/>
        </w:tabs>
        <w:spacing w:before="1" w:line="360" w:lineRule="auto"/>
        <w:ind w:leftChars="200" w:right="567" w:firstLine="420" w:firstLineChars="200"/>
        <w:rPr>
          <w:color w:val="auto"/>
          <w:sz w:val="21"/>
          <w:szCs w:val="21"/>
          <w:highlight w:val="none"/>
        </w:rPr>
        <w:sectPr>
          <w:pgSz w:w="12240" w:h="15840"/>
          <w:pgMar w:top="1380" w:right="900" w:bottom="880" w:left="1360" w:header="746" w:footer="688" w:gutter="0"/>
          <w:cols w:space="720" w:num="1"/>
        </w:sectPr>
      </w:pPr>
      <w:r>
        <w:rPr>
          <w:rFonts w:hint="eastAsia"/>
          <w:color w:val="auto"/>
          <w:sz w:val="21"/>
          <w:szCs w:val="21"/>
          <w:highlight w:val="none"/>
          <w:lang w:val="en-US"/>
        </w:rPr>
        <w:t>附件5：价格评审表</w:t>
      </w:r>
    </w:p>
    <w:p>
      <w:pPr>
        <w:pStyle w:val="26"/>
        <w:snapToGrid w:val="0"/>
        <w:spacing w:line="360" w:lineRule="auto"/>
        <w:ind w:firstLine="0" w:firstLineChars="0"/>
        <w:rPr>
          <w:rFonts w:ascii="宋体" w:hAnsi="宋体"/>
          <w:b/>
          <w:color w:val="auto"/>
          <w:sz w:val="24"/>
          <w:szCs w:val="24"/>
          <w:highlight w:val="none"/>
        </w:rPr>
      </w:pPr>
      <w:bookmarkStart w:id="200" w:name="六__磋商评审附表"/>
      <w:bookmarkEnd w:id="200"/>
      <w:r>
        <w:rPr>
          <w:rFonts w:hint="eastAsia" w:ascii="宋体" w:hAnsi="宋体"/>
          <w:b/>
          <w:color w:val="auto"/>
          <w:sz w:val="24"/>
          <w:szCs w:val="24"/>
          <w:highlight w:val="none"/>
        </w:rPr>
        <w:t>附件1资格审查表</w:t>
      </w:r>
    </w:p>
    <w:p>
      <w:pPr>
        <w:snapToGrid w:val="0"/>
        <w:spacing w:line="360" w:lineRule="auto"/>
        <w:rPr>
          <w:bCs/>
          <w:color w:val="auto"/>
          <w:szCs w:val="21"/>
          <w:highlight w:val="none"/>
        </w:rPr>
      </w:pPr>
      <w:r>
        <w:rPr>
          <w:rFonts w:hint="eastAsia"/>
          <w:bCs/>
          <w:color w:val="auto"/>
          <w:szCs w:val="21"/>
          <w:highlight w:val="none"/>
        </w:rPr>
        <w:t>项目编号：</w:t>
      </w:r>
    </w:p>
    <w:p>
      <w:pPr>
        <w:pStyle w:val="26"/>
        <w:ind w:firstLine="0" w:firstLineChars="0"/>
        <w:rPr>
          <w:color w:val="auto"/>
          <w:szCs w:val="21"/>
          <w:highlight w:val="none"/>
        </w:rPr>
      </w:pPr>
      <w:r>
        <w:rPr>
          <w:rFonts w:hint="eastAsia" w:ascii="宋体" w:hAnsi="宋体"/>
          <w:bCs/>
          <w:color w:val="auto"/>
          <w:szCs w:val="21"/>
          <w:highlight w:val="none"/>
        </w:rPr>
        <w:t>项目名称：</w:t>
      </w:r>
    </w:p>
    <w:tbl>
      <w:tblPr>
        <w:tblStyle w:val="18"/>
        <w:tblW w:w="9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7"/>
        <w:gridCol w:w="7497"/>
        <w:gridCol w:w="750"/>
        <w:gridCol w:w="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序号</w:t>
            </w:r>
          </w:p>
        </w:tc>
        <w:tc>
          <w:tcPr>
            <w:tcW w:w="7497" w:type="dxa"/>
            <w:tcBorders>
              <w:tl2br w:val="single" w:color="auto" w:sz="4" w:space="0"/>
            </w:tcBorders>
          </w:tcPr>
          <w:p>
            <w:pPr>
              <w:snapToGrid w:val="0"/>
              <w:ind w:firstLine="6090" w:firstLineChars="2900"/>
              <w:rPr>
                <w:color w:val="auto"/>
                <w:sz w:val="21"/>
                <w:szCs w:val="21"/>
                <w:highlight w:val="none"/>
              </w:rPr>
            </w:pPr>
            <w:r>
              <w:rPr>
                <w:rFonts w:hint="eastAsia"/>
                <w:color w:val="auto"/>
                <w:sz w:val="21"/>
                <w:szCs w:val="21"/>
                <w:highlight w:val="none"/>
              </w:rPr>
              <w:t>投标人名称</w:t>
            </w:r>
          </w:p>
          <w:p>
            <w:pPr>
              <w:snapToGrid w:val="0"/>
              <w:rPr>
                <w:color w:val="auto"/>
                <w:sz w:val="21"/>
                <w:szCs w:val="21"/>
                <w:highlight w:val="none"/>
              </w:rPr>
            </w:pPr>
          </w:p>
          <w:p>
            <w:pPr>
              <w:snapToGrid w:val="0"/>
              <w:rPr>
                <w:color w:val="auto"/>
                <w:sz w:val="21"/>
                <w:szCs w:val="21"/>
                <w:highlight w:val="none"/>
              </w:rPr>
            </w:pPr>
            <w:r>
              <w:rPr>
                <w:rFonts w:hint="eastAsia"/>
                <w:color w:val="auto"/>
                <w:sz w:val="21"/>
                <w:szCs w:val="21"/>
                <w:highlight w:val="none"/>
              </w:rPr>
              <w:t>资格审查内容</w:t>
            </w:r>
          </w:p>
        </w:tc>
        <w:tc>
          <w:tcPr>
            <w:tcW w:w="750" w:type="dxa"/>
            <w:vAlign w:val="center"/>
          </w:tcPr>
          <w:p>
            <w:pPr>
              <w:snapToGrid w:val="0"/>
              <w:jc w:val="center"/>
              <w:rPr>
                <w:color w:val="auto"/>
                <w:sz w:val="21"/>
                <w:szCs w:val="21"/>
                <w:highlight w:val="none"/>
                <w:lang w:val="en-US"/>
              </w:rPr>
            </w:pPr>
            <w:r>
              <w:rPr>
                <w:rFonts w:hint="eastAsia"/>
                <w:color w:val="auto"/>
                <w:sz w:val="21"/>
                <w:szCs w:val="21"/>
                <w:highlight w:val="none"/>
                <w:lang w:val="en-US"/>
              </w:rPr>
              <w:t>A</w:t>
            </w:r>
          </w:p>
        </w:tc>
        <w:tc>
          <w:tcPr>
            <w:tcW w:w="750" w:type="dxa"/>
            <w:vAlign w:val="center"/>
          </w:tcPr>
          <w:p>
            <w:pPr>
              <w:snapToGrid w:val="0"/>
              <w:jc w:val="center"/>
              <w:rPr>
                <w:color w:val="auto"/>
                <w:sz w:val="21"/>
                <w:szCs w:val="21"/>
                <w:highlight w:val="none"/>
                <w:lang w:val="en-US"/>
              </w:rPr>
            </w:pPr>
            <w:r>
              <w:rPr>
                <w:rFonts w:hint="eastAsia"/>
                <w:color w:val="auto"/>
                <w:sz w:val="21"/>
                <w:szCs w:val="21"/>
                <w:highlight w:val="none"/>
                <w:lang w:val="en-US"/>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57" w:type="dxa"/>
            <w:vAlign w:val="center"/>
          </w:tcPr>
          <w:p>
            <w:pPr>
              <w:snapToGrid w:val="0"/>
              <w:jc w:val="center"/>
              <w:rPr>
                <w:color w:val="auto"/>
                <w:szCs w:val="21"/>
                <w:highlight w:val="none"/>
              </w:rPr>
            </w:pPr>
            <w:r>
              <w:rPr>
                <w:rFonts w:hint="eastAsia"/>
                <w:color w:val="auto"/>
                <w:szCs w:val="21"/>
                <w:highlight w:val="none"/>
              </w:rPr>
              <w:t>1</w:t>
            </w:r>
          </w:p>
          <w:p>
            <w:pPr>
              <w:snapToGrid w:val="0"/>
              <w:jc w:val="center"/>
              <w:rPr>
                <w:color w:val="auto"/>
                <w:szCs w:val="21"/>
                <w:highlight w:val="none"/>
              </w:rPr>
            </w:pPr>
          </w:p>
        </w:tc>
        <w:tc>
          <w:tcPr>
            <w:tcW w:w="7497" w:type="dxa"/>
            <w:vAlign w:val="center"/>
          </w:tcPr>
          <w:p>
            <w:pPr>
              <w:adjustRightInd w:val="0"/>
              <w:snapToGrid w:val="0"/>
              <w:spacing w:line="360" w:lineRule="auto"/>
              <w:rPr>
                <w:color w:val="auto"/>
                <w:sz w:val="18"/>
                <w:szCs w:val="18"/>
                <w:highlight w:val="none"/>
              </w:rPr>
            </w:pPr>
            <w:r>
              <w:rPr>
                <w:rFonts w:hint="eastAsia"/>
                <w:color w:val="auto"/>
                <w:sz w:val="18"/>
                <w:szCs w:val="18"/>
                <w:highlight w:val="none"/>
              </w:rPr>
              <w:t>1、供应商必须具备《中华人民共和国政府采购法》第二十二条资格条件；</w:t>
            </w:r>
          </w:p>
          <w:p>
            <w:pPr>
              <w:adjustRightInd w:val="0"/>
              <w:snapToGrid w:val="0"/>
              <w:spacing w:line="360" w:lineRule="auto"/>
              <w:rPr>
                <w:color w:val="auto"/>
                <w:sz w:val="18"/>
                <w:szCs w:val="18"/>
                <w:highlight w:val="none"/>
              </w:rPr>
            </w:pPr>
            <w:r>
              <w:rPr>
                <w:rFonts w:hint="eastAsia"/>
                <w:color w:val="auto"/>
                <w:sz w:val="18"/>
                <w:szCs w:val="18"/>
                <w:highlight w:val="none"/>
              </w:rPr>
              <w:t>①　具有独立承担民事责任的能力，并取得合法企业工商营业执照；（法人或者其他组织的营业执照、事业单位法人证书复印件、或社会团体法人登记证书复印件，或执业许可证复印件，自然人的身份证明复印件）</w:t>
            </w:r>
          </w:p>
          <w:p>
            <w:pPr>
              <w:adjustRightInd w:val="0"/>
              <w:snapToGrid w:val="0"/>
              <w:spacing w:line="360" w:lineRule="auto"/>
              <w:rPr>
                <w:color w:val="auto"/>
                <w:sz w:val="18"/>
                <w:szCs w:val="18"/>
                <w:highlight w:val="none"/>
              </w:rPr>
            </w:pPr>
            <w:r>
              <w:rPr>
                <w:rFonts w:hint="eastAsia"/>
                <w:color w:val="auto"/>
                <w:sz w:val="18"/>
                <w:szCs w:val="18"/>
                <w:highlight w:val="none"/>
              </w:rPr>
              <w:t>②　具有良好的商业信誉和健全的财务会计制度；（提供20</w:t>
            </w:r>
            <w:r>
              <w:rPr>
                <w:rFonts w:hint="eastAsia"/>
                <w:color w:val="auto"/>
                <w:sz w:val="18"/>
                <w:szCs w:val="18"/>
                <w:highlight w:val="none"/>
                <w:lang w:val="en-US"/>
              </w:rPr>
              <w:t>20</w:t>
            </w:r>
            <w:r>
              <w:rPr>
                <w:rFonts w:hint="eastAsia"/>
                <w:color w:val="auto"/>
                <w:sz w:val="18"/>
                <w:szCs w:val="18"/>
                <w:highlight w:val="none"/>
              </w:rPr>
              <w:t>年的财务状况报告复印件（至少包含资产负债表、利润表和现金流量表）或企业征信报告；若投标人当年注册的，提供成立至今的月或季度财务状况报告复印件）</w:t>
            </w:r>
          </w:p>
          <w:p>
            <w:pPr>
              <w:adjustRightInd w:val="0"/>
              <w:snapToGrid w:val="0"/>
              <w:spacing w:line="360" w:lineRule="auto"/>
              <w:rPr>
                <w:color w:val="auto"/>
                <w:sz w:val="18"/>
                <w:szCs w:val="18"/>
                <w:highlight w:val="none"/>
              </w:rPr>
            </w:pPr>
            <w:r>
              <w:rPr>
                <w:rFonts w:hint="eastAsia"/>
                <w:color w:val="auto"/>
                <w:sz w:val="18"/>
                <w:szCs w:val="18"/>
                <w:highlight w:val="none"/>
              </w:rPr>
              <w:t>③　具有履行合同所必需的设备和专业技术能力；（提供《投标人资格声明函》）</w:t>
            </w:r>
          </w:p>
          <w:p>
            <w:pPr>
              <w:adjustRightInd w:val="0"/>
              <w:snapToGrid w:val="0"/>
              <w:spacing w:line="360" w:lineRule="auto"/>
              <w:rPr>
                <w:color w:val="auto"/>
                <w:sz w:val="18"/>
                <w:szCs w:val="18"/>
                <w:highlight w:val="none"/>
              </w:rPr>
            </w:pPr>
            <w:r>
              <w:rPr>
                <w:rFonts w:hint="eastAsia"/>
                <w:color w:val="auto"/>
                <w:sz w:val="18"/>
                <w:szCs w:val="18"/>
                <w:highlight w:val="none"/>
              </w:rPr>
              <w:t>④　有依法缴纳税收和社会保障资金的良好记录；（提供投标截止前六个月内任意一个月缴纳社会保险的凭证复印件和提供投标截止前六个月内任意一个月缴纳税收的凭证复印件。如依法免税或不需要缴纳社会保障资金的，应提供相应文件证明。）</w:t>
            </w:r>
          </w:p>
          <w:p>
            <w:pPr>
              <w:adjustRightInd w:val="0"/>
              <w:snapToGrid w:val="0"/>
              <w:spacing w:line="360" w:lineRule="auto"/>
              <w:rPr>
                <w:color w:val="auto"/>
                <w:sz w:val="18"/>
                <w:szCs w:val="18"/>
                <w:highlight w:val="none"/>
              </w:rPr>
            </w:pPr>
            <w:r>
              <w:rPr>
                <w:rFonts w:hint="eastAsia"/>
                <w:color w:val="auto"/>
                <w:sz w:val="18"/>
                <w:szCs w:val="18"/>
                <w:highlight w:val="none"/>
              </w:rPr>
              <w:t>⑤　参加政府采购活动前三年内，在经营活动中没有重大违法记录；（提供《投标人资格声明函》）</w:t>
            </w:r>
          </w:p>
        </w:tc>
        <w:tc>
          <w:tcPr>
            <w:tcW w:w="750" w:type="dxa"/>
          </w:tcPr>
          <w:p>
            <w:pPr>
              <w:snapToGrid w:val="0"/>
              <w:rPr>
                <w:color w:val="auto"/>
                <w:szCs w:val="21"/>
                <w:highlight w:val="none"/>
              </w:rPr>
            </w:pPr>
          </w:p>
        </w:tc>
        <w:tc>
          <w:tcPr>
            <w:tcW w:w="750" w:type="dxa"/>
            <w:tcBorders>
              <w:bottom w:val="single" w:color="auto" w:sz="4" w:space="0"/>
            </w:tcBorders>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757" w:type="dxa"/>
            <w:tcBorders>
              <w:top w:val="single" w:color="auto" w:sz="4" w:space="0"/>
            </w:tcBorders>
            <w:vAlign w:val="center"/>
          </w:tcPr>
          <w:p>
            <w:pPr>
              <w:snapToGrid w:val="0"/>
              <w:jc w:val="center"/>
              <w:rPr>
                <w:color w:val="auto"/>
                <w:szCs w:val="21"/>
                <w:highlight w:val="none"/>
                <w:lang w:val="en-US"/>
              </w:rPr>
            </w:pPr>
            <w:r>
              <w:rPr>
                <w:rFonts w:hint="eastAsia"/>
                <w:color w:val="auto"/>
                <w:szCs w:val="21"/>
                <w:highlight w:val="none"/>
                <w:lang w:val="en-US"/>
              </w:rPr>
              <w:t>2</w:t>
            </w:r>
          </w:p>
        </w:tc>
        <w:tc>
          <w:tcPr>
            <w:tcW w:w="7497" w:type="dxa"/>
            <w:tcBorders>
              <w:top w:val="single" w:color="auto" w:sz="4" w:space="0"/>
            </w:tcBorders>
            <w:vAlign w:val="center"/>
          </w:tcPr>
          <w:p>
            <w:pPr>
              <w:rPr>
                <w:color w:val="auto"/>
                <w:sz w:val="21"/>
                <w:szCs w:val="21"/>
                <w:highlight w:val="none"/>
              </w:rPr>
            </w:pPr>
            <w:r>
              <w:rPr>
                <w:rFonts w:hint="eastAsia"/>
                <w:color w:val="auto"/>
                <w:sz w:val="21"/>
                <w:szCs w:val="21"/>
                <w:highlight w:val="none"/>
              </w:rPr>
              <w:t>自主出具的《公平竞争承诺书》；</w:t>
            </w:r>
          </w:p>
        </w:tc>
        <w:tc>
          <w:tcPr>
            <w:tcW w:w="750" w:type="dxa"/>
            <w:tcBorders>
              <w:top w:val="single" w:color="auto" w:sz="4" w:space="0"/>
            </w:tcBorders>
          </w:tcPr>
          <w:p>
            <w:pPr>
              <w:snapToGrid w:val="0"/>
              <w:rPr>
                <w:color w:val="auto"/>
                <w:szCs w:val="21"/>
                <w:highlight w:val="none"/>
              </w:rPr>
            </w:pPr>
          </w:p>
        </w:tc>
        <w:tc>
          <w:tcPr>
            <w:tcW w:w="750" w:type="dxa"/>
            <w:tcBorders>
              <w:top w:val="single" w:color="auto" w:sz="4" w:space="0"/>
            </w:tcBorders>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757" w:type="dxa"/>
            <w:vAlign w:val="center"/>
          </w:tcPr>
          <w:p>
            <w:pPr>
              <w:snapToGrid w:val="0"/>
              <w:jc w:val="center"/>
              <w:rPr>
                <w:color w:val="auto"/>
                <w:szCs w:val="21"/>
                <w:highlight w:val="none"/>
              </w:rPr>
            </w:pPr>
            <w:r>
              <w:rPr>
                <w:rFonts w:hint="eastAsia"/>
                <w:color w:val="auto"/>
                <w:szCs w:val="21"/>
                <w:highlight w:val="none"/>
                <w:lang w:val="en-US"/>
              </w:rPr>
              <w:t>3</w:t>
            </w:r>
          </w:p>
        </w:tc>
        <w:tc>
          <w:tcPr>
            <w:tcW w:w="7497" w:type="dxa"/>
            <w:vAlign w:val="center"/>
          </w:tcPr>
          <w:p>
            <w:pPr>
              <w:rPr>
                <w:color w:val="auto"/>
                <w:sz w:val="21"/>
                <w:szCs w:val="21"/>
                <w:highlight w:val="none"/>
              </w:rPr>
            </w:pPr>
            <w:r>
              <w:rPr>
                <w:rFonts w:hint="eastAsia"/>
                <w:color w:val="auto"/>
                <w:sz w:val="21"/>
                <w:szCs w:val="21"/>
                <w:highlight w:val="none"/>
              </w:rPr>
              <w:t>投标人具有三级或三级以上文物保护工程施工资质证书；或者具有丙级或丙级以上文物保护工程勘察设计资质证书（提供复印件）</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Cs w:val="21"/>
                <w:highlight w:val="none"/>
              </w:rPr>
            </w:pPr>
            <w:r>
              <w:rPr>
                <w:rFonts w:hint="eastAsia"/>
                <w:color w:val="auto"/>
                <w:szCs w:val="21"/>
                <w:highlight w:val="none"/>
                <w:lang w:val="en-US"/>
              </w:rPr>
              <w:t>4</w:t>
            </w:r>
          </w:p>
        </w:tc>
        <w:tc>
          <w:tcPr>
            <w:tcW w:w="7497" w:type="dxa"/>
            <w:vAlign w:val="center"/>
          </w:tcPr>
          <w:p>
            <w:pPr>
              <w:rPr>
                <w:color w:val="auto"/>
                <w:sz w:val="21"/>
                <w:szCs w:val="21"/>
                <w:highlight w:val="none"/>
              </w:rPr>
            </w:pPr>
            <w:r>
              <w:rPr>
                <w:rFonts w:hint="eastAsia"/>
                <w:color w:val="auto"/>
                <w:sz w:val="21"/>
                <w:szCs w:val="21"/>
                <w:highlight w:val="none"/>
              </w:rPr>
              <w:t>分公司参与投标的，必须由具有法人资格的总公司授权</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Cs w:val="21"/>
                <w:highlight w:val="none"/>
                <w:lang w:val="en-US"/>
              </w:rPr>
            </w:pPr>
            <w:r>
              <w:rPr>
                <w:rFonts w:hint="eastAsia"/>
                <w:color w:val="auto"/>
                <w:szCs w:val="21"/>
                <w:highlight w:val="none"/>
                <w:lang w:val="en-US"/>
              </w:rPr>
              <w:t>5</w:t>
            </w:r>
          </w:p>
        </w:tc>
        <w:tc>
          <w:tcPr>
            <w:tcW w:w="7497" w:type="dxa"/>
            <w:vAlign w:val="center"/>
          </w:tcPr>
          <w:p>
            <w:pPr>
              <w:rPr>
                <w:color w:val="auto"/>
                <w:sz w:val="21"/>
                <w:szCs w:val="21"/>
                <w:highlight w:val="none"/>
                <w:lang w:val="en-US"/>
              </w:rPr>
            </w:pPr>
            <w:r>
              <w:rPr>
                <w:rFonts w:hint="eastAsia"/>
                <w:color w:val="auto"/>
                <w:sz w:val="21"/>
                <w:szCs w:val="21"/>
                <w:highlight w:val="none"/>
              </w:rPr>
              <w:t>在信用中国网站</w:t>
            </w:r>
            <w:r>
              <w:rPr>
                <w:rFonts w:hint="eastAsia"/>
                <w:color w:val="auto"/>
                <w:sz w:val="21"/>
                <w:szCs w:val="21"/>
                <w:highlight w:val="none"/>
                <w:lang w:val="en-US"/>
              </w:rPr>
              <w:t>（www.creditchina.gov.cn）“</w:t>
            </w:r>
            <w:r>
              <w:rPr>
                <w:rFonts w:hint="eastAsia"/>
                <w:color w:val="auto"/>
                <w:sz w:val="21"/>
                <w:szCs w:val="21"/>
                <w:highlight w:val="none"/>
              </w:rPr>
              <w:t>信用服务</w:t>
            </w:r>
            <w:r>
              <w:rPr>
                <w:rFonts w:hint="eastAsia"/>
                <w:color w:val="auto"/>
                <w:sz w:val="21"/>
                <w:szCs w:val="21"/>
                <w:highlight w:val="none"/>
                <w:lang w:val="en-US"/>
              </w:rPr>
              <w:t>”</w:t>
            </w:r>
            <w:r>
              <w:rPr>
                <w:rFonts w:hint="eastAsia"/>
                <w:color w:val="auto"/>
                <w:sz w:val="21"/>
                <w:szCs w:val="21"/>
                <w:highlight w:val="none"/>
              </w:rPr>
              <w:t>、中国政府采购网</w:t>
            </w:r>
            <w:r>
              <w:rPr>
                <w:rFonts w:hint="eastAsia"/>
                <w:color w:val="auto"/>
                <w:sz w:val="21"/>
                <w:szCs w:val="21"/>
                <w:highlight w:val="none"/>
                <w:lang w:val="en-US"/>
              </w:rPr>
              <w:t>（www.ccgp.gov.cn）“</w:t>
            </w:r>
            <w:r>
              <w:rPr>
                <w:rFonts w:hint="eastAsia"/>
                <w:color w:val="auto"/>
                <w:sz w:val="21"/>
                <w:szCs w:val="21"/>
                <w:highlight w:val="none"/>
              </w:rPr>
              <w:t>政府采购严重违法失信行为信息记录</w:t>
            </w:r>
            <w:r>
              <w:rPr>
                <w:rFonts w:hint="eastAsia"/>
                <w:color w:val="auto"/>
                <w:sz w:val="21"/>
                <w:szCs w:val="21"/>
                <w:highlight w:val="none"/>
                <w:lang w:val="en-US"/>
              </w:rPr>
              <w:t>”</w:t>
            </w:r>
            <w:r>
              <w:rPr>
                <w:rFonts w:hint="eastAsia"/>
                <w:color w:val="auto"/>
                <w:sz w:val="21"/>
                <w:szCs w:val="21"/>
                <w:highlight w:val="none"/>
              </w:rPr>
              <w:t>的信息</w:t>
            </w:r>
            <w:r>
              <w:rPr>
                <w:rFonts w:hint="eastAsia"/>
                <w:color w:val="auto"/>
                <w:sz w:val="21"/>
                <w:szCs w:val="21"/>
                <w:highlight w:val="none"/>
                <w:lang w:val="en-US"/>
              </w:rPr>
              <w:t>，</w:t>
            </w:r>
            <w:r>
              <w:rPr>
                <w:rFonts w:hint="eastAsia"/>
                <w:color w:val="auto"/>
                <w:sz w:val="21"/>
                <w:szCs w:val="21"/>
                <w:highlight w:val="none"/>
              </w:rPr>
              <w:t>对列入失信被执行人、重大税收违法案件当事人名单、政府采购严重违法失信行为记录名单的供应商</w:t>
            </w:r>
            <w:r>
              <w:rPr>
                <w:rFonts w:hint="eastAsia"/>
                <w:color w:val="auto"/>
                <w:sz w:val="21"/>
                <w:szCs w:val="21"/>
                <w:highlight w:val="none"/>
                <w:lang w:val="en-US"/>
              </w:rPr>
              <w:t>，</w:t>
            </w:r>
            <w:r>
              <w:rPr>
                <w:rFonts w:hint="eastAsia"/>
                <w:color w:val="auto"/>
                <w:sz w:val="21"/>
                <w:szCs w:val="21"/>
                <w:highlight w:val="none"/>
              </w:rPr>
              <w:t>拒绝其参与政府采购活动</w:t>
            </w:r>
            <w:r>
              <w:rPr>
                <w:rFonts w:hint="eastAsia"/>
                <w:color w:val="auto"/>
                <w:sz w:val="21"/>
                <w:szCs w:val="21"/>
                <w:highlight w:val="none"/>
                <w:lang w:val="en-US"/>
              </w:rPr>
              <w:t>（</w:t>
            </w:r>
            <w:r>
              <w:rPr>
                <w:rFonts w:hint="eastAsia"/>
                <w:color w:val="auto"/>
                <w:sz w:val="21"/>
                <w:szCs w:val="21"/>
                <w:highlight w:val="none"/>
              </w:rPr>
              <w:t>如查询结果显示</w:t>
            </w:r>
            <w:r>
              <w:rPr>
                <w:rFonts w:hint="eastAsia"/>
                <w:color w:val="auto"/>
                <w:sz w:val="21"/>
                <w:szCs w:val="21"/>
                <w:highlight w:val="none"/>
                <w:lang w:val="en-US"/>
              </w:rPr>
              <w:t>“</w:t>
            </w:r>
            <w:r>
              <w:rPr>
                <w:rFonts w:hint="eastAsia"/>
                <w:color w:val="auto"/>
                <w:sz w:val="21"/>
                <w:szCs w:val="21"/>
                <w:highlight w:val="none"/>
              </w:rPr>
              <w:t>没查到您要的信息</w:t>
            </w:r>
            <w:r>
              <w:rPr>
                <w:rFonts w:hint="eastAsia"/>
                <w:color w:val="auto"/>
                <w:sz w:val="21"/>
                <w:szCs w:val="21"/>
                <w:highlight w:val="none"/>
                <w:lang w:val="en-US"/>
              </w:rPr>
              <w:t>”，</w:t>
            </w:r>
            <w:r>
              <w:rPr>
                <w:rFonts w:hint="eastAsia"/>
                <w:color w:val="auto"/>
                <w:sz w:val="21"/>
                <w:szCs w:val="21"/>
                <w:highlight w:val="none"/>
              </w:rPr>
              <w:t>视为没有上述三类不良信用记录</w:t>
            </w:r>
            <w:r>
              <w:rPr>
                <w:rFonts w:hint="eastAsia"/>
                <w:color w:val="auto"/>
                <w:sz w:val="21"/>
                <w:szCs w:val="21"/>
                <w:highlight w:val="none"/>
                <w:lang w:val="en-US"/>
              </w:rPr>
              <w:t>）</w:t>
            </w:r>
            <w:r>
              <w:rPr>
                <w:rFonts w:hint="eastAsia"/>
                <w:color w:val="auto"/>
                <w:sz w:val="21"/>
                <w:szCs w:val="21"/>
                <w:highlight w:val="none"/>
              </w:rPr>
              <w:t>。提供对信用中国网站和中国政府采购网查询记录的截图。</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Cs w:val="21"/>
                <w:highlight w:val="none"/>
                <w:lang w:val="en-US"/>
              </w:rPr>
            </w:pPr>
            <w:r>
              <w:rPr>
                <w:rFonts w:hint="eastAsia"/>
                <w:color w:val="auto"/>
                <w:szCs w:val="21"/>
                <w:highlight w:val="none"/>
                <w:lang w:val="en-US"/>
              </w:rPr>
              <w:t>6</w:t>
            </w:r>
          </w:p>
        </w:tc>
        <w:tc>
          <w:tcPr>
            <w:tcW w:w="7497" w:type="dxa"/>
            <w:vAlign w:val="center"/>
          </w:tcPr>
          <w:p>
            <w:pPr>
              <w:rPr>
                <w:color w:val="auto"/>
                <w:sz w:val="21"/>
                <w:szCs w:val="21"/>
                <w:highlight w:val="none"/>
              </w:rPr>
            </w:pPr>
            <w:r>
              <w:rPr>
                <w:rFonts w:hint="eastAsia"/>
                <w:color w:val="auto"/>
                <w:sz w:val="21"/>
                <w:szCs w:val="21"/>
                <w:highlight w:val="none"/>
              </w:rPr>
              <w:t>存在隶属关系或同属一总公司或法人的企业，仅能由一家企业参与投标。</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Cs w:val="21"/>
                <w:highlight w:val="none"/>
                <w:lang w:val="en-US"/>
              </w:rPr>
            </w:pPr>
            <w:r>
              <w:rPr>
                <w:rFonts w:hint="eastAsia"/>
                <w:color w:val="auto"/>
                <w:szCs w:val="21"/>
                <w:highlight w:val="none"/>
                <w:lang w:val="en-US"/>
              </w:rPr>
              <w:t>7</w:t>
            </w:r>
          </w:p>
        </w:tc>
        <w:tc>
          <w:tcPr>
            <w:tcW w:w="7497" w:type="dxa"/>
            <w:vAlign w:val="center"/>
          </w:tcPr>
          <w:p>
            <w:pPr>
              <w:rPr>
                <w:color w:val="auto"/>
                <w:sz w:val="21"/>
                <w:szCs w:val="21"/>
                <w:highlight w:val="none"/>
              </w:rPr>
            </w:pPr>
            <w:r>
              <w:rPr>
                <w:rFonts w:hint="eastAsia"/>
                <w:color w:val="auto"/>
                <w:sz w:val="21"/>
                <w:szCs w:val="21"/>
                <w:highlight w:val="none"/>
                <w:lang w:val="en-US"/>
              </w:rPr>
              <w:t>为本采购项目提供整体设计、规范编制或者项目管理、监理、检测等服务的供应商，</w:t>
            </w:r>
            <w:r>
              <w:rPr>
                <w:rFonts w:hint="eastAsia"/>
                <w:bCs/>
                <w:color w:val="auto"/>
                <w:sz w:val="21"/>
                <w:szCs w:val="21"/>
                <w:highlight w:val="none"/>
                <w:lang w:val="en-US"/>
              </w:rPr>
              <w:t>不得参加本项目投标</w:t>
            </w:r>
            <w:r>
              <w:rPr>
                <w:rFonts w:hint="eastAsia"/>
                <w:color w:val="auto"/>
                <w:sz w:val="21"/>
                <w:szCs w:val="21"/>
                <w:highlight w:val="none"/>
                <w:lang w:val="en-US"/>
              </w:rPr>
              <w:t>。</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Cs w:val="21"/>
                <w:highlight w:val="none"/>
                <w:lang w:val="en-US"/>
              </w:rPr>
            </w:pPr>
            <w:r>
              <w:rPr>
                <w:rFonts w:hint="eastAsia"/>
                <w:color w:val="auto"/>
                <w:szCs w:val="21"/>
                <w:highlight w:val="none"/>
                <w:lang w:val="en-US"/>
              </w:rPr>
              <w:t>8</w:t>
            </w:r>
          </w:p>
        </w:tc>
        <w:tc>
          <w:tcPr>
            <w:tcW w:w="7497" w:type="dxa"/>
            <w:vAlign w:val="center"/>
          </w:tcPr>
          <w:p>
            <w:pPr>
              <w:rPr>
                <w:color w:val="auto"/>
                <w:sz w:val="21"/>
                <w:szCs w:val="21"/>
                <w:highlight w:val="none"/>
              </w:rPr>
            </w:pPr>
            <w:r>
              <w:rPr>
                <w:rFonts w:hint="eastAsia"/>
                <w:color w:val="auto"/>
                <w:sz w:val="21"/>
                <w:szCs w:val="21"/>
                <w:highlight w:val="none"/>
              </w:rPr>
              <w:t>本项目不接受联</w:t>
            </w:r>
            <w:r>
              <w:rPr>
                <w:rFonts w:hint="eastAsia"/>
                <w:color w:val="auto"/>
                <w:sz w:val="21"/>
                <w:szCs w:val="21"/>
                <w:highlight w:val="none"/>
                <w:lang w:val="en-US"/>
              </w:rPr>
              <w:t xml:space="preserve"> </w:t>
            </w:r>
            <w:r>
              <w:rPr>
                <w:rFonts w:hint="eastAsia"/>
                <w:color w:val="auto"/>
                <w:sz w:val="21"/>
                <w:szCs w:val="21"/>
                <w:highlight w:val="none"/>
              </w:rPr>
              <w:t>合体投标。</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Cs w:val="21"/>
                <w:highlight w:val="none"/>
                <w:lang w:val="en-US"/>
              </w:rPr>
            </w:pPr>
          </w:p>
        </w:tc>
        <w:tc>
          <w:tcPr>
            <w:tcW w:w="7497" w:type="dxa"/>
            <w:vAlign w:val="center"/>
          </w:tcPr>
          <w:p>
            <w:pPr>
              <w:jc w:val="center"/>
              <w:rPr>
                <w:color w:val="auto"/>
                <w:sz w:val="21"/>
                <w:szCs w:val="21"/>
                <w:highlight w:val="none"/>
              </w:rPr>
            </w:pPr>
            <w:r>
              <w:rPr>
                <w:rFonts w:hint="eastAsia"/>
                <w:color w:val="auto"/>
                <w:sz w:val="21"/>
                <w:szCs w:val="21"/>
                <w:highlight w:val="none"/>
              </w:rPr>
              <w:t>结论</w:t>
            </w:r>
          </w:p>
        </w:tc>
        <w:tc>
          <w:tcPr>
            <w:tcW w:w="750" w:type="dxa"/>
          </w:tcPr>
          <w:p>
            <w:pPr>
              <w:snapToGrid w:val="0"/>
              <w:rPr>
                <w:color w:val="auto"/>
                <w:szCs w:val="21"/>
                <w:highlight w:val="none"/>
              </w:rPr>
            </w:pPr>
          </w:p>
        </w:tc>
        <w:tc>
          <w:tcPr>
            <w:tcW w:w="750" w:type="dxa"/>
          </w:tcPr>
          <w:p>
            <w:pPr>
              <w:snapToGrid w:val="0"/>
              <w:rPr>
                <w:color w:val="auto"/>
                <w:szCs w:val="21"/>
                <w:highlight w:val="none"/>
              </w:rPr>
            </w:pPr>
          </w:p>
        </w:tc>
      </w:tr>
    </w:tbl>
    <w:p>
      <w:pPr>
        <w:tabs>
          <w:tab w:val="left" w:pos="720"/>
        </w:tabs>
        <w:snapToGrid w:val="0"/>
        <w:rPr>
          <w:color w:val="auto"/>
          <w:szCs w:val="21"/>
          <w:highlight w:val="none"/>
        </w:rPr>
      </w:pPr>
    </w:p>
    <w:p>
      <w:pPr>
        <w:spacing w:line="360" w:lineRule="auto"/>
        <w:ind w:left="866" w:hanging="866" w:hangingChars="392"/>
        <w:rPr>
          <w:b/>
          <w:color w:val="auto"/>
          <w:szCs w:val="21"/>
          <w:highlight w:val="none"/>
        </w:rPr>
      </w:pPr>
      <w:r>
        <w:rPr>
          <w:rFonts w:hint="eastAsia"/>
          <w:b/>
          <w:color w:val="auto"/>
          <w:szCs w:val="21"/>
          <w:highlight w:val="none"/>
        </w:rPr>
        <w:t>备注：</w:t>
      </w:r>
      <w:r>
        <w:rPr>
          <w:b/>
          <w:color w:val="auto"/>
          <w:szCs w:val="21"/>
          <w:highlight w:val="none"/>
        </w:rPr>
        <w:t>1</w:t>
      </w:r>
      <w:r>
        <w:rPr>
          <w:rFonts w:hint="eastAsia"/>
          <w:b/>
          <w:color w:val="auto"/>
          <w:szCs w:val="21"/>
          <w:highlight w:val="none"/>
        </w:rPr>
        <w:t>．表中填写“○”表示该项符合竞争性磋商文件要求，“×”表示该项不符合竞争性磋商文件要求。</w:t>
      </w:r>
    </w:p>
    <w:p>
      <w:pPr>
        <w:spacing w:line="360" w:lineRule="auto"/>
        <w:ind w:firstLine="663" w:firstLineChars="300"/>
        <w:rPr>
          <w:b/>
          <w:color w:val="auto"/>
          <w:szCs w:val="21"/>
          <w:highlight w:val="none"/>
        </w:rPr>
      </w:pPr>
      <w:r>
        <w:rPr>
          <w:b/>
          <w:color w:val="auto"/>
          <w:szCs w:val="21"/>
          <w:highlight w:val="none"/>
        </w:rPr>
        <w:t>2</w:t>
      </w:r>
      <w:r>
        <w:rPr>
          <w:rFonts w:hint="eastAsia"/>
          <w:b/>
          <w:color w:val="auto"/>
          <w:szCs w:val="21"/>
          <w:highlight w:val="none"/>
        </w:rPr>
        <w:t>．在结论栏中填写“通过”或“不通过”。</w:t>
      </w:r>
    </w:p>
    <w:p>
      <w:pPr>
        <w:tabs>
          <w:tab w:val="left" w:pos="720"/>
        </w:tabs>
        <w:snapToGrid w:val="0"/>
        <w:rPr>
          <w:bCs/>
          <w:color w:val="auto"/>
          <w:szCs w:val="21"/>
          <w:highlight w:val="none"/>
        </w:rPr>
      </w:pPr>
      <w:r>
        <w:rPr>
          <w:rFonts w:hint="eastAsia"/>
          <w:color w:val="auto"/>
          <w:szCs w:val="21"/>
          <w:highlight w:val="none"/>
        </w:rPr>
        <w:t>审查人签名：</w:t>
      </w:r>
      <w:r>
        <w:rPr>
          <w:rFonts w:hint="eastAsia"/>
          <w:bCs/>
          <w:color w:val="auto"/>
          <w:szCs w:val="21"/>
          <w:highlight w:val="none"/>
        </w:rPr>
        <w:t>日期：年月日</w:t>
      </w:r>
    </w:p>
    <w:p>
      <w:pPr>
        <w:pStyle w:val="10"/>
        <w:spacing w:before="11"/>
        <w:rPr>
          <w:color w:val="auto"/>
          <w:highlight w:val="none"/>
        </w:rPr>
      </w:pPr>
      <w:r>
        <w:rPr>
          <w:rFonts w:hint="eastAsia"/>
          <w:bCs/>
          <w:color w:val="auto"/>
          <w:highlight w:val="none"/>
        </w:rPr>
        <w:br w:type="page"/>
      </w:r>
    </w:p>
    <w:p>
      <w:pPr>
        <w:pStyle w:val="26"/>
        <w:snapToGrid w:val="0"/>
        <w:spacing w:line="360" w:lineRule="auto"/>
        <w:ind w:firstLine="0" w:firstLineChars="0"/>
        <w:rPr>
          <w:rFonts w:ascii="宋体" w:hAnsi="宋体"/>
          <w:b/>
          <w:color w:val="auto"/>
          <w:sz w:val="24"/>
          <w:szCs w:val="24"/>
          <w:highlight w:val="none"/>
        </w:rPr>
      </w:pPr>
      <w:r>
        <w:rPr>
          <w:rFonts w:hint="eastAsia" w:ascii="宋体" w:hAnsi="宋体"/>
          <w:b/>
          <w:color w:val="auto"/>
          <w:sz w:val="24"/>
          <w:szCs w:val="24"/>
          <w:highlight w:val="none"/>
        </w:rPr>
        <w:t>附件2符合性审查表</w:t>
      </w:r>
    </w:p>
    <w:p>
      <w:pPr>
        <w:snapToGrid w:val="0"/>
        <w:spacing w:line="360" w:lineRule="auto"/>
        <w:rPr>
          <w:bCs/>
          <w:color w:val="auto"/>
          <w:szCs w:val="21"/>
          <w:highlight w:val="none"/>
        </w:rPr>
      </w:pPr>
      <w:r>
        <w:rPr>
          <w:rFonts w:hint="eastAsia"/>
          <w:bCs/>
          <w:color w:val="auto"/>
          <w:szCs w:val="21"/>
          <w:highlight w:val="none"/>
        </w:rPr>
        <w:t>项目编号：</w:t>
      </w:r>
    </w:p>
    <w:p>
      <w:pPr>
        <w:pStyle w:val="26"/>
        <w:ind w:firstLine="0" w:firstLineChars="0"/>
        <w:rPr>
          <w:color w:val="auto"/>
          <w:szCs w:val="21"/>
          <w:highlight w:val="none"/>
        </w:rPr>
      </w:pPr>
      <w:r>
        <w:rPr>
          <w:rFonts w:hint="eastAsia" w:ascii="宋体" w:hAnsi="宋体"/>
          <w:bCs/>
          <w:color w:val="auto"/>
          <w:szCs w:val="21"/>
          <w:highlight w:val="none"/>
        </w:rPr>
        <w:t>项目名称：</w:t>
      </w:r>
    </w:p>
    <w:tbl>
      <w:tblPr>
        <w:tblStyle w:val="18"/>
        <w:tblW w:w="98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7"/>
        <w:gridCol w:w="5310"/>
        <w:gridCol w:w="1248"/>
        <w:gridCol w:w="1248"/>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9"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序号</w:t>
            </w:r>
          </w:p>
        </w:tc>
        <w:tc>
          <w:tcPr>
            <w:tcW w:w="5310" w:type="dxa"/>
            <w:tcBorders>
              <w:tl2br w:val="single" w:color="auto" w:sz="4" w:space="0"/>
            </w:tcBorders>
          </w:tcPr>
          <w:p>
            <w:pPr>
              <w:snapToGrid w:val="0"/>
              <w:ind w:firstLine="3570" w:firstLineChars="1700"/>
              <w:rPr>
                <w:color w:val="auto"/>
                <w:sz w:val="21"/>
                <w:szCs w:val="21"/>
                <w:highlight w:val="none"/>
              </w:rPr>
            </w:pPr>
            <w:r>
              <w:rPr>
                <w:rFonts w:hint="eastAsia"/>
                <w:color w:val="auto"/>
                <w:sz w:val="21"/>
                <w:szCs w:val="21"/>
                <w:highlight w:val="none"/>
              </w:rPr>
              <w:t>投标人名称</w:t>
            </w:r>
          </w:p>
          <w:p>
            <w:pPr>
              <w:snapToGrid w:val="0"/>
              <w:rPr>
                <w:color w:val="auto"/>
                <w:sz w:val="21"/>
                <w:szCs w:val="21"/>
                <w:highlight w:val="none"/>
              </w:rPr>
            </w:pPr>
          </w:p>
          <w:p>
            <w:pPr>
              <w:snapToGrid w:val="0"/>
              <w:rPr>
                <w:color w:val="auto"/>
                <w:sz w:val="21"/>
                <w:szCs w:val="21"/>
                <w:highlight w:val="none"/>
              </w:rPr>
            </w:pPr>
            <w:r>
              <w:rPr>
                <w:rFonts w:hint="eastAsia"/>
                <w:color w:val="auto"/>
                <w:sz w:val="21"/>
                <w:szCs w:val="21"/>
                <w:highlight w:val="none"/>
              </w:rPr>
              <w:t>符合性审查内容</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1</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投标文件不齐全，没有盖章、签字</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2</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供应商报价不确定或超过采购文件中列出的采购预算（最高限价）</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3</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投标报价不符合招标文件要求（删除品种、缺项、漏项（数量不符合视为漏项）等等）</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4</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被评标委员会认定投标人低于成本报价</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rPr>
              <w:t>5</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投标有效期不满足要求</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lang w:val="en-US"/>
              </w:rPr>
              <w:t>6</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未完全满足采购文件中带"★"号的实质性条款或指标</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lang w:val="en-US"/>
              </w:rPr>
              <w:t>7</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评审期间，供应商没有按评标委员会的要求提交经授权代表签字的澄清、说明、补正或改变了采购响应文件的实质性内容； </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lang w:val="en-US"/>
              </w:rPr>
              <w:t>8</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供应商对采购人、采购代理机构、评标委员会及其工作人员施加影响，有碍公平、公正； </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r>
              <w:rPr>
                <w:rFonts w:hint="eastAsia"/>
                <w:color w:val="auto"/>
                <w:sz w:val="21"/>
                <w:szCs w:val="21"/>
                <w:highlight w:val="none"/>
                <w:lang w:val="en-US"/>
              </w:rPr>
              <w:t>9</w:t>
            </w:r>
          </w:p>
        </w:tc>
        <w:tc>
          <w:tcPr>
            <w:tcW w:w="5310" w:type="dxa"/>
            <w:vAlign w:val="center"/>
          </w:tcPr>
          <w:p>
            <w:pPr>
              <w:adjustRightInd w:val="0"/>
              <w:snapToGrid w:val="0"/>
              <w:spacing w:line="360" w:lineRule="auto"/>
              <w:rPr>
                <w:color w:val="auto"/>
                <w:sz w:val="21"/>
                <w:szCs w:val="21"/>
                <w:highlight w:val="none"/>
              </w:rPr>
            </w:pPr>
            <w:r>
              <w:rPr>
                <w:rFonts w:hint="eastAsia" w:cs="黑体"/>
                <w:bCs/>
                <w:color w:val="auto"/>
                <w:sz w:val="21"/>
                <w:szCs w:val="21"/>
                <w:highlight w:val="none"/>
              </w:rPr>
              <w:t>法律、法规、规章规定属于响应无效的其他情形</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757" w:type="dxa"/>
            <w:vAlign w:val="center"/>
          </w:tcPr>
          <w:p>
            <w:pPr>
              <w:snapToGrid w:val="0"/>
              <w:jc w:val="center"/>
              <w:rPr>
                <w:color w:val="auto"/>
                <w:sz w:val="21"/>
                <w:szCs w:val="21"/>
                <w:highlight w:val="none"/>
              </w:rPr>
            </w:pPr>
          </w:p>
        </w:tc>
        <w:tc>
          <w:tcPr>
            <w:tcW w:w="5310" w:type="dxa"/>
            <w:vAlign w:val="center"/>
          </w:tcPr>
          <w:p>
            <w:pPr>
              <w:snapToGrid w:val="0"/>
              <w:rPr>
                <w:color w:val="auto"/>
                <w:sz w:val="21"/>
                <w:szCs w:val="21"/>
                <w:highlight w:val="none"/>
              </w:rPr>
            </w:pPr>
            <w:r>
              <w:rPr>
                <w:rFonts w:hint="eastAsia"/>
                <w:color w:val="auto"/>
                <w:sz w:val="21"/>
                <w:szCs w:val="21"/>
                <w:highlight w:val="none"/>
              </w:rPr>
              <w:t>结论</w:t>
            </w: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c>
          <w:tcPr>
            <w:tcW w:w="1248" w:type="dxa"/>
          </w:tcPr>
          <w:p>
            <w:pPr>
              <w:snapToGrid w:val="0"/>
              <w:rPr>
                <w:color w:val="auto"/>
                <w:sz w:val="21"/>
                <w:szCs w:val="21"/>
                <w:highlight w:val="none"/>
              </w:rPr>
            </w:pPr>
          </w:p>
        </w:tc>
      </w:tr>
    </w:tbl>
    <w:p>
      <w:pPr>
        <w:tabs>
          <w:tab w:val="left" w:pos="720"/>
        </w:tabs>
        <w:snapToGrid w:val="0"/>
        <w:rPr>
          <w:color w:val="auto"/>
          <w:szCs w:val="21"/>
          <w:highlight w:val="none"/>
        </w:rPr>
      </w:pPr>
    </w:p>
    <w:p>
      <w:pPr>
        <w:spacing w:line="360" w:lineRule="auto"/>
        <w:ind w:left="866" w:hanging="866" w:hangingChars="392"/>
        <w:rPr>
          <w:b/>
          <w:color w:val="auto"/>
          <w:szCs w:val="21"/>
          <w:highlight w:val="none"/>
        </w:rPr>
      </w:pPr>
      <w:r>
        <w:rPr>
          <w:rFonts w:hint="eastAsia"/>
          <w:b/>
          <w:color w:val="auto"/>
          <w:szCs w:val="21"/>
          <w:highlight w:val="none"/>
        </w:rPr>
        <w:t>备注：</w:t>
      </w:r>
      <w:r>
        <w:rPr>
          <w:b/>
          <w:color w:val="auto"/>
          <w:szCs w:val="21"/>
          <w:highlight w:val="none"/>
        </w:rPr>
        <w:t>1</w:t>
      </w:r>
      <w:r>
        <w:rPr>
          <w:rFonts w:hint="eastAsia"/>
          <w:b/>
          <w:color w:val="auto"/>
          <w:szCs w:val="21"/>
          <w:highlight w:val="none"/>
        </w:rPr>
        <w:t>．表中填写“○”表示该项符合竞争性磋商文件要求，“×”表示该项不符合竞争性磋商文件要求。</w:t>
      </w:r>
    </w:p>
    <w:p>
      <w:pPr>
        <w:spacing w:line="360" w:lineRule="auto"/>
        <w:ind w:firstLine="663" w:firstLineChars="300"/>
        <w:rPr>
          <w:b/>
          <w:color w:val="auto"/>
          <w:szCs w:val="21"/>
          <w:highlight w:val="none"/>
        </w:rPr>
      </w:pPr>
      <w:r>
        <w:rPr>
          <w:b/>
          <w:color w:val="auto"/>
          <w:szCs w:val="21"/>
          <w:highlight w:val="none"/>
        </w:rPr>
        <w:t>2</w:t>
      </w:r>
      <w:r>
        <w:rPr>
          <w:rFonts w:hint="eastAsia"/>
          <w:b/>
          <w:color w:val="auto"/>
          <w:szCs w:val="21"/>
          <w:highlight w:val="none"/>
        </w:rPr>
        <w:t>．在结论栏中填写“有效”或“无效”。</w:t>
      </w:r>
    </w:p>
    <w:p>
      <w:pPr>
        <w:spacing w:line="360" w:lineRule="auto"/>
        <w:ind w:left="967" w:leftChars="292" w:hanging="325" w:hangingChars="147"/>
        <w:rPr>
          <w:b/>
          <w:color w:val="auto"/>
          <w:szCs w:val="21"/>
          <w:highlight w:val="none"/>
        </w:rPr>
      </w:pPr>
      <w:r>
        <w:rPr>
          <w:rFonts w:hint="eastAsia"/>
          <w:b/>
          <w:color w:val="auto"/>
          <w:szCs w:val="21"/>
          <w:highlight w:val="none"/>
        </w:rPr>
        <w:t>3.</w:t>
      </w:r>
      <w:r>
        <w:rPr>
          <w:b/>
          <w:color w:val="auto"/>
          <w:szCs w:val="21"/>
          <w:highlight w:val="none"/>
        </w:rPr>
        <w:t>如对本表中某种情形的评审意见不一致时，以少数服从多数的原则作为</w:t>
      </w:r>
      <w:r>
        <w:rPr>
          <w:rFonts w:hint="eastAsia"/>
          <w:b/>
          <w:color w:val="auto"/>
          <w:szCs w:val="21"/>
          <w:highlight w:val="none"/>
        </w:rPr>
        <w:t>评审委员会</w:t>
      </w:r>
      <w:r>
        <w:rPr>
          <w:b/>
          <w:color w:val="auto"/>
          <w:szCs w:val="21"/>
          <w:highlight w:val="none"/>
        </w:rPr>
        <w:t>对该情形的认定结论。</w:t>
      </w:r>
    </w:p>
    <w:p>
      <w:pPr>
        <w:tabs>
          <w:tab w:val="left" w:pos="720"/>
        </w:tabs>
        <w:snapToGrid w:val="0"/>
        <w:rPr>
          <w:color w:val="auto"/>
          <w:szCs w:val="21"/>
          <w:highlight w:val="none"/>
        </w:rPr>
      </w:pPr>
    </w:p>
    <w:p>
      <w:pPr>
        <w:tabs>
          <w:tab w:val="left" w:pos="720"/>
        </w:tabs>
        <w:snapToGrid w:val="0"/>
        <w:ind w:firstLine="660" w:firstLineChars="300"/>
        <w:rPr>
          <w:color w:val="auto"/>
          <w:szCs w:val="21"/>
          <w:highlight w:val="none"/>
        </w:rPr>
      </w:pPr>
      <w:r>
        <w:rPr>
          <w:rFonts w:hint="eastAsia"/>
          <w:color w:val="auto"/>
          <w:szCs w:val="21"/>
          <w:highlight w:val="none"/>
        </w:rPr>
        <w:t>评委签名：</w:t>
      </w:r>
    </w:p>
    <w:p>
      <w:pPr>
        <w:tabs>
          <w:tab w:val="left" w:pos="720"/>
        </w:tabs>
        <w:snapToGrid w:val="0"/>
        <w:ind w:firstLine="660" w:firstLineChars="300"/>
        <w:rPr>
          <w:bCs/>
          <w:color w:val="auto"/>
          <w:szCs w:val="21"/>
          <w:highlight w:val="none"/>
          <w:lang w:val="en-US"/>
        </w:rPr>
        <w:sectPr>
          <w:pgSz w:w="11906" w:h="16838"/>
          <w:pgMar w:top="1402" w:right="1134" w:bottom="1134" w:left="1134" w:header="567" w:footer="737" w:gutter="0"/>
          <w:cols w:space="720" w:num="1"/>
          <w:docGrid w:linePitch="312" w:charSpace="0"/>
        </w:sectPr>
      </w:pPr>
      <w:r>
        <w:rPr>
          <w:rFonts w:hint="eastAsia"/>
          <w:bCs/>
          <w:color w:val="auto"/>
          <w:szCs w:val="21"/>
          <w:highlight w:val="none"/>
        </w:rPr>
        <w:t>日期：</w:t>
      </w:r>
      <w:r>
        <w:rPr>
          <w:rFonts w:hint="eastAsia"/>
          <w:bCs/>
          <w:color w:val="auto"/>
          <w:szCs w:val="21"/>
          <w:highlight w:val="none"/>
          <w:lang w:val="en-US"/>
        </w:rPr>
        <w:t xml:space="preserve">  </w:t>
      </w:r>
      <w:r>
        <w:rPr>
          <w:rFonts w:hint="eastAsia"/>
          <w:bCs/>
          <w:color w:val="auto"/>
          <w:szCs w:val="21"/>
          <w:highlight w:val="none"/>
        </w:rPr>
        <w:t>年</w:t>
      </w:r>
      <w:r>
        <w:rPr>
          <w:rFonts w:hint="eastAsia"/>
          <w:bCs/>
          <w:color w:val="auto"/>
          <w:szCs w:val="21"/>
          <w:highlight w:val="none"/>
          <w:lang w:val="en-US"/>
        </w:rPr>
        <w:t xml:space="preserve">  </w:t>
      </w:r>
      <w:r>
        <w:rPr>
          <w:rFonts w:hint="eastAsia"/>
          <w:bCs/>
          <w:color w:val="auto"/>
          <w:szCs w:val="21"/>
          <w:highlight w:val="none"/>
        </w:rPr>
        <w:t>月</w:t>
      </w:r>
      <w:r>
        <w:rPr>
          <w:rFonts w:hint="eastAsia"/>
          <w:bCs/>
          <w:color w:val="auto"/>
          <w:szCs w:val="21"/>
          <w:highlight w:val="none"/>
          <w:lang w:val="en-US"/>
        </w:rPr>
        <w:t xml:space="preserve">   日</w:t>
      </w:r>
    </w:p>
    <w:p>
      <w:pPr>
        <w:pStyle w:val="26"/>
        <w:snapToGrid w:val="0"/>
        <w:spacing w:line="360" w:lineRule="auto"/>
        <w:ind w:firstLine="0" w:firstLineChars="0"/>
        <w:rPr>
          <w:rFonts w:ascii="宋体" w:hAnsi="宋体"/>
          <w:b/>
          <w:color w:val="auto"/>
          <w:sz w:val="24"/>
          <w:szCs w:val="24"/>
          <w:highlight w:val="none"/>
        </w:rPr>
      </w:pPr>
      <w:r>
        <w:rPr>
          <w:rFonts w:hint="eastAsia" w:ascii="宋体" w:hAnsi="宋体"/>
          <w:b/>
          <w:color w:val="auto"/>
          <w:sz w:val="24"/>
          <w:szCs w:val="24"/>
          <w:highlight w:val="none"/>
        </w:rPr>
        <w:t>附件</w:t>
      </w:r>
      <w:r>
        <w:rPr>
          <w:rFonts w:hint="eastAsia" w:ascii="宋体" w:hAnsi="宋体"/>
          <w:b/>
          <w:color w:val="auto"/>
          <w:sz w:val="24"/>
          <w:szCs w:val="24"/>
          <w:highlight w:val="none"/>
          <w:lang w:val="en-US"/>
        </w:rPr>
        <w:t>3</w:t>
      </w:r>
      <w:r>
        <w:rPr>
          <w:rFonts w:hint="eastAsia" w:ascii="宋体" w:hAnsi="宋体"/>
          <w:b/>
          <w:color w:val="auto"/>
          <w:sz w:val="24"/>
          <w:szCs w:val="24"/>
          <w:highlight w:val="none"/>
        </w:rPr>
        <w:t>商务评分表</w:t>
      </w:r>
    </w:p>
    <w:p>
      <w:pPr>
        <w:snapToGrid w:val="0"/>
        <w:spacing w:line="360" w:lineRule="auto"/>
        <w:rPr>
          <w:bCs/>
          <w:color w:val="auto"/>
          <w:szCs w:val="21"/>
          <w:highlight w:val="none"/>
        </w:rPr>
      </w:pPr>
      <w:bookmarkStart w:id="201" w:name="（40%权重）"/>
      <w:bookmarkEnd w:id="201"/>
      <w:r>
        <w:rPr>
          <w:rFonts w:hint="eastAsia"/>
          <w:bCs/>
          <w:color w:val="auto"/>
          <w:szCs w:val="21"/>
          <w:highlight w:val="none"/>
        </w:rPr>
        <w:t>项目编号：</w:t>
      </w:r>
    </w:p>
    <w:p>
      <w:pPr>
        <w:pStyle w:val="26"/>
        <w:ind w:firstLine="0" w:firstLineChars="0"/>
        <w:rPr>
          <w:color w:val="auto"/>
          <w:szCs w:val="21"/>
          <w:highlight w:val="none"/>
        </w:rPr>
      </w:pPr>
      <w:r>
        <w:rPr>
          <w:rFonts w:hint="eastAsia" w:ascii="宋体" w:hAnsi="宋体"/>
          <w:bCs/>
          <w:color w:val="auto"/>
          <w:szCs w:val="21"/>
          <w:highlight w:val="none"/>
        </w:rPr>
        <w:t>项目名称：</w:t>
      </w:r>
    </w:p>
    <w:tbl>
      <w:tblPr>
        <w:tblStyle w:val="18"/>
        <w:tblW w:w="9760" w:type="dxa"/>
        <w:jc w:val="center"/>
        <w:tblLayout w:type="fixed"/>
        <w:tblCellMar>
          <w:top w:w="0" w:type="dxa"/>
          <w:left w:w="108" w:type="dxa"/>
          <w:bottom w:w="0" w:type="dxa"/>
          <w:right w:w="108" w:type="dxa"/>
        </w:tblCellMar>
      </w:tblPr>
      <w:tblGrid>
        <w:gridCol w:w="481"/>
        <w:gridCol w:w="1350"/>
        <w:gridCol w:w="825"/>
        <w:gridCol w:w="7104"/>
      </w:tblGrid>
      <w:tr>
        <w:tblPrEx>
          <w:tblCellMar>
            <w:top w:w="0" w:type="dxa"/>
            <w:left w:w="108" w:type="dxa"/>
            <w:bottom w:w="0" w:type="dxa"/>
            <w:right w:w="108" w:type="dxa"/>
          </w:tblCellMar>
        </w:tblPrEx>
        <w:trPr>
          <w:trHeight w:val="748" w:hRule="atLeast"/>
          <w:jc w:val="center"/>
        </w:trPr>
        <w:tc>
          <w:tcPr>
            <w:tcW w:w="481" w:type="dxa"/>
            <w:tcBorders>
              <w:top w:val="single" w:color="auto" w:sz="8" w:space="0"/>
              <w:left w:val="single" w:color="auto" w:sz="8" w:space="0"/>
              <w:bottom w:val="single" w:color="auto" w:sz="6" w:space="0"/>
              <w:right w:val="single" w:color="auto" w:sz="4" w:space="0"/>
            </w:tcBorders>
            <w:vAlign w:val="center"/>
          </w:tcPr>
          <w:p>
            <w:pPr>
              <w:jc w:val="center"/>
              <w:rPr>
                <w:b/>
                <w:color w:val="auto"/>
                <w:sz w:val="21"/>
                <w:szCs w:val="21"/>
                <w:highlight w:val="none"/>
              </w:rPr>
            </w:pPr>
            <w:r>
              <w:rPr>
                <w:rFonts w:hint="eastAsia"/>
                <w:b/>
                <w:color w:val="auto"/>
                <w:sz w:val="21"/>
                <w:szCs w:val="21"/>
                <w:highlight w:val="none"/>
              </w:rPr>
              <w:t>序号</w:t>
            </w:r>
          </w:p>
        </w:tc>
        <w:tc>
          <w:tcPr>
            <w:tcW w:w="1350" w:type="dxa"/>
            <w:tcBorders>
              <w:top w:val="single" w:color="auto" w:sz="8" w:space="0"/>
              <w:left w:val="single" w:color="auto" w:sz="4" w:space="0"/>
              <w:bottom w:val="single" w:color="auto" w:sz="6" w:space="0"/>
              <w:right w:val="single" w:color="auto" w:sz="6" w:space="0"/>
            </w:tcBorders>
            <w:vAlign w:val="center"/>
          </w:tcPr>
          <w:p>
            <w:pPr>
              <w:jc w:val="center"/>
              <w:rPr>
                <w:b/>
                <w:color w:val="auto"/>
                <w:sz w:val="21"/>
                <w:szCs w:val="21"/>
                <w:highlight w:val="none"/>
              </w:rPr>
            </w:pPr>
            <w:r>
              <w:rPr>
                <w:rFonts w:hint="eastAsia"/>
                <w:b/>
                <w:color w:val="auto"/>
                <w:sz w:val="21"/>
                <w:szCs w:val="21"/>
                <w:highlight w:val="none"/>
              </w:rPr>
              <w:t>评审分项</w:t>
            </w:r>
          </w:p>
        </w:tc>
        <w:tc>
          <w:tcPr>
            <w:tcW w:w="825" w:type="dxa"/>
            <w:tcBorders>
              <w:top w:val="single" w:color="auto" w:sz="8" w:space="0"/>
              <w:left w:val="single" w:color="auto" w:sz="6" w:space="0"/>
              <w:bottom w:val="single" w:color="auto" w:sz="6" w:space="0"/>
              <w:right w:val="single" w:color="auto" w:sz="6" w:space="0"/>
            </w:tcBorders>
            <w:vAlign w:val="center"/>
          </w:tcPr>
          <w:p>
            <w:pPr>
              <w:jc w:val="center"/>
              <w:rPr>
                <w:b/>
                <w:color w:val="auto"/>
                <w:sz w:val="21"/>
                <w:szCs w:val="21"/>
                <w:highlight w:val="none"/>
              </w:rPr>
            </w:pPr>
            <w:r>
              <w:rPr>
                <w:rFonts w:hint="eastAsia"/>
                <w:b/>
                <w:color w:val="auto"/>
                <w:sz w:val="21"/>
                <w:szCs w:val="21"/>
                <w:highlight w:val="none"/>
              </w:rPr>
              <w:t>分值</w:t>
            </w:r>
          </w:p>
        </w:tc>
        <w:tc>
          <w:tcPr>
            <w:tcW w:w="7104" w:type="dxa"/>
            <w:tcBorders>
              <w:top w:val="single" w:color="auto" w:sz="8" w:space="0"/>
              <w:left w:val="single" w:color="auto" w:sz="6" w:space="0"/>
              <w:bottom w:val="single" w:color="auto" w:sz="6" w:space="0"/>
              <w:right w:val="single" w:color="auto" w:sz="6" w:space="0"/>
            </w:tcBorders>
            <w:vAlign w:val="center"/>
          </w:tcPr>
          <w:p>
            <w:pPr>
              <w:jc w:val="center"/>
              <w:rPr>
                <w:b/>
                <w:color w:val="auto"/>
                <w:sz w:val="21"/>
                <w:szCs w:val="21"/>
                <w:highlight w:val="none"/>
              </w:rPr>
            </w:pPr>
            <w:r>
              <w:rPr>
                <w:rFonts w:hint="eastAsia"/>
                <w:b/>
                <w:color w:val="auto"/>
                <w:sz w:val="21"/>
                <w:szCs w:val="21"/>
                <w:highlight w:val="none"/>
              </w:rPr>
              <w:t>评审标准</w:t>
            </w:r>
          </w:p>
        </w:tc>
      </w:tr>
      <w:tr>
        <w:tblPrEx>
          <w:tblCellMar>
            <w:top w:w="0" w:type="dxa"/>
            <w:left w:w="108" w:type="dxa"/>
            <w:bottom w:w="0" w:type="dxa"/>
            <w:right w:w="108" w:type="dxa"/>
          </w:tblCellMar>
        </w:tblPrEx>
        <w:trPr>
          <w:cantSplit/>
          <w:trHeight w:val="1880" w:hRule="atLeast"/>
          <w:jc w:val="center"/>
        </w:trPr>
        <w:tc>
          <w:tcPr>
            <w:tcW w:w="481" w:type="dxa"/>
            <w:tcBorders>
              <w:top w:val="single" w:color="auto" w:sz="6" w:space="0"/>
              <w:left w:val="single" w:color="auto" w:sz="8" w:space="0"/>
              <w:bottom w:val="single" w:color="auto" w:sz="6"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1</w:t>
            </w:r>
          </w:p>
        </w:tc>
        <w:tc>
          <w:tcPr>
            <w:tcW w:w="1350"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项目经验</w:t>
            </w:r>
          </w:p>
        </w:tc>
        <w:tc>
          <w:tcPr>
            <w:tcW w:w="825"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lang w:val="en-US"/>
              </w:rPr>
              <w:t>6</w:t>
            </w:r>
            <w:r>
              <w:rPr>
                <w:rFonts w:hint="eastAsia"/>
                <w:color w:val="auto"/>
                <w:sz w:val="21"/>
                <w:szCs w:val="21"/>
                <w:highlight w:val="none"/>
              </w:rPr>
              <w:t>分</w:t>
            </w:r>
          </w:p>
        </w:tc>
        <w:tc>
          <w:tcPr>
            <w:tcW w:w="71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lang w:val="en-US"/>
              </w:rPr>
            </w:pPr>
            <w:r>
              <w:rPr>
                <w:rFonts w:hint="eastAsia"/>
                <w:color w:val="auto"/>
                <w:sz w:val="21"/>
                <w:szCs w:val="21"/>
                <w:highlight w:val="none"/>
                <w:lang w:val="en-US"/>
              </w:rPr>
              <w:t>1、</w:t>
            </w:r>
            <w:r>
              <w:rPr>
                <w:rFonts w:hint="eastAsia"/>
                <w:color w:val="auto"/>
                <w:sz w:val="21"/>
                <w:szCs w:val="21"/>
                <w:highlight w:val="none"/>
              </w:rPr>
              <w:t>2017年1月1日至今，投标人独立完成过文物保护工程（含设计、施工）项目业绩的：本项目最高得</w:t>
            </w:r>
            <w:r>
              <w:rPr>
                <w:rFonts w:hint="eastAsia"/>
                <w:color w:val="auto"/>
                <w:sz w:val="21"/>
                <w:szCs w:val="21"/>
                <w:highlight w:val="none"/>
                <w:lang w:val="en-US"/>
              </w:rPr>
              <w:t>4分</w:t>
            </w:r>
          </w:p>
          <w:p>
            <w:pPr>
              <w:rPr>
                <w:color w:val="auto"/>
                <w:sz w:val="21"/>
                <w:szCs w:val="21"/>
                <w:highlight w:val="none"/>
              </w:rPr>
            </w:pPr>
            <w:r>
              <w:rPr>
                <w:rFonts w:hint="eastAsia"/>
                <w:color w:val="auto"/>
                <w:sz w:val="21"/>
                <w:szCs w:val="21"/>
                <w:highlight w:val="none"/>
              </w:rPr>
              <w:t>（1）全国重点文物保护单位，每个</w:t>
            </w:r>
            <w:r>
              <w:rPr>
                <w:rFonts w:hint="eastAsia"/>
                <w:color w:val="auto"/>
                <w:sz w:val="21"/>
                <w:szCs w:val="21"/>
                <w:highlight w:val="none"/>
                <w:lang w:val="en-US"/>
              </w:rPr>
              <w:t>1</w:t>
            </w:r>
            <w:r>
              <w:rPr>
                <w:rFonts w:hint="eastAsia"/>
                <w:color w:val="auto"/>
                <w:sz w:val="21"/>
                <w:szCs w:val="21"/>
                <w:highlight w:val="none"/>
              </w:rPr>
              <w:t>分，最高得</w:t>
            </w:r>
            <w:r>
              <w:rPr>
                <w:rFonts w:hint="eastAsia"/>
                <w:color w:val="auto"/>
                <w:sz w:val="21"/>
                <w:szCs w:val="21"/>
                <w:highlight w:val="none"/>
                <w:lang w:val="en-US"/>
              </w:rPr>
              <w:t>3</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（2）省级文物保护单位，每个0.5分，最高得</w:t>
            </w:r>
            <w:r>
              <w:rPr>
                <w:rFonts w:hint="eastAsia"/>
                <w:color w:val="auto"/>
                <w:sz w:val="21"/>
                <w:szCs w:val="21"/>
                <w:highlight w:val="none"/>
                <w:lang w:val="en-US"/>
              </w:rPr>
              <w:t>1</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lang w:val="en-US"/>
              </w:rPr>
              <w:t>2、</w:t>
            </w:r>
            <w:r>
              <w:rPr>
                <w:rFonts w:hint="eastAsia"/>
                <w:color w:val="auto"/>
                <w:sz w:val="21"/>
                <w:szCs w:val="21"/>
                <w:highlight w:val="none"/>
              </w:rPr>
              <w:t>2017年</w:t>
            </w:r>
            <w:r>
              <w:rPr>
                <w:rFonts w:hint="eastAsia"/>
                <w:color w:val="auto"/>
                <w:sz w:val="21"/>
                <w:szCs w:val="21"/>
                <w:highlight w:val="none"/>
                <w:lang w:val="en-US"/>
              </w:rPr>
              <w:t>1月1日</w:t>
            </w:r>
            <w:r>
              <w:rPr>
                <w:rFonts w:hint="eastAsia"/>
                <w:color w:val="auto"/>
                <w:sz w:val="21"/>
                <w:szCs w:val="21"/>
                <w:highlight w:val="none"/>
              </w:rPr>
              <w:t>至今，投标人承接文物监督保护服务项目工作经验的，得</w:t>
            </w:r>
            <w:r>
              <w:rPr>
                <w:rFonts w:hint="eastAsia"/>
                <w:color w:val="auto"/>
                <w:sz w:val="21"/>
                <w:szCs w:val="21"/>
                <w:highlight w:val="none"/>
                <w:lang w:val="en-US"/>
              </w:rPr>
              <w:t>2</w:t>
            </w:r>
            <w:r>
              <w:rPr>
                <w:rFonts w:hint="eastAsia"/>
                <w:color w:val="auto"/>
                <w:sz w:val="21"/>
                <w:szCs w:val="21"/>
                <w:highlight w:val="none"/>
              </w:rPr>
              <w:t>分，不提供不得分。</w:t>
            </w:r>
          </w:p>
          <w:p>
            <w:pPr>
              <w:rPr>
                <w:color w:val="auto"/>
                <w:sz w:val="21"/>
                <w:szCs w:val="21"/>
                <w:highlight w:val="none"/>
              </w:rPr>
            </w:pPr>
            <w:r>
              <w:rPr>
                <w:rFonts w:hint="eastAsia"/>
                <w:color w:val="auto"/>
                <w:sz w:val="21"/>
                <w:szCs w:val="21"/>
                <w:highlight w:val="none"/>
              </w:rPr>
              <w:t>注：提供相关的合同业绩、合同签订时间为准，不符合要求的均不得分。</w:t>
            </w:r>
          </w:p>
        </w:tc>
      </w:tr>
      <w:tr>
        <w:tblPrEx>
          <w:tblCellMar>
            <w:top w:w="0" w:type="dxa"/>
            <w:left w:w="108" w:type="dxa"/>
            <w:bottom w:w="0" w:type="dxa"/>
            <w:right w:w="108" w:type="dxa"/>
          </w:tblCellMar>
        </w:tblPrEx>
        <w:trPr>
          <w:cantSplit/>
          <w:trHeight w:val="1408" w:hRule="atLeast"/>
          <w:jc w:val="center"/>
        </w:trPr>
        <w:tc>
          <w:tcPr>
            <w:tcW w:w="481" w:type="dxa"/>
            <w:tcBorders>
              <w:top w:val="single" w:color="auto" w:sz="6" w:space="0"/>
              <w:left w:val="single" w:color="auto" w:sz="8" w:space="0"/>
              <w:bottom w:val="single" w:color="auto" w:sz="6"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2</w:t>
            </w:r>
          </w:p>
        </w:tc>
        <w:tc>
          <w:tcPr>
            <w:tcW w:w="1350"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项目负责人</w:t>
            </w:r>
          </w:p>
        </w:tc>
        <w:tc>
          <w:tcPr>
            <w:tcW w:w="825"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16分</w:t>
            </w:r>
          </w:p>
        </w:tc>
        <w:tc>
          <w:tcPr>
            <w:tcW w:w="71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投入本项目的项目负责人：</w:t>
            </w:r>
          </w:p>
          <w:p>
            <w:pPr>
              <w:rPr>
                <w:color w:val="auto"/>
                <w:sz w:val="21"/>
                <w:szCs w:val="21"/>
                <w:highlight w:val="none"/>
              </w:rPr>
            </w:pPr>
            <w:r>
              <w:rPr>
                <w:rFonts w:hint="eastAsia"/>
                <w:color w:val="auto"/>
                <w:sz w:val="21"/>
                <w:szCs w:val="21"/>
                <w:highlight w:val="none"/>
              </w:rPr>
              <w:t>（1）具有建筑专业博士学历得8分，硕士学历得4分，本科学历得2分，其他不得分。</w:t>
            </w:r>
          </w:p>
          <w:p>
            <w:pPr>
              <w:rPr>
                <w:color w:val="auto"/>
                <w:sz w:val="21"/>
                <w:szCs w:val="21"/>
                <w:highlight w:val="none"/>
              </w:rPr>
            </w:pPr>
            <w:r>
              <w:rPr>
                <w:rFonts w:hint="eastAsia"/>
                <w:color w:val="auto"/>
                <w:sz w:val="21"/>
                <w:szCs w:val="21"/>
                <w:highlight w:val="none"/>
              </w:rPr>
              <w:t>（2）在（1）的基础上具有中级（或以上）职称的得1分，其他不得分。</w:t>
            </w:r>
          </w:p>
          <w:p>
            <w:pPr>
              <w:rPr>
                <w:color w:val="auto"/>
                <w:sz w:val="21"/>
                <w:szCs w:val="21"/>
                <w:highlight w:val="none"/>
              </w:rPr>
            </w:pPr>
            <w:r>
              <w:rPr>
                <w:rFonts w:hint="eastAsia"/>
                <w:color w:val="auto"/>
                <w:sz w:val="21"/>
                <w:szCs w:val="21"/>
                <w:highlight w:val="none"/>
              </w:rPr>
              <w:t>（3）在（2）基础上具有国家文物局或中国古迹遗址保护协会或文化厅、文物局、省古迹保护协会颁发的业务培训证书，得1分，其他不得分。</w:t>
            </w:r>
          </w:p>
          <w:p>
            <w:pPr>
              <w:rPr>
                <w:color w:val="auto"/>
                <w:sz w:val="21"/>
                <w:szCs w:val="21"/>
                <w:highlight w:val="none"/>
              </w:rPr>
            </w:pPr>
            <w:r>
              <w:rPr>
                <w:rFonts w:hint="eastAsia"/>
                <w:color w:val="auto"/>
                <w:sz w:val="21"/>
                <w:szCs w:val="21"/>
                <w:highlight w:val="none"/>
              </w:rPr>
              <w:t>（4）在（3）基础上获得过省级或以上级别的建筑勘察设计类奖项，得3分</w:t>
            </w:r>
          </w:p>
          <w:p>
            <w:pPr>
              <w:rPr>
                <w:color w:val="auto"/>
                <w:sz w:val="21"/>
                <w:szCs w:val="21"/>
                <w:highlight w:val="none"/>
              </w:rPr>
            </w:pPr>
            <w:r>
              <w:rPr>
                <w:rFonts w:hint="eastAsia"/>
                <w:color w:val="auto"/>
                <w:sz w:val="21"/>
                <w:szCs w:val="21"/>
                <w:highlight w:val="none"/>
              </w:rPr>
              <w:t>（5）在（4）基础上获得过省级或以上级别的勘察设计优秀项目类奖项，得3分，不提供不得分。</w:t>
            </w:r>
          </w:p>
          <w:p>
            <w:pPr>
              <w:rPr>
                <w:color w:val="auto"/>
                <w:sz w:val="21"/>
                <w:szCs w:val="21"/>
                <w:highlight w:val="none"/>
              </w:rPr>
            </w:pPr>
            <w:r>
              <w:rPr>
                <w:rFonts w:hint="eastAsia"/>
                <w:color w:val="auto"/>
                <w:sz w:val="21"/>
                <w:szCs w:val="21"/>
                <w:highlight w:val="none"/>
              </w:rPr>
              <w:t>注：需提供项目负责人相关证书复印件，并加盖公章，及近6个月内社保证明。</w:t>
            </w:r>
          </w:p>
        </w:tc>
      </w:tr>
      <w:tr>
        <w:tblPrEx>
          <w:tblCellMar>
            <w:top w:w="0" w:type="dxa"/>
            <w:left w:w="108" w:type="dxa"/>
            <w:bottom w:w="0" w:type="dxa"/>
            <w:right w:w="108" w:type="dxa"/>
          </w:tblCellMar>
        </w:tblPrEx>
        <w:trPr>
          <w:cantSplit/>
          <w:trHeight w:val="3013" w:hRule="atLeast"/>
          <w:jc w:val="center"/>
        </w:trPr>
        <w:tc>
          <w:tcPr>
            <w:tcW w:w="481" w:type="dxa"/>
            <w:tcBorders>
              <w:top w:val="single" w:color="auto" w:sz="6" w:space="0"/>
              <w:left w:val="single" w:color="auto" w:sz="8" w:space="0"/>
              <w:bottom w:val="single" w:color="auto" w:sz="6"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3</w:t>
            </w:r>
          </w:p>
        </w:tc>
        <w:tc>
          <w:tcPr>
            <w:tcW w:w="1350"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项目组成人员</w:t>
            </w:r>
          </w:p>
        </w:tc>
        <w:tc>
          <w:tcPr>
            <w:tcW w:w="825"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12分</w:t>
            </w:r>
          </w:p>
          <w:p>
            <w:pPr>
              <w:rPr>
                <w:color w:val="auto"/>
                <w:sz w:val="21"/>
                <w:szCs w:val="21"/>
                <w:highlight w:val="none"/>
              </w:rPr>
            </w:pPr>
          </w:p>
        </w:tc>
        <w:tc>
          <w:tcPr>
            <w:tcW w:w="71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投入本项目的项目组成人员</w:t>
            </w:r>
            <w:r>
              <w:rPr>
                <w:rFonts w:hint="eastAsia"/>
                <w:color w:val="auto"/>
                <w:sz w:val="21"/>
                <w:szCs w:val="21"/>
                <w:highlight w:val="none"/>
                <w:lang w:eastAsia="zh-CN"/>
              </w:rPr>
              <w:t>（</w:t>
            </w:r>
            <w:r>
              <w:rPr>
                <w:rFonts w:hint="eastAsia"/>
                <w:color w:val="auto"/>
                <w:sz w:val="21"/>
                <w:szCs w:val="21"/>
                <w:highlight w:val="none"/>
              </w:rPr>
              <w:t>项目负责人</w:t>
            </w:r>
            <w:r>
              <w:rPr>
                <w:rFonts w:hint="eastAsia"/>
                <w:color w:val="auto"/>
                <w:sz w:val="21"/>
                <w:szCs w:val="21"/>
                <w:highlight w:val="none"/>
                <w:lang w:val="en-US" w:eastAsia="zh-CN"/>
              </w:rPr>
              <w:t>除外</w:t>
            </w:r>
            <w:r>
              <w:rPr>
                <w:rFonts w:hint="eastAsia"/>
                <w:color w:val="auto"/>
                <w:sz w:val="21"/>
                <w:szCs w:val="21"/>
                <w:highlight w:val="none"/>
                <w:lang w:eastAsia="zh-CN"/>
              </w:rPr>
              <w:t>）</w:t>
            </w:r>
            <w:r>
              <w:rPr>
                <w:rFonts w:hint="eastAsia"/>
                <w:color w:val="auto"/>
                <w:sz w:val="21"/>
                <w:szCs w:val="21"/>
                <w:highlight w:val="none"/>
              </w:rPr>
              <w:t>：</w:t>
            </w:r>
          </w:p>
          <w:p>
            <w:pPr>
              <w:rPr>
                <w:color w:val="auto"/>
                <w:sz w:val="21"/>
                <w:szCs w:val="21"/>
                <w:highlight w:val="none"/>
              </w:rPr>
            </w:pPr>
            <w:r>
              <w:rPr>
                <w:rFonts w:hint="eastAsia"/>
                <w:color w:val="auto"/>
                <w:sz w:val="21"/>
                <w:szCs w:val="21"/>
                <w:highlight w:val="none"/>
              </w:rPr>
              <w:t>（1）投入本项目的项目人员具有中级（或以上）职称得2分：</w:t>
            </w:r>
          </w:p>
          <w:p>
            <w:pPr>
              <w:rPr>
                <w:color w:val="auto"/>
                <w:sz w:val="21"/>
                <w:szCs w:val="21"/>
                <w:highlight w:val="none"/>
              </w:rPr>
            </w:pPr>
            <w:r>
              <w:rPr>
                <w:rFonts w:hint="eastAsia"/>
                <w:color w:val="auto"/>
                <w:sz w:val="21"/>
                <w:szCs w:val="21"/>
                <w:highlight w:val="none"/>
              </w:rPr>
              <w:t>（2）在（1）的基础上同时具有国家文物局或中国古迹遗址保护协会或文化厅、文物局、省古迹保护协会颁发的业务培训证书，加1分。</w:t>
            </w:r>
          </w:p>
          <w:p>
            <w:pPr>
              <w:rPr>
                <w:color w:val="auto"/>
                <w:sz w:val="21"/>
                <w:szCs w:val="21"/>
                <w:highlight w:val="none"/>
              </w:rPr>
            </w:pPr>
            <w:r>
              <w:rPr>
                <w:rFonts w:hint="eastAsia"/>
                <w:color w:val="auto"/>
                <w:sz w:val="21"/>
                <w:szCs w:val="21"/>
                <w:highlight w:val="none"/>
              </w:rPr>
              <w:t>（3）上述人员每提供1人最高得</w:t>
            </w:r>
            <w:r>
              <w:rPr>
                <w:rFonts w:hint="eastAsia"/>
                <w:color w:val="auto"/>
                <w:sz w:val="21"/>
                <w:szCs w:val="21"/>
                <w:highlight w:val="none"/>
                <w:lang w:val="en-US"/>
              </w:rPr>
              <w:t>3</w:t>
            </w:r>
            <w:r>
              <w:rPr>
                <w:rFonts w:hint="eastAsia"/>
                <w:color w:val="auto"/>
                <w:sz w:val="21"/>
                <w:szCs w:val="21"/>
                <w:highlight w:val="none"/>
              </w:rPr>
              <w:t>分，此项最高得</w:t>
            </w:r>
            <w:r>
              <w:rPr>
                <w:rFonts w:hint="eastAsia"/>
                <w:color w:val="auto"/>
                <w:sz w:val="21"/>
                <w:szCs w:val="21"/>
                <w:highlight w:val="none"/>
                <w:lang w:val="en-US"/>
              </w:rPr>
              <w:t>6</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（4）在满足（3）基础上项目人员中获得过省级或以上级别的建筑勘察设计类奖项，加3分，最高得3分。</w:t>
            </w:r>
          </w:p>
          <w:p>
            <w:pPr>
              <w:rPr>
                <w:color w:val="auto"/>
                <w:sz w:val="21"/>
                <w:szCs w:val="21"/>
                <w:highlight w:val="none"/>
              </w:rPr>
            </w:pPr>
            <w:r>
              <w:rPr>
                <w:rFonts w:hint="eastAsia"/>
                <w:color w:val="auto"/>
                <w:sz w:val="21"/>
                <w:szCs w:val="21"/>
                <w:highlight w:val="none"/>
              </w:rPr>
              <w:t>（5）在满足（3）基础上项目人员中获得过省级或以上级别的勘察设计优秀项目类奖项，加3分，最高得3分。</w:t>
            </w:r>
          </w:p>
          <w:p>
            <w:pPr>
              <w:rPr>
                <w:color w:val="auto"/>
                <w:sz w:val="21"/>
                <w:szCs w:val="21"/>
                <w:highlight w:val="none"/>
              </w:rPr>
            </w:pPr>
            <w:r>
              <w:rPr>
                <w:rFonts w:hint="eastAsia"/>
                <w:color w:val="auto"/>
                <w:sz w:val="21"/>
                <w:szCs w:val="21"/>
                <w:highlight w:val="none"/>
              </w:rPr>
              <w:t>注：需提供相关</w:t>
            </w:r>
            <w:r>
              <w:rPr>
                <w:rFonts w:hint="eastAsia"/>
                <w:color w:val="auto"/>
                <w:sz w:val="21"/>
                <w:szCs w:val="21"/>
                <w:highlight w:val="none"/>
                <w:lang w:eastAsia="zh-CN"/>
              </w:rPr>
              <w:t>人员</w:t>
            </w:r>
            <w:r>
              <w:rPr>
                <w:rFonts w:hint="eastAsia"/>
                <w:color w:val="auto"/>
                <w:sz w:val="21"/>
                <w:szCs w:val="21"/>
                <w:highlight w:val="none"/>
              </w:rPr>
              <w:t>证书复印件，并加盖公章，及近6个月内社保证明。</w:t>
            </w:r>
          </w:p>
        </w:tc>
      </w:tr>
      <w:tr>
        <w:tblPrEx>
          <w:tblCellMar>
            <w:top w:w="0" w:type="dxa"/>
            <w:left w:w="108" w:type="dxa"/>
            <w:bottom w:w="0" w:type="dxa"/>
            <w:right w:w="108" w:type="dxa"/>
          </w:tblCellMar>
        </w:tblPrEx>
        <w:trPr>
          <w:cantSplit/>
          <w:trHeight w:val="1408" w:hRule="atLeast"/>
          <w:jc w:val="center"/>
        </w:trPr>
        <w:tc>
          <w:tcPr>
            <w:tcW w:w="481" w:type="dxa"/>
            <w:tcBorders>
              <w:left w:val="single" w:color="auto" w:sz="8" w:space="0"/>
              <w:bottom w:val="single" w:color="auto" w:sz="4" w:space="0"/>
              <w:right w:val="single" w:color="auto" w:sz="6" w:space="0"/>
            </w:tcBorders>
            <w:vAlign w:val="center"/>
          </w:tcPr>
          <w:p>
            <w:pPr>
              <w:jc w:val="center"/>
              <w:rPr>
                <w:color w:val="auto"/>
                <w:sz w:val="21"/>
                <w:szCs w:val="21"/>
                <w:highlight w:val="none"/>
              </w:rPr>
            </w:pPr>
            <w:r>
              <w:rPr>
                <w:color w:val="auto"/>
                <w:sz w:val="21"/>
                <w:szCs w:val="21"/>
                <w:highlight w:val="none"/>
              </w:rPr>
              <w:t>4</w:t>
            </w:r>
          </w:p>
        </w:tc>
        <w:tc>
          <w:tcPr>
            <w:tcW w:w="1350" w:type="dxa"/>
            <w:tcBorders>
              <w:left w:val="single" w:color="auto" w:sz="6" w:space="0"/>
              <w:bottom w:val="single" w:color="auto" w:sz="4" w:space="0"/>
              <w:right w:val="single" w:color="auto" w:sz="6" w:space="0"/>
            </w:tcBorders>
            <w:vAlign w:val="center"/>
          </w:tcPr>
          <w:p>
            <w:pPr>
              <w:rPr>
                <w:color w:val="auto"/>
                <w:sz w:val="21"/>
                <w:szCs w:val="21"/>
                <w:highlight w:val="none"/>
              </w:rPr>
            </w:pPr>
            <w:r>
              <w:rPr>
                <w:rFonts w:hint="eastAsia"/>
                <w:color w:val="auto"/>
                <w:sz w:val="21"/>
                <w:szCs w:val="21"/>
                <w:highlight w:val="none"/>
              </w:rPr>
              <w:t>企业信誉</w:t>
            </w:r>
          </w:p>
        </w:tc>
        <w:tc>
          <w:tcPr>
            <w:tcW w:w="825"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lang w:val="en-US"/>
              </w:rPr>
              <w:t>6</w:t>
            </w:r>
            <w:r>
              <w:rPr>
                <w:rFonts w:hint="eastAsia"/>
                <w:color w:val="auto"/>
                <w:sz w:val="21"/>
                <w:szCs w:val="21"/>
                <w:highlight w:val="none"/>
              </w:rPr>
              <w:t>分</w:t>
            </w:r>
          </w:p>
          <w:p>
            <w:pPr>
              <w:rPr>
                <w:color w:val="auto"/>
                <w:sz w:val="21"/>
                <w:szCs w:val="21"/>
                <w:highlight w:val="none"/>
              </w:rPr>
            </w:pPr>
          </w:p>
        </w:tc>
        <w:tc>
          <w:tcPr>
            <w:tcW w:w="71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rFonts w:hint="eastAsia"/>
                <w:color w:val="auto"/>
                <w:sz w:val="21"/>
                <w:szCs w:val="21"/>
                <w:highlight w:val="none"/>
              </w:rPr>
              <w:t>2017年至今，投标人承接的类似项目：</w:t>
            </w:r>
          </w:p>
          <w:p>
            <w:pPr>
              <w:rPr>
                <w:color w:val="auto"/>
                <w:sz w:val="21"/>
                <w:szCs w:val="21"/>
                <w:highlight w:val="none"/>
              </w:rPr>
            </w:pPr>
            <w:r>
              <w:rPr>
                <w:rFonts w:hint="eastAsia"/>
                <w:color w:val="auto"/>
                <w:sz w:val="21"/>
                <w:szCs w:val="21"/>
                <w:highlight w:val="none"/>
              </w:rPr>
              <w:t>（1）获得过市级或以上行政主管部门颁发文物保护利用相关类奖项，得</w:t>
            </w:r>
            <w:r>
              <w:rPr>
                <w:rFonts w:hint="eastAsia"/>
                <w:color w:val="auto"/>
                <w:sz w:val="21"/>
                <w:szCs w:val="21"/>
                <w:highlight w:val="none"/>
                <w:lang w:val="en-US"/>
              </w:rPr>
              <w:t>3</w:t>
            </w:r>
            <w:r>
              <w:rPr>
                <w:rFonts w:hint="eastAsia"/>
                <w:color w:val="auto"/>
                <w:sz w:val="21"/>
                <w:szCs w:val="21"/>
                <w:highlight w:val="none"/>
              </w:rPr>
              <w:t>分，不提供不得分。</w:t>
            </w:r>
          </w:p>
          <w:p>
            <w:pPr>
              <w:rPr>
                <w:color w:val="auto"/>
                <w:sz w:val="21"/>
                <w:szCs w:val="21"/>
                <w:highlight w:val="none"/>
              </w:rPr>
            </w:pPr>
            <w:r>
              <w:rPr>
                <w:rFonts w:hint="eastAsia"/>
                <w:color w:val="auto"/>
                <w:sz w:val="21"/>
                <w:szCs w:val="21"/>
                <w:highlight w:val="none"/>
              </w:rPr>
              <w:t>（2）获得过省级或以上级别的获得过省级或以上级别的勘察设计优秀项目类奖项，得</w:t>
            </w:r>
            <w:r>
              <w:rPr>
                <w:rFonts w:hint="eastAsia"/>
                <w:color w:val="auto"/>
                <w:sz w:val="21"/>
                <w:szCs w:val="21"/>
                <w:highlight w:val="none"/>
                <w:lang w:val="en-US"/>
              </w:rPr>
              <w:t>3</w:t>
            </w:r>
            <w:r>
              <w:rPr>
                <w:rFonts w:hint="eastAsia"/>
                <w:color w:val="auto"/>
                <w:sz w:val="21"/>
                <w:szCs w:val="21"/>
                <w:highlight w:val="none"/>
              </w:rPr>
              <w:t>分，不提供不得分。</w:t>
            </w:r>
          </w:p>
          <w:p>
            <w:pPr>
              <w:rPr>
                <w:color w:val="auto"/>
                <w:sz w:val="21"/>
                <w:szCs w:val="21"/>
                <w:highlight w:val="none"/>
              </w:rPr>
            </w:pPr>
            <w:r>
              <w:rPr>
                <w:rFonts w:hint="eastAsia"/>
                <w:color w:val="auto"/>
                <w:sz w:val="21"/>
                <w:szCs w:val="21"/>
                <w:highlight w:val="none"/>
              </w:rPr>
              <w:t>注：需提供相关证书复印件，并加盖公章。</w:t>
            </w:r>
          </w:p>
        </w:tc>
      </w:tr>
      <w:tr>
        <w:tblPrEx>
          <w:tblCellMar>
            <w:top w:w="0" w:type="dxa"/>
            <w:left w:w="108" w:type="dxa"/>
            <w:bottom w:w="0" w:type="dxa"/>
            <w:right w:w="108" w:type="dxa"/>
          </w:tblCellMar>
        </w:tblPrEx>
        <w:trPr>
          <w:cantSplit/>
          <w:trHeight w:val="567" w:hRule="atLeast"/>
          <w:jc w:val="center"/>
        </w:trPr>
        <w:tc>
          <w:tcPr>
            <w:tcW w:w="1831" w:type="dxa"/>
            <w:gridSpan w:val="2"/>
            <w:tcBorders>
              <w:top w:val="single" w:color="auto" w:sz="4" w:space="0"/>
              <w:left w:val="single" w:color="auto" w:sz="4" w:space="0"/>
              <w:bottom w:val="single" w:color="auto" w:sz="4" w:space="0"/>
              <w:right w:val="single" w:color="auto" w:sz="4" w:space="0"/>
            </w:tcBorders>
            <w:vAlign w:val="center"/>
          </w:tcPr>
          <w:p>
            <w:pPr>
              <w:rPr>
                <w:color w:val="auto"/>
                <w:sz w:val="24"/>
                <w:szCs w:val="24"/>
                <w:highlight w:val="none"/>
              </w:rPr>
            </w:pPr>
            <w:r>
              <w:rPr>
                <w:rFonts w:hint="eastAsia"/>
                <w:color w:val="auto"/>
                <w:sz w:val="24"/>
                <w:szCs w:val="24"/>
                <w:highlight w:val="none"/>
              </w:rPr>
              <w:t>合计</w:t>
            </w:r>
          </w:p>
        </w:tc>
        <w:tc>
          <w:tcPr>
            <w:tcW w:w="825"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rFonts w:hint="eastAsia"/>
                <w:color w:val="auto"/>
                <w:sz w:val="24"/>
                <w:szCs w:val="24"/>
                <w:highlight w:val="none"/>
              </w:rPr>
              <w:t>40分</w:t>
            </w:r>
          </w:p>
        </w:tc>
        <w:tc>
          <w:tcPr>
            <w:tcW w:w="7104" w:type="dxa"/>
            <w:tcBorders>
              <w:top w:val="single" w:color="auto" w:sz="4" w:space="0"/>
              <w:left w:val="single" w:color="auto" w:sz="4" w:space="0"/>
              <w:bottom w:val="single" w:color="auto" w:sz="4" w:space="0"/>
              <w:right w:val="single" w:color="auto" w:sz="4" w:space="0"/>
            </w:tcBorders>
            <w:vAlign w:val="center"/>
          </w:tcPr>
          <w:p>
            <w:pPr>
              <w:rPr>
                <w:color w:val="auto"/>
                <w:sz w:val="24"/>
                <w:szCs w:val="24"/>
                <w:highlight w:val="none"/>
              </w:rPr>
            </w:pPr>
          </w:p>
        </w:tc>
      </w:tr>
    </w:tbl>
    <w:p>
      <w:pPr>
        <w:rPr>
          <w:b/>
          <w:color w:val="auto"/>
          <w:sz w:val="24"/>
          <w:szCs w:val="24"/>
          <w:highlight w:val="none"/>
        </w:rPr>
      </w:pPr>
      <w:r>
        <w:rPr>
          <w:rFonts w:hint="eastAsia"/>
          <w:b/>
          <w:color w:val="auto"/>
          <w:sz w:val="24"/>
          <w:szCs w:val="24"/>
          <w:highlight w:val="none"/>
        </w:rPr>
        <w:br w:type="page"/>
      </w:r>
    </w:p>
    <w:p>
      <w:pPr>
        <w:rPr>
          <w:b/>
          <w:color w:val="auto"/>
          <w:sz w:val="24"/>
          <w:szCs w:val="24"/>
          <w:highlight w:val="none"/>
        </w:rPr>
      </w:pPr>
      <w:r>
        <w:rPr>
          <w:rFonts w:hint="eastAsia"/>
          <w:b/>
          <w:color w:val="auto"/>
          <w:sz w:val="24"/>
          <w:szCs w:val="24"/>
          <w:highlight w:val="none"/>
        </w:rPr>
        <w:t>附件</w:t>
      </w:r>
      <w:r>
        <w:rPr>
          <w:rFonts w:hint="eastAsia"/>
          <w:b/>
          <w:color w:val="auto"/>
          <w:sz w:val="24"/>
          <w:szCs w:val="24"/>
          <w:highlight w:val="none"/>
          <w:lang w:val="en-US"/>
        </w:rPr>
        <w:t>4</w:t>
      </w:r>
      <w:r>
        <w:rPr>
          <w:rFonts w:hint="eastAsia"/>
          <w:b/>
          <w:color w:val="auto"/>
          <w:sz w:val="24"/>
          <w:szCs w:val="24"/>
          <w:highlight w:val="none"/>
        </w:rPr>
        <w:t>技术评分表</w:t>
      </w:r>
    </w:p>
    <w:p>
      <w:pPr>
        <w:snapToGrid w:val="0"/>
        <w:spacing w:line="360" w:lineRule="auto"/>
        <w:rPr>
          <w:bCs/>
          <w:color w:val="auto"/>
          <w:szCs w:val="21"/>
          <w:highlight w:val="none"/>
        </w:rPr>
      </w:pPr>
      <w:r>
        <w:rPr>
          <w:rFonts w:hint="eastAsia"/>
          <w:bCs/>
          <w:color w:val="auto"/>
          <w:szCs w:val="21"/>
          <w:highlight w:val="none"/>
        </w:rPr>
        <w:t>项目编号：</w:t>
      </w:r>
    </w:p>
    <w:p>
      <w:pPr>
        <w:pStyle w:val="26"/>
        <w:ind w:firstLine="0" w:firstLineChars="0"/>
        <w:rPr>
          <w:color w:val="auto"/>
          <w:highlight w:val="none"/>
        </w:rPr>
      </w:pPr>
      <w:r>
        <w:rPr>
          <w:rFonts w:hint="eastAsia" w:ascii="宋体" w:hAnsi="宋体"/>
          <w:bCs/>
          <w:color w:val="auto"/>
          <w:szCs w:val="21"/>
          <w:highlight w:val="none"/>
        </w:rPr>
        <w:t>项目名称：</w:t>
      </w:r>
    </w:p>
    <w:tbl>
      <w:tblPr>
        <w:tblStyle w:val="18"/>
        <w:tblW w:w="9935" w:type="dxa"/>
        <w:jc w:val="center"/>
        <w:tblLayout w:type="fixed"/>
        <w:tblCellMar>
          <w:top w:w="0" w:type="dxa"/>
          <w:left w:w="108" w:type="dxa"/>
          <w:bottom w:w="0" w:type="dxa"/>
          <w:right w:w="108" w:type="dxa"/>
        </w:tblCellMar>
      </w:tblPr>
      <w:tblGrid>
        <w:gridCol w:w="752"/>
        <w:gridCol w:w="1528"/>
        <w:gridCol w:w="851"/>
        <w:gridCol w:w="6804"/>
      </w:tblGrid>
      <w:tr>
        <w:tblPrEx>
          <w:tblCellMar>
            <w:top w:w="0" w:type="dxa"/>
            <w:left w:w="108" w:type="dxa"/>
            <w:bottom w:w="0" w:type="dxa"/>
            <w:right w:w="108" w:type="dxa"/>
          </w:tblCellMar>
        </w:tblPrEx>
        <w:trPr>
          <w:trHeight w:val="561" w:hRule="atLeast"/>
          <w:jc w:val="center"/>
        </w:trPr>
        <w:tc>
          <w:tcPr>
            <w:tcW w:w="752" w:type="dxa"/>
            <w:tcBorders>
              <w:top w:val="single" w:color="auto" w:sz="8" w:space="0"/>
              <w:left w:val="single" w:color="auto" w:sz="8" w:space="0"/>
              <w:bottom w:val="single" w:color="auto" w:sz="6" w:space="0"/>
              <w:right w:val="single" w:color="auto" w:sz="4" w:space="0"/>
            </w:tcBorders>
            <w:vAlign w:val="center"/>
          </w:tcPr>
          <w:p>
            <w:pPr>
              <w:jc w:val="center"/>
              <w:rPr>
                <w:b/>
                <w:color w:val="auto"/>
                <w:sz w:val="24"/>
                <w:szCs w:val="24"/>
                <w:highlight w:val="none"/>
              </w:rPr>
            </w:pPr>
            <w:r>
              <w:rPr>
                <w:rFonts w:hint="eastAsia"/>
                <w:b/>
                <w:color w:val="auto"/>
                <w:sz w:val="24"/>
                <w:szCs w:val="24"/>
                <w:highlight w:val="none"/>
              </w:rPr>
              <w:t>序号</w:t>
            </w:r>
          </w:p>
        </w:tc>
        <w:tc>
          <w:tcPr>
            <w:tcW w:w="1528" w:type="dxa"/>
            <w:tcBorders>
              <w:top w:val="single" w:color="auto" w:sz="8" w:space="0"/>
              <w:left w:val="single" w:color="auto" w:sz="4" w:space="0"/>
              <w:bottom w:val="single" w:color="auto" w:sz="6" w:space="0"/>
              <w:right w:val="single" w:color="auto" w:sz="6" w:space="0"/>
            </w:tcBorders>
            <w:vAlign w:val="center"/>
          </w:tcPr>
          <w:p>
            <w:pPr>
              <w:jc w:val="center"/>
              <w:rPr>
                <w:b/>
                <w:color w:val="auto"/>
                <w:sz w:val="24"/>
                <w:szCs w:val="24"/>
                <w:highlight w:val="none"/>
              </w:rPr>
            </w:pPr>
            <w:r>
              <w:rPr>
                <w:rFonts w:hint="eastAsia"/>
                <w:b/>
                <w:color w:val="auto"/>
                <w:sz w:val="24"/>
                <w:szCs w:val="24"/>
                <w:highlight w:val="none"/>
              </w:rPr>
              <w:t>评审分项</w:t>
            </w:r>
          </w:p>
        </w:tc>
        <w:tc>
          <w:tcPr>
            <w:tcW w:w="851" w:type="dxa"/>
            <w:tcBorders>
              <w:top w:val="single" w:color="auto" w:sz="8" w:space="0"/>
              <w:left w:val="single" w:color="auto" w:sz="6" w:space="0"/>
              <w:bottom w:val="single" w:color="auto" w:sz="6" w:space="0"/>
              <w:right w:val="single" w:color="auto" w:sz="6" w:space="0"/>
            </w:tcBorders>
            <w:vAlign w:val="center"/>
          </w:tcPr>
          <w:p>
            <w:pPr>
              <w:jc w:val="center"/>
              <w:rPr>
                <w:b/>
                <w:color w:val="auto"/>
                <w:sz w:val="24"/>
                <w:szCs w:val="24"/>
                <w:highlight w:val="none"/>
              </w:rPr>
            </w:pPr>
            <w:r>
              <w:rPr>
                <w:rFonts w:hint="eastAsia"/>
                <w:b/>
                <w:color w:val="auto"/>
                <w:sz w:val="24"/>
                <w:szCs w:val="24"/>
                <w:highlight w:val="none"/>
              </w:rPr>
              <w:t>分值</w:t>
            </w:r>
          </w:p>
        </w:tc>
        <w:tc>
          <w:tcPr>
            <w:tcW w:w="6804" w:type="dxa"/>
            <w:tcBorders>
              <w:top w:val="single" w:color="auto" w:sz="8" w:space="0"/>
              <w:left w:val="single" w:color="auto" w:sz="6" w:space="0"/>
              <w:bottom w:val="single" w:color="auto" w:sz="6" w:space="0"/>
              <w:right w:val="single" w:color="auto" w:sz="6" w:space="0"/>
            </w:tcBorders>
            <w:vAlign w:val="center"/>
          </w:tcPr>
          <w:p>
            <w:pPr>
              <w:jc w:val="center"/>
              <w:rPr>
                <w:b/>
                <w:color w:val="auto"/>
                <w:sz w:val="24"/>
                <w:szCs w:val="24"/>
                <w:highlight w:val="none"/>
              </w:rPr>
            </w:pPr>
            <w:r>
              <w:rPr>
                <w:rFonts w:hint="eastAsia"/>
                <w:b/>
                <w:color w:val="auto"/>
                <w:sz w:val="24"/>
                <w:szCs w:val="24"/>
                <w:highlight w:val="none"/>
              </w:rPr>
              <w:t>评审标准</w:t>
            </w:r>
          </w:p>
        </w:tc>
      </w:tr>
      <w:tr>
        <w:tblPrEx>
          <w:tblCellMar>
            <w:top w:w="0" w:type="dxa"/>
            <w:left w:w="108" w:type="dxa"/>
            <w:bottom w:w="0" w:type="dxa"/>
            <w:right w:w="108" w:type="dxa"/>
          </w:tblCellMar>
        </w:tblPrEx>
        <w:trPr>
          <w:cantSplit/>
          <w:trHeight w:val="976" w:hRule="atLeast"/>
          <w:jc w:val="center"/>
        </w:trPr>
        <w:tc>
          <w:tcPr>
            <w:tcW w:w="752" w:type="dxa"/>
            <w:tcBorders>
              <w:top w:val="single" w:color="auto" w:sz="6" w:space="0"/>
              <w:left w:val="single" w:color="auto" w:sz="8" w:space="0"/>
              <w:bottom w:val="single" w:color="auto" w:sz="6" w:space="0"/>
              <w:right w:val="single" w:color="auto" w:sz="6" w:space="0"/>
            </w:tcBorders>
            <w:vAlign w:val="center"/>
          </w:tcPr>
          <w:p>
            <w:pPr>
              <w:jc w:val="center"/>
              <w:rPr>
                <w:color w:val="auto"/>
                <w:sz w:val="21"/>
                <w:szCs w:val="21"/>
                <w:highlight w:val="none"/>
              </w:rPr>
            </w:pPr>
            <w:r>
              <w:rPr>
                <w:color w:val="auto"/>
                <w:sz w:val="21"/>
                <w:szCs w:val="21"/>
                <w:highlight w:val="none"/>
              </w:rPr>
              <w:t>1</w:t>
            </w:r>
          </w:p>
        </w:tc>
        <w:tc>
          <w:tcPr>
            <w:tcW w:w="1528" w:type="dxa"/>
            <w:tcBorders>
              <w:top w:val="single" w:color="auto" w:sz="6" w:space="0"/>
              <w:left w:val="single" w:color="auto" w:sz="6" w:space="0"/>
              <w:bottom w:val="single" w:color="auto" w:sz="6"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项目背景</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color w:val="auto"/>
                <w:sz w:val="21"/>
                <w:szCs w:val="21"/>
                <w:highlight w:val="none"/>
              </w:rPr>
            </w:pPr>
            <w:r>
              <w:rPr>
                <w:color w:val="auto"/>
                <w:sz w:val="21"/>
                <w:szCs w:val="21"/>
                <w:highlight w:val="none"/>
              </w:rPr>
              <w:t>8</w:t>
            </w:r>
            <w:r>
              <w:rPr>
                <w:rFonts w:hint="eastAsia"/>
                <w:color w:val="auto"/>
                <w:sz w:val="21"/>
                <w:szCs w:val="21"/>
                <w:highlight w:val="none"/>
              </w:rPr>
              <w:t>分</w:t>
            </w:r>
          </w:p>
        </w:tc>
        <w:tc>
          <w:tcPr>
            <w:tcW w:w="68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color w:val="auto"/>
                <w:sz w:val="21"/>
                <w:szCs w:val="21"/>
                <w:highlight w:val="none"/>
              </w:rPr>
              <w:t>投标人</w:t>
            </w:r>
            <w:r>
              <w:rPr>
                <w:rFonts w:hint="eastAsia"/>
                <w:color w:val="auto"/>
                <w:sz w:val="21"/>
                <w:szCs w:val="21"/>
                <w:highlight w:val="none"/>
              </w:rPr>
              <w:t>对项目背景和内容是否深刻、完善：</w:t>
            </w:r>
          </w:p>
          <w:p>
            <w:pPr>
              <w:rPr>
                <w:color w:val="auto"/>
                <w:sz w:val="21"/>
                <w:szCs w:val="21"/>
                <w:highlight w:val="none"/>
              </w:rPr>
            </w:pPr>
            <w:r>
              <w:rPr>
                <w:rFonts w:hint="eastAsia"/>
                <w:color w:val="auto"/>
                <w:sz w:val="21"/>
                <w:szCs w:val="21"/>
                <w:highlight w:val="none"/>
              </w:rPr>
              <w:t>（1）对项目背景和内容理解深刻、全面，充分了解天河区文物构成、保存现状、使用情况及周边基本环境状况，得</w:t>
            </w:r>
            <w:r>
              <w:rPr>
                <w:color w:val="auto"/>
                <w:sz w:val="21"/>
                <w:szCs w:val="21"/>
                <w:highlight w:val="none"/>
              </w:rPr>
              <w:t>8</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（2）对项目背景和内容基本理解，基本了解天河区文物构成、保存现状、使用情况及周边基本环境状况，得</w:t>
            </w:r>
            <w:r>
              <w:rPr>
                <w:color w:val="auto"/>
                <w:sz w:val="21"/>
                <w:szCs w:val="21"/>
                <w:highlight w:val="none"/>
              </w:rPr>
              <w:t>4</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（3）对项目背景和内容理解不到位，不明确文物构成、保存现状、使用情况及周边基本环境状况，得</w:t>
            </w:r>
            <w:r>
              <w:rPr>
                <w:color w:val="auto"/>
                <w:sz w:val="21"/>
                <w:szCs w:val="21"/>
                <w:highlight w:val="none"/>
              </w:rPr>
              <w:t>1</w:t>
            </w:r>
            <w:r>
              <w:rPr>
                <w:rFonts w:hint="eastAsia"/>
                <w:color w:val="auto"/>
                <w:sz w:val="21"/>
                <w:szCs w:val="21"/>
                <w:highlight w:val="none"/>
              </w:rPr>
              <w:t>分；</w:t>
            </w:r>
            <w:r>
              <w:rPr>
                <w:color w:val="auto"/>
                <w:sz w:val="21"/>
                <w:szCs w:val="21"/>
                <w:highlight w:val="none"/>
              </w:rPr>
              <w:br w:type="textWrapping"/>
            </w:r>
            <w:r>
              <w:rPr>
                <w:rFonts w:hint="eastAsia"/>
                <w:color w:val="auto"/>
                <w:sz w:val="21"/>
                <w:szCs w:val="21"/>
                <w:highlight w:val="none"/>
              </w:rPr>
              <w:t>（4）无提供不得分。</w:t>
            </w:r>
          </w:p>
        </w:tc>
      </w:tr>
      <w:tr>
        <w:tblPrEx>
          <w:tblCellMar>
            <w:top w:w="0" w:type="dxa"/>
            <w:left w:w="108" w:type="dxa"/>
            <w:bottom w:w="0" w:type="dxa"/>
            <w:right w:w="108" w:type="dxa"/>
          </w:tblCellMar>
        </w:tblPrEx>
        <w:trPr>
          <w:cantSplit/>
          <w:trHeight w:val="976" w:hRule="atLeast"/>
          <w:jc w:val="center"/>
        </w:trPr>
        <w:tc>
          <w:tcPr>
            <w:tcW w:w="752" w:type="dxa"/>
            <w:tcBorders>
              <w:top w:val="single" w:color="auto" w:sz="6" w:space="0"/>
              <w:left w:val="single" w:color="auto" w:sz="8" w:space="0"/>
              <w:bottom w:val="single" w:color="auto" w:sz="6"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2</w:t>
            </w:r>
          </w:p>
        </w:tc>
        <w:tc>
          <w:tcPr>
            <w:tcW w:w="1528" w:type="dxa"/>
            <w:tcBorders>
              <w:top w:val="single" w:color="auto" w:sz="6" w:space="0"/>
              <w:left w:val="single" w:color="auto" w:sz="6" w:space="0"/>
              <w:bottom w:val="single" w:color="auto" w:sz="6"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现状勘察</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color w:val="auto"/>
                <w:sz w:val="21"/>
                <w:szCs w:val="21"/>
                <w:highlight w:val="none"/>
              </w:rPr>
            </w:pPr>
            <w:r>
              <w:rPr>
                <w:color w:val="auto"/>
                <w:sz w:val="21"/>
                <w:szCs w:val="21"/>
                <w:highlight w:val="none"/>
              </w:rPr>
              <w:t>16</w:t>
            </w:r>
            <w:r>
              <w:rPr>
                <w:rFonts w:hint="eastAsia"/>
                <w:color w:val="auto"/>
                <w:sz w:val="21"/>
                <w:szCs w:val="21"/>
                <w:highlight w:val="none"/>
              </w:rPr>
              <w:t>分</w:t>
            </w:r>
          </w:p>
        </w:tc>
        <w:tc>
          <w:tcPr>
            <w:tcW w:w="68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color w:val="auto"/>
                <w:sz w:val="21"/>
                <w:szCs w:val="21"/>
                <w:highlight w:val="none"/>
              </w:rPr>
              <w:t>投标人</w:t>
            </w:r>
            <w:r>
              <w:rPr>
                <w:rFonts w:hint="eastAsia"/>
                <w:color w:val="auto"/>
                <w:sz w:val="21"/>
                <w:szCs w:val="21"/>
                <w:highlight w:val="none"/>
              </w:rPr>
              <w:t>对天河区现有</w:t>
            </w:r>
            <w:r>
              <w:rPr>
                <w:color w:val="auto"/>
                <w:sz w:val="21"/>
                <w:szCs w:val="21"/>
                <w:highlight w:val="none"/>
              </w:rPr>
              <w:t>229处文物</w:t>
            </w:r>
            <w:r>
              <w:rPr>
                <w:rFonts w:hint="eastAsia"/>
                <w:color w:val="auto"/>
                <w:sz w:val="21"/>
                <w:szCs w:val="21"/>
                <w:highlight w:val="none"/>
              </w:rPr>
              <w:t>的现状勘察情况深入、全面：</w:t>
            </w:r>
            <w:r>
              <w:rPr>
                <w:color w:val="auto"/>
                <w:sz w:val="21"/>
                <w:szCs w:val="21"/>
                <w:highlight w:val="none"/>
              </w:rPr>
              <w:t xml:space="preserve"> </w:t>
            </w:r>
          </w:p>
          <w:p>
            <w:pPr>
              <w:rPr>
                <w:color w:val="auto"/>
                <w:sz w:val="21"/>
                <w:szCs w:val="21"/>
                <w:highlight w:val="none"/>
              </w:rPr>
            </w:pPr>
            <w:r>
              <w:rPr>
                <w:rFonts w:hint="eastAsia"/>
                <w:color w:val="auto"/>
                <w:sz w:val="21"/>
                <w:szCs w:val="21"/>
                <w:highlight w:val="none"/>
              </w:rPr>
              <w:t>（1）对天河区现有</w:t>
            </w:r>
            <w:r>
              <w:rPr>
                <w:color w:val="auto"/>
                <w:sz w:val="21"/>
                <w:szCs w:val="21"/>
                <w:highlight w:val="none"/>
              </w:rPr>
              <w:t>229处文物</w:t>
            </w:r>
            <w:r>
              <w:rPr>
                <w:rFonts w:hint="eastAsia"/>
                <w:color w:val="auto"/>
                <w:sz w:val="21"/>
                <w:szCs w:val="21"/>
                <w:highlight w:val="none"/>
              </w:rPr>
              <w:t>的现状勘察情况深入、全面，说明勘察和调查研究的成果明确、具体的，得</w:t>
            </w:r>
            <w:r>
              <w:rPr>
                <w:color w:val="auto"/>
                <w:sz w:val="21"/>
                <w:szCs w:val="21"/>
                <w:highlight w:val="none"/>
              </w:rPr>
              <w:t>16</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）对天河区现有</w:t>
            </w:r>
            <w:r>
              <w:rPr>
                <w:color w:val="auto"/>
                <w:sz w:val="21"/>
                <w:szCs w:val="21"/>
                <w:highlight w:val="none"/>
              </w:rPr>
              <w:t>229处文物</w:t>
            </w:r>
            <w:r>
              <w:rPr>
                <w:rFonts w:hint="eastAsia"/>
                <w:color w:val="auto"/>
                <w:sz w:val="21"/>
                <w:szCs w:val="21"/>
                <w:highlight w:val="none"/>
              </w:rPr>
              <w:t>的现状勘察情况基本掌握，说明勘察和调查研究的成果较明确、较具体的，得</w:t>
            </w:r>
            <w:r>
              <w:rPr>
                <w:color w:val="auto"/>
                <w:sz w:val="21"/>
                <w:szCs w:val="21"/>
                <w:highlight w:val="none"/>
              </w:rPr>
              <w:t>8</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w:t>
            </w:r>
            <w:r>
              <w:rPr>
                <w:color w:val="auto"/>
                <w:sz w:val="21"/>
                <w:szCs w:val="21"/>
                <w:highlight w:val="none"/>
              </w:rPr>
              <w:t>3</w:t>
            </w:r>
            <w:r>
              <w:rPr>
                <w:rFonts w:hint="eastAsia"/>
                <w:color w:val="auto"/>
                <w:sz w:val="21"/>
                <w:szCs w:val="21"/>
                <w:highlight w:val="none"/>
              </w:rPr>
              <w:t>）对天河区现有</w:t>
            </w:r>
            <w:r>
              <w:rPr>
                <w:color w:val="auto"/>
                <w:sz w:val="21"/>
                <w:szCs w:val="21"/>
                <w:highlight w:val="none"/>
              </w:rPr>
              <w:t>229处文物</w:t>
            </w:r>
            <w:r>
              <w:rPr>
                <w:rFonts w:hint="eastAsia"/>
                <w:color w:val="auto"/>
                <w:sz w:val="21"/>
                <w:szCs w:val="21"/>
                <w:highlight w:val="none"/>
              </w:rPr>
              <w:t>的现状勘察情况掌握不到位，说明勘察和调查研究的成果一般的，得</w:t>
            </w:r>
            <w:r>
              <w:rPr>
                <w:color w:val="auto"/>
                <w:sz w:val="21"/>
                <w:szCs w:val="21"/>
                <w:highlight w:val="none"/>
              </w:rPr>
              <w:t>3</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（4）无提供不得分。</w:t>
            </w:r>
          </w:p>
        </w:tc>
      </w:tr>
      <w:tr>
        <w:tblPrEx>
          <w:tblCellMar>
            <w:top w:w="0" w:type="dxa"/>
            <w:left w:w="108" w:type="dxa"/>
            <w:bottom w:w="0" w:type="dxa"/>
            <w:right w:w="108" w:type="dxa"/>
          </w:tblCellMar>
        </w:tblPrEx>
        <w:trPr>
          <w:cantSplit/>
          <w:trHeight w:val="976" w:hRule="atLeast"/>
          <w:jc w:val="center"/>
        </w:trPr>
        <w:tc>
          <w:tcPr>
            <w:tcW w:w="752" w:type="dxa"/>
            <w:tcBorders>
              <w:top w:val="single" w:color="auto" w:sz="6" w:space="0"/>
              <w:left w:val="single" w:color="auto" w:sz="8" w:space="0"/>
              <w:bottom w:val="single" w:color="auto" w:sz="6" w:space="0"/>
              <w:right w:val="single" w:color="auto" w:sz="6" w:space="0"/>
            </w:tcBorders>
            <w:vAlign w:val="center"/>
          </w:tcPr>
          <w:p>
            <w:pPr>
              <w:jc w:val="center"/>
              <w:rPr>
                <w:color w:val="auto"/>
                <w:sz w:val="21"/>
                <w:szCs w:val="21"/>
                <w:highlight w:val="none"/>
              </w:rPr>
            </w:pPr>
            <w:r>
              <w:rPr>
                <w:color w:val="auto"/>
                <w:sz w:val="21"/>
                <w:szCs w:val="21"/>
                <w:highlight w:val="none"/>
              </w:rPr>
              <w:t>3</w:t>
            </w:r>
          </w:p>
        </w:tc>
        <w:tc>
          <w:tcPr>
            <w:tcW w:w="1528" w:type="dxa"/>
            <w:tcBorders>
              <w:top w:val="single" w:color="auto" w:sz="6" w:space="0"/>
              <w:left w:val="single" w:color="auto" w:sz="6" w:space="0"/>
              <w:bottom w:val="single" w:color="auto" w:sz="6" w:space="0"/>
              <w:right w:val="single" w:color="auto" w:sz="6" w:space="0"/>
            </w:tcBorders>
            <w:vAlign w:val="center"/>
          </w:tcPr>
          <w:p>
            <w:pPr>
              <w:jc w:val="center"/>
              <w:rPr>
                <w:color w:val="auto"/>
                <w:sz w:val="21"/>
                <w:szCs w:val="21"/>
                <w:highlight w:val="none"/>
              </w:rPr>
            </w:pPr>
            <w:r>
              <w:rPr>
                <w:color w:val="auto"/>
                <w:sz w:val="21"/>
                <w:szCs w:val="21"/>
                <w:highlight w:val="none"/>
              </w:rPr>
              <w:t>服务方案</w:t>
            </w:r>
          </w:p>
        </w:tc>
        <w:tc>
          <w:tcPr>
            <w:tcW w:w="851" w:type="dxa"/>
            <w:tcBorders>
              <w:top w:val="single" w:color="auto" w:sz="6" w:space="0"/>
              <w:left w:val="single" w:color="auto" w:sz="6" w:space="0"/>
              <w:bottom w:val="single" w:color="auto" w:sz="6" w:space="0"/>
              <w:right w:val="single" w:color="auto" w:sz="6" w:space="0"/>
            </w:tcBorders>
            <w:vAlign w:val="center"/>
          </w:tcPr>
          <w:p>
            <w:pPr>
              <w:jc w:val="center"/>
              <w:rPr>
                <w:color w:val="auto"/>
                <w:sz w:val="21"/>
                <w:szCs w:val="21"/>
                <w:highlight w:val="none"/>
              </w:rPr>
            </w:pPr>
            <w:r>
              <w:rPr>
                <w:color w:val="auto"/>
                <w:sz w:val="21"/>
                <w:szCs w:val="21"/>
                <w:highlight w:val="none"/>
              </w:rPr>
              <w:t>8</w:t>
            </w:r>
            <w:r>
              <w:rPr>
                <w:rFonts w:hint="eastAsia"/>
                <w:color w:val="auto"/>
                <w:sz w:val="21"/>
                <w:szCs w:val="21"/>
                <w:highlight w:val="none"/>
              </w:rPr>
              <w:t>分</w:t>
            </w:r>
          </w:p>
        </w:tc>
        <w:tc>
          <w:tcPr>
            <w:tcW w:w="6804" w:type="dxa"/>
            <w:tcBorders>
              <w:top w:val="single" w:color="auto" w:sz="6" w:space="0"/>
              <w:left w:val="single" w:color="auto" w:sz="6" w:space="0"/>
              <w:bottom w:val="single" w:color="auto" w:sz="6" w:space="0"/>
              <w:right w:val="single" w:color="auto" w:sz="6" w:space="0"/>
            </w:tcBorders>
            <w:vAlign w:val="center"/>
          </w:tcPr>
          <w:p>
            <w:pPr>
              <w:rPr>
                <w:color w:val="auto"/>
                <w:sz w:val="21"/>
                <w:szCs w:val="21"/>
                <w:highlight w:val="none"/>
              </w:rPr>
            </w:pPr>
            <w:r>
              <w:rPr>
                <w:color w:val="auto"/>
                <w:sz w:val="21"/>
                <w:szCs w:val="21"/>
                <w:highlight w:val="none"/>
              </w:rPr>
              <w:t>投标人根据本</w:t>
            </w:r>
            <w:r>
              <w:rPr>
                <w:rFonts w:hint="eastAsia"/>
                <w:color w:val="auto"/>
                <w:sz w:val="21"/>
                <w:szCs w:val="21"/>
                <w:highlight w:val="none"/>
              </w:rPr>
              <w:t>项目</w:t>
            </w:r>
            <w:r>
              <w:rPr>
                <w:color w:val="auto"/>
                <w:sz w:val="21"/>
                <w:szCs w:val="21"/>
                <w:highlight w:val="none"/>
              </w:rPr>
              <w:t>的实际情况提供技术服务</w:t>
            </w:r>
            <w:r>
              <w:rPr>
                <w:rFonts w:hint="eastAsia"/>
                <w:color w:val="auto"/>
                <w:sz w:val="21"/>
                <w:szCs w:val="21"/>
                <w:highlight w:val="none"/>
              </w:rPr>
              <w:t>及实施</w:t>
            </w:r>
            <w:r>
              <w:rPr>
                <w:color w:val="auto"/>
                <w:sz w:val="21"/>
                <w:szCs w:val="21"/>
                <w:highlight w:val="none"/>
              </w:rPr>
              <w:t>方案</w:t>
            </w:r>
            <w:r>
              <w:rPr>
                <w:rFonts w:hint="eastAsia"/>
                <w:color w:val="auto"/>
                <w:sz w:val="21"/>
                <w:szCs w:val="21"/>
                <w:highlight w:val="none"/>
              </w:rPr>
              <w:t>（包括但不限于对本项目的理解程度、巡查服务方案等内容）：</w:t>
            </w:r>
          </w:p>
          <w:p>
            <w:pPr>
              <w:rPr>
                <w:color w:val="auto"/>
                <w:sz w:val="21"/>
                <w:szCs w:val="21"/>
                <w:highlight w:val="none"/>
              </w:rPr>
            </w:pPr>
            <w:r>
              <w:rPr>
                <w:rFonts w:hint="eastAsia"/>
                <w:color w:val="auto"/>
                <w:sz w:val="21"/>
                <w:szCs w:val="21"/>
                <w:highlight w:val="none"/>
              </w:rPr>
              <w:t>（1）项目需求理解充分、技术方案思路清晰，服务组织架构先进、可行、可靠、规范和完备、方案内容详细，切实可行、内容合理：得</w:t>
            </w:r>
            <w:r>
              <w:rPr>
                <w:color w:val="auto"/>
                <w:sz w:val="21"/>
                <w:szCs w:val="21"/>
                <w:highlight w:val="none"/>
              </w:rPr>
              <w:t>8</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（2）项目需求理解相对充分、技术方案思路相对清晰，服务组织架构相对现进、可行、可靠、规范和完备，方案内容相对详细、可行性高，内容相对合理：得</w:t>
            </w:r>
            <w:r>
              <w:rPr>
                <w:color w:val="auto"/>
                <w:sz w:val="21"/>
                <w:szCs w:val="21"/>
                <w:highlight w:val="none"/>
              </w:rPr>
              <w:t>4</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（3）项目需求理解和技术方案思路一般，方案内容一般：</w:t>
            </w:r>
            <w:r>
              <w:rPr>
                <w:color w:val="auto"/>
                <w:sz w:val="21"/>
                <w:szCs w:val="21"/>
                <w:highlight w:val="none"/>
              </w:rPr>
              <w:t>1</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（4）无提供不得分。</w:t>
            </w:r>
          </w:p>
        </w:tc>
      </w:tr>
      <w:tr>
        <w:tblPrEx>
          <w:tblCellMar>
            <w:top w:w="0" w:type="dxa"/>
            <w:left w:w="108" w:type="dxa"/>
            <w:bottom w:w="0" w:type="dxa"/>
            <w:right w:w="108" w:type="dxa"/>
          </w:tblCellMar>
        </w:tblPrEx>
        <w:trPr>
          <w:cantSplit/>
          <w:trHeight w:val="90" w:hRule="atLeast"/>
          <w:jc w:val="center"/>
        </w:trPr>
        <w:tc>
          <w:tcPr>
            <w:tcW w:w="752" w:type="dxa"/>
            <w:tcBorders>
              <w:top w:val="single" w:color="auto" w:sz="6" w:space="0"/>
              <w:left w:val="single" w:color="auto" w:sz="8" w:space="0"/>
              <w:bottom w:val="single" w:color="auto" w:sz="4" w:space="0"/>
              <w:right w:val="single" w:color="auto" w:sz="6" w:space="0"/>
            </w:tcBorders>
            <w:vAlign w:val="center"/>
          </w:tcPr>
          <w:p>
            <w:pPr>
              <w:jc w:val="center"/>
              <w:rPr>
                <w:color w:val="auto"/>
                <w:sz w:val="21"/>
                <w:szCs w:val="21"/>
                <w:highlight w:val="none"/>
              </w:rPr>
            </w:pPr>
            <w:r>
              <w:rPr>
                <w:color w:val="auto"/>
                <w:sz w:val="21"/>
                <w:szCs w:val="21"/>
                <w:highlight w:val="none"/>
              </w:rPr>
              <w:t>4</w:t>
            </w:r>
          </w:p>
        </w:tc>
        <w:tc>
          <w:tcPr>
            <w:tcW w:w="1528" w:type="dxa"/>
            <w:tcBorders>
              <w:top w:val="single" w:color="auto" w:sz="6" w:space="0"/>
              <w:left w:val="single" w:color="auto" w:sz="6" w:space="0"/>
              <w:bottom w:val="single" w:color="auto" w:sz="4" w:space="0"/>
              <w:right w:val="single" w:color="auto" w:sz="6" w:space="0"/>
            </w:tcBorders>
            <w:vAlign w:val="center"/>
          </w:tcPr>
          <w:p>
            <w:pPr>
              <w:jc w:val="center"/>
              <w:rPr>
                <w:color w:val="auto"/>
                <w:sz w:val="21"/>
                <w:szCs w:val="21"/>
                <w:highlight w:val="none"/>
              </w:rPr>
            </w:pPr>
            <w:r>
              <w:rPr>
                <w:rFonts w:hint="eastAsia"/>
                <w:color w:val="auto"/>
                <w:sz w:val="21"/>
                <w:szCs w:val="21"/>
                <w:highlight w:val="none"/>
              </w:rPr>
              <w:t>培训</w:t>
            </w:r>
            <w:r>
              <w:rPr>
                <w:color w:val="auto"/>
                <w:sz w:val="21"/>
                <w:szCs w:val="21"/>
                <w:highlight w:val="none"/>
              </w:rPr>
              <w:t>方案</w:t>
            </w:r>
          </w:p>
        </w:tc>
        <w:tc>
          <w:tcPr>
            <w:tcW w:w="851" w:type="dxa"/>
            <w:tcBorders>
              <w:top w:val="single" w:color="auto" w:sz="6" w:space="0"/>
              <w:left w:val="single" w:color="auto" w:sz="6" w:space="0"/>
              <w:bottom w:val="single" w:color="auto" w:sz="4" w:space="0"/>
              <w:right w:val="single" w:color="auto" w:sz="6" w:space="0"/>
            </w:tcBorders>
            <w:vAlign w:val="center"/>
          </w:tcPr>
          <w:p>
            <w:pPr>
              <w:jc w:val="center"/>
              <w:rPr>
                <w:color w:val="auto"/>
                <w:sz w:val="21"/>
                <w:szCs w:val="21"/>
                <w:highlight w:val="none"/>
              </w:rPr>
            </w:pPr>
            <w:r>
              <w:rPr>
                <w:color w:val="auto"/>
                <w:sz w:val="21"/>
                <w:szCs w:val="21"/>
                <w:highlight w:val="none"/>
              </w:rPr>
              <w:t>8</w:t>
            </w:r>
            <w:r>
              <w:rPr>
                <w:rFonts w:hint="eastAsia"/>
                <w:color w:val="auto"/>
                <w:sz w:val="21"/>
                <w:szCs w:val="21"/>
                <w:highlight w:val="none"/>
              </w:rPr>
              <w:t>分</w:t>
            </w:r>
          </w:p>
        </w:tc>
        <w:tc>
          <w:tcPr>
            <w:tcW w:w="6804" w:type="dxa"/>
            <w:tcBorders>
              <w:top w:val="single" w:color="auto" w:sz="6" w:space="0"/>
              <w:left w:val="single" w:color="auto" w:sz="6" w:space="0"/>
              <w:bottom w:val="single" w:color="auto" w:sz="4" w:space="0"/>
              <w:right w:val="single" w:color="auto" w:sz="6" w:space="0"/>
            </w:tcBorders>
            <w:vAlign w:val="center"/>
          </w:tcPr>
          <w:p>
            <w:pPr>
              <w:rPr>
                <w:color w:val="auto"/>
                <w:sz w:val="21"/>
                <w:szCs w:val="21"/>
                <w:highlight w:val="none"/>
              </w:rPr>
            </w:pPr>
            <w:r>
              <w:rPr>
                <w:color w:val="auto"/>
                <w:sz w:val="21"/>
                <w:szCs w:val="21"/>
                <w:highlight w:val="none"/>
              </w:rPr>
              <w:t>投标人根据本项目的实际情况提供</w:t>
            </w:r>
            <w:r>
              <w:rPr>
                <w:rFonts w:hint="eastAsia"/>
                <w:color w:val="auto"/>
                <w:sz w:val="21"/>
                <w:szCs w:val="21"/>
                <w:highlight w:val="none"/>
              </w:rPr>
              <w:t>培训方案（包括文物法规宣传、文物保育大型推广活动等内容）：</w:t>
            </w:r>
          </w:p>
          <w:p>
            <w:pPr>
              <w:rPr>
                <w:color w:val="auto"/>
                <w:sz w:val="21"/>
                <w:szCs w:val="21"/>
                <w:highlight w:val="none"/>
              </w:rPr>
            </w:pPr>
            <w:r>
              <w:rPr>
                <w:rFonts w:hint="eastAsia"/>
                <w:color w:val="auto"/>
                <w:sz w:val="21"/>
                <w:szCs w:val="21"/>
                <w:highlight w:val="none"/>
              </w:rPr>
              <w:t>（1）方案内容详细、操作性强、符合实际情况：得</w:t>
            </w:r>
            <w:r>
              <w:rPr>
                <w:color w:val="auto"/>
                <w:sz w:val="21"/>
                <w:szCs w:val="21"/>
                <w:highlight w:val="none"/>
              </w:rPr>
              <w:t>8</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（2）方案内容相对详细、具有可操作性、相对符合实际情况：得</w:t>
            </w:r>
            <w:r>
              <w:rPr>
                <w:color w:val="auto"/>
                <w:sz w:val="21"/>
                <w:szCs w:val="21"/>
                <w:highlight w:val="none"/>
              </w:rPr>
              <w:t>4</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（3）方案内容对比一般：</w:t>
            </w:r>
            <w:r>
              <w:rPr>
                <w:color w:val="auto"/>
                <w:sz w:val="21"/>
                <w:szCs w:val="21"/>
                <w:highlight w:val="none"/>
              </w:rPr>
              <w:t>1</w:t>
            </w:r>
            <w:r>
              <w:rPr>
                <w:rFonts w:hint="eastAsia"/>
                <w:color w:val="auto"/>
                <w:sz w:val="21"/>
                <w:szCs w:val="21"/>
                <w:highlight w:val="none"/>
              </w:rPr>
              <w:t>分；</w:t>
            </w:r>
          </w:p>
          <w:p>
            <w:pPr>
              <w:rPr>
                <w:color w:val="auto"/>
                <w:sz w:val="21"/>
                <w:szCs w:val="21"/>
                <w:highlight w:val="none"/>
              </w:rPr>
            </w:pPr>
            <w:r>
              <w:rPr>
                <w:rFonts w:hint="eastAsia"/>
                <w:color w:val="auto"/>
                <w:sz w:val="21"/>
                <w:szCs w:val="21"/>
                <w:highlight w:val="none"/>
              </w:rPr>
              <w:t>（4）无提供不得分。</w:t>
            </w:r>
          </w:p>
        </w:tc>
      </w:tr>
      <w:tr>
        <w:tblPrEx>
          <w:tblCellMar>
            <w:top w:w="0" w:type="dxa"/>
            <w:left w:w="108" w:type="dxa"/>
            <w:bottom w:w="0" w:type="dxa"/>
            <w:right w:w="108" w:type="dxa"/>
          </w:tblCellMar>
        </w:tblPrEx>
        <w:trPr>
          <w:cantSplit/>
          <w:trHeight w:val="406" w:hRule="atLeast"/>
          <w:jc w:val="center"/>
        </w:trPr>
        <w:tc>
          <w:tcPr>
            <w:tcW w:w="2280"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sz w:val="24"/>
                <w:szCs w:val="24"/>
                <w:highlight w:val="none"/>
              </w:rPr>
            </w:pPr>
            <w:r>
              <w:rPr>
                <w:rFonts w:hint="eastAsia"/>
                <w:color w:val="auto"/>
                <w:sz w:val="24"/>
                <w:szCs w:val="24"/>
                <w:highlight w:val="none"/>
              </w:rPr>
              <w:t>合计</w:t>
            </w:r>
          </w:p>
        </w:tc>
        <w:tc>
          <w:tcPr>
            <w:tcW w:w="851" w:type="dxa"/>
            <w:tcBorders>
              <w:top w:val="single" w:color="auto" w:sz="4" w:space="0"/>
              <w:left w:val="nil"/>
              <w:bottom w:val="single" w:color="auto" w:sz="4" w:space="0"/>
              <w:right w:val="single" w:color="auto" w:sz="4" w:space="0"/>
            </w:tcBorders>
            <w:vAlign w:val="center"/>
          </w:tcPr>
          <w:p>
            <w:pPr>
              <w:jc w:val="center"/>
              <w:rPr>
                <w:color w:val="auto"/>
                <w:sz w:val="24"/>
                <w:szCs w:val="24"/>
                <w:highlight w:val="none"/>
              </w:rPr>
            </w:pPr>
            <w:r>
              <w:rPr>
                <w:rFonts w:hint="eastAsia"/>
                <w:color w:val="auto"/>
                <w:sz w:val="24"/>
                <w:szCs w:val="24"/>
                <w:highlight w:val="none"/>
                <w:lang w:val="en-US"/>
              </w:rPr>
              <w:t>4</w:t>
            </w:r>
            <w:r>
              <w:rPr>
                <w:rFonts w:hint="eastAsia"/>
                <w:color w:val="auto"/>
                <w:sz w:val="24"/>
                <w:szCs w:val="24"/>
                <w:highlight w:val="none"/>
              </w:rPr>
              <w:t>0分</w:t>
            </w:r>
          </w:p>
        </w:tc>
        <w:tc>
          <w:tcPr>
            <w:tcW w:w="6804" w:type="dxa"/>
            <w:tcBorders>
              <w:top w:val="single" w:color="auto" w:sz="4" w:space="0"/>
              <w:left w:val="single" w:color="auto" w:sz="4" w:space="0"/>
              <w:bottom w:val="single" w:color="auto" w:sz="4" w:space="0"/>
              <w:right w:val="single" w:color="auto" w:sz="4" w:space="0"/>
            </w:tcBorders>
            <w:vAlign w:val="center"/>
          </w:tcPr>
          <w:p>
            <w:pPr>
              <w:rPr>
                <w:color w:val="auto"/>
                <w:sz w:val="24"/>
                <w:szCs w:val="24"/>
                <w:highlight w:val="none"/>
              </w:rPr>
            </w:pPr>
          </w:p>
        </w:tc>
      </w:tr>
    </w:tbl>
    <w:p>
      <w:pPr>
        <w:rPr>
          <w:b/>
          <w:color w:val="auto"/>
          <w:sz w:val="24"/>
          <w:highlight w:val="none"/>
        </w:rPr>
      </w:pPr>
      <w:r>
        <w:rPr>
          <w:rFonts w:hint="eastAsia"/>
          <w:b/>
          <w:color w:val="auto"/>
          <w:sz w:val="24"/>
          <w:highlight w:val="none"/>
        </w:rPr>
        <w:br w:type="page"/>
      </w:r>
    </w:p>
    <w:p>
      <w:pPr>
        <w:spacing w:line="360" w:lineRule="auto"/>
        <w:rPr>
          <w:color w:val="auto"/>
          <w:sz w:val="24"/>
          <w:highlight w:val="none"/>
        </w:rPr>
      </w:pPr>
      <w:r>
        <w:rPr>
          <w:rFonts w:hint="eastAsia"/>
          <w:b/>
          <w:color w:val="auto"/>
          <w:sz w:val="24"/>
          <w:highlight w:val="none"/>
        </w:rPr>
        <w:t>附件</w:t>
      </w:r>
      <w:r>
        <w:rPr>
          <w:rFonts w:hint="eastAsia"/>
          <w:b/>
          <w:color w:val="auto"/>
          <w:sz w:val="24"/>
          <w:highlight w:val="none"/>
          <w:lang w:val="en-US"/>
        </w:rPr>
        <w:t>5</w:t>
      </w:r>
      <w:r>
        <w:rPr>
          <w:rFonts w:hint="eastAsia"/>
          <w:b/>
          <w:color w:val="auto"/>
          <w:sz w:val="24"/>
          <w:highlight w:val="none"/>
        </w:rPr>
        <w:t>价格评审表</w:t>
      </w:r>
    </w:p>
    <w:p>
      <w:pPr>
        <w:snapToGrid w:val="0"/>
        <w:spacing w:line="360" w:lineRule="auto"/>
        <w:rPr>
          <w:bCs/>
          <w:color w:val="auto"/>
          <w:szCs w:val="21"/>
          <w:highlight w:val="none"/>
        </w:rPr>
      </w:pPr>
      <w:r>
        <w:rPr>
          <w:rFonts w:hint="eastAsia"/>
          <w:bCs/>
          <w:color w:val="auto"/>
          <w:szCs w:val="21"/>
          <w:highlight w:val="none"/>
        </w:rPr>
        <w:t>项目编号：</w:t>
      </w:r>
    </w:p>
    <w:p>
      <w:pPr>
        <w:rPr>
          <w:b/>
          <w:color w:val="auto"/>
          <w:sz w:val="28"/>
          <w:szCs w:val="28"/>
          <w:highlight w:val="none"/>
        </w:rPr>
      </w:pPr>
      <w:r>
        <w:rPr>
          <w:rFonts w:hint="eastAsia"/>
          <w:bCs/>
          <w:color w:val="auto"/>
          <w:szCs w:val="21"/>
          <w:highlight w:val="none"/>
        </w:rPr>
        <w:t>项目名称：</w:t>
      </w:r>
    </w:p>
    <w:tbl>
      <w:tblPr>
        <w:tblStyle w:val="18"/>
        <w:tblW w:w="94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15"/>
        <w:gridCol w:w="1857"/>
        <w:gridCol w:w="1956"/>
        <w:gridCol w:w="2282"/>
        <w:gridCol w:w="17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9" w:hRule="atLeast"/>
          <w:jc w:val="center"/>
        </w:trPr>
        <w:tc>
          <w:tcPr>
            <w:tcW w:w="1615" w:type="dxa"/>
            <w:vMerge w:val="restart"/>
            <w:tcBorders>
              <w:top w:val="single" w:color="auto" w:sz="4" w:space="0"/>
              <w:left w:val="single" w:color="auto" w:sz="4" w:space="0"/>
              <w:right w:val="single" w:color="auto" w:sz="4" w:space="0"/>
            </w:tcBorders>
            <w:vAlign w:val="center"/>
          </w:tcPr>
          <w:p>
            <w:pPr>
              <w:widowControl/>
              <w:snapToGrid w:val="0"/>
              <w:jc w:val="center"/>
              <w:rPr>
                <w:color w:val="auto"/>
                <w:szCs w:val="21"/>
                <w:highlight w:val="none"/>
              </w:rPr>
            </w:pPr>
            <w:r>
              <w:rPr>
                <w:rFonts w:hint="eastAsia"/>
                <w:color w:val="auto"/>
                <w:szCs w:val="21"/>
                <w:highlight w:val="none"/>
              </w:rPr>
              <w:t>有效投标人</w:t>
            </w:r>
          </w:p>
          <w:p>
            <w:pPr>
              <w:widowControl/>
              <w:snapToGrid w:val="0"/>
              <w:jc w:val="center"/>
              <w:rPr>
                <w:color w:val="auto"/>
                <w:szCs w:val="21"/>
                <w:highlight w:val="none"/>
              </w:rPr>
            </w:pPr>
            <w:r>
              <w:rPr>
                <w:rFonts w:hint="eastAsia"/>
                <w:color w:val="auto"/>
                <w:szCs w:val="21"/>
                <w:highlight w:val="none"/>
              </w:rPr>
              <w:t>序号及简称</w:t>
            </w:r>
          </w:p>
        </w:tc>
        <w:tc>
          <w:tcPr>
            <w:tcW w:w="6095"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auto"/>
                <w:szCs w:val="21"/>
                <w:highlight w:val="none"/>
              </w:rPr>
            </w:pPr>
            <w:r>
              <w:rPr>
                <w:rFonts w:hint="eastAsia"/>
                <w:color w:val="auto"/>
                <w:szCs w:val="21"/>
                <w:highlight w:val="none"/>
              </w:rPr>
              <w:t>评审分项</w:t>
            </w:r>
          </w:p>
        </w:tc>
        <w:tc>
          <w:tcPr>
            <w:tcW w:w="1768" w:type="dxa"/>
            <w:vMerge w:val="restart"/>
            <w:tcBorders>
              <w:top w:val="single" w:color="auto" w:sz="4" w:space="0"/>
              <w:left w:val="single" w:color="auto" w:sz="4" w:space="0"/>
              <w:right w:val="single" w:color="auto" w:sz="4" w:space="0"/>
            </w:tcBorders>
            <w:vAlign w:val="center"/>
          </w:tcPr>
          <w:p>
            <w:pPr>
              <w:widowControl/>
              <w:snapToGrid w:val="0"/>
              <w:jc w:val="center"/>
              <w:rPr>
                <w:color w:val="auto"/>
                <w:szCs w:val="21"/>
                <w:highlight w:val="none"/>
              </w:rPr>
            </w:pPr>
            <w:r>
              <w:rPr>
                <w:rFonts w:hint="eastAsia"/>
                <w:color w:val="auto"/>
                <w:szCs w:val="21"/>
                <w:highlight w:val="none"/>
              </w:rPr>
              <w:t>价格得分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2" w:hRule="atLeast"/>
          <w:jc w:val="center"/>
        </w:trPr>
        <w:tc>
          <w:tcPr>
            <w:tcW w:w="1615" w:type="dxa"/>
            <w:vMerge w:val="continue"/>
            <w:tcBorders>
              <w:left w:val="single" w:color="auto" w:sz="4" w:space="0"/>
              <w:right w:val="single" w:color="auto" w:sz="4" w:space="0"/>
            </w:tcBorders>
            <w:vAlign w:val="center"/>
          </w:tcPr>
          <w:p>
            <w:pPr>
              <w:widowControl/>
              <w:snapToGrid w:val="0"/>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napToGrid w:val="0"/>
              <w:ind w:left="-42" w:right="-61"/>
              <w:jc w:val="center"/>
              <w:rPr>
                <w:color w:val="auto"/>
                <w:szCs w:val="21"/>
                <w:highlight w:val="none"/>
              </w:rPr>
            </w:pPr>
            <w:r>
              <w:rPr>
                <w:rFonts w:hint="eastAsia"/>
                <w:color w:val="auto"/>
                <w:szCs w:val="21"/>
                <w:highlight w:val="none"/>
              </w:rPr>
              <w:t>投标文件报价</w:t>
            </w:r>
          </w:p>
        </w:tc>
        <w:tc>
          <w:tcPr>
            <w:tcW w:w="1956" w:type="dxa"/>
            <w:tcBorders>
              <w:top w:val="single" w:color="auto" w:sz="4" w:space="0"/>
              <w:left w:val="single" w:color="auto" w:sz="4" w:space="0"/>
              <w:bottom w:val="single" w:color="auto" w:sz="4" w:space="0"/>
              <w:right w:val="single" w:color="auto" w:sz="4" w:space="0"/>
            </w:tcBorders>
            <w:vAlign w:val="center"/>
          </w:tcPr>
          <w:p>
            <w:pPr>
              <w:widowControl/>
              <w:snapToGrid w:val="0"/>
              <w:ind w:left="-42" w:right="-61"/>
              <w:jc w:val="center"/>
              <w:rPr>
                <w:color w:val="auto"/>
                <w:szCs w:val="21"/>
                <w:highlight w:val="none"/>
              </w:rPr>
            </w:pPr>
            <w:r>
              <w:rPr>
                <w:rFonts w:hint="eastAsia"/>
                <w:color w:val="auto"/>
                <w:szCs w:val="21"/>
                <w:highlight w:val="none"/>
              </w:rPr>
              <w:t>评标价（修正后）</w:t>
            </w:r>
          </w:p>
        </w:tc>
        <w:tc>
          <w:tcPr>
            <w:tcW w:w="2282" w:type="dxa"/>
            <w:tcBorders>
              <w:top w:val="single" w:color="auto" w:sz="4" w:space="0"/>
              <w:left w:val="single" w:color="auto" w:sz="4" w:space="0"/>
              <w:bottom w:val="single" w:color="auto" w:sz="4" w:space="0"/>
              <w:right w:val="single" w:color="auto" w:sz="4" w:space="0"/>
            </w:tcBorders>
            <w:vAlign w:val="center"/>
          </w:tcPr>
          <w:p>
            <w:pPr>
              <w:widowControl/>
              <w:snapToGrid w:val="0"/>
              <w:ind w:left="-42" w:right="-61"/>
              <w:jc w:val="center"/>
              <w:rPr>
                <w:color w:val="auto"/>
                <w:szCs w:val="21"/>
                <w:highlight w:val="none"/>
              </w:rPr>
            </w:pPr>
            <w:r>
              <w:rPr>
                <w:rFonts w:hint="eastAsia"/>
                <w:color w:val="auto"/>
                <w:szCs w:val="21"/>
                <w:highlight w:val="none"/>
              </w:rPr>
              <w:t>评标基准价</w:t>
            </w:r>
          </w:p>
        </w:tc>
        <w:tc>
          <w:tcPr>
            <w:tcW w:w="1768" w:type="dxa"/>
            <w:vMerge w:val="continue"/>
            <w:tcBorders>
              <w:left w:val="single" w:color="auto" w:sz="4" w:space="0"/>
              <w:bottom w:val="single" w:color="auto" w:sz="4" w:space="0"/>
              <w:right w:val="single" w:color="auto" w:sz="4" w:space="0"/>
            </w:tcBorders>
            <w:vAlign w:val="center"/>
          </w:tcPr>
          <w:p>
            <w:pPr>
              <w:widowControl/>
              <w:snapToGrid w:val="0"/>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napToGrid w:val="0"/>
              <w:ind w:left="-42" w:right="-61"/>
              <w:jc w:val="center"/>
              <w:rPr>
                <w:color w:val="auto"/>
                <w:szCs w:val="21"/>
                <w:highlight w:val="none"/>
              </w:rPr>
            </w:pPr>
          </w:p>
        </w:tc>
        <w:tc>
          <w:tcPr>
            <w:tcW w:w="1956" w:type="dxa"/>
            <w:tcBorders>
              <w:top w:val="single" w:color="auto" w:sz="4" w:space="0"/>
              <w:left w:val="single" w:color="auto" w:sz="4" w:space="0"/>
              <w:bottom w:val="single" w:color="auto" w:sz="4" w:space="0"/>
              <w:right w:val="single" w:color="auto" w:sz="4" w:space="0"/>
            </w:tcBorders>
            <w:vAlign w:val="center"/>
          </w:tcPr>
          <w:p>
            <w:pPr>
              <w:widowControl/>
              <w:snapToGrid w:val="0"/>
              <w:ind w:left="-42" w:right="-61"/>
              <w:jc w:val="center"/>
              <w:rPr>
                <w:color w:val="auto"/>
                <w:szCs w:val="21"/>
                <w:highlight w:val="none"/>
              </w:rPr>
            </w:pPr>
          </w:p>
        </w:tc>
        <w:tc>
          <w:tcPr>
            <w:tcW w:w="2282" w:type="dxa"/>
            <w:vMerge w:val="restart"/>
            <w:tcBorders>
              <w:top w:val="single" w:color="auto" w:sz="4" w:space="0"/>
              <w:left w:val="single" w:color="auto" w:sz="4" w:space="0"/>
              <w:right w:val="single" w:color="auto" w:sz="4" w:space="0"/>
            </w:tcBorders>
            <w:vAlign w:val="center"/>
          </w:tcPr>
          <w:p>
            <w:pPr>
              <w:widowControl/>
              <w:snapToGrid w:val="0"/>
              <w:ind w:left="-42" w:right="-61"/>
              <w:jc w:val="center"/>
              <w:rPr>
                <w:color w:val="auto"/>
                <w:szCs w:val="21"/>
                <w:highlight w:val="none"/>
              </w:rPr>
            </w:pPr>
          </w:p>
        </w:tc>
        <w:tc>
          <w:tcPr>
            <w:tcW w:w="1768" w:type="dxa"/>
            <w:tcBorders>
              <w:top w:val="single" w:color="auto" w:sz="4" w:space="0"/>
              <w:left w:val="single" w:color="auto" w:sz="4" w:space="0"/>
              <w:bottom w:val="single" w:color="auto" w:sz="4" w:space="0"/>
              <w:right w:val="single" w:color="auto" w:sz="4" w:space="0"/>
            </w:tcBorders>
            <w:vAlign w:val="center"/>
          </w:tcPr>
          <w:p>
            <w:pPr>
              <w:widowControl/>
              <w:snapToGrid w:val="0"/>
              <w:ind w:left="-42" w:right="-6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9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2282" w:type="dxa"/>
            <w:vMerge w:val="continue"/>
            <w:tcBorders>
              <w:left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9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2282" w:type="dxa"/>
            <w:vMerge w:val="continue"/>
            <w:tcBorders>
              <w:left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9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2282" w:type="dxa"/>
            <w:vMerge w:val="continue"/>
            <w:tcBorders>
              <w:left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9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2282" w:type="dxa"/>
            <w:vMerge w:val="continue"/>
            <w:tcBorders>
              <w:left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4" w:hRule="atLeast"/>
          <w:jc w:val="center"/>
        </w:trPr>
        <w:tc>
          <w:tcPr>
            <w:tcW w:w="16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color w:val="auto"/>
                <w:szCs w:val="21"/>
                <w:highlight w:val="none"/>
              </w:rPr>
            </w:pPr>
          </w:p>
        </w:tc>
        <w:tc>
          <w:tcPr>
            <w:tcW w:w="1857"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95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2282" w:type="dxa"/>
            <w:vMerge w:val="continue"/>
            <w:tcBorders>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c>
          <w:tcPr>
            <w:tcW w:w="17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42" w:right="-61"/>
              <w:jc w:val="center"/>
              <w:rPr>
                <w:color w:val="auto"/>
                <w:szCs w:val="21"/>
                <w:highlight w:val="none"/>
              </w:rPr>
            </w:pPr>
          </w:p>
        </w:tc>
      </w:tr>
    </w:tbl>
    <w:p>
      <w:pPr>
        <w:widowControl/>
        <w:spacing w:before="120" w:beforeLines="50" w:line="360" w:lineRule="auto"/>
        <w:rPr>
          <w:b/>
          <w:color w:val="auto"/>
          <w:szCs w:val="21"/>
          <w:highlight w:val="none"/>
        </w:rPr>
      </w:pPr>
      <w:r>
        <w:rPr>
          <w:rFonts w:hint="eastAsia"/>
          <w:b/>
          <w:color w:val="auto"/>
          <w:szCs w:val="21"/>
          <w:highlight w:val="none"/>
        </w:rPr>
        <w:t>注：1、价格核准：评标委员会详细分析、核准价格表，检查其是否存在计算上或累加上的算术错误，修正错误的原则详见招标相关条款。</w:t>
      </w:r>
    </w:p>
    <w:p>
      <w:pPr>
        <w:widowControl/>
        <w:spacing w:line="360" w:lineRule="auto"/>
        <w:ind w:firstLine="442" w:firstLineChars="200"/>
        <w:rPr>
          <w:b/>
          <w:color w:val="auto"/>
          <w:szCs w:val="21"/>
          <w:highlight w:val="none"/>
        </w:rPr>
      </w:pPr>
      <w:r>
        <w:rPr>
          <w:rFonts w:hint="eastAsia"/>
          <w:b/>
          <w:color w:val="auto"/>
          <w:szCs w:val="21"/>
          <w:highlight w:val="none"/>
        </w:rPr>
        <w:t>2、</w:t>
      </w:r>
      <w:r>
        <w:rPr>
          <w:b/>
          <w:color w:val="auto"/>
          <w:szCs w:val="21"/>
          <w:highlight w:val="none"/>
        </w:rPr>
        <w:t>综合评分法中的价格分统一采用低价优先法计算，即满足采购文件</w:t>
      </w:r>
      <w:r>
        <w:rPr>
          <w:rFonts w:hint="eastAsia"/>
          <w:b/>
          <w:color w:val="auto"/>
          <w:szCs w:val="21"/>
          <w:highlight w:val="none"/>
        </w:rPr>
        <w:t>要求（通过资格性、符合性审查）</w:t>
      </w:r>
      <w:r>
        <w:rPr>
          <w:b/>
          <w:color w:val="auto"/>
          <w:szCs w:val="21"/>
          <w:highlight w:val="none"/>
        </w:rPr>
        <w:t>且投标价格最低的</w:t>
      </w:r>
      <w:r>
        <w:rPr>
          <w:rFonts w:hint="eastAsia"/>
          <w:b/>
          <w:color w:val="auto"/>
          <w:szCs w:val="21"/>
          <w:highlight w:val="none"/>
        </w:rPr>
        <w:t>有效</w:t>
      </w:r>
      <w:r>
        <w:rPr>
          <w:b/>
          <w:color w:val="auto"/>
          <w:szCs w:val="21"/>
          <w:highlight w:val="none"/>
        </w:rPr>
        <w:t>投标报价</w:t>
      </w:r>
      <w:r>
        <w:rPr>
          <w:rFonts w:hint="eastAsia"/>
          <w:b/>
          <w:color w:val="auto"/>
          <w:szCs w:val="21"/>
          <w:highlight w:val="none"/>
        </w:rPr>
        <w:t>（指修正后报价，下同）</w:t>
      </w:r>
      <w:r>
        <w:rPr>
          <w:b/>
          <w:color w:val="auto"/>
          <w:szCs w:val="21"/>
          <w:highlight w:val="none"/>
        </w:rPr>
        <w:t>为评标基准价，其价格分为满分。其他投标人的价格分统一按照下列公式计算：</w:t>
      </w:r>
    </w:p>
    <w:p>
      <w:pPr>
        <w:ind w:firstLine="442" w:firstLineChars="200"/>
        <w:rPr>
          <w:b/>
          <w:color w:val="auto"/>
          <w:szCs w:val="21"/>
          <w:highlight w:val="none"/>
        </w:rPr>
      </w:pPr>
      <w:r>
        <w:rPr>
          <w:rFonts w:hint="eastAsia"/>
          <w:b/>
          <w:color w:val="auto"/>
          <w:szCs w:val="21"/>
          <w:highlight w:val="none"/>
        </w:rPr>
        <w:t>3、投标报价得分=(评标基准价/评标价)×价格权值（</w:t>
      </w:r>
      <w:r>
        <w:rPr>
          <w:rFonts w:hint="eastAsia"/>
          <w:b/>
          <w:color w:val="auto"/>
          <w:szCs w:val="21"/>
          <w:highlight w:val="none"/>
          <w:lang w:val="en-US"/>
        </w:rPr>
        <w:t>20</w:t>
      </w:r>
      <w:r>
        <w:rPr>
          <w:rFonts w:hint="eastAsia"/>
          <w:b/>
          <w:color w:val="auto"/>
          <w:szCs w:val="21"/>
          <w:highlight w:val="none"/>
        </w:rPr>
        <w:t>%）×100</w:t>
      </w:r>
    </w:p>
    <w:p>
      <w:pPr>
        <w:rPr>
          <w:color w:val="auto"/>
          <w:szCs w:val="21"/>
          <w:highlight w:val="none"/>
        </w:rPr>
      </w:pPr>
    </w:p>
    <w:p>
      <w:pPr>
        <w:rPr>
          <w:b/>
          <w:color w:val="auto"/>
          <w:sz w:val="32"/>
          <w:highlight w:val="none"/>
        </w:rPr>
      </w:pPr>
    </w:p>
    <w:p>
      <w:pPr>
        <w:rPr>
          <w:b/>
          <w:color w:val="auto"/>
          <w:sz w:val="32"/>
          <w:highlight w:val="none"/>
        </w:rPr>
      </w:pPr>
      <w:r>
        <w:rPr>
          <w:b/>
          <w:color w:val="auto"/>
          <w:sz w:val="32"/>
          <w:highlight w:val="none"/>
        </w:rPr>
        <w:br w:type="page"/>
      </w:r>
    </w:p>
    <w:p>
      <w:pPr>
        <w:spacing w:before="54"/>
        <w:ind w:left="584" w:right="1042"/>
        <w:jc w:val="center"/>
        <w:rPr>
          <w:b/>
          <w:color w:val="auto"/>
          <w:sz w:val="32"/>
          <w:highlight w:val="none"/>
        </w:rPr>
      </w:pPr>
      <w:r>
        <w:rPr>
          <w:b/>
          <w:color w:val="auto"/>
          <w:sz w:val="32"/>
          <w:highlight w:val="none"/>
        </w:rPr>
        <w:t>第六章竞争性磋商响应文件格式</w:t>
      </w:r>
    </w:p>
    <w:p>
      <w:pPr>
        <w:pStyle w:val="10"/>
        <w:spacing w:before="5"/>
        <w:rPr>
          <w:b/>
          <w:color w:val="auto"/>
          <w:sz w:val="40"/>
          <w:highlight w:val="none"/>
        </w:rPr>
      </w:pPr>
    </w:p>
    <w:p>
      <w:pPr>
        <w:pStyle w:val="3"/>
        <w:spacing w:before="215"/>
        <w:jc w:val="both"/>
        <w:rPr>
          <w:color w:val="auto"/>
          <w:highlight w:val="none"/>
        </w:rPr>
      </w:pPr>
      <w:bookmarkStart w:id="202" w:name="一、竞争性磋商响应声明"/>
      <w:bookmarkEnd w:id="202"/>
      <w:r>
        <w:rPr>
          <w:rFonts w:hint="eastAsia"/>
          <w:color w:val="auto"/>
          <w:highlight w:val="none"/>
        </w:rPr>
        <w:t>一</w:t>
      </w:r>
      <w:r>
        <w:rPr>
          <w:color w:val="auto"/>
          <w:highlight w:val="none"/>
        </w:rPr>
        <w:t>、供应商的唱标信封</w:t>
      </w:r>
    </w:p>
    <w:p>
      <w:pPr>
        <w:pStyle w:val="10"/>
        <w:spacing w:before="8"/>
        <w:rPr>
          <w:rFonts w:ascii="黑体"/>
          <w:color w:val="auto"/>
          <w:sz w:val="38"/>
          <w:highlight w:val="none"/>
        </w:rPr>
      </w:pPr>
    </w:p>
    <w:p>
      <w:pPr>
        <w:spacing w:line="360" w:lineRule="auto"/>
        <w:ind w:firstLine="420" w:firstLineChars="200"/>
        <w:rPr>
          <w:color w:val="auto"/>
          <w:sz w:val="21"/>
          <w:szCs w:val="21"/>
          <w:highlight w:val="none"/>
        </w:rPr>
      </w:pPr>
      <w:r>
        <w:rPr>
          <w:color w:val="auto"/>
          <w:sz w:val="21"/>
          <w:szCs w:val="21"/>
          <w:highlight w:val="none"/>
        </w:rPr>
        <w:t>包括以下内容（与报价文件中的内容保持一致）：</w:t>
      </w:r>
    </w:p>
    <w:p>
      <w:pPr>
        <w:numPr>
          <w:ilvl w:val="0"/>
          <w:numId w:val="25"/>
        </w:numPr>
        <w:spacing w:line="360" w:lineRule="auto"/>
        <w:ind w:firstLine="420" w:firstLineChars="200"/>
        <w:rPr>
          <w:color w:val="auto"/>
          <w:sz w:val="21"/>
          <w:szCs w:val="21"/>
          <w:highlight w:val="none"/>
        </w:rPr>
      </w:pPr>
      <w:r>
        <w:rPr>
          <w:rFonts w:hint="eastAsia"/>
          <w:color w:val="auto"/>
          <w:sz w:val="21"/>
          <w:szCs w:val="21"/>
          <w:highlight w:val="none"/>
        </w:rPr>
        <w:t>法定代表人证明书及法定代表人授权书</w:t>
      </w:r>
    </w:p>
    <w:p>
      <w:pPr>
        <w:numPr>
          <w:ilvl w:val="0"/>
          <w:numId w:val="25"/>
        </w:numPr>
        <w:spacing w:line="360" w:lineRule="auto"/>
        <w:ind w:firstLine="420" w:firstLineChars="200"/>
        <w:rPr>
          <w:color w:val="auto"/>
          <w:sz w:val="21"/>
          <w:szCs w:val="21"/>
          <w:highlight w:val="none"/>
        </w:rPr>
      </w:pPr>
      <w:r>
        <w:rPr>
          <w:color w:val="auto"/>
          <w:sz w:val="21"/>
          <w:szCs w:val="21"/>
          <w:highlight w:val="none"/>
        </w:rPr>
        <w:t>首次报价一览表；</w:t>
      </w:r>
    </w:p>
    <w:p>
      <w:pPr>
        <w:numPr>
          <w:ilvl w:val="0"/>
          <w:numId w:val="25"/>
        </w:numPr>
        <w:spacing w:line="360" w:lineRule="auto"/>
        <w:ind w:firstLine="420" w:firstLineChars="200"/>
        <w:rPr>
          <w:color w:val="auto"/>
          <w:sz w:val="21"/>
          <w:szCs w:val="21"/>
          <w:highlight w:val="none"/>
        </w:rPr>
      </w:pPr>
      <w:r>
        <w:rPr>
          <w:rFonts w:hint="eastAsia"/>
          <w:color w:val="auto"/>
          <w:sz w:val="21"/>
          <w:szCs w:val="21"/>
          <w:highlight w:val="none"/>
        </w:rPr>
        <w:t>电子文档一份</w:t>
      </w:r>
    </w:p>
    <w:p>
      <w:pPr>
        <w:pStyle w:val="22"/>
        <w:rPr>
          <w:color w:val="auto"/>
          <w:highlight w:val="none"/>
        </w:rPr>
        <w:sectPr>
          <w:pgSz w:w="12240" w:h="15840"/>
          <w:pgMar w:top="1380" w:right="900" w:bottom="880" w:left="1360" w:header="746" w:footer="688" w:gutter="0"/>
          <w:cols w:space="720" w:num="1"/>
        </w:sectPr>
      </w:pPr>
    </w:p>
    <w:p>
      <w:pPr>
        <w:pStyle w:val="3"/>
        <w:spacing w:before="215"/>
        <w:rPr>
          <w:b/>
          <w:bCs/>
          <w:color w:val="auto"/>
          <w:highlight w:val="none"/>
        </w:rPr>
      </w:pPr>
      <w:r>
        <w:rPr>
          <w:rFonts w:hint="eastAsia"/>
          <w:b/>
          <w:bCs/>
          <w:color w:val="auto"/>
          <w:highlight w:val="none"/>
        </w:rPr>
        <w:t>二</w:t>
      </w:r>
      <w:r>
        <w:rPr>
          <w:b/>
          <w:bCs/>
          <w:color w:val="auto"/>
          <w:highlight w:val="none"/>
        </w:rPr>
        <w:t>、供应商的</w:t>
      </w:r>
      <w:r>
        <w:rPr>
          <w:rFonts w:hint="eastAsia"/>
          <w:b/>
          <w:bCs/>
          <w:color w:val="auto"/>
          <w:highlight w:val="none"/>
        </w:rPr>
        <w:t>投标文件</w:t>
      </w:r>
    </w:p>
    <w:p>
      <w:pPr>
        <w:rPr>
          <w:b/>
          <w:bCs/>
          <w:color w:val="auto"/>
          <w:sz w:val="24"/>
          <w:highlight w:val="none"/>
        </w:rPr>
      </w:pPr>
    </w:p>
    <w:p>
      <w:pPr>
        <w:rPr>
          <w:b/>
          <w:bCs/>
          <w:color w:val="auto"/>
          <w:sz w:val="24"/>
          <w:szCs w:val="24"/>
          <w:highlight w:val="none"/>
        </w:rPr>
      </w:pPr>
      <w:r>
        <w:rPr>
          <w:rFonts w:hint="eastAsia"/>
          <w:b/>
          <w:bCs/>
          <w:color w:val="auto"/>
          <w:sz w:val="24"/>
          <w:szCs w:val="24"/>
          <w:highlight w:val="none"/>
        </w:rPr>
        <w:t>附件</w:t>
      </w:r>
      <w:r>
        <w:rPr>
          <w:rFonts w:hint="eastAsia"/>
          <w:b/>
          <w:bCs/>
          <w:color w:val="auto"/>
          <w:sz w:val="24"/>
          <w:szCs w:val="24"/>
          <w:highlight w:val="none"/>
          <w:lang w:val="en-US"/>
        </w:rPr>
        <w:t>1</w:t>
      </w:r>
      <w:r>
        <w:rPr>
          <w:rFonts w:hint="eastAsia"/>
          <w:b/>
          <w:bCs/>
          <w:color w:val="auto"/>
          <w:sz w:val="24"/>
          <w:szCs w:val="24"/>
          <w:highlight w:val="none"/>
        </w:rPr>
        <w:t>评审索引目录表</w:t>
      </w:r>
    </w:p>
    <w:p>
      <w:pPr>
        <w:rPr>
          <w:b/>
          <w:bCs/>
          <w:color w:val="auto"/>
          <w:sz w:val="24"/>
          <w:szCs w:val="24"/>
          <w:highlight w:val="none"/>
        </w:rPr>
      </w:pPr>
    </w:p>
    <w:p>
      <w:pPr>
        <w:spacing w:line="720" w:lineRule="auto"/>
        <w:jc w:val="center"/>
        <w:rPr>
          <w:b/>
          <w:bCs/>
          <w:color w:val="auto"/>
          <w:sz w:val="21"/>
          <w:szCs w:val="21"/>
          <w:highlight w:val="none"/>
        </w:rPr>
      </w:pPr>
      <w:r>
        <w:rPr>
          <w:rFonts w:hint="eastAsia"/>
          <w:b/>
          <w:bCs/>
          <w:color w:val="auto"/>
          <w:sz w:val="21"/>
          <w:szCs w:val="21"/>
          <w:highlight w:val="none"/>
        </w:rPr>
        <w:t>附件</w:t>
      </w:r>
      <w:r>
        <w:rPr>
          <w:rFonts w:hint="eastAsia"/>
          <w:b/>
          <w:bCs/>
          <w:color w:val="auto"/>
          <w:sz w:val="21"/>
          <w:szCs w:val="21"/>
          <w:highlight w:val="none"/>
          <w:lang w:val="en-US"/>
        </w:rPr>
        <w:t>1</w:t>
      </w:r>
      <w:r>
        <w:rPr>
          <w:rFonts w:hint="eastAsia"/>
          <w:b/>
          <w:bCs/>
          <w:color w:val="auto"/>
          <w:sz w:val="21"/>
          <w:szCs w:val="21"/>
          <w:highlight w:val="none"/>
        </w:rPr>
        <w:t>-1资格性评审索引目录表</w:t>
      </w:r>
    </w:p>
    <w:tbl>
      <w:tblPr>
        <w:tblStyle w:val="1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9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b/>
                <w:color w:val="auto"/>
                <w:sz w:val="21"/>
                <w:szCs w:val="21"/>
                <w:highlight w:val="none"/>
              </w:rPr>
            </w:pPr>
            <w:r>
              <w:rPr>
                <w:rFonts w:hint="eastAsia"/>
                <w:b/>
                <w:color w:val="auto"/>
                <w:sz w:val="21"/>
                <w:szCs w:val="21"/>
                <w:highlight w:val="none"/>
              </w:rPr>
              <w:t>序号</w:t>
            </w:r>
          </w:p>
        </w:tc>
        <w:tc>
          <w:tcPr>
            <w:tcW w:w="7192" w:type="dxa"/>
            <w:vAlign w:val="center"/>
          </w:tcPr>
          <w:p>
            <w:pPr>
              <w:pStyle w:val="27"/>
              <w:jc w:val="center"/>
              <w:rPr>
                <w:b/>
                <w:color w:val="auto"/>
                <w:sz w:val="21"/>
                <w:szCs w:val="21"/>
                <w:highlight w:val="none"/>
              </w:rPr>
            </w:pPr>
            <w:r>
              <w:rPr>
                <w:rFonts w:hint="eastAsia"/>
                <w:b/>
                <w:color w:val="auto"/>
                <w:sz w:val="21"/>
                <w:szCs w:val="21"/>
                <w:highlight w:val="none"/>
              </w:rPr>
              <w:t>评审分项</w:t>
            </w:r>
          </w:p>
        </w:tc>
        <w:tc>
          <w:tcPr>
            <w:tcW w:w="1072" w:type="dxa"/>
            <w:vAlign w:val="center"/>
          </w:tcPr>
          <w:p>
            <w:pPr>
              <w:pStyle w:val="27"/>
              <w:jc w:val="center"/>
              <w:rPr>
                <w:b/>
                <w:color w:val="auto"/>
                <w:sz w:val="21"/>
                <w:szCs w:val="21"/>
                <w:highlight w:val="none"/>
              </w:rPr>
            </w:pPr>
            <w:r>
              <w:rPr>
                <w:rFonts w:hint="eastAsia"/>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1</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2</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3</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4</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rFonts w:hint="eastAsia"/>
                <w:color w:val="auto"/>
                <w:sz w:val="21"/>
                <w:szCs w:val="21"/>
                <w:highlight w:val="none"/>
              </w:rPr>
              <w:t>5</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bl>
    <w:p>
      <w:pPr>
        <w:spacing w:line="360" w:lineRule="auto"/>
        <w:ind w:left="420" w:hanging="420" w:hangingChars="200"/>
        <w:rPr>
          <w:bCs/>
          <w:color w:val="auto"/>
          <w:sz w:val="21"/>
          <w:szCs w:val="21"/>
          <w:highlight w:val="none"/>
        </w:rPr>
      </w:pPr>
      <w:r>
        <w:rPr>
          <w:rFonts w:hint="eastAsia"/>
          <w:bCs/>
          <w:color w:val="auto"/>
          <w:sz w:val="21"/>
          <w:szCs w:val="21"/>
          <w:highlight w:val="none"/>
        </w:rPr>
        <w:t>注：投标人应当根据《资格性审查表》及竞争性磋商文件要求的内容提供相应的证明材料，如未按要求提供或提供不全的，评委有权认为不具备或不符合，并影响投标人的资格合格性。</w:t>
      </w:r>
    </w:p>
    <w:p>
      <w:pPr>
        <w:spacing w:line="360" w:lineRule="auto"/>
        <w:ind w:left="420" w:hanging="420" w:hangingChars="200"/>
        <w:rPr>
          <w:bCs/>
          <w:color w:val="auto"/>
          <w:sz w:val="21"/>
          <w:szCs w:val="21"/>
          <w:highlight w:val="none"/>
        </w:rPr>
      </w:pPr>
    </w:p>
    <w:p>
      <w:pPr>
        <w:spacing w:line="360" w:lineRule="auto"/>
        <w:ind w:left="420" w:hanging="420" w:hangingChars="200"/>
        <w:rPr>
          <w:bCs/>
          <w:color w:val="auto"/>
          <w:sz w:val="21"/>
          <w:szCs w:val="21"/>
          <w:highlight w:val="none"/>
        </w:rPr>
      </w:pPr>
    </w:p>
    <w:p>
      <w:pPr>
        <w:spacing w:line="360" w:lineRule="auto"/>
        <w:ind w:left="420" w:hanging="420" w:hangingChars="200"/>
        <w:rPr>
          <w:bCs/>
          <w:color w:val="auto"/>
          <w:sz w:val="21"/>
          <w:szCs w:val="21"/>
          <w:highlight w:val="none"/>
        </w:rPr>
      </w:pPr>
    </w:p>
    <w:p>
      <w:pPr>
        <w:spacing w:line="720" w:lineRule="auto"/>
        <w:jc w:val="center"/>
        <w:rPr>
          <w:b/>
          <w:bCs/>
          <w:color w:val="auto"/>
          <w:sz w:val="21"/>
          <w:szCs w:val="21"/>
          <w:highlight w:val="none"/>
        </w:rPr>
      </w:pPr>
      <w:r>
        <w:rPr>
          <w:rFonts w:hint="eastAsia"/>
          <w:b/>
          <w:bCs/>
          <w:color w:val="auto"/>
          <w:sz w:val="21"/>
          <w:szCs w:val="21"/>
          <w:highlight w:val="none"/>
        </w:rPr>
        <w:t>附件</w:t>
      </w:r>
      <w:r>
        <w:rPr>
          <w:rFonts w:hint="eastAsia"/>
          <w:b/>
          <w:bCs/>
          <w:color w:val="auto"/>
          <w:sz w:val="21"/>
          <w:szCs w:val="21"/>
          <w:highlight w:val="none"/>
          <w:lang w:val="en-US"/>
        </w:rPr>
        <w:t>1</w:t>
      </w:r>
      <w:r>
        <w:rPr>
          <w:rFonts w:hint="eastAsia"/>
          <w:b/>
          <w:bCs/>
          <w:color w:val="auto"/>
          <w:sz w:val="21"/>
          <w:szCs w:val="21"/>
          <w:highlight w:val="none"/>
        </w:rPr>
        <w:t>-2符合性评审索引目录表</w:t>
      </w:r>
    </w:p>
    <w:tbl>
      <w:tblPr>
        <w:tblStyle w:val="1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9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b/>
                <w:color w:val="auto"/>
                <w:sz w:val="21"/>
                <w:szCs w:val="21"/>
                <w:highlight w:val="none"/>
              </w:rPr>
            </w:pPr>
            <w:r>
              <w:rPr>
                <w:rFonts w:hint="eastAsia"/>
                <w:b/>
                <w:color w:val="auto"/>
                <w:sz w:val="21"/>
                <w:szCs w:val="21"/>
                <w:highlight w:val="none"/>
              </w:rPr>
              <w:t>序号</w:t>
            </w:r>
          </w:p>
        </w:tc>
        <w:tc>
          <w:tcPr>
            <w:tcW w:w="7192" w:type="dxa"/>
            <w:vAlign w:val="center"/>
          </w:tcPr>
          <w:p>
            <w:pPr>
              <w:pStyle w:val="27"/>
              <w:jc w:val="center"/>
              <w:rPr>
                <w:b/>
                <w:color w:val="auto"/>
                <w:sz w:val="21"/>
                <w:szCs w:val="21"/>
                <w:highlight w:val="none"/>
              </w:rPr>
            </w:pPr>
            <w:r>
              <w:rPr>
                <w:rFonts w:hint="eastAsia"/>
                <w:b/>
                <w:color w:val="auto"/>
                <w:sz w:val="21"/>
                <w:szCs w:val="21"/>
                <w:highlight w:val="none"/>
              </w:rPr>
              <w:t>评审分项</w:t>
            </w:r>
          </w:p>
        </w:tc>
        <w:tc>
          <w:tcPr>
            <w:tcW w:w="1072" w:type="dxa"/>
            <w:vAlign w:val="center"/>
          </w:tcPr>
          <w:p>
            <w:pPr>
              <w:pStyle w:val="27"/>
              <w:jc w:val="center"/>
              <w:rPr>
                <w:b/>
                <w:color w:val="auto"/>
                <w:sz w:val="21"/>
                <w:szCs w:val="21"/>
                <w:highlight w:val="none"/>
              </w:rPr>
            </w:pPr>
            <w:r>
              <w:rPr>
                <w:rFonts w:hint="eastAsia"/>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1</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2</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3</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4</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rFonts w:hint="eastAsia"/>
                <w:color w:val="auto"/>
                <w:sz w:val="21"/>
                <w:szCs w:val="21"/>
                <w:highlight w:val="none"/>
              </w:rPr>
              <w:t>5</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bl>
    <w:p>
      <w:pPr>
        <w:spacing w:line="360" w:lineRule="auto"/>
        <w:ind w:left="420" w:hanging="420" w:hangingChars="200"/>
        <w:rPr>
          <w:bCs/>
          <w:color w:val="auto"/>
          <w:sz w:val="21"/>
          <w:szCs w:val="21"/>
          <w:highlight w:val="none"/>
        </w:rPr>
      </w:pPr>
      <w:r>
        <w:rPr>
          <w:rFonts w:hint="eastAsia"/>
          <w:bCs/>
          <w:color w:val="auto"/>
          <w:sz w:val="21"/>
          <w:szCs w:val="21"/>
          <w:highlight w:val="none"/>
        </w:rPr>
        <w:t>注：投标人应当根据《符合性审查表》及竞争性磋商文件要求的内容提供相应的证明材料，如未按要求提供或提供不全的，评委有权认为不具备或不符合，并影响投标人是否通过的符合性审查。</w:t>
      </w:r>
    </w:p>
    <w:p>
      <w:pPr>
        <w:rPr>
          <w:bCs/>
          <w:color w:val="auto"/>
          <w:sz w:val="21"/>
          <w:szCs w:val="21"/>
          <w:highlight w:val="none"/>
        </w:rPr>
      </w:pPr>
    </w:p>
    <w:p>
      <w:pPr>
        <w:rPr>
          <w:b/>
          <w:bCs/>
          <w:color w:val="auto"/>
          <w:sz w:val="21"/>
          <w:szCs w:val="21"/>
          <w:highlight w:val="none"/>
        </w:rPr>
      </w:pPr>
      <w:r>
        <w:rPr>
          <w:rFonts w:hint="eastAsia"/>
          <w:b/>
          <w:bCs/>
          <w:color w:val="auto"/>
          <w:sz w:val="21"/>
          <w:szCs w:val="21"/>
          <w:highlight w:val="none"/>
        </w:rPr>
        <w:br w:type="page"/>
      </w:r>
    </w:p>
    <w:p>
      <w:pPr>
        <w:spacing w:line="720" w:lineRule="auto"/>
        <w:jc w:val="center"/>
        <w:rPr>
          <w:b/>
          <w:bCs/>
          <w:color w:val="auto"/>
          <w:sz w:val="21"/>
          <w:szCs w:val="21"/>
          <w:highlight w:val="none"/>
        </w:rPr>
      </w:pPr>
      <w:r>
        <w:rPr>
          <w:rFonts w:hint="eastAsia"/>
          <w:b/>
          <w:bCs/>
          <w:color w:val="auto"/>
          <w:sz w:val="21"/>
          <w:szCs w:val="21"/>
          <w:highlight w:val="none"/>
        </w:rPr>
        <w:t>附件</w:t>
      </w:r>
      <w:r>
        <w:rPr>
          <w:rFonts w:hint="eastAsia"/>
          <w:b/>
          <w:bCs/>
          <w:color w:val="auto"/>
          <w:sz w:val="21"/>
          <w:szCs w:val="21"/>
          <w:highlight w:val="none"/>
          <w:lang w:val="en-US"/>
        </w:rPr>
        <w:t>1</w:t>
      </w:r>
      <w:r>
        <w:rPr>
          <w:rFonts w:hint="eastAsia"/>
          <w:b/>
          <w:bCs/>
          <w:color w:val="auto"/>
          <w:sz w:val="21"/>
          <w:szCs w:val="21"/>
          <w:highlight w:val="none"/>
        </w:rPr>
        <w:t>-3商务评审索引目录表</w:t>
      </w:r>
    </w:p>
    <w:tbl>
      <w:tblPr>
        <w:tblStyle w:val="1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9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b/>
                <w:color w:val="auto"/>
                <w:sz w:val="21"/>
                <w:szCs w:val="21"/>
                <w:highlight w:val="none"/>
              </w:rPr>
            </w:pPr>
            <w:r>
              <w:rPr>
                <w:rFonts w:hint="eastAsia"/>
                <w:b/>
                <w:color w:val="auto"/>
                <w:sz w:val="21"/>
                <w:szCs w:val="21"/>
                <w:highlight w:val="none"/>
              </w:rPr>
              <w:t>序号</w:t>
            </w:r>
          </w:p>
        </w:tc>
        <w:tc>
          <w:tcPr>
            <w:tcW w:w="7192" w:type="dxa"/>
            <w:vAlign w:val="center"/>
          </w:tcPr>
          <w:p>
            <w:pPr>
              <w:pStyle w:val="27"/>
              <w:jc w:val="center"/>
              <w:rPr>
                <w:b/>
                <w:color w:val="auto"/>
                <w:sz w:val="21"/>
                <w:szCs w:val="21"/>
                <w:highlight w:val="none"/>
              </w:rPr>
            </w:pPr>
            <w:r>
              <w:rPr>
                <w:rFonts w:hint="eastAsia"/>
                <w:b/>
                <w:color w:val="auto"/>
                <w:sz w:val="21"/>
                <w:szCs w:val="21"/>
                <w:highlight w:val="none"/>
              </w:rPr>
              <w:t>评审分项</w:t>
            </w:r>
          </w:p>
        </w:tc>
        <w:tc>
          <w:tcPr>
            <w:tcW w:w="1072" w:type="dxa"/>
            <w:vAlign w:val="center"/>
          </w:tcPr>
          <w:p>
            <w:pPr>
              <w:pStyle w:val="27"/>
              <w:jc w:val="center"/>
              <w:rPr>
                <w:b/>
                <w:color w:val="auto"/>
                <w:sz w:val="21"/>
                <w:szCs w:val="21"/>
                <w:highlight w:val="none"/>
              </w:rPr>
            </w:pPr>
            <w:r>
              <w:rPr>
                <w:rFonts w:hint="eastAsia"/>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1</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2</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3</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4</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rFonts w:hint="eastAsia"/>
                <w:color w:val="auto"/>
                <w:sz w:val="21"/>
                <w:szCs w:val="21"/>
                <w:highlight w:val="none"/>
              </w:rPr>
              <w:t>5</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bl>
    <w:p>
      <w:pPr>
        <w:spacing w:line="360" w:lineRule="auto"/>
        <w:ind w:left="420" w:hanging="420" w:hangingChars="200"/>
        <w:rPr>
          <w:bCs/>
          <w:color w:val="auto"/>
          <w:sz w:val="21"/>
          <w:szCs w:val="21"/>
          <w:highlight w:val="none"/>
        </w:rPr>
      </w:pPr>
      <w:r>
        <w:rPr>
          <w:rFonts w:hint="eastAsia"/>
          <w:bCs/>
          <w:color w:val="auto"/>
          <w:sz w:val="21"/>
          <w:szCs w:val="21"/>
          <w:highlight w:val="none"/>
        </w:rPr>
        <w:t>注：投标人应当根据《商务评分表》内容提供相应的证明材料，如未按要求提供或提供不全的，评委有权认为不具备或不符合，并影响投标人的商务得分。</w:t>
      </w:r>
    </w:p>
    <w:p>
      <w:pPr>
        <w:spacing w:line="360" w:lineRule="auto"/>
        <w:ind w:left="420" w:hanging="420" w:hangingChars="200"/>
        <w:rPr>
          <w:bCs/>
          <w:color w:val="auto"/>
          <w:sz w:val="21"/>
          <w:szCs w:val="21"/>
          <w:highlight w:val="none"/>
        </w:rPr>
      </w:pPr>
    </w:p>
    <w:p>
      <w:pPr>
        <w:spacing w:line="360" w:lineRule="auto"/>
        <w:ind w:left="420" w:hanging="420" w:hangingChars="200"/>
        <w:rPr>
          <w:bCs/>
          <w:color w:val="auto"/>
          <w:sz w:val="21"/>
          <w:szCs w:val="21"/>
          <w:highlight w:val="none"/>
        </w:rPr>
      </w:pPr>
    </w:p>
    <w:p>
      <w:pPr>
        <w:spacing w:line="360" w:lineRule="auto"/>
        <w:ind w:left="420" w:hanging="420" w:hangingChars="200"/>
        <w:rPr>
          <w:bCs/>
          <w:color w:val="auto"/>
          <w:sz w:val="21"/>
          <w:szCs w:val="21"/>
          <w:highlight w:val="none"/>
        </w:rPr>
      </w:pPr>
    </w:p>
    <w:p>
      <w:pPr>
        <w:spacing w:line="360" w:lineRule="auto"/>
        <w:ind w:left="420" w:hanging="420" w:hangingChars="200"/>
        <w:rPr>
          <w:bCs/>
          <w:color w:val="auto"/>
          <w:sz w:val="21"/>
          <w:szCs w:val="21"/>
          <w:highlight w:val="none"/>
        </w:rPr>
      </w:pPr>
    </w:p>
    <w:p>
      <w:pPr>
        <w:spacing w:line="720" w:lineRule="auto"/>
        <w:jc w:val="center"/>
        <w:rPr>
          <w:b/>
          <w:bCs/>
          <w:color w:val="auto"/>
          <w:sz w:val="21"/>
          <w:szCs w:val="21"/>
          <w:highlight w:val="none"/>
        </w:rPr>
      </w:pPr>
      <w:r>
        <w:rPr>
          <w:rFonts w:hint="eastAsia"/>
          <w:b/>
          <w:bCs/>
          <w:color w:val="auto"/>
          <w:sz w:val="21"/>
          <w:szCs w:val="21"/>
          <w:highlight w:val="none"/>
        </w:rPr>
        <w:t>附件</w:t>
      </w:r>
      <w:r>
        <w:rPr>
          <w:rFonts w:hint="eastAsia"/>
          <w:b/>
          <w:bCs/>
          <w:color w:val="auto"/>
          <w:sz w:val="21"/>
          <w:szCs w:val="21"/>
          <w:highlight w:val="none"/>
          <w:lang w:val="en-US"/>
        </w:rPr>
        <w:t>1</w:t>
      </w:r>
      <w:r>
        <w:rPr>
          <w:rFonts w:hint="eastAsia"/>
          <w:b/>
          <w:bCs/>
          <w:color w:val="auto"/>
          <w:sz w:val="21"/>
          <w:szCs w:val="21"/>
          <w:highlight w:val="none"/>
        </w:rPr>
        <w:t>-4服务评审索引目录表</w:t>
      </w:r>
    </w:p>
    <w:tbl>
      <w:tblPr>
        <w:tblStyle w:val="18"/>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9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b/>
                <w:color w:val="auto"/>
                <w:sz w:val="21"/>
                <w:szCs w:val="21"/>
                <w:highlight w:val="none"/>
              </w:rPr>
            </w:pPr>
            <w:r>
              <w:rPr>
                <w:rFonts w:hint="eastAsia"/>
                <w:b/>
                <w:color w:val="auto"/>
                <w:sz w:val="21"/>
                <w:szCs w:val="21"/>
                <w:highlight w:val="none"/>
              </w:rPr>
              <w:t>序号</w:t>
            </w:r>
          </w:p>
        </w:tc>
        <w:tc>
          <w:tcPr>
            <w:tcW w:w="7192" w:type="dxa"/>
            <w:vAlign w:val="center"/>
          </w:tcPr>
          <w:p>
            <w:pPr>
              <w:pStyle w:val="27"/>
              <w:jc w:val="center"/>
              <w:rPr>
                <w:b/>
                <w:color w:val="auto"/>
                <w:sz w:val="21"/>
                <w:szCs w:val="21"/>
                <w:highlight w:val="none"/>
              </w:rPr>
            </w:pPr>
            <w:r>
              <w:rPr>
                <w:rFonts w:hint="eastAsia"/>
                <w:b/>
                <w:color w:val="auto"/>
                <w:sz w:val="21"/>
                <w:szCs w:val="21"/>
                <w:highlight w:val="none"/>
              </w:rPr>
              <w:t>评审分项</w:t>
            </w:r>
          </w:p>
        </w:tc>
        <w:tc>
          <w:tcPr>
            <w:tcW w:w="1072" w:type="dxa"/>
            <w:vAlign w:val="center"/>
          </w:tcPr>
          <w:p>
            <w:pPr>
              <w:pStyle w:val="27"/>
              <w:jc w:val="center"/>
              <w:rPr>
                <w:b/>
                <w:color w:val="auto"/>
                <w:sz w:val="21"/>
                <w:szCs w:val="21"/>
                <w:highlight w:val="none"/>
              </w:rPr>
            </w:pPr>
            <w:r>
              <w:rPr>
                <w:rFonts w:hint="eastAsia"/>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1</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2</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3</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4</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rFonts w:hint="eastAsia"/>
                <w:color w:val="auto"/>
                <w:sz w:val="21"/>
                <w:szCs w:val="21"/>
                <w:highlight w:val="none"/>
              </w:rPr>
              <w:t>5</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84" w:type="dxa"/>
            <w:vAlign w:val="center"/>
          </w:tcPr>
          <w:p>
            <w:pPr>
              <w:pStyle w:val="27"/>
              <w:jc w:val="center"/>
              <w:rPr>
                <w:color w:val="auto"/>
                <w:sz w:val="21"/>
                <w:szCs w:val="21"/>
                <w:highlight w:val="none"/>
              </w:rPr>
            </w:pPr>
            <w:r>
              <w:rPr>
                <w:color w:val="auto"/>
                <w:sz w:val="21"/>
                <w:szCs w:val="21"/>
                <w:highlight w:val="none"/>
              </w:rPr>
              <w:t>……</w:t>
            </w:r>
          </w:p>
        </w:tc>
        <w:tc>
          <w:tcPr>
            <w:tcW w:w="7192" w:type="dxa"/>
            <w:vAlign w:val="center"/>
          </w:tcPr>
          <w:p>
            <w:pPr>
              <w:pStyle w:val="27"/>
              <w:jc w:val="center"/>
              <w:rPr>
                <w:color w:val="auto"/>
                <w:sz w:val="21"/>
                <w:szCs w:val="21"/>
                <w:highlight w:val="none"/>
              </w:rPr>
            </w:pPr>
          </w:p>
        </w:tc>
        <w:tc>
          <w:tcPr>
            <w:tcW w:w="1072" w:type="dxa"/>
            <w:vAlign w:val="center"/>
          </w:tcPr>
          <w:p>
            <w:pPr>
              <w:pStyle w:val="27"/>
              <w:jc w:val="center"/>
              <w:rPr>
                <w:color w:val="auto"/>
                <w:sz w:val="21"/>
                <w:szCs w:val="21"/>
                <w:highlight w:val="none"/>
              </w:rPr>
            </w:pPr>
          </w:p>
        </w:tc>
      </w:tr>
    </w:tbl>
    <w:p>
      <w:pPr>
        <w:spacing w:line="360" w:lineRule="auto"/>
        <w:ind w:left="420" w:hanging="420" w:hangingChars="200"/>
        <w:rPr>
          <w:b/>
          <w:bCs/>
          <w:color w:val="auto"/>
          <w:sz w:val="24"/>
          <w:szCs w:val="24"/>
          <w:highlight w:val="none"/>
        </w:rPr>
      </w:pPr>
      <w:r>
        <w:rPr>
          <w:rFonts w:hint="eastAsia"/>
          <w:bCs/>
          <w:color w:val="auto"/>
          <w:sz w:val="21"/>
          <w:szCs w:val="21"/>
          <w:highlight w:val="none"/>
        </w:rPr>
        <w:t>注：投标人应当根据《技术评分表》内容提供相应的证明材料，如未按要求提供或提供不全的，评委有权认为不具备或不符合，并影响投标人的服务得分</w:t>
      </w:r>
      <w:r>
        <w:rPr>
          <w:rFonts w:hint="eastAsia"/>
          <w:bCs/>
          <w:color w:val="auto"/>
          <w:sz w:val="24"/>
          <w:szCs w:val="24"/>
          <w:highlight w:val="none"/>
        </w:rPr>
        <w:t>。</w:t>
      </w:r>
    </w:p>
    <w:p>
      <w:pPr>
        <w:rPr>
          <w:color w:val="auto"/>
          <w:highlight w:val="none"/>
        </w:rPr>
      </w:pPr>
    </w:p>
    <w:p>
      <w:pPr>
        <w:rPr>
          <w:color w:val="auto"/>
          <w:highlight w:val="none"/>
        </w:rPr>
      </w:pPr>
      <w:r>
        <w:rPr>
          <w:color w:val="auto"/>
          <w:highlight w:val="none"/>
        </w:rPr>
        <w:br w:type="page"/>
      </w:r>
    </w:p>
    <w:p>
      <w:pPr>
        <w:pStyle w:val="3"/>
        <w:spacing w:before="1"/>
        <w:ind w:left="0" w:right="1042"/>
        <w:jc w:val="both"/>
        <w:rPr>
          <w:rFonts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lang w:val="en-US"/>
        </w:rPr>
        <w:t>附件2:</w:t>
      </w:r>
    </w:p>
    <w:p>
      <w:pPr>
        <w:pStyle w:val="3"/>
        <w:spacing w:before="1"/>
        <w:ind w:left="585" w:right="1042"/>
        <w:rPr>
          <w:rFonts w:ascii="宋体" w:hAnsi="宋体" w:eastAsia="宋体" w:cs="宋体"/>
          <w:b/>
          <w:bCs/>
          <w:color w:val="auto"/>
          <w:highlight w:val="none"/>
          <w:lang w:val="en-US"/>
        </w:rPr>
      </w:pPr>
      <w:r>
        <w:rPr>
          <w:rFonts w:hint="eastAsia" w:ascii="宋体" w:hAnsi="宋体" w:eastAsia="宋体" w:cs="宋体"/>
          <w:b/>
          <w:bCs/>
          <w:color w:val="auto"/>
          <w:highlight w:val="none"/>
          <w:lang w:val="en-US"/>
        </w:rPr>
        <w:t>竞争性磋商响应声明</w:t>
      </w:r>
    </w:p>
    <w:p>
      <w:pPr>
        <w:pStyle w:val="10"/>
        <w:spacing w:before="7"/>
        <w:rPr>
          <w:rFonts w:ascii="黑体"/>
          <w:color w:val="auto"/>
          <w:sz w:val="38"/>
          <w:highlight w:val="none"/>
        </w:rPr>
      </w:pPr>
    </w:p>
    <w:p>
      <w:pPr>
        <w:pStyle w:val="6"/>
        <w:tabs>
          <w:tab w:val="left" w:pos="2239"/>
        </w:tabs>
        <w:rPr>
          <w:color w:val="auto"/>
          <w:sz w:val="21"/>
          <w:szCs w:val="21"/>
          <w:highlight w:val="none"/>
        </w:rPr>
      </w:pPr>
      <w:r>
        <w:rPr>
          <w:color w:val="auto"/>
          <w:sz w:val="21"/>
          <w:szCs w:val="21"/>
          <w:highlight w:val="none"/>
        </w:rPr>
        <w:t>致</w:t>
      </w:r>
      <w:r>
        <w:rPr>
          <w:color w:val="auto"/>
          <w:sz w:val="21"/>
          <w:szCs w:val="21"/>
          <w:highlight w:val="none"/>
          <w:u w:val="single"/>
        </w:rPr>
        <w:tab/>
      </w:r>
      <w:r>
        <w:rPr>
          <w:color w:val="auto"/>
          <w:sz w:val="21"/>
          <w:szCs w:val="21"/>
          <w:highlight w:val="none"/>
        </w:rPr>
        <w:t>（采购人名称）：</w:t>
      </w:r>
    </w:p>
    <w:p>
      <w:pPr>
        <w:pStyle w:val="6"/>
        <w:tabs>
          <w:tab w:val="left" w:pos="5873"/>
        </w:tabs>
        <w:spacing w:before="160"/>
        <w:ind w:left="860"/>
        <w:rPr>
          <w:color w:val="auto"/>
          <w:sz w:val="21"/>
          <w:szCs w:val="21"/>
          <w:highlight w:val="none"/>
        </w:rPr>
      </w:pPr>
      <w:r>
        <w:rPr>
          <w:color w:val="auto"/>
          <w:spacing w:val="7"/>
          <w:sz w:val="21"/>
          <w:szCs w:val="21"/>
          <w:highlight w:val="none"/>
        </w:rPr>
        <w:t>我方</w:t>
      </w:r>
      <w:r>
        <w:rPr>
          <w:color w:val="auto"/>
          <w:spacing w:val="4"/>
          <w:sz w:val="21"/>
          <w:szCs w:val="21"/>
          <w:highlight w:val="none"/>
        </w:rPr>
        <w:t>已</w:t>
      </w:r>
      <w:r>
        <w:rPr>
          <w:color w:val="auto"/>
          <w:spacing w:val="7"/>
          <w:sz w:val="21"/>
          <w:szCs w:val="21"/>
          <w:highlight w:val="none"/>
        </w:rPr>
        <w:t>仔细研</w:t>
      </w:r>
      <w:r>
        <w:rPr>
          <w:color w:val="auto"/>
          <w:spacing w:val="4"/>
          <w:sz w:val="21"/>
          <w:szCs w:val="21"/>
          <w:highlight w:val="none"/>
        </w:rPr>
        <w:t>究</w:t>
      </w:r>
      <w:r>
        <w:rPr>
          <w:color w:val="auto"/>
          <w:sz w:val="21"/>
          <w:szCs w:val="21"/>
          <w:highlight w:val="none"/>
        </w:rPr>
        <w:t>了</w:t>
      </w:r>
      <w:r>
        <w:rPr>
          <w:color w:val="auto"/>
          <w:sz w:val="21"/>
          <w:szCs w:val="21"/>
          <w:highlight w:val="none"/>
          <w:u w:val="single"/>
        </w:rPr>
        <w:tab/>
      </w:r>
      <w:r>
        <w:rPr>
          <w:color w:val="auto"/>
          <w:spacing w:val="4"/>
          <w:sz w:val="21"/>
          <w:szCs w:val="21"/>
          <w:highlight w:val="none"/>
        </w:rPr>
        <w:t>(</w:t>
      </w:r>
      <w:r>
        <w:rPr>
          <w:color w:val="auto"/>
          <w:spacing w:val="7"/>
          <w:sz w:val="21"/>
          <w:szCs w:val="21"/>
          <w:highlight w:val="none"/>
        </w:rPr>
        <w:t>项目</w:t>
      </w:r>
      <w:r>
        <w:rPr>
          <w:color w:val="auto"/>
          <w:spacing w:val="4"/>
          <w:sz w:val="21"/>
          <w:szCs w:val="21"/>
          <w:highlight w:val="none"/>
        </w:rPr>
        <w:t>名</w:t>
      </w:r>
      <w:r>
        <w:rPr>
          <w:color w:val="auto"/>
          <w:spacing w:val="7"/>
          <w:sz w:val="21"/>
          <w:szCs w:val="21"/>
          <w:highlight w:val="none"/>
        </w:rPr>
        <w:t>称)的竞</w:t>
      </w:r>
      <w:r>
        <w:rPr>
          <w:color w:val="auto"/>
          <w:spacing w:val="4"/>
          <w:sz w:val="21"/>
          <w:szCs w:val="21"/>
          <w:highlight w:val="none"/>
        </w:rPr>
        <w:t>争</w:t>
      </w:r>
      <w:r>
        <w:rPr>
          <w:color w:val="auto"/>
          <w:spacing w:val="7"/>
          <w:sz w:val="21"/>
          <w:szCs w:val="21"/>
          <w:highlight w:val="none"/>
        </w:rPr>
        <w:t>性磋商</w:t>
      </w:r>
      <w:r>
        <w:rPr>
          <w:color w:val="auto"/>
          <w:spacing w:val="4"/>
          <w:sz w:val="21"/>
          <w:szCs w:val="21"/>
          <w:highlight w:val="none"/>
        </w:rPr>
        <w:t>文</w:t>
      </w:r>
      <w:r>
        <w:rPr>
          <w:color w:val="auto"/>
          <w:sz w:val="21"/>
          <w:szCs w:val="21"/>
          <w:highlight w:val="none"/>
        </w:rPr>
        <w:t>件</w:t>
      </w:r>
    </w:p>
    <w:p>
      <w:pPr>
        <w:pStyle w:val="6"/>
        <w:spacing w:before="161" w:line="364" w:lineRule="auto"/>
        <w:ind w:right="899"/>
        <w:rPr>
          <w:color w:val="auto"/>
          <w:sz w:val="21"/>
          <w:szCs w:val="21"/>
          <w:highlight w:val="none"/>
        </w:rPr>
      </w:pPr>
      <w:r>
        <w:rPr>
          <w:color w:val="auto"/>
          <w:sz w:val="21"/>
          <w:szCs w:val="21"/>
          <w:highlight w:val="none"/>
        </w:rPr>
        <w:t>（</w:t>
      </w:r>
      <w:r>
        <w:rPr>
          <w:rFonts w:hint="eastAsia"/>
          <w:color w:val="auto"/>
          <w:sz w:val="21"/>
          <w:szCs w:val="21"/>
          <w:highlight w:val="none"/>
        </w:rPr>
        <w:t>项目</w:t>
      </w:r>
      <w:r>
        <w:rPr>
          <w:color w:val="auto"/>
          <w:sz w:val="21"/>
          <w:szCs w:val="21"/>
          <w:highlight w:val="none"/>
        </w:rPr>
        <w:t>编号）的全部内容，知悉参加竞争性磋商的风险，我方承诺接受竞争性磋商文件的全部条款且无任何异议。</w:t>
      </w:r>
    </w:p>
    <w:p>
      <w:pPr>
        <w:pStyle w:val="6"/>
        <w:tabs>
          <w:tab w:val="left" w:pos="8220"/>
        </w:tabs>
        <w:spacing w:line="364" w:lineRule="auto"/>
        <w:ind w:right="917" w:firstLine="480"/>
        <w:rPr>
          <w:color w:val="auto"/>
          <w:sz w:val="21"/>
          <w:szCs w:val="21"/>
          <w:highlight w:val="none"/>
        </w:rPr>
      </w:pPr>
      <w:r>
        <w:rPr>
          <w:color w:val="auto"/>
          <w:sz w:val="21"/>
          <w:szCs w:val="21"/>
          <w:highlight w:val="none"/>
        </w:rPr>
        <w:t>一</w:t>
      </w:r>
      <w:r>
        <w:rPr>
          <w:color w:val="auto"/>
          <w:spacing w:val="-20"/>
          <w:sz w:val="21"/>
          <w:szCs w:val="21"/>
          <w:highlight w:val="none"/>
        </w:rPr>
        <w:t>、</w:t>
      </w:r>
      <w:r>
        <w:rPr>
          <w:color w:val="auto"/>
          <w:sz w:val="21"/>
          <w:szCs w:val="21"/>
          <w:highlight w:val="none"/>
        </w:rPr>
        <w:t>我方同意在竞争性磋商文件中规定的提交响应文件截止时间起</w:t>
      </w:r>
      <w:r>
        <w:rPr>
          <w:rFonts w:hint="eastAsia"/>
          <w:color w:val="auto"/>
          <w:sz w:val="21"/>
          <w:szCs w:val="21"/>
          <w:highlight w:val="none"/>
          <w:u w:val="single"/>
          <w:lang w:val="en-US"/>
        </w:rPr>
        <w:t>90</w:t>
      </w:r>
      <w:r>
        <w:rPr>
          <w:color w:val="auto"/>
          <w:sz w:val="21"/>
          <w:szCs w:val="21"/>
          <w:highlight w:val="none"/>
        </w:rPr>
        <w:t>日内(</w:t>
      </w:r>
      <w:r>
        <w:rPr>
          <w:color w:val="auto"/>
          <w:spacing w:val="-17"/>
          <w:sz w:val="21"/>
          <w:szCs w:val="21"/>
          <w:highlight w:val="none"/>
        </w:rPr>
        <w:t>响</w:t>
      </w:r>
      <w:r>
        <w:rPr>
          <w:color w:val="auto"/>
          <w:sz w:val="21"/>
          <w:szCs w:val="21"/>
          <w:highlight w:val="none"/>
        </w:rPr>
        <w:t>应文件有效期)遵守本响应文件中的承诺且在此期限期满之前均具有法律约束力。</w:t>
      </w:r>
    </w:p>
    <w:p>
      <w:pPr>
        <w:pStyle w:val="6"/>
        <w:spacing w:line="364" w:lineRule="auto"/>
        <w:ind w:right="899" w:firstLine="480"/>
        <w:jc w:val="both"/>
        <w:rPr>
          <w:color w:val="auto"/>
          <w:sz w:val="21"/>
          <w:szCs w:val="21"/>
          <w:highlight w:val="none"/>
        </w:rPr>
      </w:pPr>
      <w:r>
        <w:rPr>
          <w:color w:val="auto"/>
          <w:sz w:val="21"/>
          <w:szCs w:val="21"/>
          <w:highlight w:val="none"/>
        </w:rPr>
        <w:t>二、我方提交响应文件纸质文件</w:t>
      </w:r>
      <w:r>
        <w:rPr>
          <w:rFonts w:hint="eastAsia"/>
          <w:color w:val="auto"/>
          <w:sz w:val="21"/>
          <w:szCs w:val="21"/>
          <w:highlight w:val="none"/>
          <w:u w:val="single"/>
        </w:rPr>
        <w:t>三</w:t>
      </w:r>
      <w:r>
        <w:rPr>
          <w:color w:val="auto"/>
          <w:sz w:val="21"/>
          <w:szCs w:val="21"/>
          <w:highlight w:val="none"/>
        </w:rPr>
        <w:t>份</w:t>
      </w:r>
      <w:r>
        <w:rPr>
          <w:rFonts w:hint="eastAsia"/>
          <w:color w:val="auto"/>
          <w:sz w:val="21"/>
          <w:szCs w:val="21"/>
          <w:highlight w:val="none"/>
        </w:rPr>
        <w:t>（一正本两副本）</w:t>
      </w:r>
      <w:r>
        <w:rPr>
          <w:color w:val="auto"/>
          <w:sz w:val="21"/>
          <w:szCs w:val="21"/>
          <w:highlight w:val="none"/>
        </w:rPr>
        <w:t>，电子文档（U盘、光盘）</w:t>
      </w:r>
      <w:r>
        <w:rPr>
          <w:rFonts w:hint="eastAsia"/>
          <w:color w:val="auto"/>
          <w:sz w:val="21"/>
          <w:szCs w:val="21"/>
          <w:highlight w:val="none"/>
          <w:u w:val="single"/>
        </w:rPr>
        <w:t>一</w:t>
      </w:r>
      <w:r>
        <w:rPr>
          <w:color w:val="auto"/>
          <w:spacing w:val="-10"/>
          <w:sz w:val="21"/>
          <w:szCs w:val="21"/>
          <w:highlight w:val="none"/>
        </w:rPr>
        <w:t>份，</w:t>
      </w:r>
      <w:r>
        <w:rPr>
          <w:color w:val="auto"/>
          <w:spacing w:val="-1"/>
          <w:sz w:val="21"/>
          <w:szCs w:val="21"/>
          <w:highlight w:val="none"/>
        </w:rPr>
        <w:t>并保证响应文件提供的数据和材料是真实、准确的。否则，愿承担《中华人民共和</w:t>
      </w:r>
      <w:r>
        <w:rPr>
          <w:color w:val="auto"/>
          <w:sz w:val="21"/>
          <w:szCs w:val="21"/>
          <w:highlight w:val="none"/>
        </w:rPr>
        <w:t>国政府采购法》第七十七条规定的法律责任。</w:t>
      </w:r>
    </w:p>
    <w:p>
      <w:pPr>
        <w:pStyle w:val="6"/>
        <w:spacing w:before="2" w:line="364" w:lineRule="auto"/>
        <w:ind w:right="882" w:firstLine="480"/>
        <w:rPr>
          <w:color w:val="auto"/>
          <w:sz w:val="21"/>
          <w:szCs w:val="21"/>
          <w:highlight w:val="none"/>
        </w:rPr>
      </w:pPr>
      <w:r>
        <w:rPr>
          <w:color w:val="auto"/>
          <w:sz w:val="21"/>
          <w:szCs w:val="21"/>
          <w:highlight w:val="none"/>
        </w:rPr>
        <w:t>三、我方愿意向贵方提供任何与本项采购有关的数据、情况和技术资料。若贵方需要，我方愿意提供我方做出的一切承诺的证明材料。</w:t>
      </w:r>
    </w:p>
    <w:p>
      <w:pPr>
        <w:pStyle w:val="6"/>
        <w:ind w:left="920"/>
        <w:rPr>
          <w:color w:val="auto"/>
          <w:sz w:val="21"/>
          <w:szCs w:val="21"/>
          <w:highlight w:val="none"/>
        </w:rPr>
      </w:pPr>
      <w:r>
        <w:rPr>
          <w:color w:val="auto"/>
          <w:sz w:val="21"/>
          <w:szCs w:val="21"/>
          <w:highlight w:val="none"/>
        </w:rPr>
        <w:t>四、我方愿意按竞争性磋商文件规定和竞争性磋商小组要求进行报价。</w:t>
      </w:r>
    </w:p>
    <w:p>
      <w:pPr>
        <w:pStyle w:val="6"/>
        <w:spacing w:before="161" w:line="364" w:lineRule="auto"/>
        <w:ind w:right="917" w:firstLine="480"/>
        <w:jc w:val="both"/>
        <w:rPr>
          <w:color w:val="auto"/>
          <w:sz w:val="21"/>
          <w:szCs w:val="21"/>
          <w:highlight w:val="none"/>
        </w:rPr>
      </w:pPr>
      <w:r>
        <w:rPr>
          <w:color w:val="auto"/>
          <w:spacing w:val="-6"/>
          <w:sz w:val="21"/>
          <w:szCs w:val="21"/>
          <w:highlight w:val="none"/>
        </w:rPr>
        <w:t>五、我方承诺遵守《中华人民共和国政府采购法》的有关规定，保证在获得成</w:t>
      </w:r>
      <w:r>
        <w:rPr>
          <w:color w:val="auto"/>
          <w:spacing w:val="-4"/>
          <w:sz w:val="21"/>
          <w:szCs w:val="21"/>
          <w:highlight w:val="none"/>
        </w:rPr>
        <w:t>交资格后，按照竞争性磋商文件确定的事项签订政府采购合同，履行双方所签订的</w:t>
      </w:r>
      <w:r>
        <w:rPr>
          <w:color w:val="auto"/>
          <w:sz w:val="21"/>
          <w:szCs w:val="21"/>
          <w:highlight w:val="none"/>
        </w:rPr>
        <w:t>合同，并承担磋商中承诺以及合同规定的责任和义务。</w:t>
      </w:r>
    </w:p>
    <w:p>
      <w:pPr>
        <w:pStyle w:val="10"/>
        <w:rPr>
          <w:color w:val="auto"/>
          <w:highlight w:val="none"/>
        </w:rPr>
      </w:pPr>
    </w:p>
    <w:p>
      <w:pPr>
        <w:pStyle w:val="10"/>
        <w:rPr>
          <w:color w:val="auto"/>
          <w:highlight w:val="none"/>
        </w:rPr>
      </w:pPr>
    </w:p>
    <w:p>
      <w:pPr>
        <w:pStyle w:val="10"/>
        <w:rPr>
          <w:color w:val="auto"/>
          <w:highlight w:val="none"/>
        </w:rPr>
      </w:pPr>
    </w:p>
    <w:p>
      <w:pPr>
        <w:pStyle w:val="10"/>
        <w:spacing w:before="2"/>
        <w:rPr>
          <w:color w:val="auto"/>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lang w:val="en-US"/>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spacing w:line="364" w:lineRule="auto"/>
        <w:rPr>
          <w:color w:val="auto"/>
          <w:sz w:val="24"/>
          <w:szCs w:val="24"/>
          <w:highlight w:val="none"/>
        </w:rPr>
      </w:pPr>
    </w:p>
    <w:p>
      <w:pPr>
        <w:pStyle w:val="22"/>
        <w:rPr>
          <w:color w:val="auto"/>
          <w:highlight w:val="none"/>
          <w:lang w:eastAsia="zh-CN"/>
        </w:rPr>
        <w:sectPr>
          <w:pgSz w:w="12240" w:h="15840"/>
          <w:pgMar w:top="1380" w:right="900" w:bottom="880" w:left="1360" w:header="746" w:footer="688" w:gutter="0"/>
          <w:cols w:space="720" w:num="1"/>
        </w:sectPr>
      </w:pPr>
    </w:p>
    <w:p>
      <w:pPr>
        <w:pStyle w:val="10"/>
        <w:spacing w:before="5"/>
        <w:rPr>
          <w:color w:val="auto"/>
          <w:sz w:val="9"/>
          <w:highlight w:val="none"/>
        </w:rPr>
      </w:pPr>
    </w:p>
    <w:p>
      <w:pPr>
        <w:spacing w:line="480" w:lineRule="auto"/>
        <w:rPr>
          <w:bCs/>
          <w:color w:val="auto"/>
          <w:sz w:val="24"/>
          <w:highlight w:val="none"/>
        </w:rPr>
      </w:pPr>
      <w:bookmarkStart w:id="203" w:name="附件1："/>
      <w:bookmarkEnd w:id="203"/>
      <w:r>
        <w:rPr>
          <w:rFonts w:hint="eastAsia"/>
          <w:b/>
          <w:bCs/>
          <w:color w:val="auto"/>
          <w:sz w:val="24"/>
          <w:szCs w:val="24"/>
          <w:highlight w:val="none"/>
          <w:lang w:val="en-US"/>
        </w:rPr>
        <w:t>附件3</w:t>
      </w:r>
    </w:p>
    <w:p>
      <w:pPr>
        <w:pStyle w:val="10"/>
        <w:rPr>
          <w:rFonts w:ascii="Times New Roman"/>
          <w:color w:val="auto"/>
          <w:sz w:val="15"/>
          <w:highlight w:val="none"/>
        </w:rPr>
      </w:pPr>
    </w:p>
    <w:p>
      <w:pPr>
        <w:pStyle w:val="10"/>
        <w:rPr>
          <w:rFonts w:ascii="黑体"/>
          <w:color w:val="auto"/>
          <w:sz w:val="24"/>
          <w:szCs w:val="24"/>
          <w:highlight w:val="none"/>
        </w:rPr>
      </w:pPr>
    </w:p>
    <w:p>
      <w:pPr>
        <w:pStyle w:val="10"/>
        <w:spacing w:before="8"/>
        <w:rPr>
          <w:rFonts w:ascii="黑体"/>
          <w:color w:val="auto"/>
          <w:sz w:val="24"/>
          <w:szCs w:val="24"/>
          <w:highlight w:val="none"/>
        </w:rPr>
      </w:pPr>
    </w:p>
    <w:p>
      <w:pPr>
        <w:pStyle w:val="3"/>
        <w:spacing w:before="1"/>
        <w:ind w:left="585" w:right="1042"/>
        <w:rPr>
          <w:rFonts w:ascii="宋体" w:hAnsi="宋体" w:eastAsia="宋体" w:cs="宋体"/>
          <w:b/>
          <w:bCs/>
          <w:color w:val="auto"/>
          <w:highlight w:val="none"/>
          <w:lang w:val="en-US"/>
        </w:rPr>
      </w:pPr>
      <w:bookmarkStart w:id="204" w:name="法定代表人身份证明(法定代表人参加竞争性磋商)"/>
      <w:bookmarkEnd w:id="204"/>
      <w:r>
        <w:rPr>
          <w:rFonts w:hint="eastAsia" w:ascii="宋体" w:hAnsi="宋体" w:eastAsia="宋体" w:cs="宋体"/>
          <w:b/>
          <w:bCs/>
          <w:color w:val="auto"/>
          <w:highlight w:val="none"/>
          <w:lang w:val="en-US"/>
        </w:rPr>
        <w:t>法定代表人证明书</w:t>
      </w:r>
    </w:p>
    <w:p>
      <w:pPr>
        <w:pStyle w:val="10"/>
        <w:spacing w:before="7"/>
        <w:rPr>
          <w:rFonts w:ascii="黑体"/>
          <w:color w:val="auto"/>
          <w:sz w:val="38"/>
          <w:highlight w:val="none"/>
        </w:rPr>
      </w:pPr>
    </w:p>
    <w:p>
      <w:pPr>
        <w:pStyle w:val="6"/>
        <w:tabs>
          <w:tab w:val="left" w:pos="2959"/>
          <w:tab w:val="left" w:pos="4039"/>
          <w:tab w:val="left" w:pos="5119"/>
          <w:tab w:val="left" w:pos="5179"/>
          <w:tab w:val="left" w:pos="5419"/>
        </w:tabs>
        <w:spacing w:line="364" w:lineRule="auto"/>
        <w:ind w:left="920" w:right="4558"/>
        <w:rPr>
          <w:rFonts w:ascii="Times New Roman" w:eastAsia="Times New Roman"/>
          <w:color w:val="auto"/>
          <w:sz w:val="21"/>
          <w:szCs w:val="21"/>
          <w:highlight w:val="none"/>
        </w:rPr>
      </w:pPr>
      <w:r>
        <w:rPr>
          <w:color w:val="auto"/>
          <w:sz w:val="21"/>
          <w:szCs w:val="21"/>
          <w:highlight w:val="none"/>
        </w:rPr>
        <w:t>供应商名称：</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color w:val="auto"/>
          <w:sz w:val="21"/>
          <w:szCs w:val="21"/>
          <w:highlight w:val="none"/>
        </w:rPr>
        <w:t>单位性质：</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color w:val="auto"/>
          <w:sz w:val="21"/>
          <w:szCs w:val="21"/>
          <w:highlight w:val="none"/>
        </w:rPr>
        <w:t>成立时间：</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日经营期限：</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1639"/>
          <w:tab w:val="left" w:pos="3019"/>
          <w:tab w:val="left" w:pos="3919"/>
          <w:tab w:val="left" w:pos="4819"/>
          <w:tab w:val="left" w:pos="6619"/>
          <w:tab w:val="left" w:pos="8419"/>
        </w:tabs>
        <w:spacing w:before="2" w:line="364" w:lineRule="auto"/>
        <w:ind w:left="920" w:right="1558"/>
        <w:rPr>
          <w:color w:val="auto"/>
          <w:sz w:val="21"/>
          <w:szCs w:val="21"/>
          <w:highlight w:val="none"/>
        </w:rPr>
      </w:pPr>
      <w:r>
        <w:rPr>
          <w:color w:val="auto"/>
          <w:sz w:val="21"/>
          <w:szCs w:val="21"/>
          <w:highlight w:val="none"/>
        </w:rPr>
        <w:t>姓</w:t>
      </w:r>
      <w:r>
        <w:rPr>
          <w:color w:val="auto"/>
          <w:sz w:val="21"/>
          <w:szCs w:val="21"/>
          <w:highlight w:val="none"/>
        </w:rPr>
        <w:tab/>
      </w:r>
      <w:r>
        <w:rPr>
          <w:color w:val="auto"/>
          <w:sz w:val="21"/>
          <w:szCs w:val="21"/>
          <w:highlight w:val="none"/>
        </w:rPr>
        <w:t>名：</w:t>
      </w:r>
      <w:r>
        <w:rPr>
          <w:color w:val="auto"/>
          <w:sz w:val="21"/>
          <w:szCs w:val="21"/>
          <w:highlight w:val="none"/>
          <w:u w:val="single"/>
        </w:rPr>
        <w:tab/>
      </w:r>
      <w:r>
        <w:rPr>
          <w:color w:val="auto"/>
          <w:sz w:val="21"/>
          <w:szCs w:val="21"/>
          <w:highlight w:val="none"/>
        </w:rPr>
        <w:t>性别：</w:t>
      </w:r>
      <w:r>
        <w:rPr>
          <w:color w:val="auto"/>
          <w:sz w:val="21"/>
          <w:szCs w:val="21"/>
          <w:highlight w:val="none"/>
          <w:u w:val="single"/>
        </w:rPr>
        <w:tab/>
      </w:r>
      <w:r>
        <w:rPr>
          <w:color w:val="auto"/>
          <w:sz w:val="21"/>
          <w:szCs w:val="21"/>
          <w:highlight w:val="none"/>
        </w:rPr>
        <w:t>年龄：</w:t>
      </w:r>
      <w:r>
        <w:rPr>
          <w:color w:val="auto"/>
          <w:sz w:val="21"/>
          <w:szCs w:val="21"/>
          <w:highlight w:val="none"/>
          <w:u w:val="single"/>
        </w:rPr>
        <w:tab/>
      </w:r>
      <w:r>
        <w:rPr>
          <w:color w:val="auto"/>
          <w:sz w:val="21"/>
          <w:szCs w:val="21"/>
          <w:highlight w:val="none"/>
        </w:rPr>
        <w:t>职务：</w:t>
      </w:r>
      <w:r>
        <w:rPr>
          <w:rFonts w:ascii="Times New Roman" w:eastAsia="Times New Roman"/>
          <w:color w:val="auto"/>
          <w:sz w:val="21"/>
          <w:szCs w:val="21"/>
          <w:highlight w:val="none"/>
          <w:u w:val="single"/>
        </w:rPr>
        <w:tab/>
      </w:r>
      <w:r>
        <w:rPr>
          <w:color w:val="auto"/>
          <w:sz w:val="21"/>
          <w:szCs w:val="21"/>
          <w:highlight w:val="none"/>
        </w:rPr>
        <w:t>系</w:t>
      </w:r>
      <w:r>
        <w:rPr>
          <w:color w:val="auto"/>
          <w:sz w:val="21"/>
          <w:szCs w:val="21"/>
          <w:highlight w:val="none"/>
          <w:u w:val="single"/>
        </w:rPr>
        <w:tab/>
      </w:r>
      <w:r>
        <w:rPr>
          <w:color w:val="auto"/>
          <w:sz w:val="21"/>
          <w:szCs w:val="21"/>
          <w:highlight w:val="none"/>
          <w:u w:val="single"/>
        </w:rPr>
        <w:tab/>
      </w:r>
      <w:r>
        <w:rPr>
          <w:color w:val="auto"/>
          <w:sz w:val="21"/>
          <w:szCs w:val="21"/>
          <w:highlight w:val="none"/>
          <w:u w:val="single"/>
        </w:rPr>
        <w:tab/>
      </w:r>
      <w:r>
        <w:rPr>
          <w:color w:val="auto"/>
          <w:sz w:val="21"/>
          <w:szCs w:val="21"/>
          <w:highlight w:val="none"/>
        </w:rPr>
        <w:t>（供应商名称）的法定代表人。</w:t>
      </w:r>
    </w:p>
    <w:p>
      <w:pPr>
        <w:pStyle w:val="6"/>
        <w:ind w:left="920"/>
        <w:rPr>
          <w:color w:val="auto"/>
          <w:sz w:val="21"/>
          <w:szCs w:val="21"/>
          <w:highlight w:val="none"/>
        </w:rPr>
      </w:pPr>
      <w:r>
        <w:rPr>
          <w:color w:val="auto"/>
          <w:sz w:val="21"/>
          <w:szCs w:val="21"/>
          <w:highlight w:val="none"/>
        </w:rPr>
        <w:t>特此证明。</w:t>
      </w:r>
    </w:p>
    <w:p>
      <w:pPr>
        <w:pStyle w:val="6"/>
        <w:spacing w:before="161"/>
        <w:ind w:left="920"/>
        <w:rPr>
          <w:color w:val="auto"/>
          <w:sz w:val="21"/>
          <w:szCs w:val="21"/>
          <w:highlight w:val="none"/>
        </w:rPr>
      </w:pPr>
      <w:r>
        <w:rPr>
          <w:color w:val="auto"/>
          <w:sz w:val="21"/>
          <w:szCs w:val="21"/>
          <w:highlight w:val="none"/>
        </w:rPr>
        <w:t>附：法定代表人居民身份证复印件（正反面）</w:t>
      </w: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lang w:val="en-US"/>
        </w:rPr>
      </w:pPr>
      <w:r>
        <w:rPr>
          <w:color w:val="auto"/>
          <w:spacing w:val="-1"/>
          <w:sz w:val="21"/>
          <w:szCs w:val="21"/>
          <w:highlight w:val="none"/>
        </w:rPr>
        <w:t>法</w:t>
      </w:r>
      <w:r>
        <w:rPr>
          <w:color w:val="auto"/>
          <w:sz w:val="21"/>
          <w:szCs w:val="21"/>
          <w:highlight w:val="none"/>
        </w:rPr>
        <w:t>定代表人（签字）：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rFonts w:ascii="Times New Roman" w:eastAsia="Times New Roman"/>
          <w:color w:val="auto"/>
          <w:sz w:val="21"/>
          <w:szCs w:val="21"/>
          <w:highlight w:val="none"/>
          <w:u w:val="single"/>
        </w:rPr>
        <w:tab/>
      </w:r>
      <w:r>
        <w:rPr>
          <w:color w:val="auto"/>
          <w:sz w:val="21"/>
          <w:szCs w:val="21"/>
          <w:highlight w:val="none"/>
        </w:rPr>
        <w:t>日</w:t>
      </w:r>
    </w:p>
    <w:p>
      <w:pPr>
        <w:pStyle w:val="10"/>
        <w:rPr>
          <w:color w:val="auto"/>
          <w:sz w:val="24"/>
          <w:szCs w:val="24"/>
          <w:highlight w:val="none"/>
        </w:rPr>
      </w:pPr>
    </w:p>
    <w:p>
      <w:pPr>
        <w:pStyle w:val="10"/>
        <w:rPr>
          <w:color w:val="auto"/>
          <w:sz w:val="24"/>
          <w:szCs w:val="24"/>
          <w:highlight w:val="none"/>
        </w:rPr>
      </w:pPr>
    </w:p>
    <w:p>
      <w:pPr>
        <w:pStyle w:val="10"/>
        <w:rPr>
          <w:color w:val="auto"/>
          <w:sz w:val="24"/>
          <w:szCs w:val="24"/>
          <w:highlight w:val="none"/>
        </w:rPr>
      </w:pPr>
    </w:p>
    <w:p>
      <w:pPr>
        <w:pStyle w:val="10"/>
        <w:rPr>
          <w:color w:val="auto"/>
          <w:sz w:val="24"/>
          <w:szCs w:val="24"/>
          <w:highlight w:val="none"/>
        </w:rPr>
      </w:pPr>
    </w:p>
    <w:p>
      <w:pPr>
        <w:tabs>
          <w:tab w:val="left" w:pos="3780"/>
        </w:tabs>
        <w:spacing w:line="360" w:lineRule="auto"/>
        <w:rPr>
          <w:b/>
          <w:color w:val="auto"/>
          <w:szCs w:val="21"/>
          <w:highlight w:val="none"/>
        </w:rPr>
      </w:pPr>
      <w:r>
        <w:rPr>
          <w:rFonts w:hint="eastAsia"/>
          <w:b/>
          <w:color w:val="auto"/>
          <w:szCs w:val="21"/>
          <w:highlight w:val="none"/>
        </w:rPr>
        <w:t>注：本表格须附在正副的投标文件中，并另封装一份在“唱标信封”内。</w:t>
      </w:r>
    </w:p>
    <w:p>
      <w:pPr>
        <w:pStyle w:val="10"/>
        <w:rPr>
          <w:color w:val="auto"/>
          <w:sz w:val="24"/>
          <w:szCs w:val="24"/>
          <w:highlight w:val="none"/>
        </w:rPr>
      </w:pPr>
    </w:p>
    <w:p>
      <w:pPr>
        <w:pStyle w:val="10"/>
        <w:rPr>
          <w:color w:val="auto"/>
          <w:sz w:val="24"/>
          <w:szCs w:val="24"/>
          <w:highlight w:val="none"/>
        </w:rPr>
      </w:pPr>
    </w:p>
    <w:p>
      <w:pPr>
        <w:pStyle w:val="10"/>
        <w:rPr>
          <w:color w:val="auto"/>
          <w:sz w:val="24"/>
          <w:szCs w:val="24"/>
          <w:highlight w:val="none"/>
        </w:rPr>
      </w:pPr>
    </w:p>
    <w:p>
      <w:pPr>
        <w:rPr>
          <w:color w:val="auto"/>
          <w:sz w:val="24"/>
          <w:szCs w:val="24"/>
          <w:highlight w:val="none"/>
        </w:rPr>
        <w:sectPr>
          <w:pgSz w:w="12240" w:h="15840"/>
          <w:pgMar w:top="1380" w:right="900" w:bottom="880" w:left="1360" w:header="746" w:footer="688" w:gutter="0"/>
          <w:cols w:space="720" w:num="1"/>
        </w:sectPr>
      </w:pPr>
    </w:p>
    <w:p>
      <w:pPr>
        <w:pStyle w:val="3"/>
        <w:spacing w:before="1"/>
        <w:ind w:left="0" w:right="1042"/>
        <w:jc w:val="both"/>
        <w:rPr>
          <w:rFonts w:ascii="宋体" w:hAnsi="宋体" w:eastAsia="宋体" w:cs="宋体"/>
          <w:b/>
          <w:bCs/>
          <w:color w:val="auto"/>
          <w:sz w:val="24"/>
          <w:szCs w:val="24"/>
          <w:highlight w:val="none"/>
          <w:lang w:val="en-US"/>
        </w:rPr>
      </w:pPr>
      <w:r>
        <w:rPr>
          <w:rFonts w:hint="eastAsia" w:ascii="宋体" w:hAnsi="宋体" w:eastAsia="宋体" w:cs="宋体"/>
          <w:b/>
          <w:bCs/>
          <w:color w:val="auto"/>
          <w:sz w:val="24"/>
          <w:szCs w:val="24"/>
          <w:highlight w:val="none"/>
          <w:lang w:val="en-US"/>
        </w:rPr>
        <w:t>附件4</w:t>
      </w:r>
    </w:p>
    <w:p>
      <w:pPr>
        <w:pStyle w:val="10"/>
        <w:rPr>
          <w:rFonts w:ascii="黑体"/>
          <w:color w:val="auto"/>
          <w:sz w:val="24"/>
          <w:szCs w:val="24"/>
          <w:highlight w:val="none"/>
        </w:rPr>
      </w:pPr>
    </w:p>
    <w:p>
      <w:pPr>
        <w:pStyle w:val="10"/>
        <w:spacing w:before="8"/>
        <w:rPr>
          <w:rFonts w:ascii="黑体"/>
          <w:color w:val="auto"/>
          <w:sz w:val="24"/>
          <w:szCs w:val="24"/>
          <w:highlight w:val="none"/>
        </w:rPr>
      </w:pPr>
    </w:p>
    <w:p>
      <w:pPr>
        <w:pStyle w:val="3"/>
        <w:spacing w:before="1"/>
        <w:ind w:left="585" w:right="1042"/>
        <w:rPr>
          <w:rFonts w:ascii="宋体" w:hAnsi="宋体" w:eastAsia="宋体" w:cs="宋体"/>
          <w:b/>
          <w:bCs/>
          <w:color w:val="auto"/>
          <w:highlight w:val="none"/>
          <w:lang w:val="en-US"/>
        </w:rPr>
      </w:pPr>
      <w:bookmarkStart w:id="205" w:name="法定代表人授权书(委托代理人参加竞争性磋商)"/>
      <w:bookmarkEnd w:id="205"/>
      <w:r>
        <w:rPr>
          <w:rFonts w:hint="eastAsia" w:ascii="宋体" w:hAnsi="宋体" w:eastAsia="宋体" w:cs="宋体"/>
          <w:b/>
          <w:bCs/>
          <w:color w:val="auto"/>
          <w:highlight w:val="none"/>
          <w:lang w:val="en-US"/>
        </w:rPr>
        <w:t>法定代表人授权书</w:t>
      </w:r>
    </w:p>
    <w:p>
      <w:pPr>
        <w:pStyle w:val="10"/>
        <w:spacing w:before="7"/>
        <w:rPr>
          <w:rFonts w:ascii="黑体"/>
          <w:color w:val="auto"/>
          <w:sz w:val="38"/>
          <w:highlight w:val="none"/>
        </w:rPr>
      </w:pPr>
    </w:p>
    <w:p>
      <w:pPr>
        <w:pStyle w:val="6"/>
        <w:tabs>
          <w:tab w:val="left" w:pos="1879"/>
          <w:tab w:val="left" w:pos="2575"/>
          <w:tab w:val="left" w:pos="5400"/>
          <w:tab w:val="left" w:pos="5527"/>
        </w:tabs>
        <w:spacing w:line="364" w:lineRule="auto"/>
        <w:ind w:right="779" w:firstLine="480"/>
        <w:rPr>
          <w:color w:val="auto"/>
          <w:sz w:val="21"/>
          <w:szCs w:val="21"/>
          <w:highlight w:val="none"/>
        </w:rPr>
      </w:pPr>
      <w:r>
        <w:rPr>
          <w:color w:val="auto"/>
          <w:sz w:val="21"/>
          <w:szCs w:val="21"/>
          <w:highlight w:val="none"/>
        </w:rPr>
        <w:t>本人</w:t>
      </w:r>
      <w:r>
        <w:rPr>
          <w:color w:val="auto"/>
          <w:sz w:val="21"/>
          <w:szCs w:val="21"/>
          <w:highlight w:val="none"/>
          <w:u w:val="single"/>
        </w:rPr>
        <w:tab/>
      </w:r>
      <w:r>
        <w:rPr>
          <w:color w:val="auto"/>
          <w:sz w:val="21"/>
          <w:szCs w:val="21"/>
          <w:highlight w:val="none"/>
          <w:u w:val="single"/>
        </w:rPr>
        <w:tab/>
      </w:r>
      <w:r>
        <w:rPr>
          <w:color w:val="auto"/>
          <w:sz w:val="21"/>
          <w:szCs w:val="21"/>
          <w:highlight w:val="none"/>
        </w:rPr>
        <w:t>（姓名</w:t>
      </w:r>
      <w:r>
        <w:rPr>
          <w:color w:val="auto"/>
          <w:spacing w:val="-24"/>
          <w:sz w:val="21"/>
          <w:szCs w:val="21"/>
          <w:highlight w:val="none"/>
        </w:rPr>
        <w:t>）</w:t>
      </w:r>
      <w:r>
        <w:rPr>
          <w:color w:val="auto"/>
          <w:sz w:val="21"/>
          <w:szCs w:val="21"/>
          <w:highlight w:val="none"/>
        </w:rPr>
        <w:t>系</w:t>
      </w:r>
      <w:r>
        <w:rPr>
          <w:color w:val="auto"/>
          <w:sz w:val="21"/>
          <w:szCs w:val="21"/>
          <w:highlight w:val="none"/>
          <w:u w:val="single"/>
        </w:rPr>
        <w:tab/>
      </w:r>
      <w:r>
        <w:rPr>
          <w:color w:val="auto"/>
          <w:sz w:val="21"/>
          <w:szCs w:val="21"/>
          <w:highlight w:val="none"/>
          <w:u w:val="single"/>
        </w:rPr>
        <w:tab/>
      </w:r>
      <w:r>
        <w:rPr>
          <w:color w:val="auto"/>
          <w:sz w:val="21"/>
          <w:szCs w:val="21"/>
          <w:highlight w:val="none"/>
        </w:rPr>
        <w:t>（供应商名称</w:t>
      </w:r>
      <w:r>
        <w:rPr>
          <w:color w:val="auto"/>
          <w:spacing w:val="-24"/>
          <w:sz w:val="21"/>
          <w:szCs w:val="21"/>
          <w:highlight w:val="none"/>
        </w:rPr>
        <w:t>）</w:t>
      </w:r>
      <w:r>
        <w:rPr>
          <w:color w:val="auto"/>
          <w:sz w:val="21"/>
          <w:szCs w:val="21"/>
          <w:highlight w:val="none"/>
        </w:rPr>
        <w:t>的法定代表人</w:t>
      </w:r>
      <w:r>
        <w:rPr>
          <w:color w:val="auto"/>
          <w:spacing w:val="-24"/>
          <w:sz w:val="21"/>
          <w:szCs w:val="21"/>
          <w:highlight w:val="none"/>
        </w:rPr>
        <w:t>，</w:t>
      </w:r>
      <w:r>
        <w:rPr>
          <w:color w:val="auto"/>
          <w:sz w:val="21"/>
          <w:szCs w:val="21"/>
          <w:highlight w:val="none"/>
        </w:rPr>
        <w:t>现委托</w:t>
      </w:r>
      <w:r>
        <w:rPr>
          <w:color w:val="auto"/>
          <w:sz w:val="21"/>
          <w:szCs w:val="21"/>
          <w:highlight w:val="none"/>
          <w:u w:val="single"/>
        </w:rPr>
        <w:tab/>
      </w:r>
      <w:r>
        <w:rPr>
          <w:color w:val="auto"/>
          <w:sz w:val="21"/>
          <w:szCs w:val="21"/>
          <w:highlight w:val="none"/>
        </w:rPr>
        <w:t>（姓名）为我方代理人。代理人根据授权，以我方名义：（1）签署</w:t>
      </w:r>
      <w:r>
        <w:rPr>
          <w:color w:val="auto"/>
          <w:spacing w:val="-18"/>
          <w:sz w:val="21"/>
          <w:szCs w:val="21"/>
          <w:highlight w:val="none"/>
        </w:rPr>
        <w:t>、</w:t>
      </w:r>
      <w:r>
        <w:rPr>
          <w:color w:val="auto"/>
          <w:sz w:val="21"/>
          <w:szCs w:val="21"/>
          <w:highlight w:val="none"/>
        </w:rPr>
        <w:t>澄清</w:t>
      </w:r>
      <w:r>
        <w:rPr>
          <w:color w:val="auto"/>
          <w:spacing w:val="-41"/>
          <w:sz w:val="21"/>
          <w:szCs w:val="21"/>
          <w:highlight w:val="none"/>
        </w:rPr>
        <w:t>、</w:t>
      </w:r>
      <w:r>
        <w:rPr>
          <w:color w:val="auto"/>
          <w:sz w:val="21"/>
          <w:szCs w:val="21"/>
          <w:highlight w:val="none"/>
        </w:rPr>
        <w:t>补正</w:t>
      </w:r>
      <w:r>
        <w:rPr>
          <w:color w:val="auto"/>
          <w:spacing w:val="-39"/>
          <w:sz w:val="21"/>
          <w:szCs w:val="21"/>
          <w:highlight w:val="none"/>
        </w:rPr>
        <w:t>、</w:t>
      </w:r>
      <w:r>
        <w:rPr>
          <w:color w:val="auto"/>
          <w:sz w:val="21"/>
          <w:szCs w:val="21"/>
          <w:highlight w:val="none"/>
        </w:rPr>
        <w:t>修改</w:t>
      </w:r>
      <w:r>
        <w:rPr>
          <w:color w:val="auto"/>
          <w:spacing w:val="-41"/>
          <w:sz w:val="21"/>
          <w:szCs w:val="21"/>
          <w:highlight w:val="none"/>
        </w:rPr>
        <w:t>、</w:t>
      </w:r>
      <w:r>
        <w:rPr>
          <w:color w:val="auto"/>
          <w:sz w:val="21"/>
          <w:szCs w:val="21"/>
          <w:highlight w:val="none"/>
        </w:rPr>
        <w:t>撤回</w:t>
      </w:r>
      <w:r>
        <w:rPr>
          <w:color w:val="auto"/>
          <w:spacing w:val="-41"/>
          <w:sz w:val="21"/>
          <w:szCs w:val="21"/>
          <w:highlight w:val="none"/>
        </w:rPr>
        <w:t>、</w:t>
      </w:r>
      <w:r>
        <w:rPr>
          <w:color w:val="auto"/>
          <w:sz w:val="21"/>
          <w:szCs w:val="21"/>
          <w:highlight w:val="none"/>
        </w:rPr>
        <w:t>提交</w:t>
      </w:r>
      <w:r>
        <w:rPr>
          <w:color w:val="auto"/>
          <w:sz w:val="21"/>
          <w:szCs w:val="21"/>
          <w:highlight w:val="none"/>
          <w:u w:val="single"/>
        </w:rPr>
        <w:tab/>
      </w:r>
      <w:r>
        <w:rPr>
          <w:color w:val="auto"/>
          <w:sz w:val="21"/>
          <w:szCs w:val="21"/>
          <w:highlight w:val="none"/>
        </w:rPr>
        <w:t>（项目名称</w:t>
      </w:r>
      <w:r>
        <w:rPr>
          <w:color w:val="auto"/>
          <w:spacing w:val="-41"/>
          <w:sz w:val="21"/>
          <w:szCs w:val="21"/>
          <w:highlight w:val="none"/>
        </w:rPr>
        <w:t>、</w:t>
      </w:r>
      <w:r>
        <w:rPr>
          <w:color w:val="auto"/>
          <w:sz w:val="21"/>
          <w:szCs w:val="21"/>
          <w:highlight w:val="none"/>
        </w:rPr>
        <w:t>竞争性磋商文件编号</w:t>
      </w:r>
      <w:r>
        <w:rPr>
          <w:color w:val="auto"/>
          <w:spacing w:val="-18"/>
          <w:sz w:val="21"/>
          <w:szCs w:val="21"/>
          <w:highlight w:val="none"/>
        </w:rPr>
        <w:t>）</w:t>
      </w:r>
      <w:r>
        <w:rPr>
          <w:color w:val="auto"/>
          <w:sz w:val="21"/>
          <w:szCs w:val="21"/>
          <w:highlight w:val="none"/>
        </w:rPr>
        <w:t>响应文件</w:t>
      </w:r>
      <w:r>
        <w:rPr>
          <w:color w:val="auto"/>
          <w:spacing w:val="-16"/>
          <w:sz w:val="21"/>
          <w:szCs w:val="21"/>
          <w:highlight w:val="none"/>
        </w:rPr>
        <w:t>；（2）</w:t>
      </w:r>
      <w:r>
        <w:rPr>
          <w:color w:val="auto"/>
          <w:sz w:val="21"/>
          <w:szCs w:val="21"/>
          <w:highlight w:val="none"/>
        </w:rPr>
        <w:t>签署并重新提交响应文件及报价</w:t>
      </w:r>
      <w:r>
        <w:rPr>
          <w:color w:val="auto"/>
          <w:spacing w:val="-16"/>
          <w:sz w:val="21"/>
          <w:szCs w:val="21"/>
          <w:highlight w:val="none"/>
        </w:rPr>
        <w:t>；（3）</w:t>
      </w:r>
      <w:r>
        <w:rPr>
          <w:color w:val="auto"/>
          <w:sz w:val="21"/>
          <w:szCs w:val="21"/>
          <w:highlight w:val="none"/>
        </w:rPr>
        <w:t>签订合同和处理有关事宜</w:t>
      </w:r>
      <w:r>
        <w:rPr>
          <w:color w:val="auto"/>
          <w:spacing w:val="-17"/>
          <w:sz w:val="21"/>
          <w:szCs w:val="21"/>
          <w:highlight w:val="none"/>
        </w:rPr>
        <w:t>，</w:t>
      </w:r>
      <w:r>
        <w:rPr>
          <w:color w:val="auto"/>
          <w:sz w:val="21"/>
          <w:szCs w:val="21"/>
          <w:highlight w:val="none"/>
        </w:rPr>
        <w:t>其法律后果由我方承担。。</w:t>
      </w:r>
    </w:p>
    <w:p>
      <w:pPr>
        <w:pStyle w:val="6"/>
        <w:tabs>
          <w:tab w:val="left" w:pos="5599"/>
        </w:tabs>
        <w:spacing w:before="3" w:line="364" w:lineRule="auto"/>
        <w:ind w:left="920" w:right="4139"/>
        <w:rPr>
          <w:color w:val="auto"/>
          <w:sz w:val="21"/>
          <w:szCs w:val="21"/>
          <w:highlight w:val="none"/>
        </w:rPr>
      </w:pPr>
      <w:r>
        <w:rPr>
          <w:color w:val="auto"/>
          <w:sz w:val="21"/>
          <w:szCs w:val="21"/>
          <w:highlight w:val="none"/>
        </w:rPr>
        <w:t>委托期限：</w:t>
      </w:r>
      <w:r>
        <w:rPr>
          <w:color w:val="auto"/>
          <w:sz w:val="21"/>
          <w:szCs w:val="21"/>
          <w:highlight w:val="none"/>
          <w:u w:val="single"/>
        </w:rPr>
        <w:tab/>
      </w:r>
      <w:r>
        <w:rPr>
          <w:color w:val="auto"/>
          <w:spacing w:val="-18"/>
          <w:sz w:val="21"/>
          <w:szCs w:val="21"/>
          <w:highlight w:val="none"/>
        </w:rPr>
        <w:t>。</w:t>
      </w:r>
      <w:r>
        <w:rPr>
          <w:color w:val="auto"/>
          <w:sz w:val="21"/>
          <w:szCs w:val="21"/>
          <w:highlight w:val="none"/>
        </w:rPr>
        <w:t>代理人无转委托权。</w:t>
      </w:r>
    </w:p>
    <w:p>
      <w:pPr>
        <w:pStyle w:val="6"/>
        <w:tabs>
          <w:tab w:val="left" w:pos="2719"/>
          <w:tab w:val="left" w:pos="3559"/>
          <w:tab w:val="left" w:pos="4399"/>
        </w:tabs>
        <w:spacing w:line="364" w:lineRule="auto"/>
        <w:ind w:left="920" w:right="2939"/>
        <w:rPr>
          <w:color w:val="auto"/>
          <w:spacing w:val="-18"/>
          <w:sz w:val="21"/>
          <w:szCs w:val="21"/>
          <w:highlight w:val="none"/>
        </w:rPr>
      </w:pPr>
      <w:r>
        <w:rPr>
          <w:color w:val="auto"/>
          <w:sz w:val="21"/>
          <w:szCs w:val="21"/>
          <w:highlight w:val="none"/>
        </w:rPr>
        <w:t>本授权书于</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日签字生效，特此声明</w:t>
      </w:r>
      <w:r>
        <w:rPr>
          <w:color w:val="auto"/>
          <w:spacing w:val="-18"/>
          <w:sz w:val="21"/>
          <w:szCs w:val="21"/>
          <w:highlight w:val="none"/>
        </w:rPr>
        <w:t>。</w:t>
      </w:r>
    </w:p>
    <w:p>
      <w:pPr>
        <w:pStyle w:val="6"/>
        <w:tabs>
          <w:tab w:val="left" w:pos="2719"/>
          <w:tab w:val="left" w:pos="3559"/>
          <w:tab w:val="left" w:pos="4399"/>
        </w:tabs>
        <w:spacing w:line="364" w:lineRule="auto"/>
        <w:ind w:left="920" w:right="2939"/>
        <w:rPr>
          <w:color w:val="auto"/>
          <w:sz w:val="21"/>
          <w:szCs w:val="21"/>
          <w:highlight w:val="none"/>
        </w:rPr>
      </w:pPr>
      <w:r>
        <w:rPr>
          <w:color w:val="auto"/>
          <w:sz w:val="21"/>
          <w:szCs w:val="21"/>
          <w:highlight w:val="none"/>
        </w:rPr>
        <w:t>附：法定代表人身份证明、法定代表人授权委托人身份证</w:t>
      </w: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rPr>
          <w:color w:val="auto"/>
          <w:highlight w:val="none"/>
        </w:rPr>
      </w:pPr>
    </w:p>
    <w:p>
      <w:pPr>
        <w:pStyle w:val="10"/>
        <w:spacing w:before="2"/>
        <w:rPr>
          <w:color w:val="auto"/>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lang w:val="en-US"/>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rFonts w:ascii="Times New Roman" w:eastAsia="Times New Roman"/>
          <w:color w:val="auto"/>
          <w:sz w:val="21"/>
          <w:szCs w:val="21"/>
          <w:highlight w:val="none"/>
          <w:u w:val="single"/>
        </w:rPr>
        <w:tab/>
      </w:r>
      <w:r>
        <w:rPr>
          <w:color w:val="auto"/>
          <w:sz w:val="21"/>
          <w:szCs w:val="21"/>
          <w:highlight w:val="none"/>
        </w:rPr>
        <w:t>日</w:t>
      </w:r>
    </w:p>
    <w:p>
      <w:pPr>
        <w:pStyle w:val="10"/>
        <w:rPr>
          <w:color w:val="auto"/>
          <w:sz w:val="26"/>
          <w:highlight w:val="none"/>
        </w:rPr>
      </w:pPr>
    </w:p>
    <w:p>
      <w:pPr>
        <w:pStyle w:val="10"/>
        <w:rPr>
          <w:color w:val="auto"/>
          <w:sz w:val="26"/>
          <w:highlight w:val="none"/>
        </w:rPr>
      </w:pPr>
    </w:p>
    <w:p>
      <w:pPr>
        <w:pStyle w:val="10"/>
        <w:rPr>
          <w:color w:val="auto"/>
          <w:sz w:val="26"/>
          <w:highlight w:val="none"/>
        </w:rPr>
      </w:pPr>
    </w:p>
    <w:p>
      <w:pPr>
        <w:tabs>
          <w:tab w:val="left" w:pos="3780"/>
        </w:tabs>
        <w:spacing w:line="360" w:lineRule="auto"/>
        <w:rPr>
          <w:b/>
          <w:color w:val="auto"/>
          <w:szCs w:val="21"/>
          <w:highlight w:val="none"/>
        </w:rPr>
      </w:pPr>
      <w:bookmarkStart w:id="206" w:name="三、供应商的资格性、符合性证明文件"/>
      <w:bookmarkEnd w:id="206"/>
      <w:bookmarkStart w:id="207" w:name="二、供应商的唱标信封"/>
      <w:bookmarkEnd w:id="207"/>
      <w:r>
        <w:rPr>
          <w:rFonts w:hint="eastAsia"/>
          <w:b/>
          <w:color w:val="auto"/>
          <w:szCs w:val="21"/>
          <w:highlight w:val="none"/>
        </w:rPr>
        <w:t>注：本表格须附在正副的投标文件中，并另封装一份在“唱标信封”内。</w:t>
      </w:r>
    </w:p>
    <w:p>
      <w:pPr>
        <w:rPr>
          <w:color w:val="auto"/>
          <w:sz w:val="18"/>
          <w:highlight w:val="none"/>
        </w:rPr>
        <w:sectPr>
          <w:footerReference r:id="rId9" w:type="default"/>
          <w:pgSz w:w="12240" w:h="15840"/>
          <w:pgMar w:top="1380" w:right="900" w:bottom="880" w:left="1360" w:header="746" w:footer="688" w:gutter="0"/>
          <w:cols w:space="720" w:num="1"/>
        </w:sectPr>
      </w:pPr>
    </w:p>
    <w:p>
      <w:pPr>
        <w:rPr>
          <w:b/>
          <w:bCs/>
          <w:color w:val="auto"/>
          <w:sz w:val="24"/>
          <w:highlight w:val="none"/>
        </w:rPr>
      </w:pPr>
      <w:r>
        <w:rPr>
          <w:rFonts w:hint="eastAsia"/>
          <w:b/>
          <w:bCs/>
          <w:color w:val="auto"/>
          <w:sz w:val="24"/>
          <w:szCs w:val="24"/>
          <w:highlight w:val="none"/>
          <w:lang w:val="en-US"/>
        </w:rPr>
        <w:t>附件5</w:t>
      </w:r>
    </w:p>
    <w:p>
      <w:pPr>
        <w:spacing w:line="360" w:lineRule="auto"/>
        <w:rPr>
          <w:b/>
          <w:color w:val="auto"/>
          <w:szCs w:val="21"/>
          <w:highlight w:val="none"/>
        </w:rPr>
      </w:pPr>
    </w:p>
    <w:p>
      <w:pPr>
        <w:spacing w:after="3600" w:afterLines="1500"/>
        <w:contextualSpacing/>
        <w:jc w:val="center"/>
        <w:rPr>
          <w:b/>
          <w:color w:val="auto"/>
          <w:sz w:val="28"/>
          <w:szCs w:val="28"/>
          <w:highlight w:val="none"/>
        </w:rPr>
      </w:pPr>
      <w:r>
        <w:rPr>
          <w:rFonts w:hint="eastAsia"/>
          <w:b/>
          <w:color w:val="auto"/>
          <w:sz w:val="28"/>
          <w:szCs w:val="28"/>
          <w:highlight w:val="none"/>
        </w:rPr>
        <w:t>投标人资格声明函</w:t>
      </w:r>
    </w:p>
    <w:p>
      <w:pPr>
        <w:spacing w:line="360" w:lineRule="auto"/>
        <w:rPr>
          <w:b/>
          <w:color w:val="auto"/>
          <w:szCs w:val="21"/>
          <w:highlight w:val="none"/>
        </w:rPr>
      </w:pPr>
    </w:p>
    <w:p>
      <w:pPr>
        <w:spacing w:line="360" w:lineRule="auto"/>
        <w:rPr>
          <w:b/>
          <w:color w:val="auto"/>
          <w:szCs w:val="21"/>
          <w:highlight w:val="none"/>
        </w:rPr>
      </w:pPr>
      <w:r>
        <w:rPr>
          <w:rFonts w:hint="eastAsia"/>
          <w:b/>
          <w:color w:val="auto"/>
          <w:szCs w:val="21"/>
          <w:highlight w:val="none"/>
        </w:rPr>
        <w:t>广东富信建设管理有限公司：</w:t>
      </w:r>
    </w:p>
    <w:p>
      <w:pPr>
        <w:snapToGrid w:val="0"/>
        <w:spacing w:before="120" w:beforeLines="50" w:line="360" w:lineRule="auto"/>
        <w:ind w:firstLine="550" w:firstLineChars="250"/>
        <w:rPr>
          <w:color w:val="auto"/>
          <w:szCs w:val="21"/>
          <w:highlight w:val="none"/>
        </w:rPr>
      </w:pPr>
      <w:r>
        <w:rPr>
          <w:rFonts w:hint="eastAsia"/>
          <w:color w:val="auto"/>
          <w:szCs w:val="21"/>
          <w:highlight w:val="none"/>
        </w:rPr>
        <w:t>关于贵公司</w:t>
      </w:r>
      <w:r>
        <w:rPr>
          <w:rFonts w:hint="eastAsia"/>
          <w:color w:val="auto"/>
          <w:szCs w:val="21"/>
          <w:highlight w:val="none"/>
          <w:u w:val="single"/>
        </w:rPr>
        <w:t>　　　</w:t>
      </w:r>
      <w:r>
        <w:rPr>
          <w:rFonts w:hint="eastAsia"/>
          <w:color w:val="auto"/>
          <w:szCs w:val="21"/>
          <w:highlight w:val="none"/>
        </w:rPr>
        <w:t>年</w:t>
      </w:r>
      <w:r>
        <w:rPr>
          <w:rFonts w:hint="eastAsia"/>
          <w:color w:val="auto"/>
          <w:szCs w:val="21"/>
          <w:highlight w:val="none"/>
          <w:u w:val="single"/>
        </w:rPr>
        <w:t>　　</w:t>
      </w:r>
      <w:r>
        <w:rPr>
          <w:rFonts w:hint="eastAsia"/>
          <w:color w:val="auto"/>
          <w:szCs w:val="21"/>
          <w:highlight w:val="none"/>
        </w:rPr>
        <w:t>月</w:t>
      </w:r>
      <w:r>
        <w:rPr>
          <w:rFonts w:hint="eastAsia"/>
          <w:color w:val="auto"/>
          <w:szCs w:val="21"/>
          <w:highlight w:val="none"/>
          <w:u w:val="single"/>
        </w:rPr>
        <w:t>　　</w:t>
      </w:r>
      <w:r>
        <w:rPr>
          <w:rFonts w:hint="eastAsia"/>
          <w:color w:val="auto"/>
          <w:szCs w:val="21"/>
          <w:highlight w:val="none"/>
        </w:rPr>
        <w:t>日发布项目（项目编号：）的招标邀请，本公司（企业）愿意参加投标，并声明：</w:t>
      </w:r>
    </w:p>
    <w:p>
      <w:pPr>
        <w:numPr>
          <w:ilvl w:val="0"/>
          <w:numId w:val="26"/>
        </w:numPr>
        <w:snapToGrid w:val="0"/>
        <w:spacing w:line="360" w:lineRule="auto"/>
        <w:ind w:firstLine="440" w:firstLineChars="200"/>
        <w:rPr>
          <w:bCs/>
          <w:color w:val="auto"/>
          <w:szCs w:val="21"/>
          <w:highlight w:val="none"/>
        </w:rPr>
      </w:pPr>
      <w:r>
        <w:rPr>
          <w:rFonts w:hint="eastAsia"/>
          <w:color w:val="auto"/>
          <w:szCs w:val="21"/>
          <w:highlight w:val="none"/>
        </w:rPr>
        <w:t>本公司（企业）具备</w:t>
      </w:r>
      <w:r>
        <w:rPr>
          <w:rFonts w:hint="eastAsia"/>
          <w:bCs/>
          <w:color w:val="auto"/>
          <w:szCs w:val="21"/>
          <w:highlight w:val="none"/>
        </w:rPr>
        <w:t>《中华人民共和国政府采购法》第二十二条资格条件：</w:t>
      </w:r>
    </w:p>
    <w:p>
      <w:pPr>
        <w:numPr>
          <w:ilvl w:val="0"/>
          <w:numId w:val="27"/>
        </w:numPr>
        <w:snapToGrid w:val="0"/>
        <w:spacing w:line="360" w:lineRule="auto"/>
        <w:rPr>
          <w:color w:val="auto"/>
          <w:highlight w:val="none"/>
        </w:rPr>
      </w:pPr>
      <w:r>
        <w:rPr>
          <w:rFonts w:hint="eastAsia"/>
          <w:color w:val="auto"/>
          <w:highlight w:val="none"/>
        </w:rPr>
        <w:t>具有独立承担民事责任的能力，并取得合法企业工商营业执照；</w:t>
      </w:r>
    </w:p>
    <w:p>
      <w:pPr>
        <w:numPr>
          <w:ilvl w:val="0"/>
          <w:numId w:val="27"/>
        </w:numPr>
        <w:snapToGrid w:val="0"/>
        <w:spacing w:line="360" w:lineRule="auto"/>
        <w:rPr>
          <w:color w:val="auto"/>
          <w:highlight w:val="none"/>
        </w:rPr>
      </w:pPr>
      <w:r>
        <w:rPr>
          <w:rFonts w:hint="eastAsia"/>
          <w:color w:val="auto"/>
          <w:highlight w:val="none"/>
        </w:rPr>
        <w:t>具有良好的商业信誉和健全的财务会计制度；</w:t>
      </w:r>
    </w:p>
    <w:p>
      <w:pPr>
        <w:numPr>
          <w:ilvl w:val="0"/>
          <w:numId w:val="27"/>
        </w:numPr>
        <w:snapToGrid w:val="0"/>
        <w:spacing w:line="360" w:lineRule="auto"/>
        <w:rPr>
          <w:color w:val="auto"/>
          <w:highlight w:val="none"/>
        </w:rPr>
      </w:pPr>
      <w:r>
        <w:rPr>
          <w:rFonts w:hint="eastAsia"/>
          <w:color w:val="auto"/>
          <w:highlight w:val="none"/>
        </w:rPr>
        <w:t>具有履行合同所必需的设备和专业技术能力；</w:t>
      </w:r>
    </w:p>
    <w:p>
      <w:pPr>
        <w:numPr>
          <w:ilvl w:val="0"/>
          <w:numId w:val="27"/>
        </w:numPr>
        <w:snapToGrid w:val="0"/>
        <w:spacing w:line="360" w:lineRule="auto"/>
        <w:rPr>
          <w:color w:val="auto"/>
          <w:highlight w:val="none"/>
        </w:rPr>
      </w:pPr>
      <w:r>
        <w:rPr>
          <w:rFonts w:hint="eastAsia"/>
          <w:color w:val="auto"/>
          <w:highlight w:val="none"/>
        </w:rPr>
        <w:t>有依法缴纳税收和社会保障资金的良好记录；</w:t>
      </w:r>
    </w:p>
    <w:p>
      <w:pPr>
        <w:numPr>
          <w:ilvl w:val="0"/>
          <w:numId w:val="27"/>
        </w:numPr>
        <w:snapToGrid w:val="0"/>
        <w:spacing w:line="360" w:lineRule="auto"/>
        <w:rPr>
          <w:color w:val="auto"/>
          <w:sz w:val="21"/>
          <w:szCs w:val="21"/>
          <w:highlight w:val="none"/>
        </w:rPr>
      </w:pPr>
      <w:r>
        <w:rPr>
          <w:rFonts w:hint="eastAsia"/>
          <w:color w:val="auto"/>
          <w:highlight w:val="none"/>
        </w:rPr>
        <w:t>参加政府采购活动前三年内，在经营活动中没有重大违法记录；</w:t>
      </w:r>
    </w:p>
    <w:p>
      <w:pPr>
        <w:numPr>
          <w:ilvl w:val="0"/>
          <w:numId w:val="26"/>
        </w:numPr>
        <w:snapToGrid w:val="0"/>
        <w:spacing w:line="360" w:lineRule="auto"/>
        <w:ind w:firstLine="440" w:firstLineChars="200"/>
        <w:rPr>
          <w:color w:val="auto"/>
          <w:szCs w:val="21"/>
          <w:highlight w:val="none"/>
        </w:rPr>
      </w:pPr>
      <w:r>
        <w:rPr>
          <w:rFonts w:hint="eastAsia"/>
          <w:color w:val="auto"/>
          <w:szCs w:val="21"/>
          <w:highlight w:val="none"/>
        </w:rPr>
        <w:t>根据《中华人民共和国政府采购法实施条例》的规定，本公司（企业）如为采购项目提供整体设计、规范编制或者项目管理、监理、检测等服务的供应商，不得再参加该采购项目的其他采购活动。</w:t>
      </w:r>
    </w:p>
    <w:p>
      <w:pPr>
        <w:numPr>
          <w:ilvl w:val="0"/>
          <w:numId w:val="26"/>
        </w:numPr>
        <w:ind w:firstLine="440" w:firstLineChars="200"/>
        <w:rPr>
          <w:color w:val="auto"/>
          <w:szCs w:val="21"/>
          <w:highlight w:val="none"/>
        </w:rPr>
      </w:pPr>
      <w:r>
        <w:rPr>
          <w:rFonts w:hint="eastAsia"/>
          <w:bCs/>
          <w:color w:val="auto"/>
          <w:szCs w:val="21"/>
          <w:highlight w:val="none"/>
        </w:rPr>
        <w:t>本公司（企业）</w:t>
      </w:r>
      <w:r>
        <w:rPr>
          <w:rFonts w:hint="eastAsia"/>
          <w:color w:val="auto"/>
          <w:highlight w:val="none"/>
        </w:rPr>
        <w:t>承诺单位负责人存在隶属关系或同属一总公司或法人的企业，仅能由一家企业参与投标。</w:t>
      </w:r>
    </w:p>
    <w:p>
      <w:pPr>
        <w:spacing w:line="360" w:lineRule="auto"/>
        <w:ind w:firstLine="440" w:firstLineChars="200"/>
        <w:rPr>
          <w:color w:val="auto"/>
          <w:highlight w:val="none"/>
        </w:rPr>
      </w:pPr>
      <w:r>
        <w:rPr>
          <w:rFonts w:hint="eastAsia"/>
          <w:color w:val="auto"/>
          <w:highlight w:val="none"/>
        </w:rPr>
        <w:t>我公司（企业）承诺在本次招标采购活动中，如有违法、违规、弄虚作假行为，所造成的损失、不良后果及法律责任，一律由我公司（企业）承担。</w:t>
      </w:r>
    </w:p>
    <w:p>
      <w:pPr>
        <w:spacing w:line="360" w:lineRule="auto"/>
        <w:ind w:firstLine="420"/>
        <w:rPr>
          <w:color w:val="auto"/>
          <w:szCs w:val="21"/>
          <w:highlight w:val="none"/>
        </w:rPr>
      </w:pPr>
      <w:r>
        <w:rPr>
          <w:rFonts w:hint="eastAsia"/>
          <w:color w:val="auto"/>
          <w:szCs w:val="21"/>
          <w:highlight w:val="none"/>
        </w:rPr>
        <w:t>特此声明！</w:t>
      </w:r>
    </w:p>
    <w:p>
      <w:pPr>
        <w:spacing w:line="360" w:lineRule="auto"/>
        <w:ind w:left="540"/>
        <w:rPr>
          <w:color w:val="auto"/>
          <w:szCs w:val="21"/>
          <w:highlight w:val="none"/>
        </w:rPr>
      </w:pPr>
    </w:p>
    <w:p>
      <w:pPr>
        <w:spacing w:line="480" w:lineRule="auto"/>
        <w:ind w:left="-2" w:leftChars="-1" w:firstLine="565" w:firstLineChars="257"/>
        <w:rPr>
          <w:color w:val="auto"/>
          <w:szCs w:val="21"/>
          <w:highlight w:val="none"/>
        </w:rPr>
      </w:pPr>
    </w:p>
    <w:p>
      <w:pPr>
        <w:pStyle w:val="13"/>
        <w:tabs>
          <w:tab w:val="left" w:pos="8100"/>
        </w:tabs>
        <w:spacing w:line="480" w:lineRule="auto"/>
        <w:ind w:left="-2" w:leftChars="-1" w:firstLine="565" w:firstLineChars="257"/>
        <w:rPr>
          <w:rFonts w:hAnsi="宋体"/>
          <w:color w:val="auto"/>
          <w:szCs w:val="21"/>
          <w:highlight w:val="none"/>
          <w:u w:val="single"/>
        </w:rPr>
      </w:pPr>
      <w:r>
        <w:rPr>
          <w:rFonts w:hint="eastAsia" w:hAnsi="宋体"/>
          <w:color w:val="auto"/>
          <w:szCs w:val="21"/>
          <w:highlight w:val="none"/>
        </w:rPr>
        <w:t>供应商全称（加盖公章）：</w:t>
      </w:r>
      <w:r>
        <w:rPr>
          <w:rFonts w:hint="eastAsia" w:hAnsi="宋体"/>
          <w:color w:val="auto"/>
          <w:szCs w:val="21"/>
          <w:highlight w:val="none"/>
          <w:u w:val="single"/>
        </w:rPr>
        <w:tab/>
      </w:r>
    </w:p>
    <w:p>
      <w:pPr>
        <w:pStyle w:val="13"/>
        <w:tabs>
          <w:tab w:val="left" w:pos="4500"/>
        </w:tabs>
        <w:spacing w:line="480" w:lineRule="auto"/>
        <w:ind w:left="-2" w:leftChars="-1" w:firstLine="565" w:firstLineChars="257"/>
        <w:rPr>
          <w:rFonts w:hAnsi="宋体"/>
          <w:color w:val="auto"/>
          <w:szCs w:val="21"/>
          <w:highlight w:val="none"/>
          <w:u w:val="single"/>
          <w:lang w:val="en-US"/>
        </w:rPr>
      </w:pPr>
      <w:r>
        <w:rPr>
          <w:rFonts w:hint="eastAsia" w:hAnsi="宋体"/>
          <w:color w:val="auto"/>
          <w:szCs w:val="21"/>
          <w:highlight w:val="none"/>
        </w:rPr>
        <w:t>法定代表人或其授权代表</w:t>
      </w:r>
      <w:r>
        <w:rPr>
          <w:rFonts w:hint="eastAsia" w:hAnsi="宋体"/>
          <w:bCs/>
          <w:color w:val="auto"/>
          <w:szCs w:val="21"/>
          <w:highlight w:val="none"/>
        </w:rPr>
        <w:t>(</w:t>
      </w:r>
      <w:r>
        <w:rPr>
          <w:rFonts w:hint="eastAsia" w:hAnsi="宋体"/>
          <w:color w:val="auto"/>
          <w:szCs w:val="21"/>
          <w:highlight w:val="none"/>
        </w:rPr>
        <w:t>签字或签章</w:t>
      </w:r>
      <w:r>
        <w:rPr>
          <w:rFonts w:hint="eastAsia" w:hAnsi="宋体"/>
          <w:bCs/>
          <w:color w:val="auto"/>
          <w:szCs w:val="21"/>
          <w:highlight w:val="none"/>
        </w:rPr>
        <w:t>)</w:t>
      </w:r>
      <w:r>
        <w:rPr>
          <w:rFonts w:hint="eastAsia" w:hAnsi="宋体"/>
          <w:color w:val="auto"/>
          <w:szCs w:val="21"/>
          <w:highlight w:val="none"/>
        </w:rPr>
        <w:t>:</w:t>
      </w:r>
      <w:r>
        <w:rPr>
          <w:rFonts w:hint="eastAsia" w:hAnsi="宋体"/>
          <w:color w:val="auto"/>
          <w:szCs w:val="21"/>
          <w:highlight w:val="none"/>
          <w:u w:val="single"/>
        </w:rPr>
        <w:tab/>
      </w:r>
    </w:p>
    <w:p>
      <w:pPr>
        <w:pStyle w:val="13"/>
        <w:tabs>
          <w:tab w:val="left" w:pos="4500"/>
        </w:tabs>
        <w:spacing w:line="480" w:lineRule="auto"/>
        <w:ind w:left="-2" w:leftChars="-1" w:firstLine="565" w:firstLineChars="257"/>
        <w:rPr>
          <w:rFonts w:hAnsi="宋体"/>
          <w:color w:val="auto"/>
          <w:szCs w:val="21"/>
          <w:highlight w:val="none"/>
          <w:u w:val="single"/>
        </w:rPr>
      </w:pPr>
      <w:r>
        <w:rPr>
          <w:rFonts w:hint="eastAsia" w:hAnsi="宋体"/>
          <w:color w:val="auto"/>
          <w:szCs w:val="21"/>
          <w:highlight w:val="none"/>
        </w:rPr>
        <w:t>地址：</w:t>
      </w:r>
      <w:r>
        <w:rPr>
          <w:rFonts w:hint="eastAsia" w:hAnsi="宋体"/>
          <w:color w:val="auto"/>
          <w:szCs w:val="21"/>
          <w:highlight w:val="none"/>
        </w:rPr>
        <w:tab/>
      </w:r>
      <w:r>
        <w:rPr>
          <w:rFonts w:hint="eastAsia" w:hAnsi="宋体"/>
          <w:color w:val="auto"/>
          <w:szCs w:val="21"/>
          <w:highlight w:val="none"/>
        </w:rPr>
        <w:t>邮编：</w:t>
      </w:r>
    </w:p>
    <w:p>
      <w:pPr>
        <w:tabs>
          <w:tab w:val="left" w:pos="4500"/>
        </w:tabs>
        <w:spacing w:line="480" w:lineRule="auto"/>
        <w:ind w:left="-2" w:leftChars="-1" w:firstLine="565" w:firstLineChars="257"/>
        <w:rPr>
          <w:color w:val="auto"/>
          <w:szCs w:val="21"/>
          <w:highlight w:val="none"/>
          <w:u w:val="single"/>
        </w:rPr>
      </w:pPr>
      <w:r>
        <w:rPr>
          <w:rFonts w:hint="eastAsia"/>
          <w:color w:val="auto"/>
          <w:szCs w:val="21"/>
          <w:highlight w:val="none"/>
        </w:rPr>
        <w:t>电话：</w:t>
      </w:r>
      <w:r>
        <w:rPr>
          <w:rFonts w:hint="eastAsia"/>
          <w:color w:val="auto"/>
          <w:szCs w:val="21"/>
          <w:highlight w:val="none"/>
        </w:rPr>
        <w:tab/>
      </w:r>
      <w:r>
        <w:rPr>
          <w:rFonts w:hint="eastAsia"/>
          <w:color w:val="auto"/>
          <w:szCs w:val="21"/>
          <w:highlight w:val="none"/>
        </w:rPr>
        <w:t>传真：</w:t>
      </w:r>
    </w:p>
    <w:p>
      <w:pPr>
        <w:tabs>
          <w:tab w:val="left" w:pos="4500"/>
        </w:tabs>
        <w:spacing w:line="480" w:lineRule="auto"/>
        <w:ind w:left="-2" w:leftChars="-1" w:firstLine="565" w:firstLineChars="257"/>
        <w:rPr>
          <w:color w:val="auto"/>
          <w:szCs w:val="21"/>
          <w:highlight w:val="none"/>
          <w:u w:val="single"/>
        </w:rPr>
      </w:pPr>
      <w:r>
        <w:rPr>
          <w:rFonts w:hint="eastAsia"/>
          <w:color w:val="auto"/>
          <w:szCs w:val="21"/>
          <w:highlight w:val="none"/>
        </w:rPr>
        <w:t>日期：</w:t>
      </w:r>
    </w:p>
    <w:p>
      <w:pPr>
        <w:rPr>
          <w:color w:val="auto"/>
          <w:szCs w:val="21"/>
          <w:highlight w:val="none"/>
        </w:rPr>
      </w:pPr>
    </w:p>
    <w:p>
      <w:pPr>
        <w:rPr>
          <w:color w:val="auto"/>
          <w:szCs w:val="21"/>
          <w:highlight w:val="none"/>
        </w:rPr>
      </w:pPr>
    </w:p>
    <w:p>
      <w:pPr>
        <w:rPr>
          <w:b/>
          <w:bCs/>
          <w:color w:val="auto"/>
          <w:szCs w:val="21"/>
          <w:highlight w:val="none"/>
        </w:rPr>
      </w:pPr>
      <w:r>
        <w:rPr>
          <w:rFonts w:hint="eastAsia"/>
          <w:b/>
          <w:bCs/>
          <w:color w:val="auto"/>
          <w:szCs w:val="21"/>
          <w:highlight w:val="none"/>
        </w:rPr>
        <w:t>备注：本声明函后需附的资料详见“第一章询价邀请”中的供应商资格条件要求及《资格性审查表》中的审查要求。</w:t>
      </w:r>
    </w:p>
    <w:p>
      <w:pPr>
        <w:rPr>
          <w:color w:val="auto"/>
          <w:szCs w:val="21"/>
          <w:highlight w:val="none"/>
        </w:rPr>
      </w:pPr>
    </w:p>
    <w:p>
      <w:pPr>
        <w:rPr>
          <w:color w:val="auto"/>
          <w:highlight w:val="none"/>
        </w:rPr>
        <w:sectPr>
          <w:pgSz w:w="12240" w:h="15840"/>
          <w:pgMar w:top="1380" w:right="900" w:bottom="880" w:left="1360" w:header="746" w:footer="688" w:gutter="0"/>
          <w:cols w:space="720" w:num="1"/>
        </w:sectPr>
      </w:pPr>
      <w:r>
        <w:rPr>
          <w:rFonts w:hint="eastAsia"/>
          <w:b/>
          <w:bCs/>
          <w:color w:val="auto"/>
          <w:sz w:val="24"/>
          <w:szCs w:val="24"/>
          <w:highlight w:val="none"/>
          <w:lang w:val="en-US"/>
        </w:rPr>
        <w:br w:type="page"/>
      </w:r>
    </w:p>
    <w:p>
      <w:pPr>
        <w:pStyle w:val="3"/>
        <w:spacing w:before="1"/>
        <w:ind w:left="0" w:right="1042"/>
        <w:jc w:val="both"/>
        <w:rPr>
          <w:rFonts w:ascii="宋体" w:hAnsi="宋体" w:eastAsia="宋体" w:cs="宋体"/>
          <w:b/>
          <w:bCs/>
          <w:color w:val="auto"/>
          <w:sz w:val="24"/>
          <w:szCs w:val="24"/>
          <w:highlight w:val="none"/>
          <w:lang w:val="en-US"/>
        </w:rPr>
      </w:pPr>
      <w:bookmarkStart w:id="208" w:name="四、供应商的商务、技术文件"/>
      <w:bookmarkEnd w:id="208"/>
      <w:r>
        <w:rPr>
          <w:rFonts w:hint="eastAsia" w:ascii="宋体" w:hAnsi="宋体" w:eastAsia="宋体" w:cs="宋体"/>
          <w:b/>
          <w:bCs/>
          <w:color w:val="auto"/>
          <w:sz w:val="24"/>
          <w:szCs w:val="24"/>
          <w:highlight w:val="none"/>
          <w:lang w:val="en-US"/>
        </w:rPr>
        <w:t>附件6</w:t>
      </w:r>
    </w:p>
    <w:p>
      <w:pPr>
        <w:spacing w:line="360" w:lineRule="auto"/>
        <w:ind w:firstLine="562" w:firstLineChars="200"/>
        <w:jc w:val="center"/>
        <w:rPr>
          <w:b/>
          <w:bCs/>
          <w:color w:val="auto"/>
          <w:sz w:val="28"/>
          <w:szCs w:val="28"/>
          <w:highlight w:val="none"/>
          <w:lang w:val="en-US"/>
        </w:rPr>
      </w:pPr>
    </w:p>
    <w:p>
      <w:pPr>
        <w:spacing w:line="360" w:lineRule="auto"/>
        <w:jc w:val="center"/>
        <w:rPr>
          <w:b/>
          <w:bCs/>
          <w:color w:val="auto"/>
          <w:sz w:val="28"/>
          <w:szCs w:val="28"/>
          <w:highlight w:val="none"/>
        </w:rPr>
      </w:pPr>
      <w:r>
        <w:rPr>
          <w:rFonts w:hint="eastAsia"/>
          <w:b/>
          <w:bCs/>
          <w:color w:val="auto"/>
          <w:sz w:val="28"/>
          <w:szCs w:val="28"/>
          <w:highlight w:val="none"/>
        </w:rPr>
        <w:t>公平竞争承诺书</w:t>
      </w:r>
    </w:p>
    <w:p>
      <w:pPr>
        <w:spacing w:line="360" w:lineRule="auto"/>
        <w:ind w:firstLine="480" w:firstLineChars="200"/>
        <w:rPr>
          <w:color w:val="auto"/>
          <w:sz w:val="24"/>
          <w:highlight w:val="none"/>
        </w:rPr>
      </w:pPr>
    </w:p>
    <w:p>
      <w:pPr>
        <w:spacing w:line="360" w:lineRule="auto"/>
        <w:ind w:firstLine="420" w:firstLineChars="200"/>
        <w:rPr>
          <w:color w:val="auto"/>
          <w:sz w:val="21"/>
          <w:szCs w:val="21"/>
          <w:highlight w:val="none"/>
        </w:rPr>
      </w:pPr>
      <w:r>
        <w:rPr>
          <w:rFonts w:hint="eastAsia"/>
          <w:color w:val="auto"/>
          <w:sz w:val="21"/>
          <w:szCs w:val="21"/>
          <w:highlight w:val="none"/>
        </w:rPr>
        <w:t>本公司郑重承诺：本公司保证所提交的相关资质文件和证明材料的真实性，有良好的历史诚信记录，并将依法参与</w:t>
      </w:r>
      <w:r>
        <w:rPr>
          <w:rFonts w:hint="eastAsia"/>
          <w:color w:val="auto"/>
          <w:kern w:val="28"/>
          <w:sz w:val="21"/>
          <w:szCs w:val="21"/>
          <w:highlight w:val="none"/>
          <w:u w:val="single"/>
        </w:rPr>
        <w:t>（项目名称）</w:t>
      </w:r>
      <w:r>
        <w:rPr>
          <w:color w:val="auto"/>
          <w:sz w:val="21"/>
          <w:szCs w:val="21"/>
          <w:highlight w:val="none"/>
        </w:rPr>
        <w:t>（</w:t>
      </w:r>
      <w:r>
        <w:rPr>
          <w:rFonts w:hint="eastAsia"/>
          <w:color w:val="auto"/>
          <w:sz w:val="21"/>
          <w:szCs w:val="21"/>
          <w:highlight w:val="none"/>
        </w:rPr>
        <w:t>项目</w:t>
      </w:r>
      <w:r>
        <w:rPr>
          <w:color w:val="auto"/>
          <w:sz w:val="21"/>
          <w:szCs w:val="21"/>
          <w:highlight w:val="none"/>
        </w:rPr>
        <w:t>编号）</w:t>
      </w:r>
      <w:r>
        <w:rPr>
          <w:rFonts w:hint="eastAsia"/>
          <w:color w:val="auto"/>
          <w:sz w:val="21"/>
          <w:szCs w:val="21"/>
          <w:highlight w:val="none"/>
        </w:rPr>
        <w:t>的公平竞争，不以任何不正当行为谋取不当利益，否则承担相应的法律责任。</w:t>
      </w:r>
    </w:p>
    <w:p>
      <w:pPr>
        <w:spacing w:line="360" w:lineRule="auto"/>
        <w:ind w:firstLine="420" w:firstLineChars="200"/>
        <w:rPr>
          <w:color w:val="auto"/>
          <w:sz w:val="21"/>
          <w:szCs w:val="21"/>
          <w:highlight w:val="none"/>
        </w:rPr>
      </w:pPr>
      <w:r>
        <w:rPr>
          <w:rFonts w:hint="eastAsia"/>
          <w:color w:val="auto"/>
          <w:sz w:val="21"/>
          <w:szCs w:val="21"/>
          <w:highlight w:val="none"/>
        </w:rPr>
        <w:t>特此承诺！</w:t>
      </w:r>
    </w:p>
    <w:p>
      <w:pPr>
        <w:spacing w:line="600" w:lineRule="auto"/>
        <w:ind w:left="4924" w:leftChars="2238"/>
        <w:rPr>
          <w:color w:val="auto"/>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lang w:val="en-US"/>
        </w:rPr>
      </w:pPr>
      <w:r>
        <w:rPr>
          <w:color w:val="auto"/>
          <w:spacing w:val="-1"/>
          <w:sz w:val="21"/>
          <w:szCs w:val="21"/>
          <w:highlight w:val="none"/>
        </w:rPr>
        <w:t>法</w:t>
      </w:r>
      <w:r>
        <w:rPr>
          <w:color w:val="auto"/>
          <w:sz w:val="21"/>
          <w:szCs w:val="21"/>
          <w:highlight w:val="none"/>
        </w:rPr>
        <w:t>定代表人或委托代理人（签字）：</w:t>
      </w:r>
      <w:r>
        <w:rPr>
          <w:rFonts w:hint="eastAsia"/>
          <w:color w:val="auto"/>
          <w:sz w:val="21"/>
          <w:szCs w:val="21"/>
          <w:highlight w:val="none"/>
          <w:u w:val="single"/>
        </w:rPr>
        <w:tab/>
      </w:r>
      <w:r>
        <w:rPr>
          <w:rFonts w:hint="eastAsia"/>
          <w:color w:val="auto"/>
          <w:sz w:val="21"/>
          <w:szCs w:val="21"/>
          <w:highlight w:val="non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rPr>
          <w:color w:val="auto"/>
          <w:highlight w:val="none"/>
        </w:rPr>
        <w:sectPr>
          <w:pgSz w:w="12240" w:h="15840"/>
          <w:pgMar w:top="1380" w:right="900" w:bottom="880" w:left="1360" w:header="746" w:footer="688" w:gutter="0"/>
          <w:cols w:space="720" w:num="1"/>
        </w:sectPr>
      </w:pPr>
      <w:r>
        <w:rPr>
          <w:rFonts w:hint="eastAsia"/>
          <w:b/>
          <w:bCs/>
          <w:color w:val="auto"/>
          <w:sz w:val="24"/>
          <w:szCs w:val="24"/>
          <w:highlight w:val="none"/>
          <w:lang w:val="en-US"/>
        </w:rPr>
        <w:br w:type="page"/>
      </w:r>
    </w:p>
    <w:p>
      <w:pPr>
        <w:rPr>
          <w:b/>
          <w:bCs/>
          <w:color w:val="auto"/>
          <w:sz w:val="24"/>
          <w:highlight w:val="none"/>
        </w:rPr>
      </w:pPr>
      <w:r>
        <w:rPr>
          <w:rFonts w:hint="eastAsia"/>
          <w:b/>
          <w:bCs/>
          <w:color w:val="auto"/>
          <w:sz w:val="24"/>
          <w:szCs w:val="24"/>
          <w:highlight w:val="none"/>
          <w:lang w:val="en-US"/>
        </w:rPr>
        <w:t>附件7</w:t>
      </w:r>
    </w:p>
    <w:p>
      <w:pPr>
        <w:jc w:val="center"/>
        <w:rPr>
          <w:b/>
          <w:bCs/>
          <w:color w:val="auto"/>
          <w:sz w:val="28"/>
          <w:szCs w:val="28"/>
          <w:highlight w:val="none"/>
        </w:rPr>
      </w:pPr>
      <w:r>
        <w:rPr>
          <w:rFonts w:hint="eastAsia"/>
          <w:b/>
          <w:bCs/>
          <w:color w:val="auto"/>
          <w:sz w:val="28"/>
          <w:szCs w:val="28"/>
          <w:highlight w:val="none"/>
        </w:rPr>
        <w:t>同意竞争性磋商文件条款说明</w:t>
      </w:r>
    </w:p>
    <w:p>
      <w:pPr>
        <w:rPr>
          <w:rFonts w:ascii="Arial" w:hAnsi="Arial" w:cs="Arial"/>
          <w:color w:val="auto"/>
          <w:szCs w:val="21"/>
          <w:highlight w:val="none"/>
        </w:rPr>
      </w:pPr>
    </w:p>
    <w:p>
      <w:pPr>
        <w:widowControl/>
        <w:rPr>
          <w:color w:val="auto"/>
          <w:szCs w:val="21"/>
          <w:highlight w:val="none"/>
        </w:rPr>
      </w:pPr>
    </w:p>
    <w:p>
      <w:pPr>
        <w:widowControl/>
        <w:rPr>
          <w:rFonts w:ascii="Arial" w:hAnsi="Arial" w:cs="Arial"/>
          <w:b/>
          <w:bCs/>
          <w:color w:val="auto"/>
          <w:sz w:val="21"/>
          <w:szCs w:val="21"/>
          <w:highlight w:val="none"/>
        </w:rPr>
      </w:pPr>
      <w:r>
        <w:rPr>
          <w:rFonts w:hint="eastAsia"/>
          <w:b/>
          <w:bCs/>
          <w:color w:val="auto"/>
          <w:sz w:val="21"/>
          <w:szCs w:val="21"/>
          <w:highlight w:val="none"/>
        </w:rPr>
        <w:t>广东富信建设管理有限公司：</w:t>
      </w:r>
    </w:p>
    <w:p>
      <w:pPr>
        <w:rPr>
          <w:rFonts w:ascii="Arial" w:hAnsi="Arial" w:cs="Arial"/>
          <w:color w:val="auto"/>
          <w:sz w:val="21"/>
          <w:szCs w:val="21"/>
          <w:highlight w:val="none"/>
        </w:rPr>
      </w:pPr>
    </w:p>
    <w:p>
      <w:pPr>
        <w:rPr>
          <w:rFonts w:ascii="Arial" w:hAnsi="Arial" w:cs="Arial"/>
          <w:color w:val="auto"/>
          <w:sz w:val="21"/>
          <w:szCs w:val="21"/>
          <w:highlight w:val="none"/>
        </w:rPr>
      </w:pPr>
    </w:p>
    <w:p>
      <w:pPr>
        <w:spacing w:line="480" w:lineRule="auto"/>
        <w:ind w:firstLine="478" w:firstLineChars="228"/>
        <w:rPr>
          <w:rFonts w:ascii="Arial" w:hAnsi="Arial" w:cs="Arial"/>
          <w:color w:val="auto"/>
          <w:sz w:val="21"/>
          <w:szCs w:val="21"/>
          <w:highlight w:val="none"/>
        </w:rPr>
      </w:pPr>
      <w:r>
        <w:rPr>
          <w:color w:val="auto"/>
          <w:sz w:val="21"/>
          <w:szCs w:val="21"/>
          <w:highlight w:val="none"/>
        </w:rPr>
        <w:t>为响应你方组织的</w:t>
      </w:r>
      <w:r>
        <w:rPr>
          <w:rFonts w:hint="eastAsia"/>
          <w:color w:val="auto"/>
          <w:sz w:val="21"/>
          <w:szCs w:val="21"/>
          <w:highlight w:val="none"/>
        </w:rPr>
        <w:t>项目名称：</w:t>
      </w:r>
      <w:r>
        <w:rPr>
          <w:color w:val="auto"/>
          <w:sz w:val="21"/>
          <w:szCs w:val="21"/>
          <w:highlight w:val="none"/>
        </w:rPr>
        <w:t>项目的招标</w:t>
      </w:r>
      <w:r>
        <w:rPr>
          <w:rFonts w:hint="eastAsia"/>
          <w:color w:val="auto"/>
          <w:sz w:val="21"/>
          <w:szCs w:val="21"/>
          <w:highlight w:val="none"/>
        </w:rPr>
        <w:t>（项目</w:t>
      </w:r>
      <w:r>
        <w:rPr>
          <w:color w:val="auto"/>
          <w:sz w:val="21"/>
          <w:szCs w:val="21"/>
          <w:highlight w:val="none"/>
        </w:rPr>
        <w:t>编号：</w:t>
      </w:r>
      <w:r>
        <w:rPr>
          <w:rFonts w:hint="eastAsia"/>
          <w:color w:val="auto"/>
          <w:sz w:val="21"/>
          <w:szCs w:val="21"/>
          <w:highlight w:val="none"/>
        </w:rPr>
        <w:t>），</w:t>
      </w:r>
      <w:r>
        <w:rPr>
          <w:color w:val="auto"/>
          <w:sz w:val="21"/>
          <w:szCs w:val="21"/>
          <w:highlight w:val="none"/>
        </w:rPr>
        <w:t>我方在参与投标前已详细研究了</w:t>
      </w:r>
      <w:r>
        <w:rPr>
          <w:rFonts w:hint="eastAsia"/>
          <w:color w:val="auto"/>
          <w:sz w:val="21"/>
          <w:szCs w:val="21"/>
          <w:highlight w:val="none"/>
        </w:rPr>
        <w:t>竞争性磋商文件</w:t>
      </w:r>
      <w:r>
        <w:rPr>
          <w:color w:val="auto"/>
          <w:sz w:val="21"/>
          <w:szCs w:val="21"/>
          <w:highlight w:val="none"/>
        </w:rPr>
        <w:t>的所有内容，包括修改文件（如果有的话）和所有已提供的参考资料以及有关附件，我方完全明白并认为此</w:t>
      </w:r>
      <w:r>
        <w:rPr>
          <w:rFonts w:hint="eastAsia"/>
          <w:color w:val="auto"/>
          <w:sz w:val="21"/>
          <w:szCs w:val="21"/>
          <w:highlight w:val="none"/>
        </w:rPr>
        <w:t>竞争性磋商文件</w:t>
      </w:r>
      <w:r>
        <w:rPr>
          <w:color w:val="auto"/>
          <w:sz w:val="21"/>
          <w:szCs w:val="21"/>
          <w:highlight w:val="none"/>
        </w:rPr>
        <w:t>没有倾向性，也没有存在排斥潜在供应商的内容，我方并同意</w:t>
      </w:r>
      <w:r>
        <w:rPr>
          <w:rFonts w:hint="eastAsia"/>
          <w:color w:val="auto"/>
          <w:sz w:val="21"/>
          <w:szCs w:val="21"/>
          <w:highlight w:val="none"/>
        </w:rPr>
        <w:t>竞争性磋商文件</w:t>
      </w:r>
      <w:r>
        <w:rPr>
          <w:color w:val="auto"/>
          <w:sz w:val="21"/>
          <w:szCs w:val="21"/>
          <w:highlight w:val="none"/>
        </w:rPr>
        <w:t>的相关条款。</w:t>
      </w:r>
    </w:p>
    <w:p>
      <w:pPr>
        <w:spacing w:line="480" w:lineRule="auto"/>
        <w:ind w:firstLine="478" w:firstLineChars="228"/>
        <w:rPr>
          <w:color w:val="auto"/>
          <w:sz w:val="21"/>
          <w:szCs w:val="21"/>
          <w:highlight w:val="none"/>
        </w:rPr>
      </w:pPr>
      <w:r>
        <w:rPr>
          <w:color w:val="auto"/>
          <w:sz w:val="21"/>
          <w:szCs w:val="21"/>
          <w:highlight w:val="none"/>
        </w:rPr>
        <w:t>特此声明。</w:t>
      </w:r>
    </w:p>
    <w:p>
      <w:pPr>
        <w:spacing w:line="360" w:lineRule="auto"/>
        <w:rPr>
          <w:bCs/>
          <w:color w:val="auto"/>
          <w:sz w:val="21"/>
          <w:szCs w:val="21"/>
          <w:highlight w:val="none"/>
        </w:rPr>
      </w:pPr>
    </w:p>
    <w:p>
      <w:pPr>
        <w:spacing w:line="360" w:lineRule="auto"/>
        <w:rPr>
          <w:bCs/>
          <w:color w:val="auto"/>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rPr>
          <w:bCs/>
          <w:color w:val="auto"/>
          <w:szCs w:val="21"/>
          <w:highlight w:val="none"/>
        </w:rPr>
      </w:pPr>
      <w:r>
        <w:rPr>
          <w:rFonts w:hint="eastAsia"/>
          <w:bCs/>
          <w:color w:val="auto"/>
          <w:szCs w:val="21"/>
          <w:highlight w:val="none"/>
        </w:rPr>
        <w:br w:type="page"/>
      </w:r>
    </w:p>
    <w:p>
      <w:pPr>
        <w:rPr>
          <w:b/>
          <w:bCs/>
          <w:color w:val="auto"/>
          <w:sz w:val="24"/>
          <w:highlight w:val="none"/>
        </w:rPr>
      </w:pPr>
      <w:bookmarkStart w:id="209" w:name="五、保证金汇款声明函"/>
      <w:bookmarkEnd w:id="209"/>
      <w:r>
        <w:rPr>
          <w:rFonts w:hint="eastAsia"/>
          <w:b/>
          <w:bCs/>
          <w:color w:val="auto"/>
          <w:sz w:val="24"/>
          <w:highlight w:val="none"/>
        </w:rPr>
        <w:t>附件</w:t>
      </w:r>
      <w:r>
        <w:rPr>
          <w:rFonts w:hint="eastAsia"/>
          <w:b/>
          <w:bCs/>
          <w:color w:val="auto"/>
          <w:sz w:val="24"/>
          <w:highlight w:val="none"/>
          <w:lang w:val="en-US"/>
        </w:rPr>
        <w:t>8</w:t>
      </w:r>
    </w:p>
    <w:p>
      <w:pPr>
        <w:jc w:val="center"/>
        <w:rPr>
          <w:b/>
          <w:bCs/>
          <w:color w:val="auto"/>
          <w:sz w:val="28"/>
          <w:szCs w:val="28"/>
          <w:highlight w:val="none"/>
        </w:rPr>
      </w:pPr>
      <w:r>
        <w:rPr>
          <w:rFonts w:hint="eastAsia"/>
          <w:b/>
          <w:bCs/>
          <w:color w:val="auto"/>
          <w:sz w:val="28"/>
          <w:szCs w:val="28"/>
          <w:highlight w:val="none"/>
        </w:rPr>
        <w:t>政策性价格扣除声明函</w:t>
      </w:r>
    </w:p>
    <w:p>
      <w:pPr>
        <w:spacing w:line="360" w:lineRule="auto"/>
        <w:ind w:firstLine="440" w:firstLineChars="200"/>
        <w:jc w:val="center"/>
        <w:rPr>
          <w:color w:val="auto"/>
          <w:highlight w:val="none"/>
          <w:lang w:val="en-US"/>
        </w:rPr>
      </w:pPr>
    </w:p>
    <w:p>
      <w:pPr>
        <w:spacing w:line="360" w:lineRule="auto"/>
        <w:ind w:firstLine="420" w:firstLineChars="200"/>
        <w:jc w:val="center"/>
        <w:rPr>
          <w:color w:val="auto"/>
          <w:sz w:val="21"/>
          <w:szCs w:val="21"/>
          <w:highlight w:val="none"/>
        </w:rPr>
      </w:pPr>
      <w:r>
        <w:rPr>
          <w:rFonts w:hint="eastAsia"/>
          <w:color w:val="auto"/>
          <w:sz w:val="21"/>
          <w:szCs w:val="21"/>
          <w:highlight w:val="none"/>
          <w:lang w:val="en-US"/>
        </w:rPr>
        <w:t>1、</w:t>
      </w:r>
      <w:r>
        <w:rPr>
          <w:rFonts w:hint="eastAsia"/>
          <w:color w:val="auto"/>
          <w:sz w:val="21"/>
          <w:szCs w:val="21"/>
          <w:highlight w:val="none"/>
        </w:rPr>
        <w:t>中小企业声明函</w:t>
      </w:r>
    </w:p>
    <w:p>
      <w:pPr>
        <w:spacing w:line="360" w:lineRule="auto"/>
        <w:ind w:firstLine="420" w:firstLineChars="200"/>
        <w:rPr>
          <w:color w:val="auto"/>
          <w:sz w:val="21"/>
          <w:szCs w:val="21"/>
          <w:highlight w:val="none"/>
        </w:rPr>
      </w:pPr>
      <w:r>
        <w:rPr>
          <w:rFonts w:hint="eastAsia"/>
          <w:color w:val="auto"/>
          <w:sz w:val="21"/>
          <w:szCs w:val="21"/>
          <w:highlight w:val="none"/>
        </w:rPr>
        <w:t>本公司郑重声明，根据《政府采购促进中小企业发展暂行办法》（财库[2011]181号）的规定，本公司为（请填写：中型、小型、微型）企业。即，本公司同时满足以下条件：</w:t>
      </w:r>
    </w:p>
    <w:p>
      <w:pPr>
        <w:spacing w:line="360" w:lineRule="auto"/>
        <w:ind w:left="315" w:hanging="315" w:hangingChars="150"/>
        <w:rPr>
          <w:color w:val="auto"/>
          <w:sz w:val="21"/>
          <w:szCs w:val="21"/>
          <w:highlight w:val="none"/>
        </w:rPr>
      </w:pPr>
      <w:r>
        <w:rPr>
          <w:rFonts w:hint="eastAsia"/>
          <w:color w:val="auto"/>
          <w:sz w:val="21"/>
          <w:szCs w:val="21"/>
          <w:highlight w:val="none"/>
        </w:rPr>
        <w:t>1、根据《工业和信息化部、国家统计局、国家发展和改革委员会、财政部关于印发中小企业划型标准规定的通知》（工信部联企业[2011]300号）规定的划分标准，本公司为（请填写：中型、小型、微型）企业。</w:t>
      </w:r>
    </w:p>
    <w:p>
      <w:pPr>
        <w:spacing w:line="360" w:lineRule="auto"/>
        <w:ind w:left="315" w:hanging="315" w:hangingChars="150"/>
        <w:rPr>
          <w:bCs/>
          <w:color w:val="auto"/>
          <w:sz w:val="21"/>
          <w:szCs w:val="21"/>
          <w:highlight w:val="none"/>
        </w:rPr>
      </w:pPr>
      <w:r>
        <w:rPr>
          <w:rFonts w:hint="eastAsia"/>
          <w:color w:val="auto"/>
          <w:sz w:val="21"/>
          <w:szCs w:val="21"/>
          <w:highlight w:val="none"/>
        </w:rPr>
        <w:t>2、本公司参加</w:t>
      </w:r>
      <w:r>
        <w:rPr>
          <w:rFonts w:hint="eastAsia"/>
          <w:color w:val="auto"/>
          <w:sz w:val="21"/>
          <w:szCs w:val="21"/>
          <w:highlight w:val="none"/>
          <w:u w:val="single"/>
        </w:rPr>
        <w:t>(采购人单位名称)</w:t>
      </w:r>
      <w:r>
        <w:rPr>
          <w:rFonts w:hint="eastAsia"/>
          <w:color w:val="auto"/>
          <w:sz w:val="21"/>
          <w:szCs w:val="21"/>
          <w:highlight w:val="none"/>
        </w:rPr>
        <w:t>的</w:t>
      </w:r>
      <w:r>
        <w:rPr>
          <w:rFonts w:hint="eastAsia"/>
          <w:color w:val="auto"/>
          <w:sz w:val="21"/>
          <w:szCs w:val="21"/>
          <w:highlight w:val="none"/>
          <w:u w:val="single"/>
        </w:rPr>
        <w:t>(项目名称)</w:t>
      </w:r>
      <w:r>
        <w:rPr>
          <w:rFonts w:hint="eastAsia"/>
          <w:color w:val="auto"/>
          <w:sz w:val="21"/>
          <w:szCs w:val="21"/>
          <w:highlight w:val="none"/>
        </w:rPr>
        <w:t>采购活动提供本企业制造的货物，由本企业承担工程、提供服务，或者提供其他（请填写：中型、小型、微型）企业制造的货物。本条所称货物不包括使用大型企业注册商标的货物。</w:t>
      </w:r>
      <w:r>
        <w:rPr>
          <w:rFonts w:hint="eastAsia"/>
          <w:color w:val="auto"/>
          <w:sz w:val="21"/>
          <w:szCs w:val="21"/>
          <w:highlight w:val="none"/>
        </w:rPr>
        <w:br w:type="textWrapping"/>
      </w:r>
      <w:r>
        <w:rPr>
          <w:rFonts w:hint="eastAsia"/>
          <w:color w:val="auto"/>
          <w:sz w:val="21"/>
          <w:szCs w:val="21"/>
          <w:highlight w:val="none"/>
        </w:rPr>
        <w:t>本公司对上述声明的真实性负责。如有虚假，将依法承担相应责任。</w:t>
      </w:r>
    </w:p>
    <w:p>
      <w:pPr>
        <w:pStyle w:val="6"/>
        <w:tabs>
          <w:tab w:val="left" w:pos="5019"/>
          <w:tab w:val="left" w:pos="5964"/>
          <w:tab w:val="left" w:pos="6699"/>
          <w:tab w:val="left" w:pos="7433"/>
          <w:tab w:val="left" w:pos="8978"/>
          <w:tab w:val="left" w:pos="9139"/>
        </w:tabs>
        <w:spacing w:before="0" w:line="364" w:lineRule="auto"/>
        <w:ind w:left="4479" w:right="838"/>
        <w:rPr>
          <w:color w:val="auto"/>
          <w:spacing w:val="-1"/>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u w:val="singl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spacing w:line="360" w:lineRule="auto"/>
        <w:rPr>
          <w:bCs/>
          <w:color w:val="auto"/>
          <w:sz w:val="21"/>
          <w:szCs w:val="21"/>
          <w:highlight w:val="none"/>
        </w:rPr>
      </w:pPr>
    </w:p>
    <w:p>
      <w:pPr>
        <w:spacing w:line="360" w:lineRule="auto"/>
        <w:ind w:firstLine="420" w:firstLineChars="200"/>
        <w:jc w:val="center"/>
        <w:rPr>
          <w:b/>
          <w:color w:val="auto"/>
          <w:spacing w:val="6"/>
          <w:sz w:val="21"/>
          <w:szCs w:val="21"/>
          <w:highlight w:val="none"/>
        </w:rPr>
      </w:pPr>
      <w:bookmarkStart w:id="210" w:name="OLE_LINK13"/>
      <w:bookmarkStart w:id="211" w:name="OLE_LINK14"/>
      <w:r>
        <w:rPr>
          <w:rFonts w:hint="eastAsia"/>
          <w:color w:val="auto"/>
          <w:sz w:val="21"/>
          <w:szCs w:val="21"/>
          <w:highlight w:val="none"/>
          <w:lang w:val="en-US"/>
        </w:rPr>
        <w:t>2.残疾人福利性单位声明函</w:t>
      </w:r>
      <w:bookmarkEnd w:id="210"/>
      <w:bookmarkEnd w:id="211"/>
    </w:p>
    <w:p>
      <w:pPr>
        <w:spacing w:line="588" w:lineRule="exact"/>
        <w:ind w:firstLine="444" w:firstLineChars="200"/>
        <w:rPr>
          <w:color w:val="auto"/>
          <w:spacing w:val="6"/>
          <w:sz w:val="21"/>
          <w:szCs w:val="21"/>
          <w:highlight w:val="none"/>
        </w:rPr>
      </w:pPr>
      <w:r>
        <w:rPr>
          <w:rFonts w:hint="eastAsia"/>
          <w:color w:val="auto"/>
          <w:spacing w:val="6"/>
          <w:sz w:val="21"/>
          <w:szCs w:val="21"/>
          <w:highlight w:val="none"/>
        </w:rPr>
        <w:t>本单位郑重声明，根据《财政部民政部中国残疾人联合会关于促进残疾人就业政府采购政策的通知》（财库</w:t>
      </w:r>
      <w:r>
        <w:rPr>
          <w:rFonts w:hint="eastAsia"/>
          <w:color w:val="auto"/>
          <w:sz w:val="21"/>
          <w:szCs w:val="21"/>
          <w:highlight w:val="none"/>
        </w:rPr>
        <w:t>〔2017〕141</w:t>
      </w:r>
      <w:r>
        <w:rPr>
          <w:rFonts w:hint="eastAsia"/>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color w:val="auto"/>
          <w:spacing w:val="6"/>
          <w:sz w:val="21"/>
          <w:szCs w:val="21"/>
          <w:highlight w:val="none"/>
        </w:rPr>
      </w:pPr>
      <w:r>
        <w:rPr>
          <w:rFonts w:hint="eastAsia"/>
          <w:color w:val="auto"/>
          <w:spacing w:val="6"/>
          <w:sz w:val="21"/>
          <w:szCs w:val="21"/>
          <w:highlight w:val="none"/>
        </w:rPr>
        <w:t>本单位对上述声明的真实性负责。如有虚假，将依法承担相应责任。</w:t>
      </w:r>
    </w:p>
    <w:p>
      <w:pPr>
        <w:pStyle w:val="6"/>
        <w:tabs>
          <w:tab w:val="left" w:pos="5019"/>
          <w:tab w:val="left" w:pos="5964"/>
          <w:tab w:val="left" w:pos="6699"/>
          <w:tab w:val="left" w:pos="7433"/>
          <w:tab w:val="left" w:pos="8978"/>
          <w:tab w:val="left" w:pos="9139"/>
        </w:tabs>
        <w:spacing w:before="0" w:line="364" w:lineRule="auto"/>
        <w:ind w:left="4479" w:right="838"/>
        <w:rPr>
          <w:color w:val="auto"/>
          <w:spacing w:val="-1"/>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u w:val="singl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adjustRightInd w:val="0"/>
        <w:spacing w:line="360" w:lineRule="auto"/>
        <w:ind w:left="630" w:hanging="630"/>
        <w:rPr>
          <w:color w:val="auto"/>
          <w:szCs w:val="21"/>
          <w:highlight w:val="none"/>
        </w:rPr>
      </w:pPr>
    </w:p>
    <w:p>
      <w:pPr>
        <w:adjustRightInd w:val="0"/>
        <w:spacing w:line="360" w:lineRule="auto"/>
        <w:rPr>
          <w:color w:val="auto"/>
          <w:szCs w:val="21"/>
          <w:highlight w:val="none"/>
        </w:rPr>
      </w:pPr>
      <w:r>
        <w:rPr>
          <w:rFonts w:hint="eastAsia"/>
          <w:b/>
          <w:color w:val="auto"/>
          <w:szCs w:val="21"/>
          <w:highlight w:val="none"/>
        </w:rPr>
        <w:t>说明：</w:t>
      </w:r>
      <w:r>
        <w:rPr>
          <w:rFonts w:hint="eastAsia"/>
          <w:color w:val="auto"/>
          <w:szCs w:val="21"/>
          <w:highlight w:val="none"/>
        </w:rPr>
        <w:t>依据《工业和信息化部、国家统计局、国家发展和改革委员会、财政部关于印发中小企业划型标准规定的通知》（工信部联企业</w:t>
      </w:r>
      <w:r>
        <w:rPr>
          <w:color w:val="auto"/>
          <w:szCs w:val="21"/>
          <w:highlight w:val="none"/>
        </w:rPr>
        <w:t>[2011]300</w:t>
      </w:r>
      <w:r>
        <w:rPr>
          <w:rFonts w:hint="eastAsia"/>
          <w:color w:val="auto"/>
          <w:szCs w:val="21"/>
          <w:highlight w:val="none"/>
        </w:rPr>
        <w:t>号）规定的划分标准，投标人须提供以下资料证明为中</w:t>
      </w:r>
      <w:r>
        <w:rPr>
          <w:color w:val="auto"/>
          <w:szCs w:val="21"/>
          <w:highlight w:val="none"/>
        </w:rPr>
        <w:t>/</w:t>
      </w:r>
      <w:r>
        <w:rPr>
          <w:rFonts w:hint="eastAsia"/>
          <w:color w:val="auto"/>
          <w:szCs w:val="21"/>
          <w:highlight w:val="none"/>
        </w:rPr>
        <w:t>小</w:t>
      </w:r>
      <w:r>
        <w:rPr>
          <w:color w:val="auto"/>
          <w:szCs w:val="21"/>
          <w:highlight w:val="none"/>
        </w:rPr>
        <w:t>/</w:t>
      </w:r>
      <w:r>
        <w:rPr>
          <w:rFonts w:hint="eastAsia"/>
          <w:color w:val="auto"/>
          <w:szCs w:val="21"/>
          <w:highlight w:val="none"/>
        </w:rPr>
        <w:t>微型企业：</w:t>
      </w:r>
    </w:p>
    <w:p>
      <w:pPr>
        <w:tabs>
          <w:tab w:val="left" w:pos="360"/>
        </w:tabs>
        <w:adjustRightInd w:val="0"/>
        <w:spacing w:line="360" w:lineRule="auto"/>
        <w:ind w:left="360" w:hanging="360"/>
        <w:rPr>
          <w:color w:val="auto"/>
          <w:szCs w:val="21"/>
          <w:highlight w:val="none"/>
        </w:rPr>
      </w:pPr>
      <w:r>
        <w:rPr>
          <w:color w:val="auto"/>
          <w:szCs w:val="21"/>
          <w:highlight w:val="none"/>
        </w:rPr>
        <w:t>a</w:t>
      </w:r>
      <w:r>
        <w:rPr>
          <w:rFonts w:hint="eastAsia"/>
          <w:color w:val="auto"/>
          <w:szCs w:val="21"/>
          <w:highlight w:val="none"/>
        </w:rPr>
        <w:t>、投标人必须明确企业所属类型，请在下列选项</w:t>
      </w:r>
      <w:r>
        <w:rPr>
          <w:color w:val="auto"/>
          <w:szCs w:val="21"/>
          <w:highlight w:val="none"/>
        </w:rPr>
        <w:t>"</w:t>
      </w:r>
      <w:r>
        <w:rPr>
          <w:rFonts w:hint="eastAsia"/>
          <w:color w:val="auto"/>
          <w:szCs w:val="21"/>
          <w:highlight w:val="none"/>
        </w:rPr>
        <w:t>□</w:t>
      </w:r>
      <w:r>
        <w:rPr>
          <w:color w:val="auto"/>
          <w:szCs w:val="21"/>
          <w:highlight w:val="none"/>
        </w:rPr>
        <w:t>"</w:t>
      </w:r>
      <w:r>
        <w:rPr>
          <w:rFonts w:hint="eastAsia"/>
          <w:color w:val="auto"/>
          <w:szCs w:val="21"/>
          <w:highlight w:val="none"/>
        </w:rPr>
        <w:t>中标注</w:t>
      </w:r>
      <w:r>
        <w:rPr>
          <w:color w:val="auto"/>
          <w:szCs w:val="21"/>
          <w:highlight w:val="none"/>
        </w:rPr>
        <w:t>"</w:t>
      </w:r>
      <w:r>
        <w:rPr>
          <w:rFonts w:hint="eastAsia"/>
          <w:color w:val="auto"/>
          <w:szCs w:val="21"/>
          <w:highlight w:val="none"/>
        </w:rPr>
        <w:t>√</w:t>
      </w:r>
      <w:r>
        <w:rPr>
          <w:color w:val="auto"/>
          <w:szCs w:val="21"/>
          <w:highlight w:val="none"/>
        </w:rPr>
        <w:t>"</w:t>
      </w:r>
    </w:p>
    <w:p>
      <w:pPr>
        <w:adjustRightInd w:val="0"/>
        <w:spacing w:line="360" w:lineRule="auto"/>
        <w:ind w:left="381" w:leftChars="173"/>
        <w:rPr>
          <w:color w:val="auto"/>
          <w:szCs w:val="21"/>
          <w:highlight w:val="none"/>
        </w:rPr>
      </w:pPr>
      <w:r>
        <w:rPr>
          <w:rFonts w:hint="eastAsia"/>
          <w:color w:val="auto"/>
          <w:szCs w:val="21"/>
          <w:highlight w:val="none"/>
        </w:rPr>
        <w:t>□农、林、牧、渔业□工业□建筑业□批发业□零售业□交通运输业□仓储业□邮政业□住宿业□餐饮业□信息传输业□软件和信息技术服务业□房地产开发经营□物业管理□租赁和商务服务业□其他未列明行业。</w:t>
      </w:r>
    </w:p>
    <w:p>
      <w:pPr>
        <w:tabs>
          <w:tab w:val="left" w:pos="360"/>
        </w:tabs>
        <w:adjustRightInd w:val="0"/>
        <w:spacing w:line="360" w:lineRule="auto"/>
        <w:ind w:left="360" w:hanging="360"/>
        <w:rPr>
          <w:color w:val="auto"/>
          <w:szCs w:val="21"/>
          <w:highlight w:val="none"/>
        </w:rPr>
      </w:pPr>
      <w:r>
        <w:rPr>
          <w:color w:val="auto"/>
          <w:szCs w:val="21"/>
          <w:highlight w:val="none"/>
        </w:rPr>
        <w:t>b</w:t>
      </w:r>
      <w:r>
        <w:rPr>
          <w:rFonts w:hint="eastAsia"/>
          <w:color w:val="auto"/>
          <w:szCs w:val="21"/>
          <w:highlight w:val="none"/>
        </w:rPr>
        <w:t>、投标人提供本《中小企业声明函》并加盖投标人公章。</w:t>
      </w:r>
    </w:p>
    <w:p>
      <w:pPr>
        <w:spacing w:line="460" w:lineRule="exact"/>
        <w:ind w:left="376" w:hanging="376" w:hangingChars="171"/>
        <w:rPr>
          <w:color w:val="auto"/>
          <w:szCs w:val="21"/>
          <w:highlight w:val="none"/>
          <w:lang w:val="en-GB"/>
        </w:rPr>
      </w:pPr>
      <w:r>
        <w:rPr>
          <w:color w:val="auto"/>
          <w:szCs w:val="21"/>
          <w:highlight w:val="none"/>
        </w:rPr>
        <w:t>c</w:t>
      </w:r>
      <w:r>
        <w:rPr>
          <w:rFonts w:hint="eastAsia"/>
          <w:color w:val="auto"/>
          <w:szCs w:val="21"/>
          <w:highlight w:val="none"/>
        </w:rPr>
        <w:t>、投标人提供本企业的从业人员数量</w:t>
      </w:r>
      <w:r>
        <w:rPr>
          <w:color w:val="auto"/>
          <w:szCs w:val="21"/>
          <w:highlight w:val="none"/>
        </w:rPr>
        <w:t>(</w:t>
      </w:r>
      <w:r>
        <w:rPr>
          <w:rFonts w:hint="eastAsia"/>
          <w:color w:val="auto"/>
          <w:szCs w:val="21"/>
          <w:highlight w:val="none"/>
        </w:rPr>
        <w:t>以社保局或税务局开具的证明文件为准</w:t>
      </w:r>
      <w:r>
        <w:rPr>
          <w:color w:val="auto"/>
          <w:szCs w:val="21"/>
          <w:highlight w:val="none"/>
        </w:rPr>
        <w:t>)</w:t>
      </w:r>
      <w:r>
        <w:rPr>
          <w:rFonts w:hint="eastAsia"/>
          <w:color w:val="auto"/>
          <w:szCs w:val="21"/>
          <w:highlight w:val="none"/>
        </w:rPr>
        <w:t>、营业收入和资产总额（以会计师事务所审计的财务报告或税务部门审核的财务报告为准）证明文件（加盖公章）。</w:t>
      </w:r>
    </w:p>
    <w:p>
      <w:pPr>
        <w:spacing w:line="460" w:lineRule="exact"/>
        <w:ind w:left="752" w:hanging="752" w:hangingChars="342"/>
        <w:rPr>
          <w:color w:val="auto"/>
          <w:szCs w:val="21"/>
          <w:highlight w:val="none"/>
          <w:lang w:val="en-GB"/>
        </w:rPr>
      </w:pPr>
    </w:p>
    <w:p>
      <w:pPr>
        <w:spacing w:line="460" w:lineRule="exact"/>
        <w:ind w:left="755" w:hanging="755" w:hangingChars="342"/>
        <w:rPr>
          <w:b/>
          <w:color w:val="auto"/>
          <w:szCs w:val="21"/>
          <w:highlight w:val="none"/>
          <w:lang w:val="en-GB"/>
        </w:rPr>
      </w:pPr>
      <w:r>
        <w:rPr>
          <w:rFonts w:hint="eastAsia"/>
          <w:b/>
          <w:color w:val="auto"/>
          <w:szCs w:val="21"/>
          <w:highlight w:val="none"/>
          <w:lang w:val="en-GB"/>
        </w:rPr>
        <w:t>填报要求：</w:t>
      </w:r>
    </w:p>
    <w:p>
      <w:pPr>
        <w:widowControl/>
        <w:numPr>
          <w:ilvl w:val="0"/>
          <w:numId w:val="28"/>
        </w:numPr>
        <w:tabs>
          <w:tab w:val="left" w:pos="0"/>
          <w:tab w:val="clear" w:pos="1264"/>
        </w:tabs>
        <w:spacing w:line="360" w:lineRule="auto"/>
        <w:ind w:left="0" w:right="88" w:rightChars="40" w:firstLine="0"/>
        <w:rPr>
          <w:color w:val="auto"/>
          <w:szCs w:val="21"/>
          <w:highlight w:val="none"/>
          <w:lang w:val="en-GB"/>
        </w:rPr>
      </w:pPr>
      <w:r>
        <w:rPr>
          <w:rFonts w:hint="eastAsia"/>
          <w:color w:val="auto"/>
          <w:szCs w:val="21"/>
          <w:highlight w:val="none"/>
          <w:lang w:val="en-GB"/>
        </w:rPr>
        <w:t>本表的产品名称、规格型号和注册商标、金额应与《货物报价明细表》一致。</w:t>
      </w:r>
    </w:p>
    <w:p>
      <w:pPr>
        <w:spacing w:line="360" w:lineRule="auto"/>
        <w:ind w:firstLine="440" w:firstLineChars="200"/>
        <w:rPr>
          <w:color w:val="auto"/>
          <w:szCs w:val="21"/>
          <w:highlight w:val="none"/>
          <w:lang w:val="en-GB"/>
        </w:rPr>
      </w:pPr>
      <w:r>
        <w:rPr>
          <w:rFonts w:hint="eastAsia"/>
          <w:color w:val="auto"/>
          <w:szCs w:val="21"/>
          <w:highlight w:val="none"/>
          <w:lang w:val="en-GB"/>
        </w:rPr>
        <w:t>制造商为小型或微型企业时才需要填“制造商企业类型”栏，填写内容为“小型”或“微型”。</w:t>
      </w:r>
    </w:p>
    <w:p>
      <w:pPr>
        <w:pStyle w:val="11"/>
        <w:tabs>
          <w:tab w:val="left" w:pos="1080"/>
          <w:tab w:val="left" w:pos="1680"/>
        </w:tabs>
        <w:spacing w:line="360" w:lineRule="auto"/>
        <w:ind w:left="330" w:hanging="330" w:hangingChars="150"/>
        <w:rPr>
          <w:rFonts w:ascii="宋体" w:hAnsi="宋体"/>
          <w:color w:val="auto"/>
          <w:szCs w:val="21"/>
          <w:highlight w:val="none"/>
          <w:lang w:val="en-GB"/>
        </w:rPr>
      </w:pPr>
      <w:r>
        <w:rPr>
          <w:rFonts w:hint="eastAsia" w:ascii="宋体" w:hAnsi="宋体"/>
          <w:color w:val="auto"/>
          <w:szCs w:val="21"/>
          <w:highlight w:val="none"/>
          <w:lang w:val="en-GB"/>
        </w:rPr>
        <w:t>2.</w:t>
      </w:r>
      <w:r>
        <w:rPr>
          <w:rFonts w:hint="eastAsia" w:ascii="宋体" w:hAnsi="宋体"/>
          <w:color w:val="auto"/>
          <w:szCs w:val="21"/>
          <w:highlight w:val="none"/>
        </w:rPr>
        <w:t>根据《国务院办公厅关于建立政府强制采购节能产品制度的通知》</w:t>
      </w:r>
      <w:r>
        <w:rPr>
          <w:rFonts w:hint="eastAsia" w:ascii="宋体" w:hAnsi="宋体"/>
          <w:color w:val="auto"/>
          <w:szCs w:val="21"/>
          <w:highlight w:val="none"/>
          <w:lang w:val="en-GB"/>
        </w:rPr>
        <w:t>（</w:t>
      </w:r>
      <w:r>
        <w:rPr>
          <w:rFonts w:hint="eastAsia" w:ascii="宋体" w:hAnsi="宋体"/>
          <w:color w:val="auto"/>
          <w:szCs w:val="21"/>
          <w:highlight w:val="none"/>
        </w:rPr>
        <w:t>国办发</w:t>
      </w:r>
      <w:r>
        <w:rPr>
          <w:rFonts w:hint="eastAsia" w:ascii="宋体" w:hAnsi="宋体"/>
          <w:color w:val="auto"/>
          <w:szCs w:val="21"/>
          <w:highlight w:val="none"/>
          <w:lang w:val="en-GB"/>
        </w:rPr>
        <w:t>[2007]51</w:t>
      </w:r>
      <w:r>
        <w:rPr>
          <w:rFonts w:hint="eastAsia" w:ascii="宋体" w:hAnsi="宋体"/>
          <w:color w:val="auto"/>
          <w:szCs w:val="21"/>
          <w:highlight w:val="none"/>
        </w:rPr>
        <w:t>号</w:t>
      </w:r>
      <w:r>
        <w:rPr>
          <w:rFonts w:hint="eastAsia" w:ascii="宋体" w:hAnsi="宋体"/>
          <w:color w:val="auto"/>
          <w:szCs w:val="21"/>
          <w:highlight w:val="none"/>
          <w:lang w:val="en-GB"/>
        </w:rPr>
        <w:t>）</w:t>
      </w:r>
      <w:r>
        <w:rPr>
          <w:rFonts w:hint="eastAsia" w:ascii="宋体" w:hAnsi="宋体"/>
          <w:color w:val="auto"/>
          <w:szCs w:val="21"/>
          <w:highlight w:val="none"/>
        </w:rPr>
        <w:t>和财政部、发展改革委发布的《节能产品政府采购实施意见》</w:t>
      </w:r>
      <w:r>
        <w:rPr>
          <w:rFonts w:hint="eastAsia" w:ascii="宋体" w:hAnsi="宋体"/>
          <w:color w:val="auto"/>
          <w:szCs w:val="21"/>
          <w:highlight w:val="none"/>
          <w:lang w:val="en-GB"/>
        </w:rPr>
        <w:t>（</w:t>
      </w:r>
      <w:r>
        <w:rPr>
          <w:rFonts w:hint="eastAsia" w:ascii="宋体" w:hAnsi="宋体"/>
          <w:color w:val="auto"/>
          <w:szCs w:val="21"/>
          <w:highlight w:val="none"/>
        </w:rPr>
        <w:t>财库</w:t>
      </w:r>
      <w:r>
        <w:rPr>
          <w:rFonts w:hint="eastAsia" w:ascii="宋体" w:hAnsi="宋体"/>
          <w:color w:val="auto"/>
          <w:szCs w:val="21"/>
          <w:highlight w:val="none"/>
          <w:lang w:val="en-GB"/>
        </w:rPr>
        <w:t>[2004]185</w:t>
      </w:r>
      <w:r>
        <w:rPr>
          <w:rFonts w:hint="eastAsia" w:ascii="宋体" w:hAnsi="宋体"/>
          <w:color w:val="auto"/>
          <w:szCs w:val="21"/>
          <w:highlight w:val="none"/>
        </w:rPr>
        <w:t>号</w:t>
      </w:r>
      <w:r>
        <w:rPr>
          <w:rFonts w:hint="eastAsia" w:ascii="宋体" w:hAnsi="宋体"/>
          <w:color w:val="auto"/>
          <w:szCs w:val="21"/>
          <w:highlight w:val="none"/>
          <w:lang w:val="en-GB"/>
        </w:rPr>
        <w:t>）</w:t>
      </w:r>
      <w:r>
        <w:rPr>
          <w:rFonts w:hint="eastAsia" w:ascii="宋体" w:hAnsi="宋体"/>
          <w:color w:val="auto"/>
          <w:szCs w:val="21"/>
          <w:highlight w:val="none"/>
        </w:rPr>
        <w:t>的规定</w:t>
      </w:r>
      <w:r>
        <w:rPr>
          <w:rFonts w:hint="eastAsia" w:ascii="宋体" w:hAnsi="宋体"/>
          <w:color w:val="auto"/>
          <w:szCs w:val="21"/>
          <w:highlight w:val="none"/>
          <w:lang w:val="en-GB"/>
        </w:rPr>
        <w:t>，</w:t>
      </w:r>
      <w:r>
        <w:rPr>
          <w:rFonts w:hint="eastAsia" w:ascii="宋体" w:hAnsi="宋体"/>
          <w:color w:val="auto"/>
          <w:szCs w:val="21"/>
          <w:highlight w:val="none"/>
        </w:rPr>
        <w:t>若投标产品属于</w:t>
      </w:r>
      <w:r>
        <w:rPr>
          <w:rFonts w:hint="eastAsia" w:ascii="宋体" w:hAnsi="宋体"/>
          <w:color w:val="auto"/>
          <w:szCs w:val="21"/>
          <w:highlight w:val="none"/>
          <w:lang w:val="en-GB"/>
        </w:rPr>
        <w:t>“</w:t>
      </w:r>
      <w:r>
        <w:rPr>
          <w:rFonts w:hint="eastAsia" w:ascii="宋体" w:hAnsi="宋体"/>
          <w:color w:val="auto"/>
          <w:szCs w:val="21"/>
          <w:highlight w:val="none"/>
        </w:rPr>
        <w:t>节能产品政府采购清单</w:t>
      </w:r>
      <w:r>
        <w:rPr>
          <w:rFonts w:ascii="宋体" w:hAnsi="宋体"/>
          <w:color w:val="auto"/>
          <w:szCs w:val="21"/>
          <w:highlight w:val="none"/>
          <w:lang w:val="en-GB"/>
        </w:rPr>
        <w:t>”</w:t>
      </w:r>
      <w:r>
        <w:rPr>
          <w:rFonts w:hint="eastAsia" w:ascii="宋体" w:hAnsi="宋体"/>
          <w:color w:val="auto"/>
          <w:szCs w:val="21"/>
          <w:highlight w:val="none"/>
        </w:rPr>
        <w:t>中品目的产品</w:t>
      </w:r>
      <w:r>
        <w:rPr>
          <w:rFonts w:hint="eastAsia" w:ascii="宋体" w:hAnsi="宋体"/>
          <w:color w:val="auto"/>
          <w:szCs w:val="21"/>
          <w:highlight w:val="none"/>
          <w:lang w:val="en-GB"/>
        </w:rPr>
        <w:t>，</w:t>
      </w:r>
      <w:r>
        <w:rPr>
          <w:rFonts w:hint="eastAsia" w:ascii="宋体" w:hAnsi="宋体"/>
          <w:color w:val="auto"/>
          <w:szCs w:val="21"/>
          <w:highlight w:val="none"/>
        </w:rPr>
        <w:t>提供有效期内的中国节能产品认证证书复印件及最新一期</w:t>
      </w:r>
      <w:r>
        <w:rPr>
          <w:rFonts w:ascii="宋体" w:hAnsi="宋体"/>
          <w:color w:val="auto"/>
          <w:szCs w:val="21"/>
          <w:highlight w:val="none"/>
          <w:lang w:val="en-GB"/>
        </w:rPr>
        <w:t>“</w:t>
      </w:r>
      <w:r>
        <w:rPr>
          <w:rFonts w:hint="eastAsia" w:ascii="宋体" w:hAnsi="宋体"/>
          <w:color w:val="auto"/>
          <w:szCs w:val="21"/>
          <w:highlight w:val="none"/>
        </w:rPr>
        <w:t>节能产品政府采购清单</w:t>
      </w:r>
      <w:r>
        <w:rPr>
          <w:rFonts w:hint="eastAsia" w:ascii="宋体" w:hAnsi="宋体"/>
          <w:color w:val="auto"/>
          <w:szCs w:val="21"/>
          <w:highlight w:val="none"/>
          <w:lang w:val="en-GB"/>
        </w:rPr>
        <w:t>”</w:t>
      </w:r>
      <w:r>
        <w:rPr>
          <w:rFonts w:hint="eastAsia" w:ascii="宋体" w:hAnsi="宋体"/>
          <w:color w:val="auto"/>
          <w:szCs w:val="21"/>
          <w:highlight w:val="none"/>
        </w:rPr>
        <w:t>中投标产品所在清单页并均加盖投标人公章</w:t>
      </w:r>
      <w:r>
        <w:rPr>
          <w:rFonts w:hint="eastAsia" w:ascii="宋体" w:hAnsi="宋体"/>
          <w:color w:val="auto"/>
          <w:szCs w:val="21"/>
          <w:highlight w:val="none"/>
          <w:lang w:val="en-GB"/>
        </w:rPr>
        <w:t>，</w:t>
      </w:r>
      <w:r>
        <w:rPr>
          <w:rFonts w:hint="eastAsia" w:ascii="宋体" w:hAnsi="宋体"/>
          <w:color w:val="auto"/>
          <w:szCs w:val="21"/>
          <w:highlight w:val="none"/>
        </w:rPr>
        <w:t>节能清单在中国政府采购网</w:t>
      </w:r>
      <w:r>
        <w:rPr>
          <w:rFonts w:hint="eastAsia" w:ascii="宋体" w:hAnsi="宋体"/>
          <w:color w:val="auto"/>
          <w:szCs w:val="21"/>
          <w:highlight w:val="none"/>
          <w:lang w:val="en-GB"/>
        </w:rPr>
        <w:t>（http：//www.ccgp.gov.cn/）</w:t>
      </w:r>
      <w:r>
        <w:rPr>
          <w:rFonts w:hint="eastAsia" w:ascii="宋体" w:hAnsi="宋体"/>
          <w:color w:val="auto"/>
          <w:szCs w:val="21"/>
          <w:highlight w:val="none"/>
        </w:rPr>
        <w:t>、国家发展改革委网站</w:t>
      </w:r>
      <w:r>
        <w:rPr>
          <w:rFonts w:hint="eastAsia" w:ascii="宋体" w:hAnsi="宋体"/>
          <w:color w:val="auto"/>
          <w:szCs w:val="21"/>
          <w:highlight w:val="none"/>
          <w:lang w:val="en-GB"/>
        </w:rPr>
        <w:t>（</w:t>
      </w:r>
      <w:r>
        <w:rPr>
          <w:color w:val="auto"/>
          <w:highlight w:val="none"/>
        </w:rPr>
        <w:fldChar w:fldCharType="begin"/>
      </w:r>
      <w:r>
        <w:rPr>
          <w:color w:val="auto"/>
          <w:highlight w:val="none"/>
        </w:rPr>
        <w:instrText xml:space="preserve"> HYPERLINK "http://hzs.nd" </w:instrText>
      </w:r>
      <w:r>
        <w:rPr>
          <w:color w:val="auto"/>
          <w:highlight w:val="none"/>
        </w:rPr>
        <w:fldChar w:fldCharType="separate"/>
      </w:r>
      <w:r>
        <w:rPr>
          <w:rFonts w:hint="eastAsia" w:ascii="宋体" w:hAnsi="宋体"/>
          <w:color w:val="auto"/>
          <w:szCs w:val="21"/>
          <w:highlight w:val="none"/>
          <w:lang w:val="en-GB"/>
        </w:rPr>
        <w:t>http://hzs.nd</w:t>
      </w:r>
      <w:r>
        <w:rPr>
          <w:rFonts w:hint="eastAsia" w:ascii="宋体" w:hAnsi="宋体"/>
          <w:color w:val="auto"/>
          <w:szCs w:val="21"/>
          <w:highlight w:val="none"/>
          <w:lang w:val="en-GB"/>
        </w:rPr>
        <w:fldChar w:fldCharType="end"/>
      </w:r>
      <w:r>
        <w:rPr>
          <w:rFonts w:hint="eastAsia" w:ascii="宋体" w:hAnsi="宋体"/>
          <w:color w:val="auto"/>
          <w:szCs w:val="21"/>
          <w:highlight w:val="none"/>
          <w:lang w:val="en-GB"/>
        </w:rPr>
        <w:t>rc.gv.cn/）</w:t>
      </w:r>
      <w:r>
        <w:rPr>
          <w:rFonts w:hint="eastAsia" w:ascii="宋体" w:hAnsi="宋体"/>
          <w:color w:val="auto"/>
          <w:szCs w:val="21"/>
          <w:highlight w:val="none"/>
        </w:rPr>
        <w:t>和中国质量认证中心网站</w:t>
      </w:r>
      <w:r>
        <w:rPr>
          <w:rFonts w:hint="eastAsia" w:ascii="宋体" w:hAnsi="宋体"/>
          <w:color w:val="auto"/>
          <w:szCs w:val="21"/>
          <w:highlight w:val="none"/>
          <w:lang w:val="en-GB"/>
        </w:rPr>
        <w:t>（http://www.cqc.com.cn/）</w:t>
      </w:r>
      <w:r>
        <w:rPr>
          <w:rFonts w:hint="eastAsia" w:ascii="宋体" w:hAnsi="宋体"/>
          <w:color w:val="auto"/>
          <w:szCs w:val="21"/>
          <w:highlight w:val="none"/>
        </w:rPr>
        <w:t>上发布。</w:t>
      </w:r>
    </w:p>
    <w:p>
      <w:pPr>
        <w:pStyle w:val="11"/>
        <w:tabs>
          <w:tab w:val="left" w:pos="1080"/>
          <w:tab w:val="left" w:pos="1680"/>
        </w:tabs>
        <w:spacing w:line="360" w:lineRule="auto"/>
        <w:ind w:left="220" w:hanging="220" w:hangingChars="100"/>
        <w:rPr>
          <w:rFonts w:ascii="宋体" w:hAnsi="宋体"/>
          <w:color w:val="auto"/>
          <w:szCs w:val="21"/>
          <w:highlight w:val="none"/>
          <w:lang w:val="en-GB"/>
        </w:rPr>
      </w:pPr>
      <w:r>
        <w:rPr>
          <w:rFonts w:hint="eastAsia" w:ascii="宋体" w:hAnsi="宋体"/>
          <w:color w:val="auto"/>
          <w:szCs w:val="21"/>
          <w:highlight w:val="none"/>
          <w:lang w:val="en-GB"/>
        </w:rPr>
        <w:t>3.</w:t>
      </w:r>
      <w:r>
        <w:rPr>
          <w:rFonts w:hint="eastAsia" w:ascii="宋体" w:hAnsi="宋体"/>
          <w:color w:val="auto"/>
          <w:szCs w:val="21"/>
          <w:highlight w:val="none"/>
        </w:rPr>
        <w:t>根据《财政部、国家环保总局联合印发〈关于环境标志产品政府采购实施意见〉》</w:t>
      </w:r>
      <w:r>
        <w:rPr>
          <w:rFonts w:hint="eastAsia" w:ascii="宋体" w:hAnsi="宋体"/>
          <w:color w:val="auto"/>
          <w:szCs w:val="21"/>
          <w:highlight w:val="none"/>
          <w:lang w:val="en-GB"/>
        </w:rPr>
        <w:t>（</w:t>
      </w:r>
      <w:r>
        <w:rPr>
          <w:rFonts w:hint="eastAsia" w:ascii="宋体" w:hAnsi="宋体"/>
          <w:color w:val="auto"/>
          <w:szCs w:val="21"/>
          <w:highlight w:val="none"/>
        </w:rPr>
        <w:t>财库</w:t>
      </w:r>
      <w:r>
        <w:rPr>
          <w:rFonts w:hint="eastAsia" w:ascii="宋体" w:hAnsi="宋体"/>
          <w:color w:val="auto"/>
          <w:szCs w:val="21"/>
          <w:highlight w:val="none"/>
          <w:lang w:val="en-GB"/>
        </w:rPr>
        <w:t>[2006]90</w:t>
      </w:r>
      <w:r>
        <w:rPr>
          <w:rFonts w:hint="eastAsia" w:ascii="宋体" w:hAnsi="宋体"/>
          <w:color w:val="auto"/>
          <w:szCs w:val="21"/>
          <w:highlight w:val="none"/>
        </w:rPr>
        <w:t>号</w:t>
      </w:r>
      <w:r>
        <w:rPr>
          <w:rFonts w:hint="eastAsia" w:ascii="宋体" w:hAnsi="宋体"/>
          <w:color w:val="auto"/>
          <w:szCs w:val="21"/>
          <w:highlight w:val="none"/>
          <w:lang w:val="en-GB"/>
        </w:rPr>
        <w:t>）</w:t>
      </w:r>
      <w:r>
        <w:rPr>
          <w:rFonts w:hint="eastAsia" w:ascii="宋体" w:hAnsi="宋体"/>
          <w:color w:val="auto"/>
          <w:szCs w:val="21"/>
          <w:highlight w:val="none"/>
        </w:rPr>
        <w:t>的规定</w:t>
      </w:r>
      <w:r>
        <w:rPr>
          <w:rFonts w:hint="eastAsia" w:ascii="宋体" w:hAnsi="宋体"/>
          <w:color w:val="auto"/>
          <w:szCs w:val="21"/>
          <w:highlight w:val="none"/>
          <w:lang w:val="en-GB"/>
        </w:rPr>
        <w:t>，</w:t>
      </w:r>
      <w:r>
        <w:rPr>
          <w:rFonts w:hint="eastAsia" w:ascii="宋体" w:hAnsi="宋体"/>
          <w:color w:val="auto"/>
          <w:szCs w:val="21"/>
          <w:highlight w:val="none"/>
        </w:rPr>
        <w:t>若投标产品属于</w:t>
      </w:r>
      <w:r>
        <w:rPr>
          <w:rFonts w:hint="eastAsia" w:ascii="宋体" w:hAnsi="宋体"/>
          <w:color w:val="auto"/>
          <w:szCs w:val="21"/>
          <w:highlight w:val="none"/>
          <w:lang w:val="en-GB"/>
        </w:rPr>
        <w:t>“</w:t>
      </w:r>
      <w:r>
        <w:rPr>
          <w:rFonts w:hint="eastAsia" w:ascii="宋体" w:hAnsi="宋体"/>
          <w:color w:val="auto"/>
          <w:szCs w:val="21"/>
          <w:highlight w:val="none"/>
        </w:rPr>
        <w:t>环境标志产品政府采购清单</w:t>
      </w:r>
      <w:r>
        <w:rPr>
          <w:rFonts w:hint="eastAsia" w:ascii="宋体" w:hAnsi="宋体"/>
          <w:color w:val="auto"/>
          <w:szCs w:val="21"/>
          <w:highlight w:val="none"/>
          <w:lang w:val="en-GB"/>
        </w:rPr>
        <w:t>”</w:t>
      </w:r>
      <w:r>
        <w:rPr>
          <w:rFonts w:hint="eastAsia" w:ascii="宋体" w:hAnsi="宋体"/>
          <w:color w:val="auto"/>
          <w:szCs w:val="21"/>
          <w:highlight w:val="none"/>
        </w:rPr>
        <w:t>中品目的产品</w:t>
      </w:r>
      <w:r>
        <w:rPr>
          <w:rFonts w:hint="eastAsia" w:ascii="宋体" w:hAnsi="宋体"/>
          <w:color w:val="auto"/>
          <w:szCs w:val="21"/>
          <w:highlight w:val="none"/>
          <w:lang w:val="en-GB"/>
        </w:rPr>
        <w:t>，</w:t>
      </w:r>
      <w:r>
        <w:rPr>
          <w:rFonts w:hint="eastAsia" w:ascii="宋体" w:hAnsi="宋体"/>
          <w:color w:val="auto"/>
          <w:szCs w:val="21"/>
          <w:highlight w:val="none"/>
        </w:rPr>
        <w:t>提供有效期内的中国环境标志产品认证证书复印件及最新一期</w:t>
      </w:r>
      <w:r>
        <w:rPr>
          <w:rFonts w:hint="eastAsia" w:ascii="宋体" w:hAnsi="宋体"/>
          <w:color w:val="auto"/>
          <w:szCs w:val="21"/>
          <w:highlight w:val="none"/>
          <w:lang w:val="en-GB"/>
        </w:rPr>
        <w:t>“</w:t>
      </w:r>
      <w:r>
        <w:rPr>
          <w:rFonts w:hint="eastAsia" w:ascii="宋体" w:hAnsi="宋体"/>
          <w:color w:val="auto"/>
          <w:szCs w:val="21"/>
          <w:highlight w:val="none"/>
        </w:rPr>
        <w:t>环境标志产品政府采购清单</w:t>
      </w:r>
      <w:r>
        <w:rPr>
          <w:rFonts w:hint="eastAsia" w:ascii="宋体" w:hAnsi="宋体"/>
          <w:color w:val="auto"/>
          <w:szCs w:val="21"/>
          <w:highlight w:val="none"/>
          <w:lang w:val="en-GB"/>
        </w:rPr>
        <w:t>”</w:t>
      </w:r>
      <w:r>
        <w:rPr>
          <w:rFonts w:hint="eastAsia" w:ascii="宋体" w:hAnsi="宋体"/>
          <w:color w:val="auto"/>
          <w:szCs w:val="21"/>
          <w:highlight w:val="none"/>
        </w:rPr>
        <w:t>中投标产品所在清单页并均加盖投标人公章</w:t>
      </w:r>
      <w:r>
        <w:rPr>
          <w:rFonts w:hint="eastAsia" w:ascii="宋体" w:hAnsi="宋体"/>
          <w:color w:val="auto"/>
          <w:szCs w:val="21"/>
          <w:highlight w:val="none"/>
          <w:lang w:val="en-GB"/>
        </w:rPr>
        <w:t>，</w:t>
      </w:r>
      <w:r>
        <w:rPr>
          <w:rFonts w:hint="eastAsia" w:ascii="宋体" w:hAnsi="宋体"/>
          <w:color w:val="auto"/>
          <w:szCs w:val="21"/>
          <w:highlight w:val="none"/>
        </w:rPr>
        <w:t>清单在中国政府采购网</w:t>
      </w:r>
      <w:r>
        <w:rPr>
          <w:rFonts w:hint="eastAsia" w:ascii="宋体" w:hAnsi="宋体"/>
          <w:color w:val="auto"/>
          <w:szCs w:val="21"/>
          <w:highlight w:val="none"/>
          <w:lang w:val="en-GB"/>
        </w:rPr>
        <w:t>（http://www.ccgp.gov.cn/）</w:t>
      </w:r>
      <w:r>
        <w:rPr>
          <w:rFonts w:hint="eastAsia" w:ascii="宋体" w:hAnsi="宋体"/>
          <w:color w:val="auto"/>
          <w:szCs w:val="21"/>
          <w:highlight w:val="none"/>
        </w:rPr>
        <w:t>、国家环境保护总局网</w:t>
      </w:r>
      <w:r>
        <w:rPr>
          <w:rFonts w:hint="eastAsia" w:ascii="宋体" w:hAnsi="宋体"/>
          <w:color w:val="auto"/>
          <w:szCs w:val="21"/>
          <w:highlight w:val="none"/>
          <w:lang w:val="en-GB"/>
        </w:rPr>
        <w:t>（http://www.sepa.gov.cn/）</w:t>
      </w:r>
      <w:r>
        <w:rPr>
          <w:rFonts w:hint="eastAsia" w:ascii="宋体" w:hAnsi="宋体"/>
          <w:color w:val="auto"/>
          <w:szCs w:val="21"/>
          <w:highlight w:val="none"/>
        </w:rPr>
        <w:t>、中国绿色采购网</w:t>
      </w:r>
      <w:r>
        <w:rPr>
          <w:rFonts w:hint="eastAsia" w:ascii="宋体" w:hAnsi="宋体"/>
          <w:color w:val="auto"/>
          <w:szCs w:val="21"/>
          <w:highlight w:val="none"/>
          <w:lang w:val="en-GB"/>
        </w:rPr>
        <w:t>（http://www.cgpn.cn/）</w:t>
      </w:r>
      <w:r>
        <w:rPr>
          <w:rFonts w:hint="eastAsia" w:ascii="宋体" w:hAnsi="宋体"/>
          <w:color w:val="auto"/>
          <w:szCs w:val="21"/>
          <w:highlight w:val="none"/>
        </w:rPr>
        <w:t>上发布。</w:t>
      </w:r>
    </w:p>
    <w:p>
      <w:pPr>
        <w:widowControl/>
        <w:spacing w:line="360" w:lineRule="auto"/>
        <w:ind w:left="330" w:right="88" w:rightChars="40" w:hanging="330" w:hangingChars="150"/>
        <w:rPr>
          <w:color w:val="auto"/>
          <w:szCs w:val="21"/>
          <w:highlight w:val="none"/>
          <w:lang w:val="en-GB"/>
        </w:rPr>
      </w:pPr>
      <w:r>
        <w:rPr>
          <w:rFonts w:hint="eastAsia"/>
          <w:color w:val="auto"/>
          <w:szCs w:val="21"/>
          <w:highlight w:val="none"/>
        </w:rPr>
        <w:t>4.</w:t>
      </w:r>
      <w:r>
        <w:rPr>
          <w:rFonts w:hint="eastAsia"/>
          <w:color w:val="auto"/>
          <w:szCs w:val="21"/>
          <w:highlight w:val="none"/>
          <w:lang w:val="en-GB"/>
        </w:rPr>
        <w:t>请投标人正确填写本表，所填内容将作为评分的依据。其内容或数据应与对应的证明资料相符，如果不一致，可能导致该项的得分为0分。</w:t>
      </w:r>
    </w:p>
    <w:p>
      <w:pPr>
        <w:spacing w:line="360" w:lineRule="auto"/>
        <w:rPr>
          <w:b/>
          <w:bCs/>
          <w:color w:val="auto"/>
          <w:sz w:val="24"/>
          <w:highlight w:val="none"/>
        </w:rPr>
      </w:pPr>
      <w:r>
        <w:rPr>
          <w:rFonts w:hint="eastAsia"/>
          <w:color w:val="auto"/>
          <w:szCs w:val="21"/>
          <w:highlight w:val="none"/>
          <w:lang w:val="en-GB"/>
        </w:rPr>
        <w:t>5.</w:t>
      </w:r>
      <w:r>
        <w:rPr>
          <w:rFonts w:hint="eastAsia"/>
          <w:bCs/>
          <w:color w:val="auto"/>
          <w:szCs w:val="21"/>
          <w:highlight w:val="none"/>
        </w:rPr>
        <w:t>上述文件均加盖投标人公章。</w:t>
      </w:r>
    </w:p>
    <w:p>
      <w:pPr>
        <w:rPr>
          <w:b/>
          <w:bCs/>
          <w:color w:val="auto"/>
          <w:sz w:val="24"/>
          <w:highlight w:val="none"/>
        </w:rPr>
      </w:pPr>
      <w:r>
        <w:rPr>
          <w:rFonts w:hint="eastAsia"/>
          <w:b/>
          <w:bCs/>
          <w:color w:val="auto"/>
          <w:sz w:val="24"/>
          <w:highlight w:val="none"/>
        </w:rPr>
        <w:br w:type="page"/>
      </w:r>
    </w:p>
    <w:p>
      <w:pPr>
        <w:rPr>
          <w:b/>
          <w:bCs/>
          <w:color w:val="auto"/>
          <w:sz w:val="24"/>
          <w:highlight w:val="none"/>
          <w:lang w:val="en-US"/>
        </w:rPr>
      </w:pPr>
      <w:bookmarkStart w:id="212" w:name="_Toc81142099"/>
      <w:bookmarkStart w:id="213" w:name="_Toc109467915"/>
      <w:r>
        <w:rPr>
          <w:rFonts w:hint="eastAsia"/>
          <w:b/>
          <w:bCs/>
          <w:color w:val="auto"/>
          <w:sz w:val="24"/>
          <w:highlight w:val="none"/>
        </w:rPr>
        <w:t>附件</w:t>
      </w:r>
      <w:r>
        <w:rPr>
          <w:rFonts w:hint="eastAsia"/>
          <w:b/>
          <w:bCs/>
          <w:color w:val="auto"/>
          <w:sz w:val="24"/>
          <w:highlight w:val="none"/>
          <w:lang w:val="en-US"/>
        </w:rPr>
        <w:t>9</w:t>
      </w:r>
    </w:p>
    <w:p>
      <w:pPr>
        <w:jc w:val="center"/>
        <w:rPr>
          <w:b/>
          <w:bCs/>
          <w:color w:val="auto"/>
          <w:sz w:val="28"/>
          <w:szCs w:val="28"/>
          <w:highlight w:val="none"/>
        </w:rPr>
      </w:pPr>
      <w:r>
        <w:rPr>
          <w:rFonts w:hint="eastAsia"/>
          <w:b/>
          <w:bCs/>
          <w:color w:val="auto"/>
          <w:sz w:val="28"/>
          <w:szCs w:val="28"/>
          <w:highlight w:val="none"/>
        </w:rPr>
        <w:t>合同条款响应一览表</w:t>
      </w:r>
      <w:bookmarkEnd w:id="212"/>
      <w:bookmarkEnd w:id="213"/>
    </w:p>
    <w:p>
      <w:pPr>
        <w:pStyle w:val="28"/>
        <w:rPr>
          <w:color w:val="auto"/>
          <w:sz w:val="21"/>
          <w:szCs w:val="21"/>
          <w:highlight w:val="none"/>
        </w:rPr>
      </w:pPr>
    </w:p>
    <w:p>
      <w:pPr>
        <w:spacing w:line="360" w:lineRule="auto"/>
        <w:ind w:left="945" w:hanging="945" w:hangingChars="450"/>
        <w:rPr>
          <w:color w:val="auto"/>
          <w:sz w:val="21"/>
          <w:szCs w:val="21"/>
          <w:highlight w:val="none"/>
        </w:rPr>
      </w:pPr>
      <w:r>
        <w:rPr>
          <w:rFonts w:hint="eastAsia"/>
          <w:color w:val="auto"/>
          <w:sz w:val="21"/>
          <w:szCs w:val="21"/>
          <w:highlight w:val="none"/>
        </w:rPr>
        <w:t>说明：</w:t>
      </w:r>
      <w:r>
        <w:rPr>
          <w:color w:val="auto"/>
          <w:sz w:val="21"/>
          <w:szCs w:val="21"/>
          <w:highlight w:val="none"/>
        </w:rPr>
        <w:t>1</w:t>
      </w:r>
      <w:r>
        <w:rPr>
          <w:rFonts w:hint="eastAsia"/>
          <w:color w:val="auto"/>
          <w:sz w:val="21"/>
          <w:szCs w:val="21"/>
          <w:highlight w:val="none"/>
        </w:rPr>
        <w:t>、供应商必须对应竞争性磋商文件的第四章采购合同条款逐条应答并按要求填写下表。</w:t>
      </w:r>
    </w:p>
    <w:p>
      <w:pPr>
        <w:spacing w:line="360" w:lineRule="auto"/>
        <w:ind w:left="1041" w:leftChars="349" w:hanging="273" w:hangingChars="130"/>
        <w:rPr>
          <w:color w:val="auto"/>
          <w:sz w:val="21"/>
          <w:szCs w:val="21"/>
          <w:highlight w:val="none"/>
        </w:rPr>
      </w:pPr>
      <w:r>
        <w:rPr>
          <w:color w:val="auto"/>
          <w:sz w:val="21"/>
          <w:szCs w:val="21"/>
          <w:highlight w:val="none"/>
        </w:rPr>
        <w:t>2</w:t>
      </w:r>
      <w:r>
        <w:rPr>
          <w:rFonts w:hint="eastAsia"/>
          <w:color w:val="auto"/>
          <w:sz w:val="21"/>
          <w:szCs w:val="21"/>
          <w:highlight w:val="none"/>
        </w:rPr>
        <w:t>、对完全响应的条目在下表相应列中标注“○”。对有偏离的条目在下表相应列中标注“×”，并简述偏离内容。</w:t>
      </w:r>
    </w:p>
    <w:tbl>
      <w:tblPr>
        <w:tblStyle w:val="18"/>
        <w:tblW w:w="943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5025"/>
        <w:gridCol w:w="1080"/>
        <w:gridCol w:w="1061"/>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序号</w:t>
            </w:r>
          </w:p>
        </w:tc>
        <w:tc>
          <w:tcPr>
            <w:tcW w:w="5025" w:type="dxa"/>
            <w:vAlign w:val="center"/>
          </w:tcPr>
          <w:p>
            <w:pPr>
              <w:spacing w:line="360" w:lineRule="auto"/>
              <w:jc w:val="center"/>
              <w:rPr>
                <w:color w:val="auto"/>
                <w:sz w:val="21"/>
                <w:szCs w:val="21"/>
                <w:highlight w:val="none"/>
              </w:rPr>
            </w:pPr>
            <w:r>
              <w:rPr>
                <w:rFonts w:hint="eastAsia"/>
                <w:color w:val="auto"/>
                <w:sz w:val="21"/>
                <w:szCs w:val="21"/>
                <w:highlight w:val="none"/>
              </w:rPr>
              <w:t>合同条款条目</w:t>
            </w:r>
          </w:p>
        </w:tc>
        <w:tc>
          <w:tcPr>
            <w:tcW w:w="1080" w:type="dxa"/>
            <w:vAlign w:val="center"/>
          </w:tcPr>
          <w:p>
            <w:pPr>
              <w:spacing w:line="360" w:lineRule="auto"/>
              <w:jc w:val="center"/>
              <w:rPr>
                <w:color w:val="auto"/>
                <w:sz w:val="21"/>
                <w:szCs w:val="21"/>
                <w:highlight w:val="none"/>
              </w:rPr>
            </w:pPr>
            <w:r>
              <w:rPr>
                <w:rFonts w:hint="eastAsia"/>
                <w:color w:val="auto"/>
                <w:sz w:val="21"/>
                <w:szCs w:val="21"/>
                <w:highlight w:val="none"/>
              </w:rPr>
              <w:t>完全</w:t>
            </w:r>
          </w:p>
          <w:p>
            <w:pPr>
              <w:spacing w:line="360" w:lineRule="auto"/>
              <w:jc w:val="center"/>
              <w:rPr>
                <w:color w:val="auto"/>
                <w:sz w:val="21"/>
                <w:szCs w:val="21"/>
                <w:highlight w:val="none"/>
              </w:rPr>
            </w:pPr>
            <w:r>
              <w:rPr>
                <w:rFonts w:hint="eastAsia"/>
                <w:color w:val="auto"/>
                <w:sz w:val="21"/>
                <w:szCs w:val="21"/>
                <w:highlight w:val="none"/>
              </w:rPr>
              <w:t>响应</w:t>
            </w:r>
          </w:p>
        </w:tc>
        <w:tc>
          <w:tcPr>
            <w:tcW w:w="1061" w:type="dxa"/>
            <w:vAlign w:val="center"/>
          </w:tcPr>
          <w:p>
            <w:pPr>
              <w:spacing w:line="360" w:lineRule="auto"/>
              <w:jc w:val="center"/>
              <w:rPr>
                <w:color w:val="auto"/>
                <w:sz w:val="21"/>
                <w:szCs w:val="21"/>
                <w:highlight w:val="none"/>
              </w:rPr>
            </w:pPr>
            <w:r>
              <w:rPr>
                <w:rFonts w:hint="eastAsia"/>
                <w:color w:val="auto"/>
                <w:sz w:val="21"/>
                <w:szCs w:val="21"/>
                <w:highlight w:val="none"/>
              </w:rPr>
              <w:t>有偏离</w:t>
            </w:r>
          </w:p>
        </w:tc>
        <w:tc>
          <w:tcPr>
            <w:tcW w:w="1356" w:type="dxa"/>
            <w:vAlign w:val="center"/>
          </w:tcPr>
          <w:p>
            <w:pPr>
              <w:spacing w:line="360" w:lineRule="auto"/>
              <w:jc w:val="center"/>
              <w:rPr>
                <w:color w:val="auto"/>
                <w:sz w:val="21"/>
                <w:szCs w:val="21"/>
                <w:highlight w:val="none"/>
              </w:rPr>
            </w:pPr>
            <w:r>
              <w:rPr>
                <w:rFonts w:hint="eastAsia"/>
                <w:color w:val="auto"/>
                <w:sz w:val="21"/>
                <w:szCs w:val="21"/>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1</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2</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3</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4</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5</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pStyle w:val="29"/>
              <w:keepNext w:val="0"/>
              <w:adjustRightInd/>
              <w:spacing w:before="0" w:after="0" w:line="360" w:lineRule="auto"/>
              <w:textAlignment w:val="auto"/>
              <w:rPr>
                <w:snapToGrid/>
                <w:color w:val="auto"/>
                <w:spacing w:val="0"/>
                <w:kern w:val="2"/>
                <w:sz w:val="21"/>
                <w:szCs w:val="21"/>
                <w:highlight w:val="none"/>
                <w:lang w:val="en-US"/>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6</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7</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8</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9</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10</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11</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12</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center"/>
          </w:tcPr>
          <w:p>
            <w:pPr>
              <w:spacing w:line="360" w:lineRule="auto"/>
              <w:jc w:val="center"/>
              <w:rPr>
                <w:color w:val="auto"/>
                <w:sz w:val="21"/>
                <w:szCs w:val="21"/>
                <w:highlight w:val="none"/>
              </w:rPr>
            </w:pPr>
            <w:r>
              <w:rPr>
                <w:rFonts w:hint="eastAsia"/>
                <w:color w:val="auto"/>
                <w:sz w:val="21"/>
                <w:szCs w:val="21"/>
                <w:highlight w:val="none"/>
              </w:rPr>
              <w:t>13</w:t>
            </w:r>
          </w:p>
        </w:tc>
        <w:tc>
          <w:tcPr>
            <w:tcW w:w="5025" w:type="dxa"/>
            <w:vAlign w:val="center"/>
          </w:tcPr>
          <w:p>
            <w:pPr>
              <w:spacing w:line="360" w:lineRule="auto"/>
              <w:rPr>
                <w:color w:val="auto"/>
                <w:sz w:val="21"/>
                <w:szCs w:val="21"/>
                <w:highlight w:val="none"/>
              </w:rPr>
            </w:pPr>
          </w:p>
        </w:tc>
        <w:tc>
          <w:tcPr>
            <w:tcW w:w="1080" w:type="dxa"/>
            <w:vAlign w:val="center"/>
          </w:tcPr>
          <w:p>
            <w:pPr>
              <w:spacing w:line="360" w:lineRule="auto"/>
              <w:jc w:val="center"/>
              <w:rPr>
                <w:color w:val="auto"/>
                <w:sz w:val="21"/>
                <w:szCs w:val="21"/>
                <w:highlight w:val="none"/>
              </w:rPr>
            </w:pPr>
          </w:p>
        </w:tc>
        <w:tc>
          <w:tcPr>
            <w:tcW w:w="1061" w:type="dxa"/>
            <w:vAlign w:val="center"/>
          </w:tcPr>
          <w:p>
            <w:pPr>
              <w:spacing w:line="360" w:lineRule="auto"/>
              <w:jc w:val="center"/>
              <w:rPr>
                <w:color w:val="auto"/>
                <w:sz w:val="21"/>
                <w:szCs w:val="21"/>
                <w:highlight w:val="none"/>
              </w:rPr>
            </w:pPr>
          </w:p>
        </w:tc>
        <w:tc>
          <w:tcPr>
            <w:tcW w:w="1356" w:type="dxa"/>
            <w:vAlign w:val="center"/>
          </w:tcPr>
          <w:p>
            <w:pPr>
              <w:spacing w:line="360" w:lineRule="auto"/>
              <w:jc w:val="center"/>
              <w:rPr>
                <w:color w:val="auto"/>
                <w:sz w:val="21"/>
                <w:szCs w:val="21"/>
                <w:highlight w:val="none"/>
              </w:rPr>
            </w:pPr>
          </w:p>
        </w:tc>
      </w:tr>
    </w:tbl>
    <w:p>
      <w:pPr>
        <w:spacing w:line="360" w:lineRule="auto"/>
        <w:rPr>
          <w:color w:val="auto"/>
          <w:sz w:val="21"/>
          <w:szCs w:val="21"/>
          <w:highlight w:val="none"/>
        </w:rPr>
      </w:pPr>
    </w:p>
    <w:p>
      <w:pPr>
        <w:spacing w:line="360" w:lineRule="auto"/>
        <w:rPr>
          <w:b/>
          <w:color w:val="auto"/>
          <w:sz w:val="21"/>
          <w:szCs w:val="21"/>
          <w:highlight w:val="none"/>
        </w:rPr>
      </w:pPr>
      <w:r>
        <w:rPr>
          <w:rFonts w:hint="eastAsia"/>
          <w:b/>
          <w:color w:val="auto"/>
          <w:sz w:val="21"/>
          <w:szCs w:val="21"/>
          <w:highlight w:val="none"/>
        </w:rPr>
        <w:t>注：供应商对竞争性磋商文件的商务合同不允许实质性偏离，否则将视为不响应。</w:t>
      </w:r>
    </w:p>
    <w:p>
      <w:pPr>
        <w:spacing w:line="360" w:lineRule="auto"/>
        <w:rPr>
          <w:color w:val="auto"/>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spacing w:line="360" w:lineRule="auto"/>
        <w:rPr>
          <w:color w:val="auto"/>
          <w:szCs w:val="21"/>
          <w:highlight w:val="none"/>
        </w:rPr>
      </w:pPr>
    </w:p>
    <w:p>
      <w:pPr>
        <w:rPr>
          <w:b/>
          <w:bCs/>
          <w:color w:val="auto"/>
          <w:sz w:val="24"/>
          <w:highlight w:val="none"/>
        </w:rPr>
      </w:pPr>
      <w:r>
        <w:rPr>
          <w:color w:val="auto"/>
          <w:szCs w:val="21"/>
          <w:highlight w:val="none"/>
        </w:rPr>
        <w:br w:type="page"/>
      </w:r>
      <w:bookmarkStart w:id="214" w:name="_Toc81142102"/>
      <w:bookmarkStart w:id="215" w:name="_Toc109467917"/>
      <w:r>
        <w:rPr>
          <w:rFonts w:hint="eastAsia"/>
          <w:b/>
          <w:bCs/>
          <w:color w:val="auto"/>
          <w:sz w:val="24"/>
          <w:highlight w:val="none"/>
        </w:rPr>
        <w:t>附件</w:t>
      </w:r>
      <w:r>
        <w:rPr>
          <w:rFonts w:hint="eastAsia"/>
          <w:b/>
          <w:bCs/>
          <w:color w:val="auto"/>
          <w:sz w:val="24"/>
          <w:highlight w:val="none"/>
          <w:lang w:val="en-US"/>
        </w:rPr>
        <w:t>10</w:t>
      </w:r>
    </w:p>
    <w:p>
      <w:pPr>
        <w:jc w:val="center"/>
        <w:rPr>
          <w:color w:val="auto"/>
          <w:highlight w:val="none"/>
        </w:rPr>
      </w:pPr>
      <w:r>
        <w:rPr>
          <w:rFonts w:hint="eastAsia"/>
          <w:b/>
          <w:bCs/>
          <w:color w:val="auto"/>
          <w:sz w:val="28"/>
          <w:szCs w:val="28"/>
          <w:highlight w:val="none"/>
        </w:rPr>
        <w:t>与采购人需求差异表</w:t>
      </w:r>
    </w:p>
    <w:p>
      <w:pPr>
        <w:rPr>
          <w:b/>
          <w:bCs/>
          <w:color w:val="auto"/>
          <w:highlight w:val="none"/>
        </w:rPr>
      </w:pPr>
    </w:p>
    <w:p>
      <w:pPr>
        <w:spacing w:line="360" w:lineRule="auto"/>
        <w:ind w:left="618" w:hanging="618"/>
        <w:rPr>
          <w:color w:val="auto"/>
          <w:sz w:val="21"/>
          <w:szCs w:val="21"/>
          <w:highlight w:val="none"/>
        </w:rPr>
      </w:pPr>
      <w:r>
        <w:rPr>
          <w:rFonts w:hint="eastAsia"/>
          <w:b/>
          <w:color w:val="auto"/>
          <w:sz w:val="21"/>
          <w:szCs w:val="21"/>
          <w:highlight w:val="none"/>
        </w:rPr>
        <w:t>[说明]</w:t>
      </w:r>
      <w:r>
        <w:rPr>
          <w:rFonts w:hint="eastAsia"/>
          <w:color w:val="auto"/>
          <w:sz w:val="21"/>
          <w:szCs w:val="21"/>
          <w:highlight w:val="none"/>
        </w:rPr>
        <w:t>投标人应根据其提供的货物和服务，逐条对照竞争性磋商文件“采购人需求”的内容要求填写，有差异的，不论是服务或商务上，均须在此表中列明两者的差异内容，以便查对和评审。投标人没有列出的内容或提交空表的，评标委员会可视为完全响应</w:t>
      </w:r>
      <w:r>
        <w:rPr>
          <w:rFonts w:hint="eastAsia"/>
          <w:bCs/>
          <w:color w:val="auto"/>
          <w:sz w:val="21"/>
          <w:szCs w:val="21"/>
          <w:highlight w:val="none"/>
        </w:rPr>
        <w:t>竞争性磋商文件</w:t>
      </w:r>
      <w:r>
        <w:rPr>
          <w:rFonts w:hint="eastAsia"/>
          <w:color w:val="auto"/>
          <w:sz w:val="21"/>
          <w:szCs w:val="21"/>
          <w:highlight w:val="none"/>
        </w:rPr>
        <w:t>要求。</w:t>
      </w:r>
    </w:p>
    <w:p>
      <w:pPr>
        <w:spacing w:line="360" w:lineRule="auto"/>
        <w:rPr>
          <w:rFonts w:cs="Tahoma"/>
          <w:color w:val="auto"/>
          <w:kern w:val="28"/>
          <w:sz w:val="21"/>
          <w:szCs w:val="21"/>
          <w:highlight w:val="none"/>
        </w:rPr>
      </w:pPr>
      <w:r>
        <w:rPr>
          <w:rFonts w:hint="eastAsia" w:cs="Tahoma"/>
          <w:color w:val="auto"/>
          <w:sz w:val="21"/>
          <w:szCs w:val="21"/>
          <w:highlight w:val="none"/>
        </w:rPr>
        <w:t>项目名称</w:t>
      </w:r>
      <w:r>
        <w:rPr>
          <w:rFonts w:hint="eastAsia" w:cs="Tahoma"/>
          <w:color w:val="auto"/>
          <w:kern w:val="28"/>
          <w:sz w:val="21"/>
          <w:szCs w:val="21"/>
          <w:highlight w:val="none"/>
        </w:rPr>
        <w:t>：</w:t>
      </w:r>
    </w:p>
    <w:p>
      <w:pPr>
        <w:spacing w:line="360" w:lineRule="auto"/>
        <w:rPr>
          <w:rFonts w:ascii="Arial Unicode MS" w:hAnsi="Arial Unicode MS" w:eastAsia="Arial Unicode MS" w:cs="Arial Unicode MS"/>
          <w:bCs/>
          <w:color w:val="auto"/>
          <w:sz w:val="21"/>
          <w:szCs w:val="21"/>
          <w:highlight w:val="none"/>
        </w:rPr>
      </w:pPr>
      <w:r>
        <w:rPr>
          <w:rFonts w:cs="Tahoma"/>
          <w:color w:val="auto"/>
          <w:sz w:val="21"/>
          <w:szCs w:val="21"/>
          <w:highlight w:val="none"/>
        </w:rPr>
        <w:t>项目编号：</w:t>
      </w:r>
    </w:p>
    <w:tbl>
      <w:tblPr>
        <w:tblStyle w:val="18"/>
        <w:tblW w:w="9414" w:type="dxa"/>
        <w:tblInd w:w="0" w:type="dxa"/>
        <w:tblLayout w:type="fixed"/>
        <w:tblCellMar>
          <w:top w:w="0" w:type="dxa"/>
          <w:left w:w="30" w:type="dxa"/>
          <w:bottom w:w="0" w:type="dxa"/>
          <w:right w:w="30" w:type="dxa"/>
        </w:tblCellMar>
      </w:tblPr>
      <w:tblGrid>
        <w:gridCol w:w="1400"/>
        <w:gridCol w:w="784"/>
        <w:gridCol w:w="3758"/>
        <w:gridCol w:w="1736"/>
        <w:gridCol w:w="1736"/>
      </w:tblGrid>
      <w:tr>
        <w:tblPrEx>
          <w:tblCellMar>
            <w:top w:w="0" w:type="dxa"/>
            <w:left w:w="30" w:type="dxa"/>
            <w:bottom w:w="0" w:type="dxa"/>
            <w:right w:w="30" w:type="dxa"/>
          </w:tblCellMar>
        </w:tblPrEx>
        <w:trPr>
          <w:cantSplit/>
          <w:trHeight w:val="530" w:hRule="atLeast"/>
        </w:trPr>
        <w:tc>
          <w:tcPr>
            <w:tcW w:w="1400" w:type="dxa"/>
            <w:vMerge w:val="restart"/>
            <w:tcBorders>
              <w:top w:val="single" w:color="auto" w:sz="6" w:space="0"/>
              <w:left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序号</w:t>
            </w:r>
          </w:p>
        </w:tc>
        <w:tc>
          <w:tcPr>
            <w:tcW w:w="4542" w:type="dxa"/>
            <w:gridSpan w:val="2"/>
            <w:tcBorders>
              <w:top w:val="single" w:color="auto" w:sz="6" w:space="0"/>
              <w:left w:val="single" w:color="auto" w:sz="6" w:space="0"/>
              <w:bottom w:val="single" w:color="auto" w:sz="6" w:space="0"/>
            </w:tcBorders>
            <w:vAlign w:val="center"/>
          </w:tcPr>
          <w:p>
            <w:pPr>
              <w:adjustRightInd w:val="0"/>
              <w:jc w:val="center"/>
              <w:rPr>
                <w:color w:val="auto"/>
                <w:sz w:val="21"/>
                <w:szCs w:val="21"/>
                <w:highlight w:val="none"/>
              </w:rPr>
            </w:pPr>
            <w:r>
              <w:rPr>
                <w:rFonts w:hint="eastAsia"/>
                <w:bCs/>
                <w:color w:val="auto"/>
                <w:sz w:val="21"/>
                <w:szCs w:val="21"/>
                <w:highlight w:val="none"/>
              </w:rPr>
              <w:t>竞争性磋商文件</w:t>
            </w:r>
            <w:r>
              <w:rPr>
                <w:rFonts w:hint="eastAsia"/>
                <w:color w:val="auto"/>
                <w:sz w:val="21"/>
                <w:szCs w:val="21"/>
                <w:highlight w:val="none"/>
              </w:rPr>
              <w:t>要求</w:t>
            </w:r>
          </w:p>
        </w:tc>
        <w:tc>
          <w:tcPr>
            <w:tcW w:w="3472" w:type="dxa"/>
            <w:gridSpan w:val="2"/>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投标文件内容</w:t>
            </w:r>
          </w:p>
        </w:tc>
      </w:tr>
      <w:tr>
        <w:tblPrEx>
          <w:tblCellMar>
            <w:top w:w="0" w:type="dxa"/>
            <w:left w:w="30" w:type="dxa"/>
            <w:bottom w:w="0" w:type="dxa"/>
            <w:right w:w="30" w:type="dxa"/>
          </w:tblCellMar>
        </w:tblPrEx>
        <w:trPr>
          <w:cantSplit/>
          <w:trHeight w:val="551" w:hRule="atLeast"/>
        </w:trPr>
        <w:tc>
          <w:tcPr>
            <w:tcW w:w="1400" w:type="dxa"/>
            <w:vMerge w:val="continue"/>
            <w:tcBorders>
              <w:left w:val="single" w:color="auto" w:sz="6" w:space="0"/>
              <w:bottom w:val="single" w:color="auto" w:sz="6" w:space="0"/>
              <w:right w:val="single" w:color="auto" w:sz="6" w:space="0"/>
            </w:tcBorders>
            <w:vAlign w:val="center"/>
          </w:tcPr>
          <w:p>
            <w:pPr>
              <w:adjustRightInd w:val="0"/>
              <w:rPr>
                <w:color w:val="auto"/>
                <w:sz w:val="21"/>
                <w:szCs w:val="21"/>
                <w:highlight w:val="none"/>
              </w:rPr>
            </w:pPr>
          </w:p>
        </w:tc>
        <w:tc>
          <w:tcPr>
            <w:tcW w:w="784"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r>
              <w:rPr>
                <w:rFonts w:hint="eastAsia"/>
                <w:color w:val="auto"/>
                <w:sz w:val="21"/>
                <w:szCs w:val="21"/>
                <w:highlight w:val="none"/>
              </w:rPr>
              <w:t>原条目</w:t>
            </w:r>
          </w:p>
        </w:tc>
        <w:tc>
          <w:tcPr>
            <w:tcW w:w="3758"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简要内容</w:t>
            </w:r>
          </w:p>
        </w:tc>
        <w:tc>
          <w:tcPr>
            <w:tcW w:w="1736"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是否响应</w:t>
            </w:r>
          </w:p>
        </w:tc>
        <w:tc>
          <w:tcPr>
            <w:tcW w:w="1736"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偏离说明</w:t>
            </w:r>
          </w:p>
        </w:tc>
      </w:tr>
      <w:tr>
        <w:tblPrEx>
          <w:tblCellMar>
            <w:top w:w="0" w:type="dxa"/>
            <w:left w:w="30" w:type="dxa"/>
            <w:bottom w:w="0" w:type="dxa"/>
            <w:right w:w="30" w:type="dxa"/>
          </w:tblCellMar>
        </w:tblPrEx>
        <w:trPr>
          <w:cantSplit/>
          <w:trHeight w:val="515" w:hRule="exact"/>
        </w:trPr>
        <w:tc>
          <w:tcPr>
            <w:tcW w:w="1400"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1</w:t>
            </w:r>
          </w:p>
        </w:tc>
        <w:tc>
          <w:tcPr>
            <w:tcW w:w="784"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rFonts w:hint="eastAsia"/>
                <w:color w:val="auto"/>
                <w:sz w:val="21"/>
                <w:szCs w:val="21"/>
                <w:highlight w:val="none"/>
              </w:rPr>
              <w:t>一</w:t>
            </w:r>
          </w:p>
        </w:tc>
        <w:tc>
          <w:tcPr>
            <w:tcW w:w="3758"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p>
        </w:tc>
        <w:tc>
          <w:tcPr>
            <w:tcW w:w="1736"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p>
        </w:tc>
        <w:tc>
          <w:tcPr>
            <w:tcW w:w="1736"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p>
        </w:tc>
      </w:tr>
      <w:tr>
        <w:tblPrEx>
          <w:tblCellMar>
            <w:top w:w="0" w:type="dxa"/>
            <w:left w:w="30" w:type="dxa"/>
            <w:bottom w:w="0" w:type="dxa"/>
            <w:right w:w="30" w:type="dxa"/>
          </w:tblCellMar>
        </w:tblPrEx>
        <w:trPr>
          <w:cantSplit/>
          <w:trHeight w:val="515" w:hRule="exact"/>
        </w:trPr>
        <w:tc>
          <w:tcPr>
            <w:tcW w:w="1400"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color w:val="auto"/>
                <w:sz w:val="21"/>
                <w:szCs w:val="21"/>
                <w:highlight w:val="none"/>
              </w:rPr>
              <w:t>…</w:t>
            </w:r>
          </w:p>
        </w:tc>
        <w:tc>
          <w:tcPr>
            <w:tcW w:w="784" w:type="dxa"/>
            <w:tcBorders>
              <w:top w:val="single" w:color="auto" w:sz="6" w:space="0"/>
              <w:left w:val="single" w:color="auto" w:sz="6" w:space="0"/>
              <w:bottom w:val="single" w:color="auto" w:sz="6" w:space="0"/>
              <w:right w:val="single" w:color="auto" w:sz="6" w:space="0"/>
            </w:tcBorders>
            <w:vAlign w:val="center"/>
          </w:tcPr>
          <w:p>
            <w:pPr>
              <w:adjustRightInd w:val="0"/>
              <w:jc w:val="center"/>
              <w:rPr>
                <w:color w:val="auto"/>
                <w:sz w:val="21"/>
                <w:szCs w:val="21"/>
                <w:highlight w:val="none"/>
              </w:rPr>
            </w:pPr>
            <w:r>
              <w:rPr>
                <w:color w:val="auto"/>
                <w:sz w:val="21"/>
                <w:szCs w:val="21"/>
                <w:highlight w:val="none"/>
              </w:rPr>
              <w:t>…</w:t>
            </w:r>
          </w:p>
        </w:tc>
        <w:tc>
          <w:tcPr>
            <w:tcW w:w="3758"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p>
        </w:tc>
        <w:tc>
          <w:tcPr>
            <w:tcW w:w="1736"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p>
        </w:tc>
        <w:tc>
          <w:tcPr>
            <w:tcW w:w="1736" w:type="dxa"/>
            <w:tcBorders>
              <w:top w:val="single" w:color="auto" w:sz="6" w:space="0"/>
              <w:left w:val="single" w:color="auto" w:sz="6" w:space="0"/>
              <w:bottom w:val="single" w:color="auto" w:sz="6" w:space="0"/>
              <w:right w:val="single" w:color="auto" w:sz="6" w:space="0"/>
            </w:tcBorders>
            <w:vAlign w:val="center"/>
          </w:tcPr>
          <w:p>
            <w:pPr>
              <w:adjustRightInd w:val="0"/>
              <w:rPr>
                <w:color w:val="auto"/>
                <w:sz w:val="21"/>
                <w:szCs w:val="21"/>
                <w:highlight w:val="none"/>
              </w:rPr>
            </w:pPr>
          </w:p>
        </w:tc>
      </w:tr>
    </w:tbl>
    <w:p>
      <w:pPr>
        <w:pStyle w:val="6"/>
        <w:tabs>
          <w:tab w:val="left" w:pos="5019"/>
          <w:tab w:val="left" w:pos="5964"/>
          <w:tab w:val="left" w:pos="6699"/>
          <w:tab w:val="left" w:pos="7433"/>
          <w:tab w:val="left" w:pos="8978"/>
          <w:tab w:val="left" w:pos="9139"/>
        </w:tabs>
        <w:spacing w:before="0" w:line="364" w:lineRule="auto"/>
        <w:ind w:left="4479" w:right="838"/>
        <w:rPr>
          <w:color w:val="auto"/>
          <w:spacing w:val="-1"/>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p>
      <w:pPr>
        <w:rPr>
          <w:b/>
          <w:bCs/>
          <w:color w:val="auto"/>
          <w:sz w:val="24"/>
          <w:highlight w:val="none"/>
        </w:rPr>
      </w:pPr>
    </w:p>
    <w:bookmarkEnd w:id="214"/>
    <w:bookmarkEnd w:id="215"/>
    <w:p>
      <w:pPr>
        <w:rPr>
          <w:b/>
          <w:bCs/>
          <w:color w:val="auto"/>
          <w:sz w:val="24"/>
          <w:highlight w:val="none"/>
        </w:rPr>
      </w:pPr>
      <w:r>
        <w:rPr>
          <w:rFonts w:hint="eastAsia"/>
          <w:b/>
          <w:bCs/>
          <w:color w:val="auto"/>
          <w:sz w:val="24"/>
          <w:highlight w:val="none"/>
        </w:rPr>
        <w:t>附件</w:t>
      </w:r>
      <w:r>
        <w:rPr>
          <w:rFonts w:hint="eastAsia"/>
          <w:b/>
          <w:bCs/>
          <w:color w:val="auto"/>
          <w:sz w:val="24"/>
          <w:highlight w:val="none"/>
          <w:lang w:val="en-US"/>
        </w:rPr>
        <w:t>11</w:t>
      </w:r>
    </w:p>
    <w:p>
      <w:pPr>
        <w:jc w:val="center"/>
        <w:rPr>
          <w:b/>
          <w:bCs/>
          <w:color w:val="auto"/>
          <w:sz w:val="28"/>
          <w:szCs w:val="28"/>
          <w:highlight w:val="none"/>
        </w:rPr>
      </w:pPr>
      <w:r>
        <w:rPr>
          <w:rFonts w:hint="eastAsia"/>
          <w:b/>
          <w:bCs/>
          <w:color w:val="auto"/>
          <w:sz w:val="28"/>
          <w:szCs w:val="28"/>
          <w:highlight w:val="none"/>
        </w:rPr>
        <w:t>实质性条款响应一览表</w:t>
      </w:r>
    </w:p>
    <w:p>
      <w:pPr>
        <w:spacing w:line="360" w:lineRule="auto"/>
        <w:rPr>
          <w:color w:val="auto"/>
          <w:sz w:val="21"/>
          <w:szCs w:val="21"/>
          <w:highlight w:val="none"/>
        </w:rPr>
      </w:pPr>
      <w:r>
        <w:rPr>
          <w:rFonts w:hint="eastAsia" w:cs="Tahoma"/>
          <w:color w:val="auto"/>
          <w:sz w:val="21"/>
          <w:szCs w:val="21"/>
          <w:highlight w:val="none"/>
        </w:rPr>
        <w:t>项目名称</w:t>
      </w:r>
      <w:r>
        <w:rPr>
          <w:rFonts w:hint="eastAsia" w:cs="Tahoma"/>
          <w:color w:val="auto"/>
          <w:kern w:val="28"/>
          <w:sz w:val="21"/>
          <w:szCs w:val="21"/>
          <w:highlight w:val="none"/>
        </w:rPr>
        <w:t>：</w:t>
      </w:r>
    </w:p>
    <w:p>
      <w:pPr>
        <w:rPr>
          <w:rFonts w:cs="Tahoma"/>
          <w:color w:val="auto"/>
          <w:sz w:val="21"/>
          <w:szCs w:val="21"/>
          <w:highlight w:val="none"/>
        </w:rPr>
      </w:pPr>
      <w:r>
        <w:rPr>
          <w:rFonts w:cs="Tahoma"/>
          <w:color w:val="auto"/>
          <w:sz w:val="21"/>
          <w:szCs w:val="21"/>
          <w:highlight w:val="none"/>
        </w:rPr>
        <w:t>项目编号：</w:t>
      </w:r>
    </w:p>
    <w:tbl>
      <w:tblPr>
        <w:tblStyle w:val="18"/>
        <w:tblW w:w="9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4492"/>
        <w:gridCol w:w="1289"/>
        <w:gridCol w:w="1310"/>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序号</w:t>
            </w:r>
          </w:p>
        </w:tc>
        <w:tc>
          <w:tcPr>
            <w:tcW w:w="4492" w:type="dxa"/>
            <w:tcBorders>
              <w:left w:val="single" w:color="000000" w:sz="4" w:space="0"/>
            </w:tcBorders>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带“★”号响应内容</w:t>
            </w:r>
          </w:p>
        </w:tc>
        <w:tc>
          <w:tcPr>
            <w:tcW w:w="1289"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是否响应</w:t>
            </w:r>
          </w:p>
        </w:tc>
        <w:tc>
          <w:tcPr>
            <w:tcW w:w="1310"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偏离说明</w:t>
            </w:r>
          </w:p>
        </w:tc>
        <w:tc>
          <w:tcPr>
            <w:tcW w:w="1364"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1</w:t>
            </w:r>
          </w:p>
        </w:tc>
        <w:tc>
          <w:tcPr>
            <w:tcW w:w="4492" w:type="dxa"/>
            <w:tcBorders>
              <w:left w:val="single" w:color="000000" w:sz="4" w:space="0"/>
            </w:tcBorders>
            <w:vAlign w:val="center"/>
          </w:tcPr>
          <w:p>
            <w:pPr>
              <w:rPr>
                <w:color w:val="auto"/>
                <w:sz w:val="21"/>
                <w:szCs w:val="21"/>
                <w:highlight w:val="none"/>
              </w:rPr>
            </w:pPr>
          </w:p>
        </w:tc>
        <w:tc>
          <w:tcPr>
            <w:tcW w:w="1289" w:type="dxa"/>
          </w:tcPr>
          <w:p>
            <w:pPr>
              <w:spacing w:before="240" w:line="360" w:lineRule="auto"/>
              <w:ind w:left="902" w:hanging="902"/>
              <w:rPr>
                <w:color w:val="auto"/>
                <w:sz w:val="21"/>
                <w:szCs w:val="21"/>
                <w:highlight w:val="none"/>
              </w:rPr>
            </w:pPr>
          </w:p>
        </w:tc>
        <w:tc>
          <w:tcPr>
            <w:tcW w:w="1310" w:type="dxa"/>
          </w:tcPr>
          <w:p>
            <w:pPr>
              <w:spacing w:before="240" w:line="360" w:lineRule="auto"/>
              <w:ind w:left="902" w:hanging="902"/>
              <w:rPr>
                <w:color w:val="auto"/>
                <w:sz w:val="21"/>
                <w:szCs w:val="21"/>
                <w:highlight w:val="none"/>
              </w:rPr>
            </w:pPr>
          </w:p>
        </w:tc>
        <w:tc>
          <w:tcPr>
            <w:tcW w:w="1364" w:type="dxa"/>
          </w:tcPr>
          <w:p>
            <w:pPr>
              <w:spacing w:before="240" w:line="360" w:lineRule="auto"/>
              <w:ind w:left="902" w:hanging="902"/>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2</w:t>
            </w:r>
          </w:p>
        </w:tc>
        <w:tc>
          <w:tcPr>
            <w:tcW w:w="4492" w:type="dxa"/>
            <w:tcBorders>
              <w:left w:val="single" w:color="000000" w:sz="4" w:space="0"/>
            </w:tcBorders>
            <w:vAlign w:val="center"/>
          </w:tcPr>
          <w:p>
            <w:pPr>
              <w:snapToGrid w:val="0"/>
              <w:spacing w:line="360" w:lineRule="auto"/>
              <w:rPr>
                <w:color w:val="auto"/>
                <w:sz w:val="21"/>
                <w:szCs w:val="21"/>
                <w:highlight w:val="none"/>
              </w:rPr>
            </w:pPr>
          </w:p>
        </w:tc>
        <w:tc>
          <w:tcPr>
            <w:tcW w:w="1289" w:type="dxa"/>
          </w:tcPr>
          <w:p>
            <w:pPr>
              <w:spacing w:before="240" w:line="360" w:lineRule="auto"/>
              <w:ind w:left="902" w:hanging="902"/>
              <w:rPr>
                <w:color w:val="auto"/>
                <w:sz w:val="21"/>
                <w:szCs w:val="21"/>
                <w:highlight w:val="none"/>
              </w:rPr>
            </w:pPr>
          </w:p>
        </w:tc>
        <w:tc>
          <w:tcPr>
            <w:tcW w:w="1310" w:type="dxa"/>
          </w:tcPr>
          <w:p>
            <w:pPr>
              <w:spacing w:before="240" w:line="360" w:lineRule="auto"/>
              <w:ind w:left="902" w:hanging="902"/>
              <w:rPr>
                <w:color w:val="auto"/>
                <w:sz w:val="21"/>
                <w:szCs w:val="21"/>
                <w:highlight w:val="none"/>
              </w:rPr>
            </w:pPr>
          </w:p>
        </w:tc>
        <w:tc>
          <w:tcPr>
            <w:tcW w:w="1364" w:type="dxa"/>
          </w:tcPr>
          <w:p>
            <w:pPr>
              <w:spacing w:before="240" w:line="360" w:lineRule="auto"/>
              <w:ind w:left="902" w:hanging="902"/>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spacing w:before="240" w:line="360" w:lineRule="auto"/>
              <w:ind w:left="902" w:hanging="902"/>
              <w:jc w:val="center"/>
              <w:rPr>
                <w:color w:val="auto"/>
                <w:sz w:val="21"/>
                <w:szCs w:val="21"/>
                <w:highlight w:val="none"/>
              </w:rPr>
            </w:pPr>
            <w:r>
              <w:rPr>
                <w:rFonts w:hint="eastAsia"/>
                <w:color w:val="auto"/>
                <w:sz w:val="21"/>
                <w:szCs w:val="21"/>
                <w:highlight w:val="none"/>
              </w:rPr>
              <w:t>3</w:t>
            </w:r>
          </w:p>
        </w:tc>
        <w:tc>
          <w:tcPr>
            <w:tcW w:w="4492" w:type="dxa"/>
            <w:tcBorders>
              <w:left w:val="single" w:color="000000" w:sz="4" w:space="0"/>
            </w:tcBorders>
            <w:vAlign w:val="center"/>
          </w:tcPr>
          <w:p>
            <w:pPr>
              <w:rPr>
                <w:color w:val="auto"/>
                <w:sz w:val="21"/>
                <w:szCs w:val="21"/>
                <w:highlight w:val="none"/>
              </w:rPr>
            </w:pPr>
          </w:p>
        </w:tc>
        <w:tc>
          <w:tcPr>
            <w:tcW w:w="1289" w:type="dxa"/>
          </w:tcPr>
          <w:p>
            <w:pPr>
              <w:spacing w:before="240" w:line="360" w:lineRule="auto"/>
              <w:ind w:left="902" w:hanging="902"/>
              <w:rPr>
                <w:color w:val="auto"/>
                <w:sz w:val="21"/>
                <w:szCs w:val="21"/>
                <w:highlight w:val="none"/>
              </w:rPr>
            </w:pPr>
          </w:p>
        </w:tc>
        <w:tc>
          <w:tcPr>
            <w:tcW w:w="1310" w:type="dxa"/>
          </w:tcPr>
          <w:p>
            <w:pPr>
              <w:spacing w:before="240" w:line="360" w:lineRule="auto"/>
              <w:ind w:left="902" w:hanging="902"/>
              <w:rPr>
                <w:color w:val="auto"/>
                <w:sz w:val="21"/>
                <w:szCs w:val="21"/>
                <w:highlight w:val="none"/>
              </w:rPr>
            </w:pPr>
          </w:p>
        </w:tc>
        <w:tc>
          <w:tcPr>
            <w:tcW w:w="1364" w:type="dxa"/>
          </w:tcPr>
          <w:p>
            <w:pPr>
              <w:spacing w:before="240" w:line="360" w:lineRule="auto"/>
              <w:ind w:left="902" w:hanging="902"/>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04" w:type="dxa"/>
            <w:vAlign w:val="center"/>
          </w:tcPr>
          <w:p>
            <w:pPr>
              <w:spacing w:before="240" w:line="360" w:lineRule="auto"/>
              <w:ind w:left="902" w:hanging="902"/>
              <w:jc w:val="center"/>
              <w:rPr>
                <w:color w:val="auto"/>
                <w:sz w:val="21"/>
                <w:szCs w:val="21"/>
                <w:highlight w:val="none"/>
              </w:rPr>
            </w:pPr>
            <w:r>
              <w:rPr>
                <w:color w:val="auto"/>
                <w:sz w:val="21"/>
                <w:szCs w:val="21"/>
                <w:highlight w:val="none"/>
              </w:rPr>
              <w:t>…</w:t>
            </w:r>
          </w:p>
        </w:tc>
        <w:tc>
          <w:tcPr>
            <w:tcW w:w="4492" w:type="dxa"/>
            <w:tcBorders>
              <w:left w:val="single" w:color="000000" w:sz="4" w:space="0"/>
            </w:tcBorders>
          </w:tcPr>
          <w:p>
            <w:pPr>
              <w:rPr>
                <w:color w:val="auto"/>
                <w:sz w:val="21"/>
                <w:szCs w:val="21"/>
                <w:highlight w:val="none"/>
              </w:rPr>
            </w:pPr>
          </w:p>
        </w:tc>
        <w:tc>
          <w:tcPr>
            <w:tcW w:w="1289" w:type="dxa"/>
          </w:tcPr>
          <w:p>
            <w:pPr>
              <w:spacing w:before="240" w:line="360" w:lineRule="auto"/>
              <w:ind w:left="902" w:hanging="902"/>
              <w:rPr>
                <w:color w:val="auto"/>
                <w:sz w:val="21"/>
                <w:szCs w:val="21"/>
                <w:highlight w:val="none"/>
              </w:rPr>
            </w:pPr>
          </w:p>
        </w:tc>
        <w:tc>
          <w:tcPr>
            <w:tcW w:w="1310" w:type="dxa"/>
          </w:tcPr>
          <w:p>
            <w:pPr>
              <w:spacing w:before="240" w:line="360" w:lineRule="auto"/>
              <w:ind w:left="902" w:hanging="902"/>
              <w:rPr>
                <w:color w:val="auto"/>
                <w:sz w:val="21"/>
                <w:szCs w:val="21"/>
                <w:highlight w:val="none"/>
              </w:rPr>
            </w:pPr>
          </w:p>
        </w:tc>
        <w:tc>
          <w:tcPr>
            <w:tcW w:w="1364" w:type="dxa"/>
          </w:tcPr>
          <w:p>
            <w:pPr>
              <w:spacing w:before="240" w:line="360" w:lineRule="auto"/>
              <w:ind w:left="902" w:hanging="902"/>
              <w:rPr>
                <w:color w:val="auto"/>
                <w:sz w:val="21"/>
                <w:szCs w:val="21"/>
                <w:highlight w:val="none"/>
              </w:rPr>
            </w:pPr>
          </w:p>
        </w:tc>
      </w:tr>
    </w:tbl>
    <w:p>
      <w:pPr>
        <w:spacing w:line="360" w:lineRule="auto"/>
        <w:rPr>
          <w:b/>
          <w:bCs/>
          <w:color w:val="auto"/>
          <w:sz w:val="21"/>
          <w:szCs w:val="21"/>
          <w:highlight w:val="none"/>
        </w:rPr>
      </w:pPr>
      <w:r>
        <w:rPr>
          <w:rFonts w:hint="eastAsia"/>
          <w:b/>
          <w:bCs/>
          <w:color w:val="auto"/>
          <w:sz w:val="21"/>
          <w:szCs w:val="21"/>
          <w:highlight w:val="none"/>
        </w:rPr>
        <w:t>说明：1、投标人必须对应竞争性磋商文件的“★”号条款逐条应答并按要求填写下表。</w:t>
      </w:r>
    </w:p>
    <w:p>
      <w:pPr>
        <w:ind w:left="642" w:leftChars="292"/>
        <w:rPr>
          <w:b/>
          <w:bCs/>
          <w:color w:val="auto"/>
          <w:sz w:val="21"/>
          <w:szCs w:val="21"/>
          <w:highlight w:val="none"/>
        </w:rPr>
      </w:pPr>
      <w:r>
        <w:rPr>
          <w:rFonts w:hint="eastAsia"/>
          <w:b/>
          <w:bCs/>
          <w:color w:val="auto"/>
          <w:sz w:val="21"/>
          <w:szCs w:val="21"/>
          <w:highlight w:val="none"/>
        </w:rPr>
        <w:t>2、对完全响应的条目在下表相应列中标注“○”。对有偏离的条目在下表相应列中标注“×”，并简述偏离内容。</w:t>
      </w:r>
    </w:p>
    <w:p>
      <w:pPr>
        <w:ind w:firstLine="422" w:firstLineChars="200"/>
        <w:rPr>
          <w:b/>
          <w:bCs/>
          <w:color w:val="auto"/>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ind w:firstLine="482" w:firstLineChars="200"/>
        <w:rPr>
          <w:b/>
          <w:bCs/>
          <w:color w:val="auto"/>
          <w:sz w:val="24"/>
          <w:highlight w:val="none"/>
        </w:rPr>
      </w:pPr>
    </w:p>
    <w:p>
      <w:pPr>
        <w:rPr>
          <w:b/>
          <w:bCs/>
          <w:color w:val="auto"/>
          <w:sz w:val="24"/>
          <w:highlight w:val="none"/>
        </w:rPr>
      </w:pPr>
      <w:r>
        <w:rPr>
          <w:rFonts w:hint="eastAsia"/>
          <w:b/>
          <w:bCs/>
          <w:color w:val="auto"/>
          <w:sz w:val="24"/>
          <w:highlight w:val="none"/>
        </w:rPr>
        <w:br w:type="page"/>
      </w:r>
    </w:p>
    <w:p>
      <w:pPr>
        <w:rPr>
          <w:b/>
          <w:bCs/>
          <w:color w:val="auto"/>
          <w:sz w:val="24"/>
          <w:highlight w:val="none"/>
          <w:lang w:val="en-US"/>
        </w:rPr>
      </w:pPr>
      <w:r>
        <w:rPr>
          <w:rFonts w:hint="eastAsia"/>
          <w:b/>
          <w:bCs/>
          <w:color w:val="auto"/>
          <w:sz w:val="24"/>
          <w:highlight w:val="none"/>
        </w:rPr>
        <w:t>附件</w:t>
      </w:r>
      <w:r>
        <w:rPr>
          <w:rFonts w:hint="eastAsia"/>
          <w:b/>
          <w:bCs/>
          <w:color w:val="auto"/>
          <w:sz w:val="24"/>
          <w:highlight w:val="none"/>
          <w:lang w:val="en-US"/>
        </w:rPr>
        <w:t>12</w:t>
      </w:r>
    </w:p>
    <w:p>
      <w:pPr>
        <w:jc w:val="center"/>
        <w:rPr>
          <w:b/>
          <w:bCs/>
          <w:color w:val="auto"/>
          <w:sz w:val="24"/>
          <w:highlight w:val="none"/>
        </w:rPr>
      </w:pPr>
      <w:r>
        <w:rPr>
          <w:rFonts w:hint="eastAsia"/>
          <w:b/>
          <w:bCs/>
          <w:color w:val="auto"/>
          <w:sz w:val="28"/>
          <w:szCs w:val="28"/>
          <w:highlight w:val="none"/>
        </w:rPr>
        <w:t>供应商基本情况表</w:t>
      </w:r>
    </w:p>
    <w:p>
      <w:pPr>
        <w:rPr>
          <w:b/>
          <w:bCs/>
          <w:color w:val="auto"/>
          <w:sz w:val="24"/>
          <w:highlight w:val="none"/>
        </w:rPr>
      </w:pPr>
    </w:p>
    <w:p>
      <w:pPr>
        <w:pStyle w:val="28"/>
        <w:rPr>
          <w:color w:val="auto"/>
          <w:sz w:val="21"/>
          <w:szCs w:val="21"/>
          <w:highlight w:val="none"/>
        </w:rPr>
      </w:pPr>
    </w:p>
    <w:p>
      <w:pPr>
        <w:spacing w:line="360" w:lineRule="auto"/>
        <w:rPr>
          <w:color w:val="auto"/>
          <w:sz w:val="21"/>
          <w:szCs w:val="21"/>
          <w:highlight w:val="none"/>
          <w:u w:val="single"/>
        </w:rPr>
      </w:pPr>
      <w:r>
        <w:rPr>
          <w:rFonts w:hint="eastAsia"/>
          <w:color w:val="auto"/>
          <w:sz w:val="21"/>
          <w:szCs w:val="21"/>
          <w:highlight w:val="none"/>
        </w:rPr>
        <w:t>1、公司名称：电话号码：</w:t>
      </w:r>
    </w:p>
    <w:p>
      <w:pPr>
        <w:spacing w:line="360" w:lineRule="auto"/>
        <w:rPr>
          <w:color w:val="auto"/>
          <w:sz w:val="21"/>
          <w:szCs w:val="21"/>
          <w:highlight w:val="none"/>
          <w:u w:val="single"/>
        </w:rPr>
      </w:pPr>
      <w:r>
        <w:rPr>
          <w:rFonts w:hint="eastAsia"/>
          <w:color w:val="auto"/>
          <w:sz w:val="21"/>
          <w:szCs w:val="21"/>
          <w:highlight w:val="none"/>
        </w:rPr>
        <w:t>2、地址：传真：</w:t>
      </w:r>
    </w:p>
    <w:p>
      <w:pPr>
        <w:spacing w:line="360" w:lineRule="auto"/>
        <w:rPr>
          <w:color w:val="auto"/>
          <w:sz w:val="21"/>
          <w:szCs w:val="21"/>
          <w:highlight w:val="none"/>
          <w:u w:val="single"/>
        </w:rPr>
      </w:pPr>
      <w:r>
        <w:rPr>
          <w:rFonts w:hint="eastAsia"/>
          <w:color w:val="auto"/>
          <w:sz w:val="21"/>
          <w:szCs w:val="21"/>
          <w:highlight w:val="none"/>
        </w:rPr>
        <w:t>3、经济性质：</w:t>
      </w:r>
    </w:p>
    <w:p>
      <w:pPr>
        <w:spacing w:line="360" w:lineRule="auto"/>
        <w:rPr>
          <w:color w:val="auto"/>
          <w:sz w:val="21"/>
          <w:szCs w:val="21"/>
          <w:highlight w:val="none"/>
          <w:u w:val="single"/>
        </w:rPr>
      </w:pPr>
      <w:r>
        <w:rPr>
          <w:rFonts w:hint="eastAsia"/>
          <w:color w:val="auto"/>
          <w:sz w:val="21"/>
          <w:szCs w:val="21"/>
          <w:highlight w:val="none"/>
        </w:rPr>
        <w:t>4、公司开户银行名称及帐户：地址：</w:t>
      </w:r>
    </w:p>
    <w:p>
      <w:pPr>
        <w:pStyle w:val="28"/>
        <w:rPr>
          <w:color w:val="auto"/>
          <w:sz w:val="21"/>
          <w:szCs w:val="21"/>
          <w:highlight w:val="none"/>
        </w:rPr>
      </w:pPr>
      <w:r>
        <w:rPr>
          <w:rFonts w:hint="eastAsia"/>
          <w:color w:val="auto"/>
          <w:sz w:val="21"/>
          <w:szCs w:val="21"/>
          <w:highlight w:val="none"/>
        </w:rPr>
        <w:t>名称：</w:t>
      </w:r>
    </w:p>
    <w:p>
      <w:pPr>
        <w:spacing w:line="360" w:lineRule="auto"/>
        <w:ind w:firstLine="367" w:firstLineChars="175"/>
        <w:rPr>
          <w:color w:val="auto"/>
          <w:sz w:val="21"/>
          <w:szCs w:val="21"/>
          <w:highlight w:val="none"/>
          <w:u w:val="single"/>
        </w:rPr>
      </w:pPr>
      <w:r>
        <w:rPr>
          <w:rFonts w:hint="eastAsia"/>
          <w:color w:val="auto"/>
          <w:sz w:val="21"/>
          <w:szCs w:val="21"/>
          <w:highlight w:val="none"/>
        </w:rPr>
        <w:t>帐户：</w:t>
      </w:r>
    </w:p>
    <w:p>
      <w:pPr>
        <w:spacing w:line="360" w:lineRule="auto"/>
        <w:rPr>
          <w:color w:val="auto"/>
          <w:sz w:val="21"/>
          <w:szCs w:val="21"/>
          <w:highlight w:val="none"/>
        </w:rPr>
      </w:pPr>
      <w:r>
        <w:rPr>
          <w:rFonts w:hint="eastAsia"/>
          <w:color w:val="auto"/>
          <w:sz w:val="21"/>
          <w:szCs w:val="21"/>
          <w:highlight w:val="none"/>
        </w:rPr>
        <w:t>5、公司规模（综合实力、员工人数等）</w:t>
      </w:r>
    </w:p>
    <w:p>
      <w:pPr>
        <w:spacing w:line="360" w:lineRule="auto"/>
        <w:rPr>
          <w:color w:val="auto"/>
          <w:sz w:val="21"/>
          <w:szCs w:val="21"/>
          <w:highlight w:val="none"/>
        </w:rPr>
      </w:pPr>
      <w:r>
        <w:rPr>
          <w:rFonts w:hint="eastAsia"/>
          <w:color w:val="auto"/>
          <w:sz w:val="21"/>
          <w:szCs w:val="21"/>
          <w:highlight w:val="none"/>
        </w:rPr>
        <w:t>6、供应商获得资质和荣誉证书一览表（后附相关文件复印件，加盖公章）</w:t>
      </w:r>
    </w:p>
    <w:tbl>
      <w:tblPr>
        <w:tblStyle w:val="1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407"/>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vAlign w:val="center"/>
          </w:tcPr>
          <w:p>
            <w:pPr>
              <w:spacing w:line="360" w:lineRule="auto"/>
              <w:jc w:val="center"/>
              <w:rPr>
                <w:color w:val="auto"/>
                <w:sz w:val="21"/>
                <w:szCs w:val="21"/>
                <w:highlight w:val="none"/>
              </w:rPr>
            </w:pPr>
            <w:r>
              <w:rPr>
                <w:rFonts w:hint="eastAsia"/>
                <w:color w:val="auto"/>
                <w:sz w:val="21"/>
                <w:szCs w:val="21"/>
                <w:highlight w:val="none"/>
              </w:rPr>
              <w:t>证书名称</w:t>
            </w:r>
          </w:p>
        </w:tc>
        <w:tc>
          <w:tcPr>
            <w:tcW w:w="2407" w:type="dxa"/>
            <w:vAlign w:val="center"/>
          </w:tcPr>
          <w:p>
            <w:pPr>
              <w:spacing w:line="360" w:lineRule="auto"/>
              <w:jc w:val="center"/>
              <w:rPr>
                <w:color w:val="auto"/>
                <w:sz w:val="21"/>
                <w:szCs w:val="21"/>
                <w:highlight w:val="none"/>
              </w:rPr>
            </w:pPr>
            <w:r>
              <w:rPr>
                <w:rFonts w:hint="eastAsia"/>
                <w:color w:val="auto"/>
                <w:sz w:val="21"/>
                <w:szCs w:val="21"/>
                <w:highlight w:val="none"/>
              </w:rPr>
              <w:t>发证单位</w:t>
            </w:r>
          </w:p>
        </w:tc>
        <w:tc>
          <w:tcPr>
            <w:tcW w:w="2407" w:type="dxa"/>
            <w:vAlign w:val="center"/>
          </w:tcPr>
          <w:p>
            <w:pPr>
              <w:spacing w:line="360" w:lineRule="auto"/>
              <w:jc w:val="center"/>
              <w:rPr>
                <w:color w:val="auto"/>
                <w:sz w:val="21"/>
                <w:szCs w:val="21"/>
                <w:highlight w:val="none"/>
              </w:rPr>
            </w:pPr>
            <w:r>
              <w:rPr>
                <w:rFonts w:hint="eastAsia"/>
                <w:color w:val="auto"/>
                <w:sz w:val="21"/>
                <w:szCs w:val="21"/>
                <w:highlight w:val="none"/>
              </w:rPr>
              <w:t>证书等级</w:t>
            </w:r>
          </w:p>
        </w:tc>
        <w:tc>
          <w:tcPr>
            <w:tcW w:w="2407" w:type="dxa"/>
            <w:vAlign w:val="center"/>
          </w:tcPr>
          <w:p>
            <w:pPr>
              <w:spacing w:line="360" w:lineRule="auto"/>
              <w:jc w:val="center"/>
              <w:rPr>
                <w:color w:val="auto"/>
                <w:sz w:val="21"/>
                <w:szCs w:val="21"/>
                <w:highlight w:val="none"/>
              </w:rPr>
            </w:pPr>
            <w:r>
              <w:rPr>
                <w:rFonts w:hint="eastAsia"/>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c>
          <w:tcPr>
            <w:tcW w:w="2407" w:type="dxa"/>
          </w:tcPr>
          <w:p>
            <w:pPr>
              <w:spacing w:line="360" w:lineRule="auto"/>
              <w:rPr>
                <w:color w:val="auto"/>
                <w:sz w:val="21"/>
                <w:szCs w:val="21"/>
                <w:highlight w:val="none"/>
              </w:rPr>
            </w:pPr>
          </w:p>
        </w:tc>
      </w:tr>
    </w:tbl>
    <w:p>
      <w:pPr>
        <w:spacing w:line="360" w:lineRule="auto"/>
        <w:rPr>
          <w:color w:val="auto"/>
          <w:sz w:val="21"/>
          <w:szCs w:val="21"/>
          <w:highlight w:val="none"/>
        </w:rPr>
      </w:pPr>
    </w:p>
    <w:p>
      <w:pPr>
        <w:spacing w:line="360" w:lineRule="auto"/>
        <w:rPr>
          <w:color w:val="auto"/>
          <w:sz w:val="21"/>
          <w:szCs w:val="21"/>
          <w:highlight w:val="none"/>
        </w:rPr>
      </w:pPr>
      <w:r>
        <w:rPr>
          <w:rFonts w:hint="eastAsia"/>
          <w:color w:val="auto"/>
          <w:sz w:val="21"/>
          <w:szCs w:val="21"/>
          <w:highlight w:val="none"/>
        </w:rPr>
        <w:t>我/我们声明以上所述准确无误，您有权进行您认为有必要的所有调查。</w:t>
      </w:r>
    </w:p>
    <w:p>
      <w:pPr>
        <w:spacing w:line="360" w:lineRule="auto"/>
        <w:rPr>
          <w:color w:val="auto"/>
          <w:sz w:val="21"/>
          <w:szCs w:val="21"/>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rPr>
          <w:color w:val="auto"/>
          <w:szCs w:val="21"/>
          <w:highlight w:val="none"/>
        </w:rPr>
      </w:pPr>
    </w:p>
    <w:p>
      <w:pPr>
        <w:rPr>
          <w:b/>
          <w:bCs/>
          <w:color w:val="auto"/>
          <w:sz w:val="24"/>
          <w:highlight w:val="none"/>
        </w:rPr>
      </w:pPr>
      <w:r>
        <w:rPr>
          <w:rFonts w:hint="eastAsia"/>
          <w:b/>
          <w:bCs/>
          <w:color w:val="auto"/>
          <w:sz w:val="24"/>
          <w:highlight w:val="none"/>
        </w:rPr>
        <w:br w:type="page"/>
      </w:r>
    </w:p>
    <w:p>
      <w:pPr>
        <w:rPr>
          <w:b/>
          <w:bCs/>
          <w:color w:val="auto"/>
          <w:sz w:val="24"/>
          <w:highlight w:val="none"/>
          <w:lang w:val="en-US"/>
        </w:rPr>
      </w:pPr>
      <w:r>
        <w:rPr>
          <w:rFonts w:hint="eastAsia"/>
          <w:b/>
          <w:bCs/>
          <w:color w:val="auto"/>
          <w:sz w:val="24"/>
          <w:highlight w:val="none"/>
        </w:rPr>
        <w:t>附件1</w:t>
      </w:r>
      <w:bookmarkStart w:id="216" w:name="七、响应报价表"/>
      <w:bookmarkEnd w:id="216"/>
      <w:bookmarkStart w:id="217" w:name="首次报价一览表"/>
      <w:bookmarkEnd w:id="217"/>
      <w:r>
        <w:rPr>
          <w:rFonts w:hint="eastAsia"/>
          <w:b/>
          <w:bCs/>
          <w:color w:val="auto"/>
          <w:sz w:val="24"/>
          <w:highlight w:val="none"/>
          <w:lang w:val="en-US"/>
        </w:rPr>
        <w:t>3</w:t>
      </w:r>
    </w:p>
    <w:p>
      <w:pPr>
        <w:pStyle w:val="4"/>
        <w:spacing w:line="586" w:lineRule="auto"/>
        <w:ind w:left="0"/>
        <w:rPr>
          <w:color w:val="auto"/>
          <w:sz w:val="28"/>
          <w:szCs w:val="28"/>
          <w:highlight w:val="none"/>
        </w:rPr>
      </w:pPr>
      <w:r>
        <w:rPr>
          <w:rFonts w:hint="eastAsia"/>
          <w:color w:val="auto"/>
          <w:sz w:val="28"/>
          <w:szCs w:val="28"/>
          <w:highlight w:val="none"/>
        </w:rPr>
        <w:t>首次报价一览表</w:t>
      </w:r>
    </w:p>
    <w:p>
      <w:pPr>
        <w:pStyle w:val="10"/>
        <w:rPr>
          <w:b/>
          <w:color w:val="auto"/>
          <w:sz w:val="24"/>
          <w:highlight w:val="none"/>
        </w:rPr>
      </w:pPr>
    </w:p>
    <w:p>
      <w:pPr>
        <w:pStyle w:val="10"/>
        <w:rPr>
          <w:b/>
          <w:color w:val="auto"/>
          <w:sz w:val="24"/>
          <w:highlight w:val="none"/>
        </w:rPr>
      </w:pPr>
    </w:p>
    <w:p>
      <w:pPr>
        <w:pStyle w:val="13"/>
        <w:spacing w:line="360" w:lineRule="auto"/>
        <w:ind w:right="482"/>
        <w:rPr>
          <w:rFonts w:hAnsi="宋体"/>
          <w:color w:val="auto"/>
          <w:sz w:val="21"/>
          <w:szCs w:val="21"/>
          <w:highlight w:val="none"/>
        </w:rPr>
      </w:pPr>
      <w:r>
        <w:rPr>
          <w:rFonts w:hint="eastAsia" w:hAnsi="宋体"/>
          <w:color w:val="auto"/>
          <w:sz w:val="21"/>
          <w:szCs w:val="21"/>
          <w:highlight w:val="none"/>
        </w:rPr>
        <w:t>项目名称：</w:t>
      </w:r>
    </w:p>
    <w:p>
      <w:pPr>
        <w:pStyle w:val="13"/>
        <w:spacing w:line="360" w:lineRule="auto"/>
        <w:ind w:right="482"/>
        <w:rPr>
          <w:b/>
          <w:color w:val="auto"/>
          <w:highlight w:val="none"/>
        </w:rPr>
      </w:pPr>
      <w:r>
        <w:rPr>
          <w:rFonts w:hint="eastAsia" w:hAnsi="宋体"/>
          <w:color w:val="auto"/>
          <w:sz w:val="21"/>
          <w:szCs w:val="21"/>
          <w:highlight w:val="none"/>
        </w:rPr>
        <w:t>项目编号：</w:t>
      </w:r>
    </w:p>
    <w:tbl>
      <w:tblPr>
        <w:tblStyle w:val="19"/>
        <w:tblW w:w="9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8"/>
        <w:gridCol w:w="2888"/>
        <w:gridCol w:w="243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2658" w:type="dxa"/>
            <w:vAlign w:val="center"/>
          </w:tcPr>
          <w:p>
            <w:pPr>
              <w:snapToGrid w:val="0"/>
              <w:jc w:val="center"/>
              <w:rPr>
                <w:b/>
                <w:color w:val="auto"/>
                <w:szCs w:val="21"/>
                <w:highlight w:val="none"/>
              </w:rPr>
            </w:pPr>
            <w:r>
              <w:rPr>
                <w:color w:val="auto"/>
                <w:spacing w:val="-1"/>
                <w:sz w:val="21"/>
                <w:szCs w:val="21"/>
                <w:highlight w:val="none"/>
              </w:rPr>
              <w:t>供</w:t>
            </w:r>
            <w:r>
              <w:rPr>
                <w:color w:val="auto"/>
                <w:sz w:val="21"/>
                <w:szCs w:val="21"/>
                <w:highlight w:val="none"/>
              </w:rPr>
              <w:t>应商名称</w:t>
            </w:r>
          </w:p>
        </w:tc>
        <w:tc>
          <w:tcPr>
            <w:tcW w:w="2888" w:type="dxa"/>
            <w:vAlign w:val="center"/>
          </w:tcPr>
          <w:p>
            <w:pPr>
              <w:snapToGrid w:val="0"/>
              <w:jc w:val="center"/>
              <w:rPr>
                <w:bCs/>
                <w:color w:val="auto"/>
                <w:szCs w:val="21"/>
                <w:highlight w:val="none"/>
              </w:rPr>
            </w:pPr>
            <w:r>
              <w:rPr>
                <w:rFonts w:hint="eastAsia"/>
                <w:bCs/>
                <w:color w:val="auto"/>
                <w:szCs w:val="21"/>
                <w:highlight w:val="none"/>
              </w:rPr>
              <w:t>投标报价</w:t>
            </w:r>
          </w:p>
        </w:tc>
        <w:tc>
          <w:tcPr>
            <w:tcW w:w="2437" w:type="dxa"/>
            <w:vAlign w:val="center"/>
          </w:tcPr>
          <w:p>
            <w:pPr>
              <w:snapToGrid w:val="0"/>
              <w:jc w:val="center"/>
              <w:rPr>
                <w:bCs/>
                <w:color w:val="auto"/>
                <w:szCs w:val="21"/>
                <w:highlight w:val="none"/>
              </w:rPr>
            </w:pPr>
            <w:r>
              <w:rPr>
                <w:rFonts w:hint="eastAsia"/>
                <w:bCs/>
                <w:color w:val="auto"/>
                <w:szCs w:val="21"/>
                <w:highlight w:val="none"/>
              </w:rPr>
              <w:t>服务期限</w:t>
            </w:r>
          </w:p>
        </w:tc>
        <w:tc>
          <w:tcPr>
            <w:tcW w:w="1463" w:type="dxa"/>
            <w:vAlign w:val="center"/>
          </w:tcPr>
          <w:p>
            <w:pPr>
              <w:snapToGrid w:val="0"/>
              <w:jc w:val="center"/>
              <w:rPr>
                <w:b/>
                <w:color w:val="auto"/>
                <w:szCs w:val="21"/>
                <w:highlight w:val="none"/>
              </w:rPr>
            </w:pPr>
            <w:r>
              <w:rPr>
                <w:rFonts w:hint="eastAsia"/>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658" w:type="dxa"/>
            <w:vMerge w:val="restart"/>
            <w:vAlign w:val="center"/>
          </w:tcPr>
          <w:p>
            <w:pPr>
              <w:snapToGrid w:val="0"/>
              <w:jc w:val="center"/>
              <w:rPr>
                <w:b/>
                <w:color w:val="auto"/>
                <w:szCs w:val="21"/>
                <w:highlight w:val="none"/>
              </w:rPr>
            </w:pPr>
          </w:p>
        </w:tc>
        <w:tc>
          <w:tcPr>
            <w:tcW w:w="2888" w:type="dxa"/>
            <w:vAlign w:val="center"/>
          </w:tcPr>
          <w:p>
            <w:pPr>
              <w:snapToGrid w:val="0"/>
              <w:rPr>
                <w:bCs/>
                <w:color w:val="auto"/>
                <w:szCs w:val="21"/>
                <w:highlight w:val="none"/>
              </w:rPr>
            </w:pPr>
            <w:r>
              <w:rPr>
                <w:rFonts w:hint="eastAsia"/>
                <w:bCs/>
                <w:color w:val="auto"/>
                <w:szCs w:val="21"/>
                <w:highlight w:val="none"/>
              </w:rPr>
              <w:t>小写：</w:t>
            </w:r>
          </w:p>
        </w:tc>
        <w:tc>
          <w:tcPr>
            <w:tcW w:w="2437" w:type="dxa"/>
            <w:vMerge w:val="restart"/>
            <w:vAlign w:val="center"/>
          </w:tcPr>
          <w:p>
            <w:pPr>
              <w:snapToGrid w:val="0"/>
              <w:jc w:val="center"/>
              <w:rPr>
                <w:b/>
                <w:color w:val="auto"/>
                <w:szCs w:val="21"/>
                <w:highlight w:val="none"/>
              </w:rPr>
            </w:pPr>
            <w:r>
              <w:rPr>
                <w:rFonts w:hint="eastAsia"/>
                <w:bCs/>
                <w:color w:val="auto"/>
                <w:szCs w:val="21"/>
                <w:highlight w:val="none"/>
              </w:rPr>
              <w:t>自合同签订约定之日起12个月</w:t>
            </w:r>
          </w:p>
        </w:tc>
        <w:tc>
          <w:tcPr>
            <w:tcW w:w="1463" w:type="dxa"/>
            <w:vMerge w:val="restart"/>
            <w:vAlign w:val="center"/>
          </w:tcPr>
          <w:p>
            <w:pPr>
              <w:snapToGrid w:val="0"/>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658" w:type="dxa"/>
            <w:vMerge w:val="continue"/>
            <w:vAlign w:val="center"/>
          </w:tcPr>
          <w:p>
            <w:pPr>
              <w:snapToGrid w:val="0"/>
              <w:jc w:val="center"/>
              <w:rPr>
                <w:b/>
                <w:color w:val="auto"/>
                <w:szCs w:val="21"/>
                <w:highlight w:val="none"/>
              </w:rPr>
            </w:pPr>
          </w:p>
        </w:tc>
        <w:tc>
          <w:tcPr>
            <w:tcW w:w="2888" w:type="dxa"/>
            <w:vAlign w:val="center"/>
          </w:tcPr>
          <w:p>
            <w:pPr>
              <w:snapToGrid w:val="0"/>
              <w:rPr>
                <w:bCs/>
                <w:color w:val="auto"/>
                <w:szCs w:val="21"/>
                <w:highlight w:val="none"/>
              </w:rPr>
            </w:pPr>
            <w:r>
              <w:rPr>
                <w:rFonts w:hint="eastAsia"/>
                <w:bCs/>
                <w:color w:val="auto"/>
                <w:szCs w:val="21"/>
                <w:highlight w:val="none"/>
              </w:rPr>
              <w:t>大写：</w:t>
            </w:r>
          </w:p>
        </w:tc>
        <w:tc>
          <w:tcPr>
            <w:tcW w:w="2437" w:type="dxa"/>
            <w:vMerge w:val="continue"/>
            <w:vAlign w:val="center"/>
          </w:tcPr>
          <w:p>
            <w:pPr>
              <w:snapToGrid w:val="0"/>
              <w:jc w:val="center"/>
              <w:rPr>
                <w:bCs/>
                <w:color w:val="auto"/>
                <w:szCs w:val="21"/>
                <w:highlight w:val="none"/>
              </w:rPr>
            </w:pPr>
          </w:p>
        </w:tc>
        <w:tc>
          <w:tcPr>
            <w:tcW w:w="1463" w:type="dxa"/>
            <w:vMerge w:val="continue"/>
            <w:vAlign w:val="center"/>
          </w:tcPr>
          <w:p>
            <w:pPr>
              <w:snapToGrid w:val="0"/>
              <w:jc w:val="center"/>
              <w:rPr>
                <w:b/>
                <w:color w:val="auto"/>
                <w:szCs w:val="21"/>
                <w:highlight w:val="none"/>
              </w:rPr>
            </w:pPr>
          </w:p>
        </w:tc>
      </w:tr>
    </w:tbl>
    <w:p>
      <w:pPr>
        <w:snapToGrid w:val="0"/>
        <w:ind w:left="660" w:hanging="660" w:hangingChars="299"/>
        <w:rPr>
          <w:b/>
          <w:color w:val="auto"/>
          <w:szCs w:val="21"/>
          <w:highlight w:val="none"/>
        </w:rPr>
      </w:pPr>
    </w:p>
    <w:p>
      <w:pPr>
        <w:snapToGrid w:val="0"/>
        <w:rPr>
          <w:b/>
          <w:color w:val="auto"/>
          <w:szCs w:val="21"/>
          <w:highlight w:val="none"/>
        </w:rPr>
      </w:pPr>
    </w:p>
    <w:p>
      <w:pPr>
        <w:snapToGrid w:val="0"/>
        <w:rPr>
          <w:bCs/>
          <w:color w:val="auto"/>
          <w:szCs w:val="21"/>
          <w:highlight w:val="none"/>
        </w:rPr>
      </w:pPr>
      <w:r>
        <w:rPr>
          <w:rFonts w:hint="eastAsia"/>
          <w:bCs/>
          <w:color w:val="auto"/>
          <w:szCs w:val="21"/>
          <w:highlight w:val="none"/>
        </w:rPr>
        <w:t>注:</w:t>
      </w:r>
    </w:p>
    <w:p>
      <w:pPr>
        <w:numPr>
          <w:ilvl w:val="0"/>
          <w:numId w:val="29"/>
        </w:numPr>
        <w:snapToGrid w:val="0"/>
        <w:rPr>
          <w:bCs/>
          <w:color w:val="auto"/>
          <w:szCs w:val="21"/>
          <w:highlight w:val="none"/>
        </w:rPr>
      </w:pPr>
      <w:r>
        <w:rPr>
          <w:rFonts w:hint="eastAsia"/>
          <w:bCs/>
          <w:color w:val="auto"/>
          <w:szCs w:val="21"/>
          <w:highlight w:val="none"/>
        </w:rPr>
        <w:t>供应商应按“采购人需求”的要求，根据实际情况进行报价。投标文件内不得含有任何对本报价进行修改的其他说明，否则将被视为无效投标；</w:t>
      </w:r>
    </w:p>
    <w:p>
      <w:pPr>
        <w:numPr>
          <w:ilvl w:val="0"/>
          <w:numId w:val="29"/>
        </w:numPr>
        <w:snapToGrid w:val="0"/>
        <w:rPr>
          <w:bCs/>
          <w:color w:val="auto"/>
          <w:szCs w:val="21"/>
          <w:highlight w:val="none"/>
        </w:rPr>
      </w:pPr>
      <w:r>
        <w:rPr>
          <w:rFonts w:hint="eastAsia"/>
          <w:bCs/>
          <w:color w:val="auto"/>
          <w:szCs w:val="21"/>
          <w:highlight w:val="none"/>
          <w:lang w:val="en-US"/>
        </w:rPr>
        <w:t>供应商应对本项目进行整体投标，不允许仅对其中部分内容进行投标</w:t>
      </w:r>
    </w:p>
    <w:p>
      <w:pPr>
        <w:numPr>
          <w:ilvl w:val="0"/>
          <w:numId w:val="29"/>
        </w:numPr>
        <w:snapToGrid w:val="0"/>
        <w:rPr>
          <w:bCs/>
          <w:color w:val="auto"/>
          <w:szCs w:val="21"/>
          <w:highlight w:val="none"/>
        </w:rPr>
      </w:pPr>
      <w:r>
        <w:rPr>
          <w:rFonts w:hint="eastAsia"/>
          <w:bCs/>
          <w:color w:val="auto"/>
          <w:szCs w:val="21"/>
          <w:highlight w:val="none"/>
        </w:rPr>
        <w:t>对含糊不清或不确定的报价将视为无效报价；</w:t>
      </w:r>
    </w:p>
    <w:p>
      <w:pPr>
        <w:numPr>
          <w:ilvl w:val="0"/>
          <w:numId w:val="29"/>
        </w:numPr>
        <w:snapToGrid w:val="0"/>
        <w:rPr>
          <w:bCs/>
          <w:color w:val="auto"/>
          <w:szCs w:val="21"/>
          <w:highlight w:val="none"/>
        </w:rPr>
      </w:pPr>
      <w:r>
        <w:rPr>
          <w:rFonts w:hint="eastAsia"/>
          <w:bCs/>
          <w:color w:val="auto"/>
          <w:szCs w:val="21"/>
          <w:highlight w:val="none"/>
        </w:rPr>
        <w:t>本表格须附在正副的投标文件中，并另封装一份在“唱标信封”内。</w:t>
      </w:r>
    </w:p>
    <w:p>
      <w:pPr>
        <w:pStyle w:val="10"/>
        <w:rPr>
          <w:b/>
          <w:color w:val="auto"/>
          <w:highlight w:val="none"/>
        </w:rPr>
      </w:pPr>
    </w:p>
    <w:p>
      <w:pPr>
        <w:pStyle w:val="10"/>
        <w:rPr>
          <w:b/>
          <w:color w:val="auto"/>
          <w:highlight w:val="none"/>
        </w:rPr>
      </w:pPr>
    </w:p>
    <w:p>
      <w:pPr>
        <w:pStyle w:val="10"/>
        <w:rPr>
          <w:b/>
          <w:color w:val="auto"/>
          <w:highlight w:val="none"/>
        </w:rPr>
      </w:pP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pacing w:val="15"/>
          <w:sz w:val="21"/>
          <w:szCs w:val="21"/>
          <w:highlight w:val="none"/>
          <w:u w:val="single"/>
        </w:rPr>
      </w:pPr>
      <w:r>
        <w:rPr>
          <w:color w:val="auto"/>
          <w:spacing w:val="-1"/>
          <w:sz w:val="21"/>
          <w:szCs w:val="21"/>
          <w:highlight w:val="none"/>
        </w:rPr>
        <w:t>供</w:t>
      </w:r>
      <w:r>
        <w:rPr>
          <w:color w:val="auto"/>
          <w:sz w:val="21"/>
          <w:szCs w:val="21"/>
          <w:highlight w:val="none"/>
        </w:rPr>
        <w:t>应商名称（盖章）：</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rFonts w:ascii="Times New Roman" w:eastAsia="Times New Roman"/>
          <w:color w:val="auto"/>
          <w:sz w:val="21"/>
          <w:szCs w:val="21"/>
          <w:highlight w:val="none"/>
        </w:rPr>
      </w:pPr>
      <w:r>
        <w:rPr>
          <w:color w:val="auto"/>
          <w:spacing w:val="-1"/>
          <w:sz w:val="21"/>
          <w:szCs w:val="21"/>
          <w:highlight w:val="none"/>
        </w:rPr>
        <w:t>法</w:t>
      </w:r>
      <w:r>
        <w:rPr>
          <w:color w:val="auto"/>
          <w:sz w:val="21"/>
          <w:szCs w:val="21"/>
          <w:highlight w:val="none"/>
        </w:rPr>
        <w:t>定代表人或委托代理人（签字）：</w:t>
      </w:r>
      <w:r>
        <w:rPr>
          <w:rFonts w:ascii="Times New Roman" w:eastAsia="Times New Roman"/>
          <w:color w:val="auto"/>
          <w:sz w:val="21"/>
          <w:szCs w:val="21"/>
          <w:highlight w:val="none"/>
          <w:u w:val="single"/>
        </w:rPr>
        <w:tab/>
      </w:r>
      <w:r>
        <w:rPr>
          <w:rFonts w:ascii="Times New Roman" w:eastAsia="Times New Roman"/>
          <w:color w:val="auto"/>
          <w:sz w:val="21"/>
          <w:szCs w:val="21"/>
          <w:highlight w:val="none"/>
          <w:u w:val="single"/>
        </w:rPr>
        <w:tab/>
      </w:r>
    </w:p>
    <w:p>
      <w:pPr>
        <w:pStyle w:val="6"/>
        <w:tabs>
          <w:tab w:val="left" w:pos="5019"/>
          <w:tab w:val="left" w:pos="5964"/>
          <w:tab w:val="left" w:pos="6699"/>
          <w:tab w:val="left" w:pos="7433"/>
          <w:tab w:val="left" w:pos="8978"/>
          <w:tab w:val="left" w:pos="9139"/>
        </w:tabs>
        <w:spacing w:before="0" w:line="364" w:lineRule="auto"/>
        <w:ind w:left="4479" w:right="838"/>
        <w:rPr>
          <w:color w:val="auto"/>
          <w:sz w:val="21"/>
          <w:szCs w:val="21"/>
          <w:highlight w:val="none"/>
        </w:rPr>
      </w:pPr>
      <w:r>
        <w:rPr>
          <w:color w:val="auto"/>
          <w:sz w:val="21"/>
          <w:szCs w:val="21"/>
          <w:highlight w:val="none"/>
        </w:rPr>
        <w:t>日</w:t>
      </w:r>
      <w:r>
        <w:rPr>
          <w:color w:val="auto"/>
          <w:sz w:val="21"/>
          <w:szCs w:val="21"/>
          <w:highlight w:val="none"/>
        </w:rPr>
        <w:tab/>
      </w:r>
      <w:r>
        <w:rPr>
          <w:color w:val="auto"/>
          <w:sz w:val="21"/>
          <w:szCs w:val="21"/>
          <w:highlight w:val="none"/>
        </w:rPr>
        <w:t>期:</w:t>
      </w:r>
      <w:r>
        <w:rPr>
          <w:color w:val="auto"/>
          <w:sz w:val="21"/>
          <w:szCs w:val="21"/>
          <w:highlight w:val="none"/>
          <w:u w:val="single"/>
        </w:rPr>
        <w:tab/>
      </w:r>
      <w:r>
        <w:rPr>
          <w:color w:val="auto"/>
          <w:sz w:val="21"/>
          <w:szCs w:val="21"/>
          <w:highlight w:val="none"/>
        </w:rPr>
        <w:t>年</w:t>
      </w:r>
      <w:r>
        <w:rPr>
          <w:color w:val="auto"/>
          <w:sz w:val="21"/>
          <w:szCs w:val="21"/>
          <w:highlight w:val="none"/>
          <w:u w:val="single"/>
        </w:rPr>
        <w:tab/>
      </w:r>
      <w:r>
        <w:rPr>
          <w:color w:val="auto"/>
          <w:sz w:val="21"/>
          <w:szCs w:val="21"/>
          <w:highlight w:val="none"/>
        </w:rPr>
        <w:t>月</w:t>
      </w:r>
      <w:r>
        <w:rPr>
          <w:color w:val="auto"/>
          <w:sz w:val="21"/>
          <w:szCs w:val="21"/>
          <w:highlight w:val="none"/>
          <w:u w:val="single"/>
        </w:rPr>
        <w:tab/>
      </w:r>
      <w:r>
        <w:rPr>
          <w:color w:val="auto"/>
          <w:sz w:val="21"/>
          <w:szCs w:val="21"/>
          <w:highlight w:val="none"/>
        </w:rPr>
        <w:t>日</w:t>
      </w:r>
    </w:p>
    <w:p>
      <w:pPr>
        <w:pStyle w:val="10"/>
        <w:rPr>
          <w:b/>
          <w:color w:val="auto"/>
          <w:sz w:val="24"/>
          <w:highlight w:val="none"/>
        </w:rPr>
      </w:pPr>
    </w:p>
    <w:p>
      <w:pPr>
        <w:pStyle w:val="10"/>
        <w:rPr>
          <w:b/>
          <w:color w:val="auto"/>
          <w:sz w:val="24"/>
          <w:highlight w:val="none"/>
        </w:rPr>
      </w:pPr>
    </w:p>
    <w:p>
      <w:pPr>
        <w:pStyle w:val="10"/>
        <w:rPr>
          <w:b/>
          <w:color w:val="auto"/>
          <w:sz w:val="24"/>
          <w:highlight w:val="none"/>
        </w:rPr>
      </w:pPr>
    </w:p>
    <w:p>
      <w:pPr>
        <w:pStyle w:val="10"/>
        <w:rPr>
          <w:b/>
          <w:color w:val="auto"/>
          <w:sz w:val="24"/>
          <w:highlight w:val="none"/>
        </w:rPr>
      </w:pPr>
    </w:p>
    <w:p>
      <w:pPr>
        <w:rPr>
          <w:color w:val="auto"/>
          <w:highlight w:val="none"/>
        </w:rPr>
      </w:pPr>
      <w:bookmarkStart w:id="218" w:name="附件3_______________________报价明细表"/>
      <w:bookmarkEnd w:id="218"/>
      <w:r>
        <w:rPr>
          <w:color w:val="auto"/>
          <w:highlight w:val="none"/>
        </w:rPr>
        <w:br w:type="page"/>
      </w:r>
      <w:r>
        <w:rPr>
          <w:rFonts w:hint="eastAsia"/>
          <w:b/>
          <w:bCs/>
          <w:color w:val="auto"/>
          <w:sz w:val="24"/>
          <w:highlight w:val="none"/>
        </w:rPr>
        <w:t>附件</w:t>
      </w:r>
      <w:r>
        <w:rPr>
          <w:rFonts w:hint="eastAsia"/>
          <w:b/>
          <w:bCs/>
          <w:color w:val="auto"/>
          <w:sz w:val="24"/>
          <w:highlight w:val="none"/>
          <w:lang w:val="en-US"/>
        </w:rPr>
        <w:t>14</w:t>
      </w:r>
      <w:r>
        <w:rPr>
          <w:rFonts w:hint="eastAsia"/>
          <w:b/>
          <w:bCs/>
          <w:color w:val="auto"/>
          <w:sz w:val="24"/>
          <w:highlight w:val="none"/>
        </w:rPr>
        <w:tab/>
      </w:r>
      <w:r>
        <w:rPr>
          <w:rFonts w:hint="eastAsia"/>
          <w:b/>
          <w:bCs/>
          <w:color w:val="auto"/>
          <w:sz w:val="24"/>
          <w:highlight w:val="none"/>
        </w:rPr>
        <w:t>报价明细表</w:t>
      </w:r>
    </w:p>
    <w:p>
      <w:pPr>
        <w:pStyle w:val="10"/>
        <w:rPr>
          <w:b/>
          <w:color w:val="auto"/>
          <w:sz w:val="20"/>
          <w:highlight w:val="none"/>
        </w:rPr>
      </w:pPr>
    </w:p>
    <w:p>
      <w:pPr>
        <w:pStyle w:val="10"/>
        <w:spacing w:before="10"/>
        <w:rPr>
          <w:b/>
          <w:color w:val="auto"/>
          <w:sz w:val="15"/>
          <w:highlight w:val="none"/>
        </w:rPr>
      </w:pPr>
    </w:p>
    <w:p>
      <w:pPr>
        <w:pStyle w:val="10"/>
        <w:tabs>
          <w:tab w:val="left" w:pos="4325"/>
        </w:tabs>
        <w:spacing w:before="1"/>
        <w:ind w:left="440"/>
        <w:rPr>
          <w:color w:val="auto"/>
          <w:highlight w:val="none"/>
        </w:rPr>
      </w:pPr>
      <w:bookmarkStart w:id="219" w:name="项目名称：___________________________项目编号："/>
      <w:bookmarkEnd w:id="219"/>
      <w:r>
        <w:rPr>
          <w:color w:val="auto"/>
          <w:highlight w:val="none"/>
        </w:rPr>
        <w:t>项目名称：</w:t>
      </w:r>
      <w:r>
        <w:rPr>
          <w:color w:val="auto"/>
          <w:highlight w:val="none"/>
        </w:rPr>
        <w:tab/>
      </w:r>
    </w:p>
    <w:p>
      <w:pPr>
        <w:pStyle w:val="10"/>
        <w:tabs>
          <w:tab w:val="left" w:pos="4325"/>
        </w:tabs>
        <w:spacing w:before="1"/>
        <w:ind w:left="440"/>
        <w:rPr>
          <w:b/>
          <w:color w:val="auto"/>
          <w:sz w:val="28"/>
          <w:szCs w:val="28"/>
          <w:highlight w:val="none"/>
          <w:lang w:val="en-US"/>
        </w:rPr>
      </w:pPr>
      <w:r>
        <w:rPr>
          <w:color w:val="auto"/>
          <w:highlight w:val="none"/>
        </w:rPr>
        <w:t>项目编号：</w:t>
      </w:r>
    </w:p>
    <w:p>
      <w:pPr>
        <w:pStyle w:val="10"/>
        <w:rPr>
          <w:b/>
          <w:color w:val="auto"/>
          <w:sz w:val="28"/>
          <w:szCs w:val="28"/>
          <w:highlight w:val="none"/>
          <w:lang w:val="en-US"/>
        </w:rPr>
      </w:pPr>
    </w:p>
    <w:p>
      <w:pPr>
        <w:pStyle w:val="10"/>
        <w:rPr>
          <w:b/>
          <w:color w:val="auto"/>
          <w:sz w:val="20"/>
          <w:highlight w:val="none"/>
        </w:rPr>
      </w:pPr>
    </w:p>
    <w:p>
      <w:pPr>
        <w:pStyle w:val="10"/>
        <w:jc w:val="center"/>
        <w:rPr>
          <w:b/>
          <w:color w:val="auto"/>
          <w:sz w:val="20"/>
          <w:highlight w:val="none"/>
          <w:lang w:val="en-US"/>
        </w:rPr>
      </w:pPr>
      <w:r>
        <w:rPr>
          <w:rFonts w:hint="eastAsia"/>
          <w:b/>
          <w:color w:val="auto"/>
          <w:sz w:val="20"/>
          <w:highlight w:val="none"/>
          <w:lang w:val="en-US"/>
        </w:rPr>
        <w:t>（格式自拟）</w:t>
      </w:r>
    </w:p>
    <w:p>
      <w:pPr>
        <w:pStyle w:val="10"/>
        <w:rPr>
          <w:b/>
          <w:color w:val="auto"/>
          <w:sz w:val="20"/>
          <w:highlight w:val="none"/>
          <w:lang w:val="en-US"/>
        </w:rPr>
      </w:pPr>
    </w:p>
    <w:p>
      <w:pPr>
        <w:pStyle w:val="10"/>
        <w:rPr>
          <w:b/>
          <w:color w:val="auto"/>
          <w:sz w:val="20"/>
          <w:highlight w:val="none"/>
          <w:lang w:val="en-US"/>
        </w:rPr>
      </w:pPr>
    </w:p>
    <w:p>
      <w:pPr>
        <w:pStyle w:val="10"/>
        <w:rPr>
          <w:b/>
          <w:color w:val="auto"/>
          <w:sz w:val="20"/>
          <w:highlight w:val="none"/>
          <w:lang w:val="en-US"/>
        </w:rPr>
      </w:pPr>
    </w:p>
    <w:p>
      <w:pPr>
        <w:snapToGrid w:val="0"/>
        <w:spacing w:line="360" w:lineRule="auto"/>
        <w:ind w:left="788" w:hanging="788" w:hangingChars="357"/>
        <w:rPr>
          <w:b/>
          <w:color w:val="auto"/>
          <w:szCs w:val="21"/>
          <w:highlight w:val="none"/>
        </w:rPr>
      </w:pPr>
      <w:r>
        <w:rPr>
          <w:rFonts w:hint="eastAsia"/>
          <w:b/>
          <w:color w:val="auto"/>
          <w:szCs w:val="21"/>
          <w:highlight w:val="none"/>
        </w:rPr>
        <w:t>注：1.此表为《报价一览表》的报价明细表。</w:t>
      </w:r>
    </w:p>
    <w:p>
      <w:pPr>
        <w:tabs>
          <w:tab w:val="left" w:pos="360"/>
        </w:tabs>
        <w:snapToGrid w:val="0"/>
        <w:spacing w:line="360" w:lineRule="auto"/>
        <w:ind w:firstLine="433" w:firstLineChars="196"/>
        <w:rPr>
          <w:b/>
          <w:bCs/>
          <w:color w:val="auto"/>
          <w:szCs w:val="21"/>
          <w:highlight w:val="none"/>
        </w:rPr>
      </w:pPr>
      <w:r>
        <w:rPr>
          <w:rFonts w:hint="eastAsia"/>
          <w:b/>
          <w:bCs/>
          <w:color w:val="auto"/>
          <w:szCs w:val="21"/>
          <w:highlight w:val="none"/>
        </w:rPr>
        <w:t>2.投标人须针对项目实际情况编制完整详细的详细报价清单。</w:t>
      </w:r>
    </w:p>
    <w:p>
      <w:pPr>
        <w:pStyle w:val="10"/>
        <w:rPr>
          <w:b/>
          <w:color w:val="auto"/>
          <w:sz w:val="16"/>
          <w:highlight w:val="none"/>
        </w:rPr>
      </w:pPr>
    </w:p>
    <w:p>
      <w:pPr>
        <w:pStyle w:val="10"/>
        <w:rPr>
          <w:b/>
          <w:color w:val="auto"/>
          <w:sz w:val="16"/>
          <w:highlight w:val="none"/>
        </w:rPr>
      </w:pPr>
    </w:p>
    <w:p>
      <w:pPr>
        <w:pStyle w:val="10"/>
        <w:rPr>
          <w:b/>
          <w:color w:val="auto"/>
          <w:sz w:val="16"/>
          <w:highlight w:val="none"/>
        </w:rPr>
      </w:pPr>
    </w:p>
    <w:p>
      <w:pPr>
        <w:pStyle w:val="10"/>
        <w:rPr>
          <w:b/>
          <w:color w:val="auto"/>
          <w:sz w:val="16"/>
          <w:highlight w:val="none"/>
        </w:rPr>
      </w:pPr>
    </w:p>
    <w:p>
      <w:pPr>
        <w:pStyle w:val="10"/>
        <w:rPr>
          <w:b/>
          <w:color w:val="auto"/>
          <w:sz w:val="16"/>
          <w:highlight w:val="none"/>
        </w:rPr>
      </w:pPr>
    </w:p>
    <w:p>
      <w:pPr>
        <w:pStyle w:val="10"/>
        <w:rPr>
          <w:b/>
          <w:color w:val="auto"/>
          <w:sz w:val="16"/>
          <w:highlight w:val="none"/>
        </w:rPr>
      </w:pPr>
    </w:p>
    <w:p>
      <w:pPr>
        <w:pStyle w:val="10"/>
        <w:rPr>
          <w:b/>
          <w:color w:val="auto"/>
          <w:sz w:val="16"/>
          <w:highlight w:val="none"/>
        </w:rPr>
      </w:pPr>
    </w:p>
    <w:p>
      <w:pPr>
        <w:pStyle w:val="10"/>
        <w:jc w:val="center"/>
        <w:rPr>
          <w:b/>
          <w:color w:val="auto"/>
          <w:sz w:val="16"/>
          <w:highlight w:val="none"/>
        </w:rPr>
      </w:pPr>
    </w:p>
    <w:p>
      <w:pPr>
        <w:spacing w:line="360" w:lineRule="auto"/>
        <w:jc w:val="both"/>
        <w:rPr>
          <w:color w:val="auto"/>
          <w:highlight w:val="none"/>
          <w:lang w:val="en-US"/>
        </w:rPr>
      </w:pPr>
      <w:bookmarkStart w:id="220" w:name="______________________________________供应"/>
      <w:bookmarkEnd w:id="220"/>
      <w:r>
        <w:rPr>
          <w:color w:val="auto"/>
          <w:highlight w:val="none"/>
        </w:rPr>
        <w:t>供应商名称（盖章）：</w:t>
      </w:r>
      <w:r>
        <w:rPr>
          <w:color w:val="auto"/>
          <w:highlight w:val="none"/>
          <w:u w:val="single"/>
        </w:rPr>
        <w:tab/>
      </w:r>
    </w:p>
    <w:p>
      <w:pPr>
        <w:spacing w:line="360" w:lineRule="auto"/>
        <w:jc w:val="both"/>
        <w:rPr>
          <w:color w:val="auto"/>
          <w:highlight w:val="none"/>
          <w:lang w:val="en-US"/>
        </w:rPr>
      </w:pPr>
      <w:r>
        <w:rPr>
          <w:color w:val="auto"/>
          <w:highlight w:val="none"/>
        </w:rPr>
        <w:t>法定代表人或委托代理人（签字）：</w:t>
      </w:r>
      <w:bookmarkStart w:id="221" w:name="日期:_____年____月___日"/>
      <w:bookmarkEnd w:id="221"/>
      <w:r>
        <w:rPr>
          <w:color w:val="auto"/>
          <w:highlight w:val="none"/>
          <w:u w:val="single"/>
        </w:rPr>
        <w:tab/>
      </w:r>
    </w:p>
    <w:p>
      <w:pPr>
        <w:spacing w:line="360" w:lineRule="auto"/>
        <w:jc w:val="both"/>
        <w:rPr>
          <w:b/>
          <w:bCs/>
          <w:color w:val="auto"/>
          <w:sz w:val="24"/>
          <w:highlight w:val="none"/>
        </w:rPr>
        <w:sectPr>
          <w:footerReference r:id="rId10" w:type="default"/>
          <w:pgSz w:w="11906" w:h="16838"/>
          <w:pgMar w:top="1558" w:right="1134" w:bottom="1134" w:left="1134" w:header="567" w:footer="737" w:gutter="0"/>
          <w:cols w:space="720" w:num="1"/>
          <w:docGrid w:type="lines" w:linePitch="312" w:charSpace="0"/>
        </w:sectPr>
      </w:pPr>
      <w:r>
        <w:rPr>
          <w:color w:val="auto"/>
          <w:highlight w:val="none"/>
        </w:rPr>
        <w:t>日</w:t>
      </w:r>
      <w:r>
        <w:rPr>
          <w:color w:val="auto"/>
          <w:highlight w:val="none"/>
        </w:rPr>
        <w:tab/>
      </w:r>
      <w:r>
        <w:rPr>
          <w:color w:val="auto"/>
          <w:highlight w:val="none"/>
        </w:rPr>
        <w:t>期:</w:t>
      </w:r>
      <w:r>
        <w:rPr>
          <w:color w:val="auto"/>
          <w:highlight w:val="none"/>
          <w:u w:val="single"/>
        </w:rPr>
        <w:tab/>
      </w:r>
      <w:r>
        <w:rPr>
          <w:color w:val="auto"/>
          <w:highlight w:val="none"/>
        </w:rPr>
        <w:t>年</w:t>
      </w:r>
      <w:r>
        <w:rPr>
          <w:color w:val="auto"/>
          <w:highlight w:val="none"/>
          <w:u w:val="single"/>
        </w:rPr>
        <w:tab/>
      </w:r>
      <w:r>
        <w:rPr>
          <w:color w:val="auto"/>
          <w:highlight w:val="none"/>
        </w:rPr>
        <w:t>月</w:t>
      </w:r>
      <w:r>
        <w:rPr>
          <w:color w:val="auto"/>
          <w:highlight w:val="none"/>
          <w:u w:val="single"/>
        </w:rPr>
        <w:tab/>
      </w:r>
      <w:r>
        <w:rPr>
          <w:rFonts w:hint="eastAsia"/>
          <w:color w:val="auto"/>
          <w:highlight w:val="none"/>
          <w:lang w:val="en-US"/>
        </w:rPr>
        <w:t>日</w:t>
      </w:r>
      <w:bookmarkStart w:id="222" w:name="八、联合体协议书（如有）"/>
      <w:bookmarkEnd w:id="222"/>
    </w:p>
    <w:p>
      <w:pPr>
        <w:rPr>
          <w:b/>
          <w:bCs/>
          <w:color w:val="auto"/>
          <w:sz w:val="24"/>
          <w:highlight w:val="none"/>
        </w:rPr>
      </w:pPr>
      <w:r>
        <w:rPr>
          <w:rFonts w:hint="eastAsia"/>
          <w:b/>
          <w:bCs/>
          <w:color w:val="auto"/>
          <w:sz w:val="24"/>
          <w:highlight w:val="none"/>
        </w:rPr>
        <w:t>附件</w:t>
      </w:r>
      <w:r>
        <w:rPr>
          <w:rFonts w:hint="eastAsia"/>
          <w:b/>
          <w:bCs/>
          <w:color w:val="auto"/>
          <w:sz w:val="24"/>
          <w:highlight w:val="none"/>
          <w:lang w:val="en-US"/>
        </w:rPr>
        <w:t>15</w:t>
      </w:r>
      <w:r>
        <w:rPr>
          <w:rFonts w:hint="eastAsia"/>
          <w:b/>
          <w:bCs/>
          <w:color w:val="auto"/>
          <w:sz w:val="24"/>
          <w:highlight w:val="none"/>
        </w:rPr>
        <w:t>技术方案</w:t>
      </w:r>
    </w:p>
    <w:p>
      <w:pPr>
        <w:rPr>
          <w:color w:val="auto"/>
          <w:highlight w:val="none"/>
        </w:rPr>
      </w:pPr>
    </w:p>
    <w:p>
      <w:pPr>
        <w:rPr>
          <w:color w:val="auto"/>
          <w:highlight w:val="none"/>
        </w:rPr>
      </w:pPr>
      <w:r>
        <w:rPr>
          <w:rFonts w:hint="eastAsia"/>
          <w:color w:val="auto"/>
          <w:highlight w:val="none"/>
        </w:rPr>
        <w:t>[说明]投标人应按照竞争性磋商文件的要求，根据采购人需求要求内容做出全面响应并编制技术方案</w:t>
      </w:r>
    </w:p>
    <w:p>
      <w:pPr>
        <w:rPr>
          <w:color w:val="auto"/>
          <w:highlight w:val="none"/>
        </w:rPr>
      </w:pPr>
      <w:r>
        <w:rPr>
          <w:rFonts w:hint="eastAsia"/>
          <w:color w:val="auto"/>
          <w:highlight w:val="none"/>
        </w:rPr>
        <w:br w:type="page"/>
      </w:r>
    </w:p>
    <w:p>
      <w:pPr>
        <w:rPr>
          <w:b/>
          <w:bCs/>
          <w:color w:val="auto"/>
          <w:sz w:val="24"/>
          <w:highlight w:val="none"/>
        </w:rPr>
      </w:pPr>
      <w:r>
        <w:rPr>
          <w:rFonts w:hint="eastAsia"/>
          <w:b/>
          <w:bCs/>
          <w:color w:val="auto"/>
          <w:sz w:val="24"/>
          <w:highlight w:val="none"/>
        </w:rPr>
        <w:t>附件</w:t>
      </w:r>
      <w:r>
        <w:rPr>
          <w:rFonts w:hint="eastAsia"/>
          <w:b/>
          <w:bCs/>
          <w:color w:val="auto"/>
          <w:sz w:val="24"/>
          <w:highlight w:val="none"/>
          <w:lang w:val="en-US"/>
        </w:rPr>
        <w:t>16</w:t>
      </w:r>
      <w:r>
        <w:rPr>
          <w:rFonts w:hint="eastAsia"/>
          <w:b/>
          <w:bCs/>
          <w:color w:val="auto"/>
          <w:sz w:val="24"/>
          <w:highlight w:val="none"/>
        </w:rPr>
        <w:t>《商务评分标准》中需要提供的资料或供应商认为有必要说明的其他文件</w:t>
      </w:r>
    </w:p>
    <w:p>
      <w:pPr>
        <w:rPr>
          <w:color w:val="auto"/>
          <w:highlight w:val="none"/>
        </w:rPr>
      </w:pPr>
    </w:p>
    <w:sectPr>
      <w:headerReference r:id="rId11" w:type="default"/>
      <w:footerReference r:id="rId12" w:type="default"/>
      <w:pgSz w:w="11910" w:h="16840"/>
      <w:pgMar w:top="1260" w:right="1080" w:bottom="900" w:left="1140" w:header="763" w:footer="70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 of new roman">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g">
          <w:drawing>
            <wp:anchor distT="0" distB="0" distL="114300" distR="114300" simplePos="0" relativeHeight="251659264" behindDoc="1" locked="0" layoutInCell="1" allowOverlap="1">
              <wp:simplePos x="0" y="0"/>
              <wp:positionH relativeFrom="page">
                <wp:posOffset>1143000</wp:posOffset>
              </wp:positionH>
              <wp:positionV relativeFrom="page">
                <wp:posOffset>9443085</wp:posOffset>
              </wp:positionV>
              <wp:extent cx="5486400" cy="9525"/>
              <wp:effectExtent l="0" t="0" r="0" b="0"/>
              <wp:wrapNone/>
              <wp:docPr id="14" name="组合 6"/>
              <wp:cNvGraphicFramePr/>
              <a:graphic xmlns:a="http://schemas.openxmlformats.org/drawingml/2006/main">
                <a:graphicData uri="http://schemas.microsoft.com/office/word/2010/wordprocessingGroup">
                  <wpg:wgp>
                    <wpg:cNvGrpSpPr/>
                    <wpg:grpSpPr>
                      <a:xfrm>
                        <a:off x="0" y="0"/>
                        <a:ext cx="5486400" cy="9525"/>
                        <a:chOff x="1800" y="14872"/>
                        <a:chExt cx="8640" cy="15203"/>
                      </a:xfrm>
                    </wpg:grpSpPr>
                    <wps:wsp>
                      <wps:cNvPr id="12" name="直线 7"/>
                      <wps:cNvCnPr/>
                      <wps:spPr>
                        <a:xfrm>
                          <a:off x="1800" y="14879"/>
                          <a:ext cx="8640" cy="0"/>
                        </a:xfrm>
                        <a:prstGeom prst="line">
                          <a:avLst/>
                        </a:prstGeom>
                        <a:ln w="9144" cap="flat" cmpd="sng">
                          <a:solidFill>
                            <a:srgbClr val="000000"/>
                          </a:solidFill>
                          <a:prstDash val="solid"/>
                          <a:headEnd type="none" w="med" len="med"/>
                          <a:tailEnd type="none" w="med" len="med"/>
                        </a:ln>
                      </wps:spPr>
                      <wps:bodyPr/>
                    </wps:wsp>
                    <wps:wsp>
                      <wps:cNvPr id="13" name="矩形 8"/>
                      <wps:cNvSpPr/>
                      <wps:spPr>
                        <a:xfrm>
                          <a:off x="6075" y="14872"/>
                          <a:ext cx="90" cy="10"/>
                        </a:xfrm>
                        <a:prstGeom prst="rect">
                          <a:avLst/>
                        </a:prstGeom>
                        <a:solidFill>
                          <a:srgbClr val="000000"/>
                        </a:solidFill>
                        <a:ln>
                          <a:noFill/>
                        </a:ln>
                      </wps:spPr>
                      <wps:bodyPr upright="1"/>
                    </wps:wsp>
                  </wpg:wgp>
                </a:graphicData>
              </a:graphic>
            </wp:anchor>
          </w:drawing>
        </mc:Choice>
        <mc:Fallback>
          <w:pict>
            <v:group id="组合 6" o:spid="_x0000_s1026" o:spt="203" style="position:absolute;left:0pt;margin-left:90pt;margin-top:743.55pt;height:0.75pt;width:432pt;mso-position-horizontal-relative:page;mso-position-vertical-relative:page;z-index:-251657216;mso-width-relative:page;mso-height-relative:page;" coordorigin="1800,14872" coordsize="8640,15203" o:gfxdata="UEsDBAoAAAAAAIdO4kAAAAAAAAAAAAAAAAAEAAAAZHJzL1BLAwQUAAAACACHTuJAygxG6dkAAAAO&#10;AQAADwAAAGRycy9kb3ducmV2LnhtbE1PTUvDQBC9C/6HZQRvdjcaa4jZFCnqqQhtBfG2zU6T0Oxs&#10;yG6T9t879aK3eR+8ea9YnFwnRhxC60lDMlMgkCpvW6o1fG7f7jIQIRqypvOEGs4YYFFeXxUmt36i&#10;NY6bWAsOoZAbDU2MfS5lqBp0Jsx8j8Ta3g/ORIZDLe1gJg53nbxXai6daYk/NKbHZYPVYXN0Gt4n&#10;M708JK/j6rBfnr+3jx9fqwS1vr1J1DOIiKf4Z4ZLfa4OJXfa+SPZIDrGmeItkY80e0pAXCwqTZnb&#10;/XLZHGRZyP8zyh9QSwMEFAAAAAgAh07iQLNxhZ+oAgAAhQYAAA4AAABkcnMvZTJvRG9jLnhtbLWV&#10;u27bMBSG9wJ9B4J7I8mxHUeInSFOshRtgLQPwFCURIAiCZK27L1Dx+4dCnTr3qlF0acJ8ho9JCWl&#10;cW9Gi3qQKV4Oz//9h9TJ6aYRaM2M5UrOcXaQYsQkVQWX1Ry/fHHxZIaRdUQWRCjJ5njLLD5dPH50&#10;0uqcjVStRMEMgiDS5q2e49o5nSeJpTVriD1QmkkYLJVpiINXUyWFIS1Eb0QyStNp0ipTaKMosxZ6&#10;l3EQdxHNPgFVWXLKloquGiZdjGqYIA4k2Zprixch27Jk1D0vS8scEnMMSl14wibQvvHPZHFC8soQ&#10;XXPapUD2SWFHU0O4hE2HUEviCFoZ/kOohlOjrCrdAVVNEoUEIqAiS3fYXBq10kFLlbeVHqCDUTvU&#10;/zosfba+MogXUAljjCRpwPG7z69u37xGUw+n1VUOcy6NvtZXpuuo4pvXuylN4/9BCdoErNsBK9s4&#10;RKFzMp5NxykQpzB2PBlNInVagzV+UTbzgzCWjWdHo37wvFvt18al2WSUHvrhpN838ekN2bQaKtLe&#10;Y7L/hum6JpoF+tYj6DGNBkxvP959+oqOfEZ+a5hzJjtGNreA6yeAHmg9jlp7TvdKQ10OKkmujXWX&#10;TDXIN+ZYcOkTIzlZP7UuAumn+G4hUQukszFYSgmc0RLOBjQbDT5bWYW1VgleXHAh/AprqpszYdCa&#10;+HMSfh3oB9P8Jkti6zgvDEUJNSPFuSyQ22ooIAkXB/YpNKzASDC4Z3wLEiW5I1zsMxPUCwlWe7KR&#10;pW/dqGIbEId+MDui//+uHw6uv/tw++U9mnk1nevDyegz7ctzOBbT9GiyW+G968d9df/BdAN32e9M&#10;f2DUnn56wiSXypdBLKNfMkcrbXhVQ/VloTK89sA/nEG4ncKx7G5Sf/19/x58vP96LL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ygxG6dkAAAAOAQAADwAAAAAAAAABACAAAAAiAAAAZHJzL2Rvd25y&#10;ZXYueG1sUEsBAhQAFAAAAAgAh07iQLNxhZ+oAgAAhQYAAA4AAAAAAAAAAQAgAAAAKAEAAGRycy9l&#10;Mm9Eb2MueG1sUEsFBgAAAAAGAAYAWQEAAEIGAAAAAA==&#10;">
              <o:lock v:ext="edit" aspectratio="f"/>
              <v:line id="直线 7" o:spid="_x0000_s1026" o:spt="20" style="position:absolute;left:1800;top:14879;height:0;width:8640;" filled="f" stroked="t" coordsize="21600,21600" o:gfxdata="UEsDBAoAAAAAAIdO4kAAAAAAAAAAAAAAAAAEAAAAZHJzL1BLAwQUAAAACACHTuJAZEFH47oAAADb&#10;AAAADwAAAGRycy9kb3ducmV2LnhtbEVPzWoCMRC+F3yHMEJvNasHW1ajB9mCiId29QGGzXQTupks&#10;m6mrPn1TKHibj+931ttr6NSFhuQjG5jPClDETbSeWwPn0/vLG6gkyBa7yGTgRgm2m8nTGksbR/6k&#10;Sy2tyiGcSjTgRPpS69Q4CphmsSfO3FccAkqGQ6vtgGMOD51eFMVSB/ScGxz2tHPUfNc/wUD9cRyX&#10;h/t9rF5rj0nEu6raGfM8nRcrUEJXeYj/3Xub5y/g75d8gN7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QUfj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rect id="矩形 8" o:spid="_x0000_s1026" o:spt="1" style="position:absolute;left:6075;top:14872;height:10;width:90;" fillcolor="#000000" filled="t" stroked="f" coordsize="21600,21600" o:gfxdata="UEsDBAoAAAAAAIdO4kAAAAAAAAAAAAAAAAAEAAAAZHJzL1BLAwQUAAAACACHTuJARk7jGrsAAADb&#10;AAAADwAAAGRycy9kb3ducmV2LnhtbEVPS2sCMRC+F/wPYQRvmvgqdmsUFAQvQrU91Nu4me4ubiZr&#10;El/99UYo9DYf33Om85utxYV8qBxr6PcUCOLcmYoLDV+fq+4ERIjIBmvHpOFOAeaz1ssUM+OuvKXL&#10;LhYihXDIUEMZY5NJGfKSLIaea4gT9+O8xZigL6TxeE3htpYDpV6lxYpTQ4kNLUvKj7uz1bB4myxO&#10;HyPe/G4Pe9p/H47jgVdad9p99Q4i0i3+i//ca5PmD+H5Szp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k7jGrsAAADb&#10;AAAADwAAAAAAAAABACAAAAAiAAAAZHJzL2Rvd25yZXYueG1sUEsBAhQAFAAAAAgAh07iQDMvBZ47&#10;AAAAOQAAABAAAAAAAAAAAQAgAAAACgEAAGRycy9zaGFwZXhtbC54bWxQSwUGAAAAAAYABgBbAQAA&#10;tAMAAAAA&#10;">
                <v:fill on="t" focussize="0,0"/>
                <v:stroke on="f"/>
                <v:imagedata o:title=""/>
                <o:lock v:ext="edit" aspectratio="f"/>
              </v:rec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g">
          <w:drawing>
            <wp:anchor distT="0" distB="0" distL="114300" distR="114300" simplePos="0" relativeHeight="251660288" behindDoc="1" locked="0" layoutInCell="1" allowOverlap="1">
              <wp:simplePos x="0" y="0"/>
              <wp:positionH relativeFrom="page">
                <wp:posOffset>1143000</wp:posOffset>
              </wp:positionH>
              <wp:positionV relativeFrom="page">
                <wp:posOffset>9443085</wp:posOffset>
              </wp:positionV>
              <wp:extent cx="5486400" cy="9525"/>
              <wp:effectExtent l="0" t="0" r="0" b="0"/>
              <wp:wrapNone/>
              <wp:docPr id="17" name="组合 62"/>
              <wp:cNvGraphicFramePr/>
              <a:graphic xmlns:a="http://schemas.openxmlformats.org/drawingml/2006/main">
                <a:graphicData uri="http://schemas.microsoft.com/office/word/2010/wordprocessingGroup">
                  <wpg:wgp>
                    <wpg:cNvGrpSpPr/>
                    <wpg:grpSpPr>
                      <a:xfrm>
                        <a:off x="0" y="0"/>
                        <a:ext cx="5486400" cy="9525"/>
                        <a:chOff x="1800" y="14872"/>
                        <a:chExt cx="8640" cy="15203"/>
                      </a:xfrm>
                    </wpg:grpSpPr>
                    <wps:wsp>
                      <wps:cNvPr id="15" name="直线 63"/>
                      <wps:cNvCnPr/>
                      <wps:spPr>
                        <a:xfrm>
                          <a:off x="1800" y="14879"/>
                          <a:ext cx="8640" cy="0"/>
                        </a:xfrm>
                        <a:prstGeom prst="line">
                          <a:avLst/>
                        </a:prstGeom>
                        <a:ln w="9144" cap="flat" cmpd="sng">
                          <a:solidFill>
                            <a:srgbClr val="000000"/>
                          </a:solidFill>
                          <a:prstDash val="solid"/>
                          <a:headEnd type="none" w="med" len="med"/>
                          <a:tailEnd type="none" w="med" len="med"/>
                        </a:ln>
                      </wps:spPr>
                      <wps:bodyPr/>
                    </wps:wsp>
                    <wps:wsp>
                      <wps:cNvPr id="16" name="矩形 64"/>
                      <wps:cNvSpPr/>
                      <wps:spPr>
                        <a:xfrm>
                          <a:off x="6075" y="14872"/>
                          <a:ext cx="90" cy="10"/>
                        </a:xfrm>
                        <a:prstGeom prst="rect">
                          <a:avLst/>
                        </a:prstGeom>
                        <a:solidFill>
                          <a:srgbClr val="000000"/>
                        </a:solidFill>
                        <a:ln>
                          <a:noFill/>
                        </a:ln>
                      </wps:spPr>
                      <wps:bodyPr upright="1"/>
                    </wps:wsp>
                  </wpg:wgp>
                </a:graphicData>
              </a:graphic>
            </wp:anchor>
          </w:drawing>
        </mc:Choice>
        <mc:Fallback>
          <w:pict>
            <v:group id="组合 62" o:spid="_x0000_s1026" o:spt="203" style="position:absolute;left:0pt;margin-left:90pt;margin-top:743.55pt;height:0.75pt;width:432pt;mso-position-horizontal-relative:page;mso-position-vertical-relative:page;z-index:-251656192;mso-width-relative:page;mso-height-relative:page;" coordorigin="1800,14872" coordsize="8640,15203" o:gfxdata="UEsDBAoAAAAAAIdO4kAAAAAAAAAAAAAAAAAEAAAAZHJzL1BLAwQUAAAACACHTuJAygxG6dkAAAAO&#10;AQAADwAAAGRycy9kb3ducmV2LnhtbE1PTUvDQBC9C/6HZQRvdjcaa4jZFCnqqQhtBfG2zU6T0Oxs&#10;yG6T9t879aK3eR+8ea9YnFwnRhxC60lDMlMgkCpvW6o1fG7f7jIQIRqypvOEGs4YYFFeXxUmt36i&#10;NY6bWAsOoZAbDU2MfS5lqBp0Jsx8j8Ta3g/ORIZDLe1gJg53nbxXai6daYk/NKbHZYPVYXN0Gt4n&#10;M708JK/j6rBfnr+3jx9fqwS1vr1J1DOIiKf4Z4ZLfa4OJXfa+SPZIDrGmeItkY80e0pAXCwqTZnb&#10;/XLZHGRZyP8zyh9QSwMEFAAAAAgAh07iQPo6hBmrAgAAiAYAAA4AAABkcnMvZTJvRG9jLnhtbL2V&#10;vW7bMBDH9wJ9B4J7I8m1FUewnSFOshRtgLQPwFCURIAiCZK27L1Dx+4dCnTrnqlF0acJ8ho9Uh+u&#10;0y+jBepBpsi7493vf6Rmp5taoDUzlis5x8lRjBGTVOVclnP86uXFkylG1hGZE6Ekm+Mts/h08fjR&#10;rNEZG6lKiZwZBEGkzRo9x5VzOosiSytWE3ukNJOwWChTEwevpoxyQxqIXotoFMdp1CiTa6MosxZm&#10;l+0i7iKaQwKqouCULRVd1Uy6NqphgjgoyVZcW7wI2RYFo+5FUVjmkJhjqNSFJ2wC4xv/jBYzkpWG&#10;6IrTLgVySAoPaqoJl7DpEGpJHEErw38IVXNqlFWFO6KqjtpCAhGoIokfsLk0aqVDLWXWlHqADkI9&#10;oP7XYenz9ZVBPIdOOMZIkhoUv//8+u7tG5SOPJ1GlxkYXRp9ra9MN1G2b77gTWFq/w+loE3guh24&#10;so1DFCYn42k6jgE5hbWTyWjSYqcVaOOdkqlfhLVkPD0Ou5KMVuedt/dtXZPJKH7qfaN+38inN2TT&#10;aGhJu+Nk/43TdUU0C/itR9Bzmgyc3t3ef/qK0pCS3xuMzmQHyWYWeP2E0F6xJy2JHtSu1NCZQ5kk&#10;08a6S6Zq5AdzLLj0mZGMrJ9Z1xLpTfy0kKgB1Ml4DOQInNICTgcMaw1KW1kGX6sEzy+4EN7DmvLm&#10;TBi0Jv6khF9Hes/Mb7IktmrtwlJbQsVIfi5z5LYaWkjC1YF9CjXLMRIMbho/gkRJ5ggXh1hC9UKC&#10;1p5sy9KPblS+DYjDPKjtW/R/yJ4Osr//ePflA0rHvpxO9uFs9Kn2DTocjDQ+hsbZ7/Fe9pO+v/+g&#10;uoHr7Heq7yl1oKAeMcmk8n3Q9tEvoaOVNrysoP2S0Bod9yBRuKDCwewuU38Dfv8erHYfkMU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HQUAAFtD&#10;b250ZW50X1R5cGVzXS54bWxQSwECFAAKAAAAAACHTuJAAAAAAAAAAAAAAAAABgAAAAAAAAAAABAA&#10;AAD/AwAAX3JlbHMvUEsBAhQAFAAAAAgAh07iQIoUZjzRAAAAlAEAAAsAAAAAAAAAAQAgAAAAIwQA&#10;AF9yZWxzLy5yZWxzUEsBAhQACgAAAAAAh07iQAAAAAAAAAAAAAAAAAQAAAAAAAAAAAAQAAAAAAAA&#10;AGRycy9QSwECFAAUAAAACACHTuJAygxG6dkAAAAOAQAADwAAAAAAAAABACAAAAAiAAAAZHJzL2Rv&#10;d25yZXYueG1sUEsBAhQAFAAAAAgAh07iQPo6hBmrAgAAiAYAAA4AAAAAAAAAAQAgAAAAKAEAAGRy&#10;cy9lMm9Eb2MueG1sUEsFBgAAAAAGAAYAWQEAAEUGAAAAAA==&#10;">
              <o:lock v:ext="edit" aspectratio="f"/>
              <v:line id="直线 63" o:spid="_x0000_s1026" o:spt="20" style="position:absolute;left:1800;top:14879;height:0;width:8640;"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v:rect id="矩形 64" o:spid="_x0000_s1026" o:spt="1" style="position:absolute;left:6075;top:14872;height:10;width:90;" fillcolor="#000000" filled="t" stroked="f" coordsize="21600,21600" o:gfxdata="UEsDBAoAAAAAAIdO4kAAAAAAAAAAAAAAAAAEAAAAZHJzL1BLAwQUAAAACACHTuJAVjlAgrwAAADb&#10;AAAADwAAAGRycy9kb3ducmV2LnhtbEVPS2sCMRC+F/wPYQRvmihV7GpWsFDoRVDbQ72Nm3F32c1k&#10;m6S+fn1TEHqbj+85y9XVtuJMPtSONYxHCgRx4UzNpYbPj7fhHESIyAZbx6ThRgFWee9piZlxF97R&#10;eR9LkUI4ZKihirHLpAxFRRbDyHXEiTs5bzEm6EtpPF5SuG3lRKmZtFhzaqiwo9eKimb/YzWsX+br&#10;7+0zb+6744EOX8dmOvFK60F/rBYgIl3jv/jhfjdp/gz+fk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5QIK8AAAA&#10;2wAAAA8AAAAAAAAAAQAgAAAAIgAAAGRycy9kb3ducmV2LnhtbFBLAQIUABQAAAAIAIdO4kAzLwWe&#10;OwAAADkAAAAQAAAAAAAAAAEAIAAAAAsBAABkcnMvc2hhcGV4bWwueG1sUEsFBgAAAAAGAAYAWwEA&#10;ALUDAAAAAA==&#10;">
                <v:fill on="t" focussize="0,0"/>
                <v:stroke on="f"/>
                <v:imagedata o:title=""/>
                <o:lock v:ext="edit" aspectratio="f"/>
              </v:rec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Text Box 106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61" o:spid="_x0000_s1026" o:spt="202" type="#_x0000_t202" style="position:absolute;left:0pt;margin-top:0pt;height:11.65pt;width:4.55pt;mso-position-horizontal:center;mso-position-horizontal-relative:margin;mso-wrap-style:none;z-index:251667456;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bm0M3/AEAAAMEAAAOAAAAZHJzL2Uyb0RvYy54bWytU8tu2zAQvBfo&#10;PxC817KNOk4Fy0Eaw0WB9AEk+QCaoiSiIpdY0pbcr++Sktw0veSQC7Ekl7Mzs8vNTW9adlLoNdiC&#10;L2ZzzpSVUGpbF/zpcf/hmjMfhC1FC1YV/Kw8v9m+f7fpXK6W0EBbKmQEYn3euYI3Ibg8y7xslBF+&#10;Bk5ZuqwAjQi0xTorUXSEbtpsOZ9fZR1g6RCk8p5Od8MlHxHxNYBQVVqqHcijUTYMqKhaEUiSb7Tz&#10;fJvYVpWS4UdVeRVYW3BSGtJKRSg+xDXbbkReo3CNliMF8RoKLzQZoS0VvUDtRBDsiPo/KKMlgocq&#10;zCSYbBCSHCEVi/kLbx4a4VTSQlZ7dzHdvx2s/H76iUyXBV9yZoWhhj+qPrDP0LPF/GoRDeqczynv&#10;wVFm6OmGxiaJ9e4e5C/PLNw1wtbqFhG6RomSCKaX2bOnA46PIIfuG5RUSRwDJKC+QhPdIz8YoVNz&#10;zpfmRDaSDlfr9fWKM0k3i4/rT6tVpJaJfHrr0IcvCgyLQcGRWp+wxenehyF1SomlLOx126b2t/af&#10;A8KMJ4l7pDsQD/2hH704QHkmFQjDNNFfoqAB/M1ZR5NUcEsfh7P2qyUf4tBNAU7BYQqElfSw4IGz&#10;IbwLw3AeHeq6IdzJ6Vvyaq+TkGjqwGFkSbORrBjnOA7f833K+vt3t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scAtEAAAACAQAADwAAAAAAAAABACAAAAAiAAAAZHJzL2Rvd25yZXYueG1sUEsB&#10;AhQAFAAAAAgAh07iQJubQzf8AQAAAwQAAA4AAAAAAAAAAQAgAAAAIAEAAGRycy9lMm9Eb2MueG1s&#10;UEsFBgAAAAAGAAYAWQEAAI4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Text Box 1060"/>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60" o:spid="_x0000_s1026" o:spt="202" type="#_x0000_t202" style="position:absolute;left:0pt;margin-top:0pt;height:11.65pt;width:4.55pt;mso-position-horizontal:center;mso-position-horizontal-relative:margin;mso-wrap-style:none;z-index:251666432;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DiHSud/AEAAAMEAAAOAAAAZHJzL2Uyb0RvYy54bWytU8Fu2zAMvQ/Y&#10;Pwi6L46LpemMOEXXIMOAbh3Q9gMUWbaFWaJAKbGzrx8lx2nXXXroRaAk6vG9R2p1PZiOHRR6Dbbk&#10;+WzOmbISKm2bkj89bj9dceaDsJXowKqSH5Xn1+uPH1a9K9QFtNBVChmBWF/0ruRtCK7IMi9bZYSf&#10;gVOWLmtAIwJtsckqFD2hmy67mM8vsx6wcghSeU+nm/GSnxDxLYBQ11qqDci9UTaMqKg6EUiSb7Xz&#10;fJ3Y1rWS4b6uvQqsKzkpDWmlIhTv4pqtV6JoULhWyxMF8RYKrzQZoS0VPUNtRBBsj/o/KKMlgoc6&#10;zCSYbBSSHCEV+fyVNw+tcCppIau9O5vu3w9W/jz8QqYrmgTOrDDU8Ec1BPYVBpbPL5NBvfMF5T04&#10;ygwD3cTkKNa7O5C/PbNw2wrbqBtE6FslKiKYR2uzF09jSzw9IZBd/wMqqiT2ARLQUKOJgOQHI3Rq&#10;zvHcnMhG0uFiubxacCbpJv+8/LJYpAKimN469OGbAsNiUHKk1idscbjzIXIRxZQSS1nY6q5L7e/s&#10;PweUGE8S90h3JB6G3UDZUcMOqiOpQBinif4SBS3gH856mqSSW/o4nHXfLfkQh24KcAp2UyCspIcl&#10;D5yN4W0Yh3PvUDct4U5O35BXW52EPHM4saTZSPpOcxyH7+U+ZT3/3f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scAtEAAAACAQAADwAAAAAAAAABACAAAAAiAAAAZHJzL2Rvd25yZXYueG1sUEsB&#10;AhQAFAAAAAgAh07iQOIdK538AQAAAwQAAA4AAAAAAAAAAQAgAAAAIAEAAGRycy9lMm9Eb2MueG1s&#10;UEsFBgAAAAAGAAYAWQEAAI4FA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7955"/>
              <wp:effectExtent l="0" t="0" r="0" b="0"/>
              <wp:wrapNone/>
              <wp:docPr id="33" name="文本框 49"/>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15"/>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文本框 49" o:spid="_x0000_s1026" o:spt="202" type="#_x0000_t202" style="position:absolute;left:0pt;margin-top:0pt;height:11.65pt;width:9.05pt;mso-position-horizontal:center;mso-position-horizontal-relative:margin;mso-wrap-style:none;z-index:251662336;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Vnl020AEAAJkDAAAOAAAAZHJzL2Uyb0RvYy54bWytU0tu2zAQ3RfI&#10;HQjua1mx3daC5aCBkaJA0RZIewCaoiwC/IFDW/IFkht01U33PZfPkSElOZ9usuhGGg5Hb957M1pd&#10;dVqRg/AgrSlpPplSIgy3lTS7kv78cfP2AyUQmKmYskaU9CiAXq0v3qxaV4hL21hVCU8QxEDRupI2&#10;Ibgiy4A3QjOYWCcMXtbWaxbw6HdZ5VmL6Fpll9Ppu6y1vnLecgGA2U1/SQdE/xpAW9eSi43ley1M&#10;6FG9UCygJGikA7pObOta8PCtrkEEokqKSkN6YhOMt/GZrVes2HnmGskHCuw1FF5o0kwabHqG2rDA&#10;yN7Lf6C05N6CrcOEW531QpIjqCKfvvDmtmFOJC1oNbiz6fD/YPnXw3dPZFXS2YwSwzRO/PTr/vT7&#10;7+nPHZkvo0GtgwLrbh1Whu7adrg2Yx4wGXV3tdfxjYoI3qO9x7O9oguEx4/y+XK2oITjVT5/v1ws&#10;Ikr2+LHzED4Jq0kMSupxeslUdvgCoS8dS2IvY2+kUmmCyjxLIGbMZJF5zzBGodt2g5ytrY6opsXB&#10;l9TgnlOiPhv0Ne7IGPgx2I7B3nm5a5BanniB+7gPSCJxix162KExTiypG7YrrsTTc6p6/KPW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ulvw/RAAAAAwEAAA8AAAAAAAAAAQAgAAAAIgAAAGRycy9k&#10;b3ducmV2LnhtbFBLAQIUABQAAAAIAIdO4kDVnl020AEAAJkDAAAOAAAAAAAAAAEAIAAAACABAABk&#10;cnMvZTJvRG9jLnhtbFBLBQYAAAAABgAGAFkBAABi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47955"/>
              <wp:effectExtent l="0" t="0" r="0" b="0"/>
              <wp:wrapNone/>
              <wp:docPr id="34" name="文本框 50"/>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15"/>
                          </w:pPr>
                          <w:r>
                            <w:fldChar w:fldCharType="begin"/>
                          </w:r>
                          <w:r>
                            <w:instrText xml:space="preserve"> PAGE  \* MERGEFORMAT </w:instrText>
                          </w:r>
                          <w:r>
                            <w:fldChar w:fldCharType="separate"/>
                          </w:r>
                          <w:r>
                            <w:t>50</w:t>
                          </w:r>
                          <w:r>
                            <w:fldChar w:fldCharType="end"/>
                          </w:r>
                        </w:p>
                      </w:txbxContent>
                    </wps:txbx>
                    <wps:bodyPr wrap="none" lIns="0" tIns="0" rIns="0" bIns="0" upright="1">
                      <a:spAutoFit/>
                    </wps:bodyPr>
                  </wps:wsp>
                </a:graphicData>
              </a:graphic>
            </wp:anchor>
          </w:drawing>
        </mc:Choice>
        <mc:Fallback>
          <w:pict>
            <v:shape id="文本框 50" o:spid="_x0000_s1026" o:spt="202" type="#_x0000_t202" style="position:absolute;left:0pt;margin-top:0pt;height:11.65pt;width:9.05pt;mso-position-horizontal:center;mso-position-horizontal-relative:margin;mso-wrap-style:none;z-index:25166336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X6vLD0AEAAJkDAAAOAAAAZHJzL2Uyb0RvYy54bWytU0tu2zAQ3RfI&#10;HQjua1mJ3SaC5aCBkaJA0QZIewCaIi0C/IFDW/IF2ht01U33PZfPkSEl2226yaIbaTgcvXnvzWhx&#10;2xtNdiKAcram5WRKibDcNcpuavr1y/3ra0ogMtsw7ayo6V4AvV1evFp0vhKXrnW6EYEgiIWq8zVt&#10;Y/RVUQBvhWEwcV5YvJQuGBbxGDZFE1iH6EYXl9Ppm6JzofHBcQGA2dVwSUfE8BJAJ6XiYuX41ggb&#10;B9QgNIsoCVrlgS4zWykFj5+lBBGJrikqjfmJTTBep2exXLBqE5hvFR8psJdQeKbJMGWx6QlqxSIj&#10;26D+gTKKBwdOxgl3phiEZEdQRTl95s1jy7zIWtBq8CfT4f/B8k+7h0BUU9OrGSWWGZz44cf3w8/f&#10;h1/fyDwb1HmosO7RY2Xs71yPa5OMS3nAZNLdy2DSGxURvEd79yd7RR8JTx+Vs5urOSUcr8rZ25v5&#10;PKEU5499gPheOENSUNOA08umst1HiEPpsST1su5eaZ0nqO1fCcRMmeLMMEWxX/cj7bVr9qimw8HX&#10;1OKeU6I/WPQ17cgxCMdgfQy2PqhNi9TKzAv8u21EEplb6jDAjo1xYlnduF1pJf4856rzH7V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ulvw/RAAAAAwEAAA8AAAAAAAAAAQAgAAAAIgAAAGRycy9k&#10;b3ducmV2LnhtbFBLAQIUABQAAAAIAIdO4kAX6vLD0AEAAJkDAAAOAAAAAAAAAAEAIAAAACABAABk&#10;cnMvZTJvRG9jLnhtbFBLBQYAAAAABgAGAFkBAABiBQ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47955"/>
              <wp:effectExtent l="0" t="0" r="0" b="0"/>
              <wp:wrapNone/>
              <wp:docPr id="35" name="文本框 51"/>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15"/>
                          </w:pPr>
                          <w:r>
                            <w:fldChar w:fldCharType="begin"/>
                          </w:r>
                          <w:r>
                            <w:instrText xml:space="preserve"> PAGE  \* MERGEFORMAT </w:instrText>
                          </w:r>
                          <w:r>
                            <w:fldChar w:fldCharType="separate"/>
                          </w:r>
                          <w:r>
                            <w:t>60</w:t>
                          </w:r>
                          <w:r>
                            <w:fldChar w:fldCharType="end"/>
                          </w:r>
                        </w:p>
                      </w:txbxContent>
                    </wps:txbx>
                    <wps:bodyPr wrap="none" lIns="0" tIns="0" rIns="0" bIns="0" upright="1">
                      <a:spAutoFit/>
                    </wps:bodyPr>
                  </wps:wsp>
                </a:graphicData>
              </a:graphic>
            </wp:anchor>
          </w:drawing>
        </mc:Choice>
        <mc:Fallback>
          <w:pict>
            <v:shape id="文本框 51" o:spid="_x0000_s1026" o:spt="202" type="#_x0000_t202" style="position:absolute;left:0pt;margin-top:0pt;height:11.65pt;width:9.05pt;mso-position-horizontal:center;mso-position-horizontal-relative:margin;mso-wrap-style:none;z-index:25166438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a89d2zwEAAJkDAAAOAAAAZHJzL2Uyb0RvYy54bWytU0tu2zAQ3Rfo&#10;HQjua1lp3CaC5SCFkaJA0RZIegCaIi0C/IFDW/IF2ht01U33PZfP0SElOU2yySIbaTgcvXnvzWh5&#10;1RtN9iKAcram5WxOibDcNcpua/r97ubNBSUQmW2YdlbU9CCAXq1ev1p2vhJnrnW6EYEgiIWq8zVt&#10;Y/RVUQBvhWEwc15YvJQuGBbxGLZFE1iH6EYXZ/P5u6JzofHBcQGA2fVwSUfE8BxAJ6XiYu34zggb&#10;B9QgNIsoCVrlga4yWykFj1+lBBGJrikqjfmJTTDepGexWrJqG5hvFR8psOdQeKTJMGWx6QlqzSIj&#10;u6CeQBnFgwMn44w7UwxCsiOoopw/8ua2ZV5kLWg1+JPp8HKw/Mv+WyCqqenbBSWWGZz48dfP4++/&#10;xz8/yKJMBnUeKqy79VgZ+w+ux7WZ8oDJpLuXwaQ3KiJ4j/YeTvaKPhKePirPL1MXjlfl+fvLxSKh&#10;FPcf+wDxo3CGpKCmAaeXTWX7zxCH0qkk9bLuRmmdJ6jtgwRipkyRmA8MUxT7TT/K2bjmgGo6HHxN&#10;Le45JfqTRV/TjkxBmILNFOx8UNsWqZWZF/jrXUQSmVvqMMCOjXFiWd24XWkl/j/nqvs/av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6W/D9EAAAADAQAADwAAAAAAAAABACAAAAAiAAAAZHJzL2Rv&#10;d25yZXYueG1sUEsBAhQAFAAAAAgAh07iQBrz13bPAQAAmQMAAA4AAAAAAAAAAQAgAAAAIAEAAGRy&#10;cy9lMm9Eb2MueG1sUEsFBgAAAAAGAAYAWQEAAGEFA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47955"/>
              <wp:effectExtent l="0" t="0" r="0" b="0"/>
              <wp:wrapNone/>
              <wp:docPr id="36" name="文本框 52"/>
              <wp:cNvGraphicFramePr/>
              <a:graphic xmlns:a="http://schemas.openxmlformats.org/drawingml/2006/main">
                <a:graphicData uri="http://schemas.microsoft.com/office/word/2010/wordprocessingShape">
                  <wps:wsp>
                    <wps:cNvSpPr txBox="1"/>
                    <wps:spPr>
                      <a:xfrm>
                        <a:off x="0" y="0"/>
                        <a:ext cx="114935" cy="147955"/>
                      </a:xfrm>
                      <a:prstGeom prst="rect">
                        <a:avLst/>
                      </a:prstGeom>
                      <a:noFill/>
                      <a:ln>
                        <a:noFill/>
                      </a:ln>
                    </wps:spPr>
                    <wps:txbx>
                      <w:txbxContent>
                        <w:p>
                          <w:pPr>
                            <w:pStyle w:val="15"/>
                          </w:pPr>
                          <w:r>
                            <w:fldChar w:fldCharType="begin"/>
                          </w:r>
                          <w:r>
                            <w:instrText xml:space="preserve"> PAGE  \* MERGEFORMAT </w:instrText>
                          </w:r>
                          <w:r>
                            <w:fldChar w:fldCharType="separate"/>
                          </w:r>
                          <w:r>
                            <w:t>62</w:t>
                          </w:r>
                          <w:r>
                            <w:fldChar w:fldCharType="end"/>
                          </w:r>
                        </w:p>
                      </w:txbxContent>
                    </wps:txbx>
                    <wps:bodyPr wrap="none" lIns="0" tIns="0" rIns="0" bIns="0" upright="1">
                      <a:spAutoFit/>
                    </wps:bodyPr>
                  </wps:wsp>
                </a:graphicData>
              </a:graphic>
            </wp:anchor>
          </w:drawing>
        </mc:Choice>
        <mc:Fallback>
          <w:pict>
            <v:shape id="文本框 52" o:spid="_x0000_s1026" o:spt="202" type="#_x0000_t202" style="position:absolute;left:0pt;margin-top:0pt;height:11.65pt;width:9.05pt;mso-position-horizontal:center;mso-position-horizontal-relative:margin;mso-wrap-style:none;z-index:25166540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BM3sly0QEAAJkDAAAOAAAAZHJzL2Uyb0RvYy54bWytU82O0zAQviPx&#10;Dpbv1E13u7BR0xWoWoSEAGnhAVzHaSz5Tx63SV8A3oATF+48V5+DsZN02d3LHrgk4/Hkm+/7ZrK6&#10;6Y0mBxlAOVvRYjanRFrhamV3Ff329fbVG0ogcltz7ays6FECvVm/fLHqfCkXrnW6loEgiIWy8xVt&#10;Y/QlYyBaaTjMnJcWLxsXDI94DDtWB94hutFsMZ9fsc6F2gcnJABmN8MlHRHDcwBd0yghN07sjbRx&#10;QA1S84iSoFUe6DqzbRop4uemARmJrigqjfmJTTDepidbr3i5C9y3SowU+HMoPNJkuLLY9Ay14ZGT&#10;fVBPoIwSwYFr4kw4wwYh2RFUUcwfeXPXci+zFrQa/Nl0+H+w4tPhSyCqrujFFSWWG5z46eeP068/&#10;p9/fyXKRDOo8lFh357Ey9u9cj2sz5QGTSXffBJPeqIjgPdp7PNsr+0hE+qi4vL5YUiLwqrh8fb1c&#10;JhR2/7EPEN9LZ0gKKhpwetlUfvgIcSidSlIv626V1nmC2j5IIGbKsMR8YJii2G/7Uc7W1UdU0+Hg&#10;K2pxzynRHyz6mnZkCsIUbKdg74PatUityLzAv91HJJG5pQ4D7NgYJ5bVjduVVuLfc666/6P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pb8P0QAAAAMBAAAPAAAAAAAAAAEAIAAAACIAAABkcnMv&#10;ZG93bnJldi54bWxQSwECFAAUAAAACACHTuJATN7JctEBAACZAwAADgAAAAAAAAABACAAAAAgAQAA&#10;ZHJzL2Uyb0RvYy54bWxQSwUGAAAAAAYABgBZAQAAYwUAAAAA&#10;">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62</w:t>
                    </w:r>
                    <w:r>
                      <w:fldChar w:fldCharType="end"/>
                    </w:r>
                  </w:p>
                </w:txbxContent>
              </v:textbox>
            </v:shape>
          </w:pict>
        </mc:Fallback>
      </mc:AlternateContent>
    </w:r>
    <w:r>
      <mc:AlternateContent>
        <mc:Choice Requires="wpg">
          <w:drawing>
            <wp:anchor distT="0" distB="0" distL="114300" distR="114300" simplePos="0" relativeHeight="251661312" behindDoc="1" locked="0" layoutInCell="1" allowOverlap="1">
              <wp:simplePos x="0" y="0"/>
              <wp:positionH relativeFrom="page">
                <wp:posOffset>791210</wp:posOffset>
              </wp:positionH>
              <wp:positionV relativeFrom="page">
                <wp:posOffset>10066655</wp:posOffset>
              </wp:positionV>
              <wp:extent cx="6012180" cy="9525"/>
              <wp:effectExtent l="0" t="0" r="0" b="0"/>
              <wp:wrapNone/>
              <wp:docPr id="29" name="组合 35"/>
              <wp:cNvGraphicFramePr/>
              <a:graphic xmlns:a="http://schemas.openxmlformats.org/drawingml/2006/main">
                <a:graphicData uri="http://schemas.microsoft.com/office/word/2010/wordprocessingGroup">
                  <wpg:wgp>
                    <wpg:cNvGrpSpPr/>
                    <wpg:grpSpPr>
                      <a:xfrm>
                        <a:off x="0" y="0"/>
                        <a:ext cx="6012180" cy="9525"/>
                        <a:chOff x="1247" y="15853"/>
                        <a:chExt cx="9468" cy="15203"/>
                      </a:xfrm>
                    </wpg:grpSpPr>
                    <wps:wsp>
                      <wps:cNvPr id="27" name="直线 36"/>
                      <wps:cNvCnPr/>
                      <wps:spPr>
                        <a:xfrm>
                          <a:off x="1247" y="15860"/>
                          <a:ext cx="9468" cy="0"/>
                        </a:xfrm>
                        <a:prstGeom prst="line">
                          <a:avLst/>
                        </a:prstGeom>
                        <a:ln w="9144" cap="flat" cmpd="sng">
                          <a:solidFill>
                            <a:srgbClr val="000000"/>
                          </a:solidFill>
                          <a:prstDash val="solid"/>
                          <a:headEnd type="none" w="med" len="med"/>
                          <a:tailEnd type="none" w="med" len="med"/>
                        </a:ln>
                      </wps:spPr>
                      <wps:bodyPr/>
                    </wps:wsp>
                    <wps:wsp>
                      <wps:cNvPr id="28" name="直线 37"/>
                      <wps:cNvCnPr/>
                      <wps:spPr>
                        <a:xfrm>
                          <a:off x="5891" y="15858"/>
                          <a:ext cx="180" cy="0"/>
                        </a:xfrm>
                        <a:prstGeom prst="line">
                          <a:avLst/>
                        </a:prstGeom>
                        <a:ln w="6096" cap="flat" cmpd="sng">
                          <a:solidFill>
                            <a:srgbClr val="000000"/>
                          </a:solidFill>
                          <a:prstDash val="solid"/>
                          <a:headEnd type="none" w="med" len="med"/>
                          <a:tailEnd type="none" w="med" len="med"/>
                        </a:ln>
                      </wps:spPr>
                      <wps:bodyPr/>
                    </wps:wsp>
                  </wpg:wgp>
                </a:graphicData>
              </a:graphic>
            </wp:anchor>
          </w:drawing>
        </mc:Choice>
        <mc:Fallback>
          <w:pict>
            <v:group id="组合 35" o:spid="_x0000_s1026" o:spt="203" style="position:absolute;left:0pt;margin-left:62.3pt;margin-top:792.65pt;height:0.75pt;width:473.4pt;mso-position-horizontal-relative:page;mso-position-vertical-relative:page;z-index:-251655168;mso-width-relative:page;mso-height-relative:page;" coordorigin="1247,15853" coordsize="9468,15203" o:gfxdata="UEsDBAoAAAAAAIdO4kAAAAAAAAAAAAAAAAAEAAAAZHJzL1BLAwQUAAAACACHTuJAV1G2A9wAAAAO&#10;AQAADwAAAGRycy9kb3ducmV2LnhtbE2PwU7DMBBE70j8g7VI3KjttglRiFOhCjhVSLRIiJsbb5Oo&#10;sR3FbtL+PVsucNvZHc2+KVZn27ERh9B6p0DOBDB0lTetqxV87l4fMmAhamd05x0quGCAVXl7U+jc&#10;+Ml94LiNNaMQF3KtoImxzzkPVYNWh5nv0dHt4AerI8mh5mbQE4Xbjs+FSLnVraMPje5x3WB13J6s&#10;grdJT88L+TJujof15XuXvH9tJCp1fyfFE7CI5/hnhis+oUNJTHt/ciawjvR8mZKVhiRLFsCuFvEo&#10;l8D2v7s0A14W/H+N8gdQSwMEFAAAAAgAh07iQJj2wpGFAgAA/QYAAA4AAABkcnMvZTJvRG9jLnht&#10;bOWVvW7bMBDH9wJ9B4J7o4/Yii1EzhAnWYo2QNoHYChKIsAvkIxl7x06du9rdGqHPk2R1+iRkpWP&#10;dkg/0KUeZIp3PN79/kfq+GQrBdow67hWFc4OUoyYorrmqq3w2zfnLxYYOU9UTYRWrMI75vDJ6vmz&#10;496ULNedFjWzCIIoV/amwp33pkwSRzsmiTvQhikwNtpK4uHVtkltSQ/RpUjyNC2SXtvaWE2ZczC7&#10;Hox4jGifElA3DadsremNZMoPUS0TxENJruPG4VXMtmkY9a+bxjGPRIWhUh+fsAmMr8MzWR2TsrXE&#10;dJyOKZCnpPCoJkm4gk2nUGviCbqx/IdQklOrnW78AdUyGQqJRKCKLH3E5sLqGxNracu+NRN0EOoR&#10;9d8OS19tLi3idYXzJUaKSFD89su7bx/eo8N5oNObtgSnC2uuzKUdJ9rhLRS8bawM/1AK2kauu4kr&#10;23pEYbJIszxbAHIKtuU8j4FJSTvQJizK8tkRRmDL5ov54aAJ7c7G1ctZAS0ZlmbzPI3mZL9vEtKb&#10;sukNtKS74+T+jNNVRwyL+F1AsOcEqY6cPn66/fwVHRYDp+h0qkZIrnTA6yeE7hdbjA24B3VXajRM&#10;ZZLSWOcvmJYoDCosuAqZkZJsXjoPqoDr3iVMC4V6QJ3NZkCOwClt4HTAUBpQ2qk2rnVa8PqcCxFW&#10;ONtenwqLNiSclPgLZUHcB25hkzVx3eAXTYNeHSP1maqR3xloIQVXBw4pSFZjJBjcNGEEAUnpCRdP&#10;8YSthYIMgqoDyzC61vUuIo7zoHZo0X8hO/TgQ9mPfkn2+WKZTT2+GEjsZZ/Oxl9RvUiXxX+gejz6&#10;cCvGHh1v8HDt3n+P3XP31Vp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FdRtgPcAAAADgEAAA8A&#10;AAAAAAAAAQAgAAAAIgAAAGRycy9kb3ducmV2LnhtbFBLAQIUABQAAAAIAIdO4kCY9sKRhQIAAP0G&#10;AAAOAAAAAAAAAAEAIAAAACsBAABkcnMvZTJvRG9jLnhtbFBLBQYAAAAABgAGAFkBAAAiBgAAAAA=&#10;">
              <o:lock v:ext="edit" aspectratio="f"/>
              <v:line id="直线 36" o:spid="_x0000_s1026" o:spt="20" style="position:absolute;left:1247;top:15860;height:0;width:9468;"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线 37" o:spid="_x0000_s1026" o:spt="20" style="position:absolute;left:5891;top:15858;height:0;width:18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4DB647"/>
    <w:multiLevelType w:val="singleLevel"/>
    <w:tmpl w:val="914DB647"/>
    <w:lvl w:ilvl="0" w:tentative="0">
      <w:start w:val="1"/>
      <w:numFmt w:val="decimal"/>
      <w:lvlText w:val="%1."/>
      <w:lvlJc w:val="left"/>
      <w:pPr>
        <w:ind w:left="425" w:hanging="425"/>
      </w:pPr>
      <w:rPr>
        <w:rFonts w:hint="default"/>
      </w:rPr>
    </w:lvl>
  </w:abstractNum>
  <w:abstractNum w:abstractNumId="1">
    <w:nsid w:val="9239341B"/>
    <w:multiLevelType w:val="multilevel"/>
    <w:tmpl w:val="9239341B"/>
    <w:lvl w:ilvl="0" w:tentative="0">
      <w:start w:val="2"/>
      <w:numFmt w:val="decimal"/>
      <w:lvlText w:val="%1."/>
      <w:lvlJc w:val="left"/>
      <w:pPr>
        <w:ind w:left="653" w:hanging="214"/>
      </w:pPr>
      <w:rPr>
        <w:rFonts w:hint="default" w:ascii="宋体" w:hAnsi="宋体" w:eastAsia="宋体" w:cs="宋体"/>
        <w:b/>
        <w:bCs/>
        <w:spacing w:val="-2"/>
        <w:w w:val="98"/>
        <w:sz w:val="19"/>
        <w:szCs w:val="19"/>
        <w:lang w:val="zh-CN" w:eastAsia="zh-CN" w:bidi="zh-CN"/>
      </w:rPr>
    </w:lvl>
    <w:lvl w:ilvl="1" w:tentative="0">
      <w:start w:val="1"/>
      <w:numFmt w:val="decimal"/>
      <w:lvlText w:val="（%2）"/>
      <w:lvlJc w:val="left"/>
      <w:pPr>
        <w:ind w:left="1070" w:hanging="525"/>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2068" w:hanging="525"/>
      </w:pPr>
      <w:rPr>
        <w:rFonts w:hint="default"/>
        <w:lang w:val="zh-CN" w:eastAsia="zh-CN" w:bidi="zh-CN"/>
      </w:rPr>
    </w:lvl>
    <w:lvl w:ilvl="3" w:tentative="0">
      <w:start w:val="0"/>
      <w:numFmt w:val="bullet"/>
      <w:lvlText w:val="•"/>
      <w:lvlJc w:val="left"/>
      <w:pPr>
        <w:ind w:left="3057" w:hanging="525"/>
      </w:pPr>
      <w:rPr>
        <w:rFonts w:hint="default"/>
        <w:lang w:val="zh-CN" w:eastAsia="zh-CN" w:bidi="zh-CN"/>
      </w:rPr>
    </w:lvl>
    <w:lvl w:ilvl="4" w:tentative="0">
      <w:start w:val="0"/>
      <w:numFmt w:val="bullet"/>
      <w:lvlText w:val="•"/>
      <w:lvlJc w:val="left"/>
      <w:pPr>
        <w:ind w:left="4046" w:hanging="525"/>
      </w:pPr>
      <w:rPr>
        <w:rFonts w:hint="default"/>
        <w:lang w:val="zh-CN" w:eastAsia="zh-CN" w:bidi="zh-CN"/>
      </w:rPr>
    </w:lvl>
    <w:lvl w:ilvl="5" w:tentative="0">
      <w:start w:val="0"/>
      <w:numFmt w:val="bullet"/>
      <w:lvlText w:val="•"/>
      <w:lvlJc w:val="left"/>
      <w:pPr>
        <w:ind w:left="5035" w:hanging="525"/>
      </w:pPr>
      <w:rPr>
        <w:rFonts w:hint="default"/>
        <w:lang w:val="zh-CN" w:eastAsia="zh-CN" w:bidi="zh-CN"/>
      </w:rPr>
    </w:lvl>
    <w:lvl w:ilvl="6" w:tentative="0">
      <w:start w:val="0"/>
      <w:numFmt w:val="bullet"/>
      <w:lvlText w:val="•"/>
      <w:lvlJc w:val="left"/>
      <w:pPr>
        <w:ind w:left="6024" w:hanging="525"/>
      </w:pPr>
      <w:rPr>
        <w:rFonts w:hint="default"/>
        <w:lang w:val="zh-CN" w:eastAsia="zh-CN" w:bidi="zh-CN"/>
      </w:rPr>
    </w:lvl>
    <w:lvl w:ilvl="7" w:tentative="0">
      <w:start w:val="0"/>
      <w:numFmt w:val="bullet"/>
      <w:lvlText w:val="•"/>
      <w:lvlJc w:val="left"/>
      <w:pPr>
        <w:ind w:left="7013" w:hanging="525"/>
      </w:pPr>
      <w:rPr>
        <w:rFonts w:hint="default"/>
        <w:lang w:val="zh-CN" w:eastAsia="zh-CN" w:bidi="zh-CN"/>
      </w:rPr>
    </w:lvl>
    <w:lvl w:ilvl="8" w:tentative="0">
      <w:start w:val="0"/>
      <w:numFmt w:val="bullet"/>
      <w:lvlText w:val="•"/>
      <w:lvlJc w:val="left"/>
      <w:pPr>
        <w:ind w:left="8002" w:hanging="525"/>
      </w:pPr>
      <w:rPr>
        <w:rFonts w:hint="default"/>
        <w:lang w:val="zh-CN" w:eastAsia="zh-CN" w:bidi="zh-CN"/>
      </w:rPr>
    </w:lvl>
  </w:abstractNum>
  <w:abstractNum w:abstractNumId="2">
    <w:nsid w:val="AD253B56"/>
    <w:multiLevelType w:val="singleLevel"/>
    <w:tmpl w:val="AD253B56"/>
    <w:lvl w:ilvl="0" w:tentative="0">
      <w:start w:val="1"/>
      <w:numFmt w:val="decimal"/>
      <w:suff w:val="nothing"/>
      <w:lvlText w:val="%1．"/>
      <w:lvlJc w:val="left"/>
    </w:lvl>
  </w:abstractNum>
  <w:abstractNum w:abstractNumId="3">
    <w:nsid w:val="B5E306ED"/>
    <w:multiLevelType w:val="multilevel"/>
    <w:tmpl w:val="B5E306ED"/>
    <w:lvl w:ilvl="0" w:tentative="0">
      <w:start w:val="4"/>
      <w:numFmt w:val="decimal"/>
      <w:lvlText w:val="%1"/>
      <w:lvlJc w:val="left"/>
      <w:pPr>
        <w:ind w:left="968" w:hanging="528"/>
      </w:pPr>
      <w:rPr>
        <w:rFonts w:hint="default"/>
        <w:lang w:val="zh-CN" w:eastAsia="zh-CN" w:bidi="zh-CN"/>
      </w:rPr>
    </w:lvl>
    <w:lvl w:ilvl="1" w:tentative="0">
      <w:start w:val="1"/>
      <w:numFmt w:val="decimal"/>
      <w:lvlText w:val="%1.%2."/>
      <w:lvlJc w:val="left"/>
      <w:pPr>
        <w:ind w:left="968" w:hanging="528"/>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440"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964" w:hanging="579"/>
      </w:pPr>
      <w:rPr>
        <w:rFonts w:hint="default"/>
        <w:lang w:val="zh-CN" w:eastAsia="zh-CN" w:bidi="zh-CN"/>
      </w:rPr>
    </w:lvl>
    <w:lvl w:ilvl="4" w:tentative="0">
      <w:start w:val="0"/>
      <w:numFmt w:val="bullet"/>
      <w:lvlText w:val="•"/>
      <w:lvlJc w:val="left"/>
      <w:pPr>
        <w:ind w:left="3966" w:hanging="579"/>
      </w:pPr>
      <w:rPr>
        <w:rFonts w:hint="default"/>
        <w:lang w:val="zh-CN" w:eastAsia="zh-CN" w:bidi="zh-CN"/>
      </w:rPr>
    </w:lvl>
    <w:lvl w:ilvl="5" w:tentative="0">
      <w:start w:val="0"/>
      <w:numFmt w:val="bullet"/>
      <w:lvlText w:val="•"/>
      <w:lvlJc w:val="left"/>
      <w:pPr>
        <w:ind w:left="4968" w:hanging="579"/>
      </w:pPr>
      <w:rPr>
        <w:rFonts w:hint="default"/>
        <w:lang w:val="zh-CN" w:eastAsia="zh-CN" w:bidi="zh-CN"/>
      </w:rPr>
    </w:lvl>
    <w:lvl w:ilvl="6" w:tentative="0">
      <w:start w:val="0"/>
      <w:numFmt w:val="bullet"/>
      <w:lvlText w:val="•"/>
      <w:lvlJc w:val="left"/>
      <w:pPr>
        <w:ind w:left="5971" w:hanging="579"/>
      </w:pPr>
      <w:rPr>
        <w:rFonts w:hint="default"/>
        <w:lang w:val="zh-CN" w:eastAsia="zh-CN" w:bidi="zh-CN"/>
      </w:rPr>
    </w:lvl>
    <w:lvl w:ilvl="7" w:tentative="0">
      <w:start w:val="0"/>
      <w:numFmt w:val="bullet"/>
      <w:lvlText w:val="•"/>
      <w:lvlJc w:val="left"/>
      <w:pPr>
        <w:ind w:left="6973" w:hanging="579"/>
      </w:pPr>
      <w:rPr>
        <w:rFonts w:hint="default"/>
        <w:lang w:val="zh-CN" w:eastAsia="zh-CN" w:bidi="zh-CN"/>
      </w:rPr>
    </w:lvl>
    <w:lvl w:ilvl="8" w:tentative="0">
      <w:start w:val="0"/>
      <w:numFmt w:val="bullet"/>
      <w:lvlText w:val="•"/>
      <w:lvlJc w:val="left"/>
      <w:pPr>
        <w:ind w:left="7975" w:hanging="579"/>
      </w:pPr>
      <w:rPr>
        <w:rFonts w:hint="default"/>
        <w:lang w:val="zh-CN" w:eastAsia="zh-CN" w:bidi="zh-CN"/>
      </w:rPr>
    </w:lvl>
  </w:abstractNum>
  <w:abstractNum w:abstractNumId="4">
    <w:nsid w:val="B9F8A1AB"/>
    <w:multiLevelType w:val="singleLevel"/>
    <w:tmpl w:val="B9F8A1AB"/>
    <w:lvl w:ilvl="0" w:tentative="0">
      <w:start w:val="1"/>
      <w:numFmt w:val="decimalEnclosedCircleChinese"/>
      <w:suff w:val="nothing"/>
      <w:lvlText w:val="%1　"/>
      <w:lvlJc w:val="left"/>
      <w:pPr>
        <w:ind w:left="0" w:firstLine="403"/>
      </w:pPr>
      <w:rPr>
        <w:rFonts w:hint="eastAsia"/>
      </w:rPr>
    </w:lvl>
  </w:abstractNum>
  <w:abstractNum w:abstractNumId="5">
    <w:nsid w:val="BF205925"/>
    <w:multiLevelType w:val="multilevel"/>
    <w:tmpl w:val="BF205925"/>
    <w:lvl w:ilvl="0" w:tentative="0">
      <w:start w:val="1"/>
      <w:numFmt w:val="decimal"/>
      <w:lvlText w:val="（%1）"/>
      <w:lvlJc w:val="left"/>
      <w:pPr>
        <w:ind w:left="1266" w:hanging="527"/>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132" w:hanging="527"/>
      </w:pPr>
      <w:rPr>
        <w:rFonts w:hint="default"/>
        <w:lang w:val="zh-CN" w:eastAsia="zh-CN" w:bidi="zh-CN"/>
      </w:rPr>
    </w:lvl>
    <w:lvl w:ilvl="2" w:tentative="0">
      <w:start w:val="0"/>
      <w:numFmt w:val="bullet"/>
      <w:lvlText w:val="•"/>
      <w:lvlJc w:val="left"/>
      <w:pPr>
        <w:ind w:left="3004" w:hanging="527"/>
      </w:pPr>
      <w:rPr>
        <w:rFonts w:hint="default"/>
        <w:lang w:val="zh-CN" w:eastAsia="zh-CN" w:bidi="zh-CN"/>
      </w:rPr>
    </w:lvl>
    <w:lvl w:ilvl="3" w:tentative="0">
      <w:start w:val="0"/>
      <w:numFmt w:val="bullet"/>
      <w:lvlText w:val="•"/>
      <w:lvlJc w:val="left"/>
      <w:pPr>
        <w:ind w:left="3876" w:hanging="527"/>
      </w:pPr>
      <w:rPr>
        <w:rFonts w:hint="default"/>
        <w:lang w:val="zh-CN" w:eastAsia="zh-CN" w:bidi="zh-CN"/>
      </w:rPr>
    </w:lvl>
    <w:lvl w:ilvl="4" w:tentative="0">
      <w:start w:val="0"/>
      <w:numFmt w:val="bullet"/>
      <w:lvlText w:val="•"/>
      <w:lvlJc w:val="left"/>
      <w:pPr>
        <w:ind w:left="4748" w:hanging="527"/>
      </w:pPr>
      <w:rPr>
        <w:rFonts w:hint="default"/>
        <w:lang w:val="zh-CN" w:eastAsia="zh-CN" w:bidi="zh-CN"/>
      </w:rPr>
    </w:lvl>
    <w:lvl w:ilvl="5" w:tentative="0">
      <w:start w:val="0"/>
      <w:numFmt w:val="bullet"/>
      <w:lvlText w:val="•"/>
      <w:lvlJc w:val="left"/>
      <w:pPr>
        <w:ind w:left="5620" w:hanging="527"/>
      </w:pPr>
      <w:rPr>
        <w:rFonts w:hint="default"/>
        <w:lang w:val="zh-CN" w:eastAsia="zh-CN" w:bidi="zh-CN"/>
      </w:rPr>
    </w:lvl>
    <w:lvl w:ilvl="6" w:tentative="0">
      <w:start w:val="0"/>
      <w:numFmt w:val="bullet"/>
      <w:lvlText w:val="•"/>
      <w:lvlJc w:val="left"/>
      <w:pPr>
        <w:ind w:left="6492" w:hanging="527"/>
      </w:pPr>
      <w:rPr>
        <w:rFonts w:hint="default"/>
        <w:lang w:val="zh-CN" w:eastAsia="zh-CN" w:bidi="zh-CN"/>
      </w:rPr>
    </w:lvl>
    <w:lvl w:ilvl="7" w:tentative="0">
      <w:start w:val="0"/>
      <w:numFmt w:val="bullet"/>
      <w:lvlText w:val="•"/>
      <w:lvlJc w:val="left"/>
      <w:pPr>
        <w:ind w:left="7364" w:hanging="527"/>
      </w:pPr>
      <w:rPr>
        <w:rFonts w:hint="default"/>
        <w:lang w:val="zh-CN" w:eastAsia="zh-CN" w:bidi="zh-CN"/>
      </w:rPr>
    </w:lvl>
    <w:lvl w:ilvl="8" w:tentative="0">
      <w:start w:val="0"/>
      <w:numFmt w:val="bullet"/>
      <w:lvlText w:val="•"/>
      <w:lvlJc w:val="left"/>
      <w:pPr>
        <w:ind w:left="8236" w:hanging="527"/>
      </w:pPr>
      <w:rPr>
        <w:rFonts w:hint="default"/>
        <w:lang w:val="zh-CN" w:eastAsia="zh-CN" w:bidi="zh-CN"/>
      </w:rPr>
    </w:lvl>
  </w:abstractNum>
  <w:abstractNum w:abstractNumId="6">
    <w:nsid w:val="C8879AEF"/>
    <w:multiLevelType w:val="multilevel"/>
    <w:tmpl w:val="C8879AEF"/>
    <w:lvl w:ilvl="0" w:tentative="0">
      <w:start w:val="1"/>
      <w:numFmt w:val="decimal"/>
      <w:lvlText w:val="（%1）"/>
      <w:lvlJc w:val="left"/>
      <w:pPr>
        <w:ind w:left="1385" w:hanging="533"/>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240" w:hanging="533"/>
      </w:pPr>
      <w:rPr>
        <w:rFonts w:hint="default"/>
        <w:lang w:val="zh-CN" w:eastAsia="zh-CN" w:bidi="zh-CN"/>
      </w:rPr>
    </w:lvl>
    <w:lvl w:ilvl="2" w:tentative="0">
      <w:start w:val="0"/>
      <w:numFmt w:val="bullet"/>
      <w:lvlText w:val="•"/>
      <w:lvlJc w:val="left"/>
      <w:pPr>
        <w:ind w:left="3100" w:hanging="533"/>
      </w:pPr>
      <w:rPr>
        <w:rFonts w:hint="default"/>
        <w:lang w:val="zh-CN" w:eastAsia="zh-CN" w:bidi="zh-CN"/>
      </w:rPr>
    </w:lvl>
    <w:lvl w:ilvl="3" w:tentative="0">
      <w:start w:val="0"/>
      <w:numFmt w:val="bullet"/>
      <w:lvlText w:val="•"/>
      <w:lvlJc w:val="left"/>
      <w:pPr>
        <w:ind w:left="3960" w:hanging="533"/>
      </w:pPr>
      <w:rPr>
        <w:rFonts w:hint="default"/>
        <w:lang w:val="zh-CN" w:eastAsia="zh-CN" w:bidi="zh-CN"/>
      </w:rPr>
    </w:lvl>
    <w:lvl w:ilvl="4" w:tentative="0">
      <w:start w:val="0"/>
      <w:numFmt w:val="bullet"/>
      <w:lvlText w:val="•"/>
      <w:lvlJc w:val="left"/>
      <w:pPr>
        <w:ind w:left="4820" w:hanging="533"/>
      </w:pPr>
      <w:rPr>
        <w:rFonts w:hint="default"/>
        <w:lang w:val="zh-CN" w:eastAsia="zh-CN" w:bidi="zh-CN"/>
      </w:rPr>
    </w:lvl>
    <w:lvl w:ilvl="5" w:tentative="0">
      <w:start w:val="0"/>
      <w:numFmt w:val="bullet"/>
      <w:lvlText w:val="•"/>
      <w:lvlJc w:val="left"/>
      <w:pPr>
        <w:ind w:left="5680" w:hanging="533"/>
      </w:pPr>
      <w:rPr>
        <w:rFonts w:hint="default"/>
        <w:lang w:val="zh-CN" w:eastAsia="zh-CN" w:bidi="zh-CN"/>
      </w:rPr>
    </w:lvl>
    <w:lvl w:ilvl="6" w:tentative="0">
      <w:start w:val="0"/>
      <w:numFmt w:val="bullet"/>
      <w:lvlText w:val="•"/>
      <w:lvlJc w:val="left"/>
      <w:pPr>
        <w:ind w:left="6540" w:hanging="533"/>
      </w:pPr>
      <w:rPr>
        <w:rFonts w:hint="default"/>
        <w:lang w:val="zh-CN" w:eastAsia="zh-CN" w:bidi="zh-CN"/>
      </w:rPr>
    </w:lvl>
    <w:lvl w:ilvl="7" w:tentative="0">
      <w:start w:val="0"/>
      <w:numFmt w:val="bullet"/>
      <w:lvlText w:val="•"/>
      <w:lvlJc w:val="left"/>
      <w:pPr>
        <w:ind w:left="7400" w:hanging="533"/>
      </w:pPr>
      <w:rPr>
        <w:rFonts w:hint="default"/>
        <w:lang w:val="zh-CN" w:eastAsia="zh-CN" w:bidi="zh-CN"/>
      </w:rPr>
    </w:lvl>
    <w:lvl w:ilvl="8" w:tentative="0">
      <w:start w:val="0"/>
      <w:numFmt w:val="bullet"/>
      <w:lvlText w:val="•"/>
      <w:lvlJc w:val="left"/>
      <w:pPr>
        <w:ind w:left="8260" w:hanging="533"/>
      </w:pPr>
      <w:rPr>
        <w:rFonts w:hint="default"/>
        <w:lang w:val="zh-CN" w:eastAsia="zh-CN" w:bidi="zh-CN"/>
      </w:rPr>
    </w:lvl>
  </w:abstractNum>
  <w:abstractNum w:abstractNumId="7">
    <w:nsid w:val="CF092B84"/>
    <w:multiLevelType w:val="multilevel"/>
    <w:tmpl w:val="CF092B84"/>
    <w:lvl w:ilvl="0" w:tentative="0">
      <w:start w:val="1"/>
      <w:numFmt w:val="decimal"/>
      <w:lvlText w:val="%1"/>
      <w:lvlJc w:val="left"/>
      <w:pPr>
        <w:ind w:left="756" w:hanging="317"/>
      </w:pPr>
      <w:rPr>
        <w:rFonts w:hint="default" w:ascii="宋体" w:hAnsi="宋体" w:eastAsia="宋体" w:cs="宋体"/>
        <w:b/>
        <w:bCs/>
        <w:w w:val="98"/>
        <w:sz w:val="21"/>
        <w:szCs w:val="21"/>
        <w:lang w:val="zh-CN" w:eastAsia="zh-CN" w:bidi="zh-CN"/>
      </w:rPr>
    </w:lvl>
    <w:lvl w:ilvl="1" w:tentative="0">
      <w:start w:val="1"/>
      <w:numFmt w:val="decimal"/>
      <w:lvlText w:val="%1.%2"/>
      <w:lvlJc w:val="left"/>
      <w:pPr>
        <w:ind w:left="440" w:hanging="370"/>
      </w:pPr>
      <w:rPr>
        <w:rFonts w:hint="default"/>
        <w:spacing w:val="0"/>
        <w:w w:val="99"/>
        <w:lang w:val="zh-CN" w:eastAsia="zh-CN" w:bidi="zh-CN"/>
      </w:rPr>
    </w:lvl>
    <w:lvl w:ilvl="2" w:tentative="0">
      <w:start w:val="1"/>
      <w:numFmt w:val="decimal"/>
      <w:lvlText w:val="%1.%2.%3"/>
      <w:lvlJc w:val="left"/>
      <w:pPr>
        <w:ind w:left="440" w:hanging="370"/>
      </w:pPr>
      <w:rPr>
        <w:rFonts w:hint="default"/>
        <w:spacing w:val="-2"/>
        <w:w w:val="99"/>
        <w:lang w:val="zh-CN" w:eastAsia="zh-CN" w:bidi="zh-CN"/>
      </w:rPr>
    </w:lvl>
    <w:lvl w:ilvl="3" w:tentative="0">
      <w:start w:val="1"/>
      <w:numFmt w:val="decimal"/>
      <w:lvlText w:val="（%4）"/>
      <w:lvlJc w:val="left"/>
      <w:pPr>
        <w:ind w:left="440" w:hanging="370"/>
      </w:pPr>
      <w:rPr>
        <w:rFonts w:hint="default" w:ascii="宋体" w:hAnsi="宋体" w:eastAsia="宋体" w:cs="宋体"/>
        <w:spacing w:val="-15"/>
        <w:w w:val="99"/>
        <w:sz w:val="19"/>
        <w:szCs w:val="19"/>
        <w:lang w:val="zh-CN" w:eastAsia="zh-CN" w:bidi="zh-CN"/>
      </w:rPr>
    </w:lvl>
    <w:lvl w:ilvl="4" w:tentative="0">
      <w:start w:val="0"/>
      <w:numFmt w:val="bullet"/>
      <w:lvlText w:val="•"/>
      <w:lvlJc w:val="left"/>
      <w:pPr>
        <w:ind w:left="1060" w:hanging="370"/>
      </w:pPr>
      <w:rPr>
        <w:rFonts w:hint="default"/>
        <w:lang w:val="zh-CN" w:eastAsia="zh-CN" w:bidi="zh-CN"/>
      </w:rPr>
    </w:lvl>
    <w:lvl w:ilvl="5" w:tentative="0">
      <w:start w:val="0"/>
      <w:numFmt w:val="bullet"/>
      <w:lvlText w:val="•"/>
      <w:lvlJc w:val="left"/>
      <w:pPr>
        <w:ind w:left="1080" w:hanging="370"/>
      </w:pPr>
      <w:rPr>
        <w:rFonts w:hint="default"/>
        <w:lang w:val="zh-CN" w:eastAsia="zh-CN" w:bidi="zh-CN"/>
      </w:rPr>
    </w:lvl>
    <w:lvl w:ilvl="6" w:tentative="0">
      <w:start w:val="0"/>
      <w:numFmt w:val="bullet"/>
      <w:lvlText w:val="•"/>
      <w:lvlJc w:val="left"/>
      <w:pPr>
        <w:ind w:left="1160" w:hanging="370"/>
      </w:pPr>
      <w:rPr>
        <w:rFonts w:hint="default"/>
        <w:lang w:val="zh-CN" w:eastAsia="zh-CN" w:bidi="zh-CN"/>
      </w:rPr>
    </w:lvl>
    <w:lvl w:ilvl="7" w:tentative="0">
      <w:start w:val="0"/>
      <w:numFmt w:val="bullet"/>
      <w:lvlText w:val="•"/>
      <w:lvlJc w:val="left"/>
      <w:pPr>
        <w:ind w:left="1280" w:hanging="370"/>
      </w:pPr>
      <w:rPr>
        <w:rFonts w:hint="default"/>
        <w:lang w:val="zh-CN" w:eastAsia="zh-CN" w:bidi="zh-CN"/>
      </w:rPr>
    </w:lvl>
    <w:lvl w:ilvl="8" w:tentative="0">
      <w:start w:val="0"/>
      <w:numFmt w:val="bullet"/>
      <w:lvlText w:val="•"/>
      <w:lvlJc w:val="left"/>
      <w:pPr>
        <w:ind w:left="4180" w:hanging="370"/>
      </w:pPr>
      <w:rPr>
        <w:rFonts w:hint="default"/>
        <w:lang w:val="zh-CN" w:eastAsia="zh-CN" w:bidi="zh-CN"/>
      </w:rPr>
    </w:lvl>
  </w:abstractNum>
  <w:abstractNum w:abstractNumId="8">
    <w:nsid w:val="DCBA6B53"/>
    <w:multiLevelType w:val="multilevel"/>
    <w:tmpl w:val="DCBA6B53"/>
    <w:lvl w:ilvl="0" w:tentative="0">
      <w:start w:val="1"/>
      <w:numFmt w:val="decimal"/>
      <w:lvlText w:val="（%1）"/>
      <w:lvlJc w:val="left"/>
      <w:pPr>
        <w:ind w:left="964"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62" w:hanging="525"/>
      </w:pPr>
      <w:rPr>
        <w:rFonts w:hint="default"/>
        <w:lang w:val="zh-CN" w:eastAsia="zh-CN" w:bidi="zh-CN"/>
      </w:rPr>
    </w:lvl>
    <w:lvl w:ilvl="2" w:tentative="0">
      <w:start w:val="0"/>
      <w:numFmt w:val="bullet"/>
      <w:lvlText w:val="•"/>
      <w:lvlJc w:val="left"/>
      <w:pPr>
        <w:ind w:left="2764" w:hanging="525"/>
      </w:pPr>
      <w:rPr>
        <w:rFonts w:hint="default"/>
        <w:lang w:val="zh-CN" w:eastAsia="zh-CN" w:bidi="zh-CN"/>
      </w:rPr>
    </w:lvl>
    <w:lvl w:ilvl="3" w:tentative="0">
      <w:start w:val="0"/>
      <w:numFmt w:val="bullet"/>
      <w:lvlText w:val="•"/>
      <w:lvlJc w:val="left"/>
      <w:pPr>
        <w:ind w:left="3666" w:hanging="525"/>
      </w:pPr>
      <w:rPr>
        <w:rFonts w:hint="default"/>
        <w:lang w:val="zh-CN" w:eastAsia="zh-CN" w:bidi="zh-CN"/>
      </w:rPr>
    </w:lvl>
    <w:lvl w:ilvl="4" w:tentative="0">
      <w:start w:val="0"/>
      <w:numFmt w:val="bullet"/>
      <w:lvlText w:val="•"/>
      <w:lvlJc w:val="left"/>
      <w:pPr>
        <w:ind w:left="4568" w:hanging="525"/>
      </w:pPr>
      <w:rPr>
        <w:rFonts w:hint="default"/>
        <w:lang w:val="zh-CN" w:eastAsia="zh-CN" w:bidi="zh-CN"/>
      </w:rPr>
    </w:lvl>
    <w:lvl w:ilvl="5" w:tentative="0">
      <w:start w:val="0"/>
      <w:numFmt w:val="bullet"/>
      <w:lvlText w:val="•"/>
      <w:lvlJc w:val="left"/>
      <w:pPr>
        <w:ind w:left="5470" w:hanging="525"/>
      </w:pPr>
      <w:rPr>
        <w:rFonts w:hint="default"/>
        <w:lang w:val="zh-CN" w:eastAsia="zh-CN" w:bidi="zh-CN"/>
      </w:rPr>
    </w:lvl>
    <w:lvl w:ilvl="6" w:tentative="0">
      <w:start w:val="0"/>
      <w:numFmt w:val="bullet"/>
      <w:lvlText w:val="•"/>
      <w:lvlJc w:val="left"/>
      <w:pPr>
        <w:ind w:left="6372" w:hanging="525"/>
      </w:pPr>
      <w:rPr>
        <w:rFonts w:hint="default"/>
        <w:lang w:val="zh-CN" w:eastAsia="zh-CN" w:bidi="zh-CN"/>
      </w:rPr>
    </w:lvl>
    <w:lvl w:ilvl="7" w:tentative="0">
      <w:start w:val="0"/>
      <w:numFmt w:val="bullet"/>
      <w:lvlText w:val="•"/>
      <w:lvlJc w:val="left"/>
      <w:pPr>
        <w:ind w:left="7274" w:hanging="525"/>
      </w:pPr>
      <w:rPr>
        <w:rFonts w:hint="default"/>
        <w:lang w:val="zh-CN" w:eastAsia="zh-CN" w:bidi="zh-CN"/>
      </w:rPr>
    </w:lvl>
    <w:lvl w:ilvl="8" w:tentative="0">
      <w:start w:val="0"/>
      <w:numFmt w:val="bullet"/>
      <w:lvlText w:val="•"/>
      <w:lvlJc w:val="left"/>
      <w:pPr>
        <w:ind w:left="8176" w:hanging="525"/>
      </w:pPr>
      <w:rPr>
        <w:rFonts w:hint="default"/>
        <w:lang w:val="zh-CN" w:eastAsia="zh-CN" w:bidi="zh-CN"/>
      </w:rPr>
    </w:lvl>
  </w:abstractNum>
  <w:abstractNum w:abstractNumId="9">
    <w:nsid w:val="F4B5D9F5"/>
    <w:multiLevelType w:val="multilevel"/>
    <w:tmpl w:val="F4B5D9F5"/>
    <w:lvl w:ilvl="0" w:tentative="0">
      <w:start w:val="2"/>
      <w:numFmt w:val="decimal"/>
      <w:lvlText w:val="%1"/>
      <w:lvlJc w:val="left"/>
      <w:pPr>
        <w:ind w:left="440" w:hanging="317"/>
      </w:pPr>
      <w:rPr>
        <w:rFonts w:hint="default"/>
        <w:lang w:val="zh-CN" w:eastAsia="zh-CN" w:bidi="zh-CN"/>
      </w:rPr>
    </w:lvl>
    <w:lvl w:ilvl="1" w:tentative="0">
      <w:start w:val="1"/>
      <w:numFmt w:val="decimal"/>
      <w:lvlText w:val="%1.%2"/>
      <w:lvlJc w:val="left"/>
      <w:pPr>
        <w:ind w:left="440" w:hanging="317"/>
      </w:pPr>
      <w:rPr>
        <w:rFonts w:hint="default" w:ascii="宋体" w:hAnsi="宋体" w:eastAsia="宋体" w:cs="宋体"/>
        <w:spacing w:val="-2"/>
        <w:w w:val="99"/>
        <w:sz w:val="19"/>
        <w:szCs w:val="19"/>
        <w:lang w:val="zh-CN" w:eastAsia="zh-CN" w:bidi="zh-CN"/>
      </w:rPr>
    </w:lvl>
    <w:lvl w:ilvl="2" w:tentative="0">
      <w:start w:val="1"/>
      <w:numFmt w:val="decimal"/>
      <w:lvlText w:val="%3)"/>
      <w:lvlJc w:val="left"/>
      <w:pPr>
        <w:ind w:left="1697" w:hanging="420"/>
      </w:pPr>
      <w:rPr>
        <w:rFonts w:hint="default" w:ascii="宋体" w:hAnsi="宋体" w:eastAsia="宋体" w:cs="宋体"/>
        <w:spacing w:val="0"/>
        <w:w w:val="99"/>
        <w:sz w:val="21"/>
        <w:szCs w:val="21"/>
        <w:lang w:val="zh-CN" w:eastAsia="zh-CN" w:bidi="zh-CN"/>
      </w:rPr>
    </w:lvl>
    <w:lvl w:ilvl="3" w:tentative="0">
      <w:start w:val="0"/>
      <w:numFmt w:val="bullet"/>
      <w:lvlText w:val="•"/>
      <w:lvlJc w:val="left"/>
      <w:pPr>
        <w:ind w:left="3540" w:hanging="420"/>
      </w:pPr>
      <w:rPr>
        <w:rFonts w:hint="default"/>
        <w:lang w:val="zh-CN" w:eastAsia="zh-CN" w:bidi="zh-CN"/>
      </w:rPr>
    </w:lvl>
    <w:lvl w:ilvl="4" w:tentative="0">
      <w:start w:val="0"/>
      <w:numFmt w:val="bullet"/>
      <w:lvlText w:val="•"/>
      <w:lvlJc w:val="left"/>
      <w:pPr>
        <w:ind w:left="4460" w:hanging="420"/>
      </w:pPr>
      <w:rPr>
        <w:rFonts w:hint="default"/>
        <w:lang w:val="zh-CN" w:eastAsia="zh-CN" w:bidi="zh-CN"/>
      </w:rPr>
    </w:lvl>
    <w:lvl w:ilvl="5" w:tentative="0">
      <w:start w:val="0"/>
      <w:numFmt w:val="bullet"/>
      <w:lvlText w:val="•"/>
      <w:lvlJc w:val="left"/>
      <w:pPr>
        <w:ind w:left="5380" w:hanging="420"/>
      </w:pPr>
      <w:rPr>
        <w:rFonts w:hint="default"/>
        <w:lang w:val="zh-CN" w:eastAsia="zh-CN" w:bidi="zh-CN"/>
      </w:rPr>
    </w:lvl>
    <w:lvl w:ilvl="6" w:tentative="0">
      <w:start w:val="0"/>
      <w:numFmt w:val="bullet"/>
      <w:lvlText w:val="•"/>
      <w:lvlJc w:val="left"/>
      <w:pPr>
        <w:ind w:left="6300" w:hanging="420"/>
      </w:pPr>
      <w:rPr>
        <w:rFonts w:hint="default"/>
        <w:lang w:val="zh-CN" w:eastAsia="zh-CN" w:bidi="zh-CN"/>
      </w:rPr>
    </w:lvl>
    <w:lvl w:ilvl="7" w:tentative="0">
      <w:start w:val="0"/>
      <w:numFmt w:val="bullet"/>
      <w:lvlText w:val="•"/>
      <w:lvlJc w:val="left"/>
      <w:pPr>
        <w:ind w:left="7220" w:hanging="420"/>
      </w:pPr>
      <w:rPr>
        <w:rFonts w:hint="default"/>
        <w:lang w:val="zh-CN" w:eastAsia="zh-CN" w:bidi="zh-CN"/>
      </w:rPr>
    </w:lvl>
    <w:lvl w:ilvl="8" w:tentative="0">
      <w:start w:val="0"/>
      <w:numFmt w:val="bullet"/>
      <w:lvlText w:val="•"/>
      <w:lvlJc w:val="left"/>
      <w:pPr>
        <w:ind w:left="8140" w:hanging="420"/>
      </w:pPr>
      <w:rPr>
        <w:rFonts w:hint="default"/>
        <w:lang w:val="zh-CN" w:eastAsia="zh-CN" w:bidi="zh-CN"/>
      </w:rPr>
    </w:lvl>
  </w:abstractNum>
  <w:abstractNum w:abstractNumId="10">
    <w:nsid w:val="F589DBC5"/>
    <w:multiLevelType w:val="singleLevel"/>
    <w:tmpl w:val="F589DBC5"/>
    <w:lvl w:ilvl="0" w:tentative="0">
      <w:start w:val="2"/>
      <w:numFmt w:val="chineseCounting"/>
      <w:suff w:val="nothing"/>
      <w:lvlText w:val="（%1）"/>
      <w:lvlJc w:val="left"/>
      <w:rPr>
        <w:rFonts w:hint="eastAsia"/>
      </w:rPr>
    </w:lvl>
  </w:abstractNum>
  <w:abstractNum w:abstractNumId="11">
    <w:nsid w:val="F5F67F19"/>
    <w:multiLevelType w:val="singleLevel"/>
    <w:tmpl w:val="F5F67F19"/>
    <w:lvl w:ilvl="0" w:tentative="0">
      <w:start w:val="1"/>
      <w:numFmt w:val="decimalEnclosedCircleChinese"/>
      <w:suff w:val="nothing"/>
      <w:lvlText w:val="%1　"/>
      <w:lvlJc w:val="left"/>
      <w:pPr>
        <w:ind w:left="0" w:firstLine="400"/>
      </w:pPr>
      <w:rPr>
        <w:rFonts w:hint="eastAsia"/>
      </w:rPr>
    </w:lvl>
  </w:abstractNum>
  <w:abstractNum w:abstractNumId="12">
    <w:nsid w:val="00000015"/>
    <w:multiLevelType w:val="multilevel"/>
    <w:tmpl w:val="00000015"/>
    <w:lvl w:ilvl="0" w:tentative="0">
      <w:start w:val="1"/>
      <w:numFmt w:val="chineseCountingThousand"/>
      <w:lvlText w:val="第%1条"/>
      <w:lvlJc w:val="left"/>
      <w:pPr>
        <w:ind w:left="420" w:hanging="420"/>
      </w:pPr>
      <w:rPr>
        <w:rFonts w:hint="eastAsia"/>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13">
    <w:nsid w:val="03D62ECE"/>
    <w:multiLevelType w:val="multilevel"/>
    <w:tmpl w:val="03D62ECE"/>
    <w:lvl w:ilvl="0" w:tentative="0">
      <w:start w:val="4"/>
      <w:numFmt w:val="decimal"/>
      <w:lvlText w:val="%1"/>
      <w:lvlJc w:val="left"/>
      <w:pPr>
        <w:ind w:left="968" w:hanging="528"/>
      </w:pPr>
      <w:rPr>
        <w:rFonts w:hint="default"/>
        <w:lang w:val="zh-CN" w:eastAsia="zh-CN" w:bidi="zh-CN"/>
      </w:rPr>
    </w:lvl>
    <w:lvl w:ilvl="1" w:tentative="0">
      <w:start w:val="2"/>
      <w:numFmt w:val="decimal"/>
      <w:lvlText w:val="%1.%2"/>
      <w:lvlJc w:val="left"/>
      <w:pPr>
        <w:ind w:left="968" w:hanging="528"/>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440" w:hanging="629"/>
      </w:pPr>
      <w:rPr>
        <w:rFonts w:hint="default"/>
        <w:spacing w:val="-2"/>
        <w:w w:val="99"/>
        <w:lang w:val="zh-CN" w:eastAsia="zh-CN" w:bidi="zh-CN"/>
      </w:rPr>
    </w:lvl>
    <w:lvl w:ilvl="3" w:tentative="0">
      <w:start w:val="1"/>
      <w:numFmt w:val="decimal"/>
      <w:lvlText w:val="（%4）"/>
      <w:lvlJc w:val="left"/>
      <w:pPr>
        <w:ind w:left="1384" w:hanging="525"/>
      </w:pPr>
      <w:rPr>
        <w:rFonts w:hint="default" w:ascii="宋体" w:hAnsi="宋体" w:eastAsia="宋体" w:cs="宋体"/>
        <w:spacing w:val="-1"/>
        <w:w w:val="99"/>
        <w:sz w:val="19"/>
        <w:szCs w:val="19"/>
        <w:lang w:val="zh-CN" w:eastAsia="zh-CN" w:bidi="zh-CN"/>
      </w:rPr>
    </w:lvl>
    <w:lvl w:ilvl="4" w:tentative="0">
      <w:start w:val="0"/>
      <w:numFmt w:val="bullet"/>
      <w:lvlText w:val="•"/>
      <w:lvlJc w:val="left"/>
      <w:pPr>
        <w:ind w:left="3530" w:hanging="525"/>
      </w:pPr>
      <w:rPr>
        <w:rFonts w:hint="default"/>
        <w:lang w:val="zh-CN" w:eastAsia="zh-CN" w:bidi="zh-CN"/>
      </w:rPr>
    </w:lvl>
    <w:lvl w:ilvl="5" w:tentative="0">
      <w:start w:val="0"/>
      <w:numFmt w:val="bullet"/>
      <w:lvlText w:val="•"/>
      <w:lvlJc w:val="left"/>
      <w:pPr>
        <w:ind w:left="4605" w:hanging="525"/>
      </w:pPr>
      <w:rPr>
        <w:rFonts w:hint="default"/>
        <w:lang w:val="zh-CN" w:eastAsia="zh-CN" w:bidi="zh-CN"/>
      </w:rPr>
    </w:lvl>
    <w:lvl w:ilvl="6" w:tentative="0">
      <w:start w:val="0"/>
      <w:numFmt w:val="bullet"/>
      <w:lvlText w:val="•"/>
      <w:lvlJc w:val="left"/>
      <w:pPr>
        <w:ind w:left="5680" w:hanging="525"/>
      </w:pPr>
      <w:rPr>
        <w:rFonts w:hint="default"/>
        <w:lang w:val="zh-CN" w:eastAsia="zh-CN" w:bidi="zh-CN"/>
      </w:rPr>
    </w:lvl>
    <w:lvl w:ilvl="7" w:tentative="0">
      <w:start w:val="0"/>
      <w:numFmt w:val="bullet"/>
      <w:lvlText w:val="•"/>
      <w:lvlJc w:val="left"/>
      <w:pPr>
        <w:ind w:left="6755" w:hanging="525"/>
      </w:pPr>
      <w:rPr>
        <w:rFonts w:hint="default"/>
        <w:lang w:val="zh-CN" w:eastAsia="zh-CN" w:bidi="zh-CN"/>
      </w:rPr>
    </w:lvl>
    <w:lvl w:ilvl="8" w:tentative="0">
      <w:start w:val="0"/>
      <w:numFmt w:val="bullet"/>
      <w:lvlText w:val="•"/>
      <w:lvlJc w:val="left"/>
      <w:pPr>
        <w:ind w:left="7830" w:hanging="525"/>
      </w:pPr>
      <w:rPr>
        <w:rFonts w:hint="default"/>
        <w:lang w:val="zh-CN" w:eastAsia="zh-CN" w:bidi="zh-CN"/>
      </w:rPr>
    </w:lvl>
  </w:abstractNum>
  <w:abstractNum w:abstractNumId="14">
    <w:nsid w:val="04885375"/>
    <w:multiLevelType w:val="singleLevel"/>
    <w:tmpl w:val="04885375"/>
    <w:lvl w:ilvl="0" w:tentative="0">
      <w:start w:val="1"/>
      <w:numFmt w:val="chineseCounting"/>
      <w:suff w:val="nothing"/>
      <w:lvlText w:val="%1、"/>
      <w:lvlJc w:val="left"/>
      <w:rPr>
        <w:rFonts w:hint="eastAsia"/>
      </w:rPr>
    </w:lvl>
  </w:abstractNum>
  <w:abstractNum w:abstractNumId="15">
    <w:nsid w:val="22084352"/>
    <w:multiLevelType w:val="multilevel"/>
    <w:tmpl w:val="22084352"/>
    <w:lvl w:ilvl="0" w:tentative="0">
      <w:start w:val="1"/>
      <w:numFmt w:val="decimal"/>
      <w:lvlText w:val="%1."/>
      <w:lvlJc w:val="left"/>
      <w:pPr>
        <w:tabs>
          <w:tab w:val="left" w:pos="1264"/>
        </w:tabs>
        <w:ind w:left="1264"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470EC97"/>
    <w:multiLevelType w:val="multilevel"/>
    <w:tmpl w:val="2470EC97"/>
    <w:lvl w:ilvl="0" w:tentative="0">
      <w:start w:val="1"/>
      <w:numFmt w:val="decimal"/>
      <w:lvlText w:val="（%1）"/>
      <w:lvlJc w:val="left"/>
      <w:pPr>
        <w:ind w:left="964"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62" w:hanging="525"/>
      </w:pPr>
      <w:rPr>
        <w:rFonts w:hint="default"/>
        <w:lang w:val="zh-CN" w:eastAsia="zh-CN" w:bidi="zh-CN"/>
      </w:rPr>
    </w:lvl>
    <w:lvl w:ilvl="2" w:tentative="0">
      <w:start w:val="0"/>
      <w:numFmt w:val="bullet"/>
      <w:lvlText w:val="•"/>
      <w:lvlJc w:val="left"/>
      <w:pPr>
        <w:ind w:left="2764" w:hanging="525"/>
      </w:pPr>
      <w:rPr>
        <w:rFonts w:hint="default"/>
        <w:lang w:val="zh-CN" w:eastAsia="zh-CN" w:bidi="zh-CN"/>
      </w:rPr>
    </w:lvl>
    <w:lvl w:ilvl="3" w:tentative="0">
      <w:start w:val="0"/>
      <w:numFmt w:val="bullet"/>
      <w:lvlText w:val="•"/>
      <w:lvlJc w:val="left"/>
      <w:pPr>
        <w:ind w:left="3666" w:hanging="525"/>
      </w:pPr>
      <w:rPr>
        <w:rFonts w:hint="default"/>
        <w:lang w:val="zh-CN" w:eastAsia="zh-CN" w:bidi="zh-CN"/>
      </w:rPr>
    </w:lvl>
    <w:lvl w:ilvl="4" w:tentative="0">
      <w:start w:val="0"/>
      <w:numFmt w:val="bullet"/>
      <w:lvlText w:val="•"/>
      <w:lvlJc w:val="left"/>
      <w:pPr>
        <w:ind w:left="4568" w:hanging="525"/>
      </w:pPr>
      <w:rPr>
        <w:rFonts w:hint="default"/>
        <w:lang w:val="zh-CN" w:eastAsia="zh-CN" w:bidi="zh-CN"/>
      </w:rPr>
    </w:lvl>
    <w:lvl w:ilvl="5" w:tentative="0">
      <w:start w:val="0"/>
      <w:numFmt w:val="bullet"/>
      <w:lvlText w:val="•"/>
      <w:lvlJc w:val="left"/>
      <w:pPr>
        <w:ind w:left="5470" w:hanging="525"/>
      </w:pPr>
      <w:rPr>
        <w:rFonts w:hint="default"/>
        <w:lang w:val="zh-CN" w:eastAsia="zh-CN" w:bidi="zh-CN"/>
      </w:rPr>
    </w:lvl>
    <w:lvl w:ilvl="6" w:tentative="0">
      <w:start w:val="0"/>
      <w:numFmt w:val="bullet"/>
      <w:lvlText w:val="•"/>
      <w:lvlJc w:val="left"/>
      <w:pPr>
        <w:ind w:left="6372" w:hanging="525"/>
      </w:pPr>
      <w:rPr>
        <w:rFonts w:hint="default"/>
        <w:lang w:val="zh-CN" w:eastAsia="zh-CN" w:bidi="zh-CN"/>
      </w:rPr>
    </w:lvl>
    <w:lvl w:ilvl="7" w:tentative="0">
      <w:start w:val="0"/>
      <w:numFmt w:val="bullet"/>
      <w:lvlText w:val="•"/>
      <w:lvlJc w:val="left"/>
      <w:pPr>
        <w:ind w:left="7274" w:hanging="525"/>
      </w:pPr>
      <w:rPr>
        <w:rFonts w:hint="default"/>
        <w:lang w:val="zh-CN" w:eastAsia="zh-CN" w:bidi="zh-CN"/>
      </w:rPr>
    </w:lvl>
    <w:lvl w:ilvl="8" w:tentative="0">
      <w:start w:val="0"/>
      <w:numFmt w:val="bullet"/>
      <w:lvlText w:val="•"/>
      <w:lvlJc w:val="left"/>
      <w:pPr>
        <w:ind w:left="8176" w:hanging="525"/>
      </w:pPr>
      <w:rPr>
        <w:rFonts w:hint="default"/>
        <w:lang w:val="zh-CN" w:eastAsia="zh-CN" w:bidi="zh-CN"/>
      </w:rPr>
    </w:lvl>
  </w:abstractNum>
  <w:abstractNum w:abstractNumId="17">
    <w:nsid w:val="25B654F3"/>
    <w:multiLevelType w:val="multilevel"/>
    <w:tmpl w:val="25B654F3"/>
    <w:lvl w:ilvl="0" w:tentative="0">
      <w:start w:val="5"/>
      <w:numFmt w:val="decimal"/>
      <w:lvlText w:val="%1"/>
      <w:lvlJc w:val="left"/>
      <w:pPr>
        <w:ind w:left="968" w:hanging="528"/>
      </w:pPr>
      <w:rPr>
        <w:rFonts w:hint="default"/>
        <w:lang w:val="zh-CN" w:eastAsia="zh-CN" w:bidi="zh-CN"/>
      </w:rPr>
    </w:lvl>
    <w:lvl w:ilvl="1" w:tentative="0">
      <w:start w:val="1"/>
      <w:numFmt w:val="decimal"/>
      <w:lvlText w:val="%1.%2"/>
      <w:lvlJc w:val="left"/>
      <w:pPr>
        <w:ind w:left="968" w:hanging="528"/>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440" w:hanging="62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964" w:hanging="629"/>
      </w:pPr>
      <w:rPr>
        <w:rFonts w:hint="default"/>
        <w:lang w:val="zh-CN" w:eastAsia="zh-CN" w:bidi="zh-CN"/>
      </w:rPr>
    </w:lvl>
    <w:lvl w:ilvl="4" w:tentative="0">
      <w:start w:val="0"/>
      <w:numFmt w:val="bullet"/>
      <w:lvlText w:val="•"/>
      <w:lvlJc w:val="left"/>
      <w:pPr>
        <w:ind w:left="3966" w:hanging="629"/>
      </w:pPr>
      <w:rPr>
        <w:rFonts w:hint="default"/>
        <w:lang w:val="zh-CN" w:eastAsia="zh-CN" w:bidi="zh-CN"/>
      </w:rPr>
    </w:lvl>
    <w:lvl w:ilvl="5" w:tentative="0">
      <w:start w:val="0"/>
      <w:numFmt w:val="bullet"/>
      <w:lvlText w:val="•"/>
      <w:lvlJc w:val="left"/>
      <w:pPr>
        <w:ind w:left="4968" w:hanging="629"/>
      </w:pPr>
      <w:rPr>
        <w:rFonts w:hint="default"/>
        <w:lang w:val="zh-CN" w:eastAsia="zh-CN" w:bidi="zh-CN"/>
      </w:rPr>
    </w:lvl>
    <w:lvl w:ilvl="6" w:tentative="0">
      <w:start w:val="0"/>
      <w:numFmt w:val="bullet"/>
      <w:lvlText w:val="•"/>
      <w:lvlJc w:val="left"/>
      <w:pPr>
        <w:ind w:left="5971" w:hanging="629"/>
      </w:pPr>
      <w:rPr>
        <w:rFonts w:hint="default"/>
        <w:lang w:val="zh-CN" w:eastAsia="zh-CN" w:bidi="zh-CN"/>
      </w:rPr>
    </w:lvl>
    <w:lvl w:ilvl="7" w:tentative="0">
      <w:start w:val="0"/>
      <w:numFmt w:val="bullet"/>
      <w:lvlText w:val="•"/>
      <w:lvlJc w:val="left"/>
      <w:pPr>
        <w:ind w:left="6973" w:hanging="629"/>
      </w:pPr>
      <w:rPr>
        <w:rFonts w:hint="default"/>
        <w:lang w:val="zh-CN" w:eastAsia="zh-CN" w:bidi="zh-CN"/>
      </w:rPr>
    </w:lvl>
    <w:lvl w:ilvl="8" w:tentative="0">
      <w:start w:val="0"/>
      <w:numFmt w:val="bullet"/>
      <w:lvlText w:val="•"/>
      <w:lvlJc w:val="left"/>
      <w:pPr>
        <w:ind w:left="7975" w:hanging="629"/>
      </w:pPr>
      <w:rPr>
        <w:rFonts w:hint="default"/>
        <w:lang w:val="zh-CN" w:eastAsia="zh-CN" w:bidi="zh-CN"/>
      </w:rPr>
    </w:lvl>
  </w:abstractNum>
  <w:abstractNum w:abstractNumId="18">
    <w:nsid w:val="2A8F537B"/>
    <w:multiLevelType w:val="multilevel"/>
    <w:tmpl w:val="2A8F537B"/>
    <w:lvl w:ilvl="0" w:tentative="0">
      <w:start w:val="1"/>
      <w:numFmt w:val="decimal"/>
      <w:lvlText w:val="（%1）"/>
      <w:lvlJc w:val="left"/>
      <w:pPr>
        <w:ind w:left="964" w:hanging="525"/>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62" w:hanging="525"/>
      </w:pPr>
      <w:rPr>
        <w:rFonts w:hint="default"/>
        <w:lang w:val="zh-CN" w:eastAsia="zh-CN" w:bidi="zh-CN"/>
      </w:rPr>
    </w:lvl>
    <w:lvl w:ilvl="2" w:tentative="0">
      <w:start w:val="0"/>
      <w:numFmt w:val="bullet"/>
      <w:lvlText w:val="•"/>
      <w:lvlJc w:val="left"/>
      <w:pPr>
        <w:ind w:left="2764" w:hanging="525"/>
      </w:pPr>
      <w:rPr>
        <w:rFonts w:hint="default"/>
        <w:lang w:val="zh-CN" w:eastAsia="zh-CN" w:bidi="zh-CN"/>
      </w:rPr>
    </w:lvl>
    <w:lvl w:ilvl="3" w:tentative="0">
      <w:start w:val="0"/>
      <w:numFmt w:val="bullet"/>
      <w:lvlText w:val="•"/>
      <w:lvlJc w:val="left"/>
      <w:pPr>
        <w:ind w:left="3666" w:hanging="525"/>
      </w:pPr>
      <w:rPr>
        <w:rFonts w:hint="default"/>
        <w:lang w:val="zh-CN" w:eastAsia="zh-CN" w:bidi="zh-CN"/>
      </w:rPr>
    </w:lvl>
    <w:lvl w:ilvl="4" w:tentative="0">
      <w:start w:val="0"/>
      <w:numFmt w:val="bullet"/>
      <w:lvlText w:val="•"/>
      <w:lvlJc w:val="left"/>
      <w:pPr>
        <w:ind w:left="4568" w:hanging="525"/>
      </w:pPr>
      <w:rPr>
        <w:rFonts w:hint="default"/>
        <w:lang w:val="zh-CN" w:eastAsia="zh-CN" w:bidi="zh-CN"/>
      </w:rPr>
    </w:lvl>
    <w:lvl w:ilvl="5" w:tentative="0">
      <w:start w:val="0"/>
      <w:numFmt w:val="bullet"/>
      <w:lvlText w:val="•"/>
      <w:lvlJc w:val="left"/>
      <w:pPr>
        <w:ind w:left="5470" w:hanging="525"/>
      </w:pPr>
      <w:rPr>
        <w:rFonts w:hint="default"/>
        <w:lang w:val="zh-CN" w:eastAsia="zh-CN" w:bidi="zh-CN"/>
      </w:rPr>
    </w:lvl>
    <w:lvl w:ilvl="6" w:tentative="0">
      <w:start w:val="0"/>
      <w:numFmt w:val="bullet"/>
      <w:lvlText w:val="•"/>
      <w:lvlJc w:val="left"/>
      <w:pPr>
        <w:ind w:left="6372" w:hanging="525"/>
      </w:pPr>
      <w:rPr>
        <w:rFonts w:hint="default"/>
        <w:lang w:val="zh-CN" w:eastAsia="zh-CN" w:bidi="zh-CN"/>
      </w:rPr>
    </w:lvl>
    <w:lvl w:ilvl="7" w:tentative="0">
      <w:start w:val="0"/>
      <w:numFmt w:val="bullet"/>
      <w:lvlText w:val="•"/>
      <w:lvlJc w:val="left"/>
      <w:pPr>
        <w:ind w:left="7274" w:hanging="525"/>
      </w:pPr>
      <w:rPr>
        <w:rFonts w:hint="default"/>
        <w:lang w:val="zh-CN" w:eastAsia="zh-CN" w:bidi="zh-CN"/>
      </w:rPr>
    </w:lvl>
    <w:lvl w:ilvl="8" w:tentative="0">
      <w:start w:val="0"/>
      <w:numFmt w:val="bullet"/>
      <w:lvlText w:val="•"/>
      <w:lvlJc w:val="left"/>
      <w:pPr>
        <w:ind w:left="8176" w:hanging="525"/>
      </w:pPr>
      <w:rPr>
        <w:rFonts w:hint="default"/>
        <w:lang w:val="zh-CN" w:eastAsia="zh-CN" w:bidi="zh-CN"/>
      </w:rPr>
    </w:lvl>
  </w:abstractNum>
  <w:abstractNum w:abstractNumId="19">
    <w:nsid w:val="411D37CE"/>
    <w:multiLevelType w:val="multilevel"/>
    <w:tmpl w:val="411D37CE"/>
    <w:lvl w:ilvl="0" w:tentative="0">
      <w:start w:val="1"/>
      <w:numFmt w:val="japaneseCounting"/>
      <w:lvlText w:val="%1、"/>
      <w:lvlJc w:val="left"/>
      <w:pPr>
        <w:ind w:left="862"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D4DC07F"/>
    <w:multiLevelType w:val="multilevel"/>
    <w:tmpl w:val="4D4DC07F"/>
    <w:lvl w:ilvl="0" w:tentative="0">
      <w:start w:val="1"/>
      <w:numFmt w:val="decimal"/>
      <w:lvlText w:val="%1."/>
      <w:lvlJc w:val="left"/>
      <w:pPr>
        <w:ind w:left="653" w:hanging="214"/>
        <w:jc w:val="right"/>
      </w:pPr>
      <w:rPr>
        <w:rFonts w:hint="default"/>
        <w:b/>
        <w:bCs/>
        <w:spacing w:val="-2"/>
        <w:w w:val="98"/>
        <w:lang w:val="zh-CN" w:eastAsia="zh-CN" w:bidi="zh-CN"/>
      </w:rPr>
    </w:lvl>
    <w:lvl w:ilvl="1" w:tentative="0">
      <w:start w:val="1"/>
      <w:numFmt w:val="decimal"/>
      <w:lvlText w:val="%1.%2"/>
      <w:lvlJc w:val="left"/>
      <w:pPr>
        <w:ind w:left="440"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1695" w:hanging="368"/>
      </w:pPr>
      <w:rPr>
        <w:rFonts w:hint="default"/>
        <w:lang w:val="zh-CN" w:eastAsia="zh-CN" w:bidi="zh-CN"/>
      </w:rPr>
    </w:lvl>
    <w:lvl w:ilvl="3" w:tentative="0">
      <w:start w:val="0"/>
      <w:numFmt w:val="bullet"/>
      <w:lvlText w:val="•"/>
      <w:lvlJc w:val="left"/>
      <w:pPr>
        <w:ind w:left="2731" w:hanging="368"/>
      </w:pPr>
      <w:rPr>
        <w:rFonts w:hint="default"/>
        <w:lang w:val="zh-CN" w:eastAsia="zh-CN" w:bidi="zh-CN"/>
      </w:rPr>
    </w:lvl>
    <w:lvl w:ilvl="4" w:tentative="0">
      <w:start w:val="0"/>
      <w:numFmt w:val="bullet"/>
      <w:lvlText w:val="•"/>
      <w:lvlJc w:val="left"/>
      <w:pPr>
        <w:ind w:left="3766" w:hanging="368"/>
      </w:pPr>
      <w:rPr>
        <w:rFonts w:hint="default"/>
        <w:lang w:val="zh-CN" w:eastAsia="zh-CN" w:bidi="zh-CN"/>
      </w:rPr>
    </w:lvl>
    <w:lvl w:ilvl="5" w:tentative="0">
      <w:start w:val="0"/>
      <w:numFmt w:val="bullet"/>
      <w:lvlText w:val="•"/>
      <w:lvlJc w:val="left"/>
      <w:pPr>
        <w:ind w:left="4802" w:hanging="368"/>
      </w:pPr>
      <w:rPr>
        <w:rFonts w:hint="default"/>
        <w:lang w:val="zh-CN" w:eastAsia="zh-CN" w:bidi="zh-CN"/>
      </w:rPr>
    </w:lvl>
    <w:lvl w:ilvl="6" w:tentative="0">
      <w:start w:val="0"/>
      <w:numFmt w:val="bullet"/>
      <w:lvlText w:val="•"/>
      <w:lvlJc w:val="left"/>
      <w:pPr>
        <w:ind w:left="5837" w:hanging="368"/>
      </w:pPr>
      <w:rPr>
        <w:rFonts w:hint="default"/>
        <w:lang w:val="zh-CN" w:eastAsia="zh-CN" w:bidi="zh-CN"/>
      </w:rPr>
    </w:lvl>
    <w:lvl w:ilvl="7" w:tentative="0">
      <w:start w:val="0"/>
      <w:numFmt w:val="bullet"/>
      <w:lvlText w:val="•"/>
      <w:lvlJc w:val="left"/>
      <w:pPr>
        <w:ind w:left="6873" w:hanging="368"/>
      </w:pPr>
      <w:rPr>
        <w:rFonts w:hint="default"/>
        <w:lang w:val="zh-CN" w:eastAsia="zh-CN" w:bidi="zh-CN"/>
      </w:rPr>
    </w:lvl>
    <w:lvl w:ilvl="8" w:tentative="0">
      <w:start w:val="0"/>
      <w:numFmt w:val="bullet"/>
      <w:lvlText w:val="•"/>
      <w:lvlJc w:val="left"/>
      <w:pPr>
        <w:ind w:left="7908" w:hanging="368"/>
      </w:pPr>
      <w:rPr>
        <w:rFonts w:hint="default"/>
        <w:lang w:val="zh-CN" w:eastAsia="zh-CN" w:bidi="zh-CN"/>
      </w:rPr>
    </w:lvl>
  </w:abstractNum>
  <w:abstractNum w:abstractNumId="21">
    <w:nsid w:val="52F42418"/>
    <w:multiLevelType w:val="multilevel"/>
    <w:tmpl w:val="52F42418"/>
    <w:lvl w:ilvl="0" w:tentative="0">
      <w:start w:val="1"/>
      <w:numFmt w:val="decimal"/>
      <w:lvlText w:val="%1."/>
      <w:lvlJc w:val="left"/>
      <w:pPr>
        <w:tabs>
          <w:tab w:val="left" w:pos="420"/>
        </w:tabs>
        <w:ind w:left="420" w:hanging="420"/>
      </w:pPr>
      <w:rPr>
        <w:rFonts w:hint="eastAsia" w:ascii="宋体" w:hAnsi="宋体" w:eastAsia="宋体"/>
        <w:b w:val="0"/>
        <w:color w:val="auto"/>
      </w:rPr>
    </w:lvl>
    <w:lvl w:ilvl="1" w:tentative="0">
      <w:start w:val="1"/>
      <w:numFmt w:val="decimal"/>
      <w:lvlText w:val="%2、"/>
      <w:lvlJc w:val="left"/>
      <w:pPr>
        <w:tabs>
          <w:tab w:val="left" w:pos="885"/>
        </w:tabs>
        <w:ind w:left="885" w:hanging="360"/>
      </w:pPr>
      <w:rPr>
        <w:rFonts w:cs="Arial"/>
        <w:b w:val="0"/>
        <w:color w:val="auto"/>
        <w:sz w:val="21"/>
        <w:szCs w:val="21"/>
      </w:rPr>
    </w:lvl>
    <w:lvl w:ilvl="2" w:tentative="0">
      <w:start w:val="1"/>
      <w:numFmt w:val="decimal"/>
      <w:lvlText w:val="%1.%2.%3"/>
      <w:lvlJc w:val="left"/>
      <w:pPr>
        <w:tabs>
          <w:tab w:val="left" w:pos="1418"/>
        </w:tabs>
        <w:ind w:left="1418" w:hanging="567"/>
      </w:pPr>
      <w:rPr>
        <w:rFonts w:hint="eastAsia" w:ascii="宋体" w:hAnsi="宋体" w:eastAsia="宋体"/>
      </w:r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399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202"/>
        </w:tabs>
        <w:ind w:left="5102" w:hanging="1700"/>
      </w:pPr>
    </w:lvl>
  </w:abstractNum>
  <w:abstractNum w:abstractNumId="22">
    <w:nsid w:val="5711C96E"/>
    <w:multiLevelType w:val="singleLevel"/>
    <w:tmpl w:val="5711C96E"/>
    <w:lvl w:ilvl="0" w:tentative="0">
      <w:start w:val="2"/>
      <w:numFmt w:val="chineseCounting"/>
      <w:suff w:val="nothing"/>
      <w:lvlText w:val="%1、"/>
      <w:lvlJc w:val="left"/>
      <w:rPr>
        <w:rFonts w:hint="eastAsia"/>
      </w:rPr>
    </w:lvl>
  </w:abstractNum>
  <w:abstractNum w:abstractNumId="23">
    <w:nsid w:val="59ADCABA"/>
    <w:multiLevelType w:val="multilevel"/>
    <w:tmpl w:val="59ADCABA"/>
    <w:lvl w:ilvl="0" w:tentative="0">
      <w:start w:val="1"/>
      <w:numFmt w:val="decimal"/>
      <w:lvlText w:val="%1）"/>
      <w:lvlJc w:val="left"/>
      <w:pPr>
        <w:ind w:left="1178" w:hanging="314"/>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2060" w:hanging="314"/>
      </w:pPr>
      <w:rPr>
        <w:rFonts w:hint="default"/>
        <w:lang w:val="zh-CN" w:eastAsia="zh-CN" w:bidi="zh-CN"/>
      </w:rPr>
    </w:lvl>
    <w:lvl w:ilvl="2" w:tentative="0">
      <w:start w:val="0"/>
      <w:numFmt w:val="bullet"/>
      <w:lvlText w:val="•"/>
      <w:lvlJc w:val="left"/>
      <w:pPr>
        <w:ind w:left="2940" w:hanging="314"/>
      </w:pPr>
      <w:rPr>
        <w:rFonts w:hint="default"/>
        <w:lang w:val="zh-CN" w:eastAsia="zh-CN" w:bidi="zh-CN"/>
      </w:rPr>
    </w:lvl>
    <w:lvl w:ilvl="3" w:tentative="0">
      <w:start w:val="0"/>
      <w:numFmt w:val="bullet"/>
      <w:lvlText w:val="•"/>
      <w:lvlJc w:val="left"/>
      <w:pPr>
        <w:ind w:left="3820" w:hanging="314"/>
      </w:pPr>
      <w:rPr>
        <w:rFonts w:hint="default"/>
        <w:lang w:val="zh-CN" w:eastAsia="zh-CN" w:bidi="zh-CN"/>
      </w:rPr>
    </w:lvl>
    <w:lvl w:ilvl="4" w:tentative="0">
      <w:start w:val="0"/>
      <w:numFmt w:val="bullet"/>
      <w:lvlText w:val="•"/>
      <w:lvlJc w:val="left"/>
      <w:pPr>
        <w:ind w:left="4700" w:hanging="314"/>
      </w:pPr>
      <w:rPr>
        <w:rFonts w:hint="default"/>
        <w:lang w:val="zh-CN" w:eastAsia="zh-CN" w:bidi="zh-CN"/>
      </w:rPr>
    </w:lvl>
    <w:lvl w:ilvl="5" w:tentative="0">
      <w:start w:val="0"/>
      <w:numFmt w:val="bullet"/>
      <w:lvlText w:val="•"/>
      <w:lvlJc w:val="left"/>
      <w:pPr>
        <w:ind w:left="5580" w:hanging="314"/>
      </w:pPr>
      <w:rPr>
        <w:rFonts w:hint="default"/>
        <w:lang w:val="zh-CN" w:eastAsia="zh-CN" w:bidi="zh-CN"/>
      </w:rPr>
    </w:lvl>
    <w:lvl w:ilvl="6" w:tentative="0">
      <w:start w:val="0"/>
      <w:numFmt w:val="bullet"/>
      <w:lvlText w:val="•"/>
      <w:lvlJc w:val="left"/>
      <w:pPr>
        <w:ind w:left="6460" w:hanging="314"/>
      </w:pPr>
      <w:rPr>
        <w:rFonts w:hint="default"/>
        <w:lang w:val="zh-CN" w:eastAsia="zh-CN" w:bidi="zh-CN"/>
      </w:rPr>
    </w:lvl>
    <w:lvl w:ilvl="7" w:tentative="0">
      <w:start w:val="0"/>
      <w:numFmt w:val="bullet"/>
      <w:lvlText w:val="•"/>
      <w:lvlJc w:val="left"/>
      <w:pPr>
        <w:ind w:left="7340" w:hanging="314"/>
      </w:pPr>
      <w:rPr>
        <w:rFonts w:hint="default"/>
        <w:lang w:val="zh-CN" w:eastAsia="zh-CN" w:bidi="zh-CN"/>
      </w:rPr>
    </w:lvl>
    <w:lvl w:ilvl="8" w:tentative="0">
      <w:start w:val="0"/>
      <w:numFmt w:val="bullet"/>
      <w:lvlText w:val="•"/>
      <w:lvlJc w:val="left"/>
      <w:pPr>
        <w:ind w:left="8220" w:hanging="314"/>
      </w:pPr>
      <w:rPr>
        <w:rFonts w:hint="default"/>
        <w:lang w:val="zh-CN" w:eastAsia="zh-CN" w:bidi="zh-CN"/>
      </w:rPr>
    </w:lvl>
  </w:abstractNum>
  <w:abstractNum w:abstractNumId="24">
    <w:nsid w:val="5A241D34"/>
    <w:multiLevelType w:val="multilevel"/>
    <w:tmpl w:val="5A241D34"/>
    <w:lvl w:ilvl="0" w:tentative="0">
      <w:start w:val="1"/>
      <w:numFmt w:val="decimal"/>
      <w:lvlText w:val="（%1）"/>
      <w:lvlJc w:val="left"/>
      <w:pPr>
        <w:ind w:left="964" w:hanging="525"/>
      </w:pPr>
      <w:rPr>
        <w:rFonts w:hint="default" w:ascii="宋体" w:hAnsi="宋体" w:eastAsia="宋体" w:cs="宋体"/>
        <w:spacing w:val="-1"/>
        <w:w w:val="99"/>
        <w:sz w:val="19"/>
        <w:szCs w:val="19"/>
        <w:lang w:val="zh-CN" w:eastAsia="zh-CN" w:bidi="zh-CN"/>
      </w:rPr>
    </w:lvl>
    <w:lvl w:ilvl="1" w:tentative="0">
      <w:start w:val="1"/>
      <w:numFmt w:val="decimal"/>
      <w:lvlText w:val="（%2）"/>
      <w:lvlJc w:val="left"/>
      <w:pPr>
        <w:ind w:left="1384" w:hanging="525"/>
      </w:pPr>
      <w:rPr>
        <w:rFonts w:hint="default" w:ascii="宋体" w:hAnsi="宋体" w:eastAsia="宋体" w:cs="宋体"/>
        <w:spacing w:val="-1"/>
        <w:w w:val="99"/>
        <w:sz w:val="19"/>
        <w:szCs w:val="19"/>
        <w:lang w:val="zh-CN" w:eastAsia="zh-CN" w:bidi="zh-CN"/>
      </w:rPr>
    </w:lvl>
    <w:lvl w:ilvl="2" w:tentative="0">
      <w:start w:val="0"/>
      <w:numFmt w:val="bullet"/>
      <w:lvlText w:val="•"/>
      <w:lvlJc w:val="left"/>
      <w:pPr>
        <w:ind w:left="2335" w:hanging="525"/>
      </w:pPr>
      <w:rPr>
        <w:rFonts w:hint="default"/>
        <w:lang w:val="zh-CN" w:eastAsia="zh-CN" w:bidi="zh-CN"/>
      </w:rPr>
    </w:lvl>
    <w:lvl w:ilvl="3" w:tentative="0">
      <w:start w:val="0"/>
      <w:numFmt w:val="bullet"/>
      <w:lvlText w:val="•"/>
      <w:lvlJc w:val="left"/>
      <w:pPr>
        <w:ind w:left="3291" w:hanging="525"/>
      </w:pPr>
      <w:rPr>
        <w:rFonts w:hint="default"/>
        <w:lang w:val="zh-CN" w:eastAsia="zh-CN" w:bidi="zh-CN"/>
      </w:rPr>
    </w:lvl>
    <w:lvl w:ilvl="4" w:tentative="0">
      <w:start w:val="0"/>
      <w:numFmt w:val="bullet"/>
      <w:lvlText w:val="•"/>
      <w:lvlJc w:val="left"/>
      <w:pPr>
        <w:ind w:left="4246" w:hanging="525"/>
      </w:pPr>
      <w:rPr>
        <w:rFonts w:hint="default"/>
        <w:lang w:val="zh-CN" w:eastAsia="zh-CN" w:bidi="zh-CN"/>
      </w:rPr>
    </w:lvl>
    <w:lvl w:ilvl="5" w:tentative="0">
      <w:start w:val="0"/>
      <w:numFmt w:val="bullet"/>
      <w:lvlText w:val="•"/>
      <w:lvlJc w:val="left"/>
      <w:pPr>
        <w:ind w:left="5202" w:hanging="525"/>
      </w:pPr>
      <w:rPr>
        <w:rFonts w:hint="default"/>
        <w:lang w:val="zh-CN" w:eastAsia="zh-CN" w:bidi="zh-CN"/>
      </w:rPr>
    </w:lvl>
    <w:lvl w:ilvl="6" w:tentative="0">
      <w:start w:val="0"/>
      <w:numFmt w:val="bullet"/>
      <w:lvlText w:val="•"/>
      <w:lvlJc w:val="left"/>
      <w:pPr>
        <w:ind w:left="6157" w:hanging="525"/>
      </w:pPr>
      <w:rPr>
        <w:rFonts w:hint="default"/>
        <w:lang w:val="zh-CN" w:eastAsia="zh-CN" w:bidi="zh-CN"/>
      </w:rPr>
    </w:lvl>
    <w:lvl w:ilvl="7" w:tentative="0">
      <w:start w:val="0"/>
      <w:numFmt w:val="bullet"/>
      <w:lvlText w:val="•"/>
      <w:lvlJc w:val="left"/>
      <w:pPr>
        <w:ind w:left="7113" w:hanging="525"/>
      </w:pPr>
      <w:rPr>
        <w:rFonts w:hint="default"/>
        <w:lang w:val="zh-CN" w:eastAsia="zh-CN" w:bidi="zh-CN"/>
      </w:rPr>
    </w:lvl>
    <w:lvl w:ilvl="8" w:tentative="0">
      <w:start w:val="0"/>
      <w:numFmt w:val="bullet"/>
      <w:lvlText w:val="•"/>
      <w:lvlJc w:val="left"/>
      <w:pPr>
        <w:ind w:left="8068" w:hanging="525"/>
      </w:pPr>
      <w:rPr>
        <w:rFonts w:hint="default"/>
        <w:lang w:val="zh-CN" w:eastAsia="zh-CN" w:bidi="zh-CN"/>
      </w:rPr>
    </w:lvl>
  </w:abstractNum>
  <w:abstractNum w:abstractNumId="25">
    <w:nsid w:val="5EF1B39D"/>
    <w:multiLevelType w:val="singleLevel"/>
    <w:tmpl w:val="5EF1B39D"/>
    <w:lvl w:ilvl="0" w:tentative="0">
      <w:start w:val="5"/>
      <w:numFmt w:val="chineseCounting"/>
      <w:suff w:val="nothing"/>
      <w:lvlText w:val="%1、"/>
      <w:lvlJc w:val="left"/>
    </w:lvl>
  </w:abstractNum>
  <w:abstractNum w:abstractNumId="26">
    <w:nsid w:val="5EFC560E"/>
    <w:multiLevelType w:val="singleLevel"/>
    <w:tmpl w:val="5EFC560E"/>
    <w:lvl w:ilvl="0" w:tentative="0">
      <w:start w:val="1"/>
      <w:numFmt w:val="decimal"/>
      <w:suff w:val="nothing"/>
      <w:lvlText w:val="%1."/>
      <w:lvlJc w:val="left"/>
    </w:lvl>
  </w:abstractNum>
  <w:abstractNum w:abstractNumId="27">
    <w:nsid w:val="62C73125"/>
    <w:multiLevelType w:val="singleLevel"/>
    <w:tmpl w:val="62C73125"/>
    <w:lvl w:ilvl="0" w:tentative="0">
      <w:start w:val="1"/>
      <w:numFmt w:val="decimal"/>
      <w:lvlText w:val="%1."/>
      <w:lvlJc w:val="left"/>
      <w:pPr>
        <w:ind w:left="425" w:hanging="425"/>
      </w:pPr>
      <w:rPr>
        <w:rFonts w:hint="default"/>
      </w:rPr>
    </w:lvl>
  </w:abstractNum>
  <w:abstractNum w:abstractNumId="28">
    <w:nsid w:val="7403DC33"/>
    <w:multiLevelType w:val="singleLevel"/>
    <w:tmpl w:val="7403DC33"/>
    <w:lvl w:ilvl="0" w:tentative="0">
      <w:start w:val="1"/>
      <w:numFmt w:val="decimal"/>
      <w:lvlText w:val="%1."/>
      <w:lvlJc w:val="left"/>
      <w:pPr>
        <w:ind w:left="425" w:hanging="425"/>
      </w:pPr>
      <w:rPr>
        <w:rFonts w:hint="default"/>
      </w:r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7"/>
  </w:num>
  <w:num w:numId="6">
    <w:abstractNumId w:val="23"/>
  </w:num>
  <w:num w:numId="7">
    <w:abstractNumId w:val="5"/>
  </w:num>
  <w:num w:numId="8">
    <w:abstractNumId w:val="3"/>
  </w:num>
  <w:num w:numId="9">
    <w:abstractNumId w:val="13"/>
  </w:num>
  <w:num w:numId="10">
    <w:abstractNumId w:val="17"/>
  </w:num>
  <w:num w:numId="11">
    <w:abstractNumId w:val="19"/>
  </w:num>
  <w:num w:numId="12">
    <w:abstractNumId w:val="25"/>
  </w:num>
  <w:num w:numId="13">
    <w:abstractNumId w:val="26"/>
  </w:num>
  <w:num w:numId="14">
    <w:abstractNumId w:val="12"/>
  </w:num>
  <w:num w:numId="15">
    <w:abstractNumId w:val="0"/>
  </w:num>
  <w:num w:numId="16">
    <w:abstractNumId w:val="27"/>
  </w:num>
  <w:num w:numId="17">
    <w:abstractNumId w:val="1"/>
  </w:num>
  <w:num w:numId="18">
    <w:abstractNumId w:val="18"/>
  </w:num>
  <w:num w:numId="19">
    <w:abstractNumId w:val="24"/>
  </w:num>
  <w:num w:numId="20">
    <w:abstractNumId w:val="6"/>
  </w:num>
  <w:num w:numId="21">
    <w:abstractNumId w:val="20"/>
  </w:num>
  <w:num w:numId="22">
    <w:abstractNumId w:val="9"/>
  </w:num>
  <w:num w:numId="23">
    <w:abstractNumId w:val="16"/>
  </w:num>
  <w:num w:numId="24">
    <w:abstractNumId w:val="8"/>
  </w:num>
  <w:num w:numId="25">
    <w:abstractNumId w:val="2"/>
  </w:num>
  <w:num w:numId="26">
    <w:abstractNumId w:val="14"/>
  </w:num>
  <w:num w:numId="27">
    <w:abstractNumId w:val="4"/>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F0"/>
    <w:rsid w:val="00050B42"/>
    <w:rsid w:val="00052EDC"/>
    <w:rsid w:val="00080DE2"/>
    <w:rsid w:val="000A5585"/>
    <w:rsid w:val="000E6462"/>
    <w:rsid w:val="00190D35"/>
    <w:rsid w:val="001C1F6B"/>
    <w:rsid w:val="001D7F71"/>
    <w:rsid w:val="00280713"/>
    <w:rsid w:val="002B1584"/>
    <w:rsid w:val="002B5C2A"/>
    <w:rsid w:val="002D1504"/>
    <w:rsid w:val="003654DE"/>
    <w:rsid w:val="00374C4A"/>
    <w:rsid w:val="003D24DC"/>
    <w:rsid w:val="00411C15"/>
    <w:rsid w:val="004A348A"/>
    <w:rsid w:val="004B327F"/>
    <w:rsid w:val="004E24A0"/>
    <w:rsid w:val="005001D7"/>
    <w:rsid w:val="005165FE"/>
    <w:rsid w:val="00544155"/>
    <w:rsid w:val="005F5B41"/>
    <w:rsid w:val="00642FA6"/>
    <w:rsid w:val="006801C1"/>
    <w:rsid w:val="006B30A0"/>
    <w:rsid w:val="006D3012"/>
    <w:rsid w:val="006F300C"/>
    <w:rsid w:val="008171F9"/>
    <w:rsid w:val="008A290D"/>
    <w:rsid w:val="008B47DE"/>
    <w:rsid w:val="008C1337"/>
    <w:rsid w:val="008D26B3"/>
    <w:rsid w:val="008D7CA7"/>
    <w:rsid w:val="00903EDA"/>
    <w:rsid w:val="009318D1"/>
    <w:rsid w:val="00966FF0"/>
    <w:rsid w:val="00972505"/>
    <w:rsid w:val="009A68B2"/>
    <w:rsid w:val="00A9238E"/>
    <w:rsid w:val="00A96780"/>
    <w:rsid w:val="00AF76C0"/>
    <w:rsid w:val="00B54EFC"/>
    <w:rsid w:val="00B846A9"/>
    <w:rsid w:val="00BE2DB8"/>
    <w:rsid w:val="00C43CFA"/>
    <w:rsid w:val="00C87541"/>
    <w:rsid w:val="00C96159"/>
    <w:rsid w:val="00CD31C7"/>
    <w:rsid w:val="00CE0E76"/>
    <w:rsid w:val="00D17134"/>
    <w:rsid w:val="00D71251"/>
    <w:rsid w:val="00D96180"/>
    <w:rsid w:val="00DA0095"/>
    <w:rsid w:val="00E16969"/>
    <w:rsid w:val="00E81C10"/>
    <w:rsid w:val="00E838B2"/>
    <w:rsid w:val="00F734DC"/>
    <w:rsid w:val="00F83127"/>
    <w:rsid w:val="00FB52EB"/>
    <w:rsid w:val="00FF1744"/>
    <w:rsid w:val="00FF6E8A"/>
    <w:rsid w:val="0303578B"/>
    <w:rsid w:val="03785536"/>
    <w:rsid w:val="058C4CDA"/>
    <w:rsid w:val="05ED2887"/>
    <w:rsid w:val="070F2FD1"/>
    <w:rsid w:val="084A5726"/>
    <w:rsid w:val="086A1C6B"/>
    <w:rsid w:val="08C23BEC"/>
    <w:rsid w:val="08EB2F3B"/>
    <w:rsid w:val="0912200B"/>
    <w:rsid w:val="098253DC"/>
    <w:rsid w:val="09EB325B"/>
    <w:rsid w:val="0A143A55"/>
    <w:rsid w:val="0A9D5FED"/>
    <w:rsid w:val="0B1E05AF"/>
    <w:rsid w:val="0CDF6955"/>
    <w:rsid w:val="0CEF50D3"/>
    <w:rsid w:val="0CFC335A"/>
    <w:rsid w:val="0D13562C"/>
    <w:rsid w:val="0DE14979"/>
    <w:rsid w:val="0E7F5129"/>
    <w:rsid w:val="0EC60B19"/>
    <w:rsid w:val="0EF669D3"/>
    <w:rsid w:val="12620CA4"/>
    <w:rsid w:val="1325207D"/>
    <w:rsid w:val="13531C6D"/>
    <w:rsid w:val="13724C1D"/>
    <w:rsid w:val="14C87A54"/>
    <w:rsid w:val="169C1B16"/>
    <w:rsid w:val="177639CA"/>
    <w:rsid w:val="179F2B62"/>
    <w:rsid w:val="17C32D9F"/>
    <w:rsid w:val="18E3438F"/>
    <w:rsid w:val="192C1179"/>
    <w:rsid w:val="195D52EE"/>
    <w:rsid w:val="1DC524C1"/>
    <w:rsid w:val="1DFB35DE"/>
    <w:rsid w:val="1E6C46F3"/>
    <w:rsid w:val="1E855967"/>
    <w:rsid w:val="1EF6648B"/>
    <w:rsid w:val="1F1C7379"/>
    <w:rsid w:val="1F33149D"/>
    <w:rsid w:val="22961360"/>
    <w:rsid w:val="23327AF6"/>
    <w:rsid w:val="245041E0"/>
    <w:rsid w:val="253321A9"/>
    <w:rsid w:val="2540032E"/>
    <w:rsid w:val="2696353D"/>
    <w:rsid w:val="274241C0"/>
    <w:rsid w:val="27B96AD0"/>
    <w:rsid w:val="2902578F"/>
    <w:rsid w:val="29E70457"/>
    <w:rsid w:val="2A3B56AB"/>
    <w:rsid w:val="2C196C27"/>
    <w:rsid w:val="2D1749DA"/>
    <w:rsid w:val="2D4D3557"/>
    <w:rsid w:val="2E0006A2"/>
    <w:rsid w:val="2E035F5F"/>
    <w:rsid w:val="2E416B5D"/>
    <w:rsid w:val="2E5F359C"/>
    <w:rsid w:val="2F1A3B7E"/>
    <w:rsid w:val="30C1091D"/>
    <w:rsid w:val="32446835"/>
    <w:rsid w:val="328C0F33"/>
    <w:rsid w:val="32C7577C"/>
    <w:rsid w:val="332971A7"/>
    <w:rsid w:val="347C0E03"/>
    <w:rsid w:val="349148FC"/>
    <w:rsid w:val="34945D81"/>
    <w:rsid w:val="351D7FD6"/>
    <w:rsid w:val="356E4930"/>
    <w:rsid w:val="36283788"/>
    <w:rsid w:val="364B1C3A"/>
    <w:rsid w:val="368C13AD"/>
    <w:rsid w:val="36962974"/>
    <w:rsid w:val="37B94368"/>
    <w:rsid w:val="37DB2617"/>
    <w:rsid w:val="387F54FA"/>
    <w:rsid w:val="38B0407E"/>
    <w:rsid w:val="38D565A8"/>
    <w:rsid w:val="38E53400"/>
    <w:rsid w:val="3A531551"/>
    <w:rsid w:val="3ABA4259"/>
    <w:rsid w:val="3BBD5F62"/>
    <w:rsid w:val="3BE96EC8"/>
    <w:rsid w:val="3CD06818"/>
    <w:rsid w:val="3DCD2F33"/>
    <w:rsid w:val="3F9D2728"/>
    <w:rsid w:val="401D3E25"/>
    <w:rsid w:val="40F87F53"/>
    <w:rsid w:val="40FA05C9"/>
    <w:rsid w:val="41BF25C1"/>
    <w:rsid w:val="41DF5A7F"/>
    <w:rsid w:val="42A044DE"/>
    <w:rsid w:val="43E21292"/>
    <w:rsid w:val="449E7F90"/>
    <w:rsid w:val="464761CC"/>
    <w:rsid w:val="47294A2F"/>
    <w:rsid w:val="49675997"/>
    <w:rsid w:val="4A0D7A75"/>
    <w:rsid w:val="4AB978C0"/>
    <w:rsid w:val="4BFA6730"/>
    <w:rsid w:val="4BFB0F45"/>
    <w:rsid w:val="4C937292"/>
    <w:rsid w:val="506F15B3"/>
    <w:rsid w:val="508C7146"/>
    <w:rsid w:val="51224D63"/>
    <w:rsid w:val="514908DF"/>
    <w:rsid w:val="51AA4CD7"/>
    <w:rsid w:val="51B22175"/>
    <w:rsid w:val="51BC4D94"/>
    <w:rsid w:val="529E186D"/>
    <w:rsid w:val="52F51911"/>
    <w:rsid w:val="542D2B0C"/>
    <w:rsid w:val="5441098B"/>
    <w:rsid w:val="545F5C52"/>
    <w:rsid w:val="549B2062"/>
    <w:rsid w:val="551C5592"/>
    <w:rsid w:val="56940895"/>
    <w:rsid w:val="58F32B06"/>
    <w:rsid w:val="5B850567"/>
    <w:rsid w:val="5C50295B"/>
    <w:rsid w:val="5D2A640A"/>
    <w:rsid w:val="5D8C5C4D"/>
    <w:rsid w:val="5F4B175C"/>
    <w:rsid w:val="5FBE7175"/>
    <w:rsid w:val="603A2509"/>
    <w:rsid w:val="60AA539C"/>
    <w:rsid w:val="626C73A3"/>
    <w:rsid w:val="6379503A"/>
    <w:rsid w:val="64C97EA0"/>
    <w:rsid w:val="658016E7"/>
    <w:rsid w:val="65D277F2"/>
    <w:rsid w:val="65FB0DEB"/>
    <w:rsid w:val="66DC5B96"/>
    <w:rsid w:val="66FD1B52"/>
    <w:rsid w:val="672D4C28"/>
    <w:rsid w:val="67344437"/>
    <w:rsid w:val="67C97DAC"/>
    <w:rsid w:val="692C3430"/>
    <w:rsid w:val="69AC2952"/>
    <w:rsid w:val="6AB8695C"/>
    <w:rsid w:val="6AD82AB6"/>
    <w:rsid w:val="6B366B2D"/>
    <w:rsid w:val="6C1E0138"/>
    <w:rsid w:val="6C6829A9"/>
    <w:rsid w:val="6D2A7855"/>
    <w:rsid w:val="6D4E2880"/>
    <w:rsid w:val="6E356F5E"/>
    <w:rsid w:val="6EFF0BAF"/>
    <w:rsid w:val="6F01009F"/>
    <w:rsid w:val="6F41077A"/>
    <w:rsid w:val="702B23C4"/>
    <w:rsid w:val="715F14BB"/>
    <w:rsid w:val="718219EE"/>
    <w:rsid w:val="734715F2"/>
    <w:rsid w:val="74486B99"/>
    <w:rsid w:val="74CC28A2"/>
    <w:rsid w:val="750C0BC8"/>
    <w:rsid w:val="750E0CD2"/>
    <w:rsid w:val="754068A4"/>
    <w:rsid w:val="767E2B08"/>
    <w:rsid w:val="770A05FC"/>
    <w:rsid w:val="780C14FE"/>
    <w:rsid w:val="78A11715"/>
    <w:rsid w:val="791A4190"/>
    <w:rsid w:val="79853212"/>
    <w:rsid w:val="79C80A2D"/>
    <w:rsid w:val="7B215C79"/>
    <w:rsid w:val="7B2E5EF7"/>
    <w:rsid w:val="7BDC3836"/>
    <w:rsid w:val="7C6455B5"/>
    <w:rsid w:val="7E4C47FB"/>
    <w:rsid w:val="7EB95135"/>
    <w:rsid w:val="7FBA68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4"/>
      <w:ind w:left="584" w:right="1042"/>
      <w:jc w:val="center"/>
      <w:outlineLvl w:val="0"/>
    </w:pPr>
    <w:rPr>
      <w:b/>
      <w:bCs/>
      <w:sz w:val="32"/>
      <w:szCs w:val="32"/>
    </w:rPr>
  </w:style>
  <w:style w:type="paragraph" w:styleId="3">
    <w:name w:val="heading 2"/>
    <w:basedOn w:val="1"/>
    <w:next w:val="1"/>
    <w:qFormat/>
    <w:uiPriority w:val="1"/>
    <w:pPr>
      <w:spacing w:before="61"/>
      <w:ind w:left="586" w:right="1041"/>
      <w:jc w:val="center"/>
      <w:outlineLvl w:val="1"/>
    </w:pPr>
    <w:rPr>
      <w:rFonts w:ascii="黑体" w:hAnsi="黑体" w:eastAsia="黑体" w:cs="黑体"/>
      <w:sz w:val="28"/>
      <w:szCs w:val="28"/>
    </w:rPr>
  </w:style>
  <w:style w:type="paragraph" w:styleId="4">
    <w:name w:val="heading 3"/>
    <w:basedOn w:val="1"/>
    <w:next w:val="5"/>
    <w:qFormat/>
    <w:uiPriority w:val="1"/>
    <w:pPr>
      <w:spacing w:before="140"/>
      <w:ind w:left="586"/>
      <w:jc w:val="center"/>
      <w:outlineLvl w:val="2"/>
    </w:pPr>
    <w:rPr>
      <w:b/>
      <w:bCs/>
      <w:sz w:val="24"/>
      <w:szCs w:val="24"/>
    </w:rPr>
  </w:style>
  <w:style w:type="paragraph" w:styleId="6">
    <w:name w:val="heading 4"/>
    <w:basedOn w:val="1"/>
    <w:next w:val="1"/>
    <w:qFormat/>
    <w:uiPriority w:val="1"/>
    <w:pPr>
      <w:spacing w:before="1"/>
      <w:ind w:left="440"/>
      <w:outlineLvl w:val="3"/>
    </w:pPr>
    <w:rPr>
      <w:sz w:val="24"/>
      <w:szCs w:val="24"/>
    </w:rPr>
  </w:style>
  <w:style w:type="paragraph" w:styleId="7">
    <w:name w:val="heading 5"/>
    <w:basedOn w:val="1"/>
    <w:next w:val="1"/>
    <w:qFormat/>
    <w:uiPriority w:val="1"/>
    <w:pPr>
      <w:ind w:left="968" w:hanging="528"/>
      <w:outlineLvl w:val="4"/>
    </w:pPr>
    <w:rPr>
      <w:b/>
      <w:bCs/>
      <w:sz w:val="21"/>
      <w:szCs w:val="21"/>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8">
    <w:name w:val="Document Map"/>
    <w:basedOn w:val="1"/>
    <w:link w:val="34"/>
    <w:qFormat/>
    <w:uiPriority w:val="0"/>
    <w:rPr>
      <w:sz w:val="18"/>
      <w:szCs w:val="18"/>
    </w:rPr>
  </w:style>
  <w:style w:type="paragraph" w:styleId="9">
    <w:name w:val="annotation text"/>
    <w:basedOn w:val="1"/>
    <w:qFormat/>
    <w:uiPriority w:val="0"/>
  </w:style>
  <w:style w:type="paragraph" w:styleId="10">
    <w:name w:val="Body Text"/>
    <w:basedOn w:val="1"/>
    <w:qFormat/>
    <w:uiPriority w:val="1"/>
    <w:rPr>
      <w:sz w:val="21"/>
      <w:szCs w:val="21"/>
    </w:rPr>
  </w:style>
  <w:style w:type="paragraph" w:styleId="11">
    <w:name w:val="Body Text Indent"/>
    <w:basedOn w:val="1"/>
    <w:qFormat/>
    <w:uiPriority w:val="0"/>
    <w:pPr>
      <w:ind w:firstLine="360"/>
    </w:pPr>
    <w:rPr>
      <w:rFonts w:ascii="Arial" w:hAnsi="Arial"/>
    </w:rPr>
  </w:style>
  <w:style w:type="paragraph" w:styleId="12">
    <w:name w:val="List 2"/>
    <w:basedOn w:val="1"/>
    <w:qFormat/>
    <w:uiPriority w:val="0"/>
    <w:pPr>
      <w:ind w:left="100" w:leftChars="200" w:hanging="200" w:hangingChars="200"/>
    </w:pPr>
  </w:style>
  <w:style w:type="paragraph" w:styleId="13">
    <w:name w:val="Plain Text"/>
    <w:basedOn w:val="1"/>
    <w:next w:val="1"/>
    <w:qFormat/>
    <w:uiPriority w:val="0"/>
    <w:rPr>
      <w:rFonts w:hAnsi="Courier New"/>
      <w:szCs w:val="20"/>
    </w:rPr>
  </w:style>
  <w:style w:type="paragraph" w:styleId="14">
    <w:name w:val="Balloon Text"/>
    <w:basedOn w:val="1"/>
    <w:link w:val="33"/>
    <w:qFormat/>
    <w:uiPriority w:val="0"/>
    <w:rPr>
      <w:sz w:val="18"/>
      <w:szCs w:val="18"/>
    </w:rPr>
  </w:style>
  <w:style w:type="paragraph" w:styleId="15">
    <w:name w:val="footer"/>
    <w:basedOn w:val="1"/>
    <w:qFormat/>
    <w:uiPriority w:val="0"/>
    <w:pPr>
      <w:tabs>
        <w:tab w:val="center" w:pos="4153"/>
        <w:tab w:val="right" w:pos="8306"/>
      </w:tabs>
      <w:snapToGrid w:val="0"/>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1"/>
    <w:pPr>
      <w:spacing w:before="385"/>
      <w:ind w:left="440"/>
    </w:pPr>
    <w:rPr>
      <w:b/>
      <w:bCs/>
      <w:sz w:val="28"/>
      <w:szCs w:val="28"/>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annotation reference"/>
    <w:basedOn w:val="20"/>
    <w:qFormat/>
    <w:uiPriority w:val="0"/>
    <w:rPr>
      <w:sz w:val="21"/>
      <w:szCs w:val="21"/>
    </w:rPr>
  </w:style>
  <w:style w:type="paragraph" w:customStyle="1" w:styleId="22">
    <w:name w:val="_Style 5"/>
    <w:qFormat/>
    <w:uiPriority w:val="1"/>
    <w:pPr>
      <w:widowControl w:val="0"/>
    </w:pPr>
    <w:rPr>
      <w:rFonts w:ascii="Times New Roman" w:hAnsi="Times New Roman" w:eastAsia="宋体" w:cs="Times New Roman"/>
      <w:sz w:val="24"/>
      <w:szCs w:val="22"/>
      <w:lang w:val="en-US" w:eastAsia="en-US" w:bidi="ar-SA"/>
    </w:rPr>
  </w:style>
  <w:style w:type="table" w:customStyle="1" w:styleId="23">
    <w:name w:val="Table Normal"/>
    <w:unhideWhenUsed/>
    <w:qFormat/>
    <w:uiPriority w:val="2"/>
    <w:tblPr>
      <w:tblCellMar>
        <w:top w:w="0" w:type="dxa"/>
        <w:left w:w="0" w:type="dxa"/>
        <w:bottom w:w="0" w:type="dxa"/>
        <w:right w:w="0" w:type="dxa"/>
      </w:tblCellMar>
    </w:tblPr>
  </w:style>
  <w:style w:type="paragraph" w:customStyle="1" w:styleId="24">
    <w:name w:val="列表段落1"/>
    <w:basedOn w:val="1"/>
    <w:qFormat/>
    <w:uiPriority w:val="1"/>
    <w:pPr>
      <w:ind w:left="440"/>
    </w:pPr>
  </w:style>
  <w:style w:type="paragraph" w:customStyle="1" w:styleId="25">
    <w:name w:val="Table Paragraph"/>
    <w:basedOn w:val="1"/>
    <w:qFormat/>
    <w:uiPriority w:val="1"/>
    <w:rPr>
      <w:rFonts w:ascii="仿宋" w:hAnsi="仿宋" w:eastAsia="仿宋" w:cs="仿宋"/>
    </w:rPr>
  </w:style>
  <w:style w:type="paragraph" w:customStyle="1" w:styleId="26">
    <w:name w:val="彩色列表1"/>
    <w:basedOn w:val="1"/>
    <w:qFormat/>
    <w:uiPriority w:val="0"/>
    <w:pPr>
      <w:ind w:firstLine="420" w:firstLineChars="200"/>
    </w:pPr>
    <w:rPr>
      <w:rFonts w:ascii="Calibri" w:hAnsi="Calibri"/>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样式 小四 段前: 5 磅 段后: 5 磅 首行缩进:  2 字符"/>
    <w:basedOn w:val="1"/>
    <w:qFormat/>
    <w:uiPriority w:val="0"/>
    <w:pPr>
      <w:spacing w:line="360" w:lineRule="auto"/>
    </w:pPr>
    <w:rPr>
      <w:color w:val="000000"/>
      <w:sz w:val="24"/>
    </w:rPr>
  </w:style>
  <w:style w:type="paragraph" w:customStyle="1" w:styleId="29">
    <w:name w:val="图"/>
    <w:basedOn w:val="1"/>
    <w:qFormat/>
    <w:uiPriority w:val="0"/>
    <w:pPr>
      <w:keepNext/>
      <w:adjustRightInd w:val="0"/>
      <w:spacing w:before="60" w:after="60" w:line="300" w:lineRule="auto"/>
      <w:jc w:val="center"/>
      <w:textAlignment w:val="center"/>
    </w:pPr>
    <w:rPr>
      <w:snapToGrid w:val="0"/>
      <w:spacing w:val="20"/>
      <w:sz w:val="24"/>
      <w:szCs w:val="20"/>
    </w:rPr>
  </w:style>
  <w:style w:type="paragraph" w:customStyle="1" w:styleId="30">
    <w:name w:val="xl2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int="eastAsia" w:ascii="楷体_GB2312" w:eastAsia="楷体_GB2312"/>
      <w:sz w:val="24"/>
    </w:rPr>
  </w:style>
  <w:style w:type="character" w:customStyle="1" w:styleId="31">
    <w:name w:val="weby11"/>
    <w:qFormat/>
    <w:uiPriority w:val="0"/>
    <w:rPr>
      <w:sz w:val="18"/>
      <w:szCs w:val="18"/>
    </w:rPr>
  </w:style>
  <w:style w:type="paragraph" w:customStyle="1" w:styleId="32">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3">
    <w:name w:val="批注框文本 字符"/>
    <w:basedOn w:val="20"/>
    <w:link w:val="14"/>
    <w:qFormat/>
    <w:uiPriority w:val="0"/>
    <w:rPr>
      <w:sz w:val="18"/>
      <w:szCs w:val="18"/>
      <w:lang w:val="zh-CN" w:bidi="zh-CN"/>
    </w:rPr>
  </w:style>
  <w:style w:type="character" w:customStyle="1" w:styleId="34">
    <w:name w:val="文档结构图 字符"/>
    <w:basedOn w:val="20"/>
    <w:link w:val="8"/>
    <w:qFormat/>
    <w:uiPriority w:val="0"/>
    <w:rPr>
      <w:rFonts w:ascii="宋体" w:hAnsi="宋体" w:cs="宋体"/>
      <w:sz w:val="18"/>
      <w:szCs w:val="18"/>
      <w:lang w:val="zh-CN" w:bidi="zh-CN"/>
    </w:rPr>
  </w:style>
  <w:style w:type="character" w:customStyle="1" w:styleId="35">
    <w:name w:val="正文首行缩进 2 Char"/>
    <w:qFormat/>
    <w:uiPriority w:val="0"/>
    <w:rPr>
      <w:rFonts w:ascii="Arial" w:hAnsi="Arial" w:eastAsia="仿宋_GB2312" w:cs="Arial"/>
      <w:sz w:val="28"/>
      <w:szCs w:val="28"/>
    </w:rPr>
  </w:style>
  <w:style w:type="character" w:customStyle="1" w:styleId="36">
    <w:name w:val="font21"/>
    <w:basedOn w:val="20"/>
    <w:qFormat/>
    <w:uiPriority w:val="0"/>
    <w:rPr>
      <w:rFonts w:hint="eastAsia" w:ascii="宋体" w:hAnsi="宋体" w:eastAsia="宋体" w:cs="宋体"/>
      <w:color w:val="000000"/>
      <w:sz w:val="21"/>
      <w:szCs w:val="21"/>
      <w:u w:val="single"/>
    </w:rPr>
  </w:style>
  <w:style w:type="character" w:customStyle="1" w:styleId="37">
    <w:name w:val="font31"/>
    <w:basedOn w:val="20"/>
    <w:qFormat/>
    <w:uiPriority w:val="0"/>
    <w:rPr>
      <w:rFonts w:hint="eastAsia" w:ascii="宋体" w:hAnsi="宋体" w:eastAsia="宋体" w:cs="宋体"/>
      <w:color w:val="000000"/>
      <w:sz w:val="21"/>
      <w:szCs w:val="21"/>
      <w:u w:val="none"/>
    </w:rPr>
  </w:style>
  <w:style w:type="paragraph" w:customStyle="1" w:styleId="38">
    <w:name w:val="列出段落1"/>
    <w:basedOn w:val="1"/>
    <w:qFormat/>
    <w:uiPriority w:val="34"/>
    <w:pPr>
      <w:ind w:firstLine="420"/>
    </w:pPr>
  </w:style>
  <w:style w:type="paragraph" w:customStyle="1" w:styleId="39">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C1B0F-F9D8-4F4F-950F-57F6BAE0B30D}">
  <ds:schemaRefs/>
</ds:datastoreItem>
</file>

<file path=docProps/app.xml><?xml version="1.0" encoding="utf-8"?>
<Properties xmlns="http://schemas.openxmlformats.org/officeDocument/2006/extended-properties" xmlns:vt="http://schemas.openxmlformats.org/officeDocument/2006/docPropsVTypes">
  <Template>Normal</Template>
  <Pages>52</Pages>
  <Words>4401</Words>
  <Characters>25092</Characters>
  <Lines>209</Lines>
  <Paragraphs>58</Paragraphs>
  <TotalTime>0</TotalTime>
  <ScaleCrop>false</ScaleCrop>
  <LinksUpToDate>false</LinksUpToDate>
  <CharactersWithSpaces>29435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2021-11-24T02:52:00Z</dcterms:created>
  <dc:creator>Administrator</dc:creator>
  <cp:lastModifiedBy>Steven</cp:lastModifiedBy>
  <cp:lastPrinted>2020-11-24T07:06:00Z</cp:lastPrinted>
  <dcterms:modified xsi:type="dcterms:W3CDTF">2022-01-04T02:09:59Z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WPS 文字</vt:lpwstr>
  </property>
  <property fmtid="{D5CDD505-2E9C-101B-9397-08002B2CF9AE}" pid="4" name="LastSaved">
    <vt:filetime>2019-03-07T00:00:00Z</vt:filetime>
  </property>
  <property fmtid="{D5CDD505-2E9C-101B-9397-08002B2CF9AE}" pid="5" name="KSOProductBuildVer">
    <vt:lpwstr>2052-11.1.0.11194</vt:lpwstr>
  </property>
  <property fmtid="{D5CDD505-2E9C-101B-9397-08002B2CF9AE}" pid="6" name="ICV">
    <vt:lpwstr>0E9B32E4AFCF4E43829BABB75DA824ED</vt:lpwstr>
  </property>
</Properties>
</file>