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bCs/>
          <w:color w:val="000000" w:themeColor="text1"/>
          <w:sz w:val="36"/>
          <w:szCs w:val="40"/>
          <w14:textFill>
            <w14:solidFill>
              <w14:schemeClr w14:val="tx1"/>
            </w14:solidFill>
          </w14:textFill>
        </w:rPr>
      </w:pPr>
      <w:bookmarkStart w:id="0" w:name="_Toc5149"/>
    </w:p>
    <w:p>
      <w:pPr>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rPr>
          <w:rFonts w:ascii="Times New Roman" w:hAnsi="Times New Roman" w:cs="Times New Roman"/>
          <w:b/>
          <w:bCs/>
          <w:color w:val="000000" w:themeColor="text1"/>
          <w:sz w:val="36"/>
          <w:szCs w:val="40"/>
          <w14:textFill>
            <w14:solidFill>
              <w14:schemeClr w14:val="tx1"/>
            </w14:solidFill>
          </w14:textFill>
        </w:rPr>
      </w:pPr>
    </w:p>
    <w:p>
      <w:pPr>
        <w:jc w:val="center"/>
        <w:rPr>
          <w:rFonts w:ascii="Times New Roman" w:hAnsi="Times New Roman" w:cs="Times New Roman"/>
          <w:b/>
          <w:bCs/>
          <w:color w:val="000000" w:themeColor="text1"/>
          <w:sz w:val="48"/>
          <w:szCs w:val="52"/>
          <w14:textFill>
            <w14:solidFill>
              <w14:schemeClr w14:val="tx1"/>
            </w14:solidFill>
          </w14:textFill>
        </w:rPr>
      </w:pPr>
      <w:r>
        <w:rPr>
          <w:rFonts w:ascii="Times New Roman" w:hAnsi="Times New Roman" w:cs="Times New Roman"/>
          <w:b/>
          <w:bCs/>
          <w:color w:val="000000" w:themeColor="text1"/>
          <w:sz w:val="48"/>
          <w:szCs w:val="52"/>
          <w14:textFill>
            <w14:solidFill>
              <w14:schemeClr w14:val="tx1"/>
            </w14:solidFill>
          </w14:textFill>
        </w:rPr>
        <w:t>广州市天河智慧城</w:t>
      </w:r>
      <w:r>
        <w:rPr>
          <w:rFonts w:hint="eastAsia" w:ascii="Times New Roman" w:hAnsi="Times New Roman" w:cs="Times New Roman"/>
          <w:b/>
          <w:bCs/>
          <w:color w:val="000000" w:themeColor="text1"/>
          <w:sz w:val="48"/>
          <w:szCs w:val="52"/>
          <w14:textFill>
            <w14:solidFill>
              <w14:schemeClr w14:val="tx1"/>
            </w14:solidFill>
          </w14:textFill>
        </w:rPr>
        <w:t>“</w:t>
      </w:r>
      <w:r>
        <w:rPr>
          <w:rFonts w:ascii="Times New Roman" w:hAnsi="Times New Roman" w:cs="Times New Roman"/>
          <w:b/>
          <w:bCs/>
          <w:color w:val="000000" w:themeColor="text1"/>
          <w:sz w:val="48"/>
          <w:szCs w:val="52"/>
          <w14:textFill>
            <w14:solidFill>
              <w14:schemeClr w14:val="tx1"/>
            </w14:solidFill>
          </w14:textFill>
        </w:rPr>
        <w:t>十四五</w:t>
      </w:r>
      <w:r>
        <w:rPr>
          <w:rFonts w:hint="eastAsia" w:ascii="Times New Roman" w:hAnsi="Times New Roman" w:cs="Times New Roman"/>
          <w:b/>
          <w:bCs/>
          <w:color w:val="000000" w:themeColor="text1"/>
          <w:sz w:val="48"/>
          <w:szCs w:val="52"/>
          <w14:textFill>
            <w14:solidFill>
              <w14:schemeClr w14:val="tx1"/>
            </w14:solidFill>
          </w14:textFill>
        </w:rPr>
        <w:t>”</w:t>
      </w:r>
      <w:r>
        <w:rPr>
          <w:rFonts w:ascii="Times New Roman" w:hAnsi="Times New Roman" w:cs="Times New Roman"/>
          <w:b/>
          <w:bCs/>
          <w:color w:val="000000" w:themeColor="text1"/>
          <w:sz w:val="48"/>
          <w:szCs w:val="52"/>
          <w14:textFill>
            <w14:solidFill>
              <w14:schemeClr w14:val="tx1"/>
            </w14:solidFill>
          </w14:textFill>
        </w:rPr>
        <w:t>发展规划</w:t>
      </w:r>
    </w:p>
    <w:p>
      <w:pPr>
        <w:pStyle w:val="2"/>
        <w:ind w:left="0" w:leftChars="0" w:firstLine="0" w:firstLineChars="0"/>
        <w:jc w:val="center"/>
        <w:rPr>
          <w:rFonts w:hint="eastAsia" w:eastAsia="宋体"/>
          <w:lang w:val="en-US" w:eastAsia="zh-CN"/>
        </w:rPr>
      </w:pPr>
      <w:r>
        <w:rPr>
          <w:rFonts w:hint="eastAsia" w:ascii="Times New Roman" w:hAnsi="Times New Roman" w:cs="Times New Roman"/>
          <w:b/>
          <w:bCs/>
          <w:color w:val="000000" w:themeColor="text1"/>
          <w:sz w:val="48"/>
          <w:szCs w:val="52"/>
          <w:lang w:val="en-US" w:eastAsia="zh-CN"/>
          <w14:textFill>
            <w14:solidFill>
              <w14:schemeClr w14:val="tx1"/>
            </w14:solidFill>
          </w14:textFill>
        </w:rPr>
        <w:t>（征求意见稿）</w:t>
      </w:r>
      <w:bookmarkStart w:id="54" w:name="_GoBack"/>
      <w:bookmarkEnd w:id="54"/>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723"/>
        <w:rPr>
          <w:rFonts w:ascii="Times New Roman" w:hAnsi="Times New Roman" w:cs="Times New Roman"/>
          <w:b/>
          <w:bCs/>
          <w:color w:val="000000" w:themeColor="text1"/>
          <w:sz w:val="36"/>
          <w:szCs w:val="40"/>
          <w14:textFill>
            <w14:solidFill>
              <w14:schemeClr w14:val="tx1"/>
            </w14:solidFill>
          </w14:textFill>
        </w:rPr>
      </w:pPr>
    </w:p>
    <w:p>
      <w:pPr>
        <w:pStyle w:val="2"/>
        <w:ind w:firstLine="0" w:firstLineChars="0"/>
        <w:jc w:val="center"/>
        <w:rPr>
          <w:rFonts w:ascii="Times New Roman" w:hAnsi="Times New Roman" w:cs="Times New Roman"/>
          <w:b/>
          <w:bCs/>
          <w:color w:val="000000" w:themeColor="text1"/>
          <w:sz w:val="36"/>
          <w:szCs w:val="40"/>
          <w14:textFill>
            <w14:solidFill>
              <w14:schemeClr w14:val="tx1"/>
            </w14:solidFill>
          </w14:textFill>
        </w:rPr>
      </w:pPr>
      <w:r>
        <w:rPr>
          <w:rFonts w:ascii="Times New Roman" w:hAnsi="Times New Roman" w:cs="Times New Roman"/>
          <w:b/>
          <w:bCs/>
          <w:color w:val="000000" w:themeColor="text1"/>
          <w:sz w:val="36"/>
          <w:szCs w:val="40"/>
          <w14:textFill>
            <w14:solidFill>
              <w14:schemeClr w14:val="tx1"/>
            </w14:solidFill>
          </w14:textFill>
        </w:rPr>
        <w:t>2021年</w:t>
      </w:r>
      <w:r>
        <w:rPr>
          <w:rFonts w:hint="eastAsia" w:ascii="Times New Roman" w:hAnsi="Times New Roman" w:cs="Times New Roman"/>
          <w:b/>
          <w:bCs/>
          <w:color w:val="000000" w:themeColor="text1"/>
          <w:sz w:val="36"/>
          <w:szCs w:val="40"/>
          <w14:textFill>
            <w14:solidFill>
              <w14:schemeClr w14:val="tx1"/>
            </w14:solidFill>
          </w14:textFill>
        </w:rPr>
        <w:t>1</w:t>
      </w:r>
      <w:r>
        <w:rPr>
          <w:rFonts w:ascii="Times New Roman" w:hAnsi="Times New Roman" w:cs="Times New Roman"/>
          <w:b/>
          <w:bCs/>
          <w:color w:val="000000" w:themeColor="text1"/>
          <w:sz w:val="36"/>
          <w:szCs w:val="40"/>
          <w14:textFill>
            <w14:solidFill>
              <w14:schemeClr w14:val="tx1"/>
            </w14:solidFill>
          </w14:textFill>
        </w:rPr>
        <w:t>2月</w:t>
      </w:r>
    </w:p>
    <w:p>
      <w:pPr>
        <w:rPr>
          <w:rFonts w:ascii="Times New Roman" w:hAnsi="Times New Roman" w:cs="Times New Roman"/>
          <w:b/>
          <w:bCs/>
          <w:color w:val="000000" w:themeColor="text1"/>
          <w:sz w:val="36"/>
          <w:szCs w:val="40"/>
          <w14:textFill>
            <w14:solidFill>
              <w14:schemeClr w14:val="tx1"/>
            </w14:solidFill>
          </w14:textFill>
        </w:rPr>
      </w:pPr>
      <w:r>
        <w:rPr>
          <w:rFonts w:ascii="Times New Roman" w:hAnsi="Times New Roman" w:cs="Times New Roman"/>
          <w:b/>
          <w:bCs/>
          <w:color w:val="000000" w:themeColor="text1"/>
          <w:sz w:val="36"/>
          <w:szCs w:val="40"/>
          <w14:textFill>
            <w14:solidFill>
              <w14:schemeClr w14:val="tx1"/>
            </w14:solidFill>
          </w14:textFill>
        </w:rPr>
        <w:br w:type="page"/>
      </w:r>
    </w:p>
    <w:p>
      <w:pPr>
        <w:pStyle w:val="12"/>
        <w:tabs>
          <w:tab w:val="right" w:leader="dot" w:pos="8306"/>
        </w:tabs>
        <w:jc w:val="center"/>
        <w:rPr>
          <w:rFonts w:ascii="Times New Roman" w:hAnsi="Times New Roman" w:cs="Times New Roman"/>
          <w:b/>
          <w:bCs/>
          <w:color w:val="000000" w:themeColor="text1"/>
          <w:sz w:val="24"/>
          <w:szCs w:val="28"/>
          <w14:textFill>
            <w14:solidFill>
              <w14:schemeClr w14:val="tx1"/>
            </w14:solidFill>
          </w14:textFill>
        </w:rPr>
      </w:pPr>
      <w:r>
        <w:rPr>
          <w:rFonts w:ascii="Times New Roman" w:hAnsi="Times New Roman" w:cs="Times New Roman"/>
          <w:b/>
          <w:bCs/>
          <w:color w:val="000000" w:themeColor="text1"/>
          <w:sz w:val="36"/>
          <w:szCs w:val="40"/>
          <w14:textFill>
            <w14:solidFill>
              <w14:schemeClr w14:val="tx1"/>
            </w14:solidFill>
          </w14:textFill>
        </w:rPr>
        <w:t>目 录</w:t>
      </w:r>
    </w:p>
    <w:p>
      <w:pPr>
        <w:pStyle w:val="12"/>
        <w:tabs>
          <w:tab w:val="right" w:leader="dot" w:pos="8296"/>
        </w:tabs>
        <w:rPr>
          <w:rFonts w:ascii="Times New Roman" w:hAnsi="Times New Roman" w:cs="Times New Roman" w:eastAsiaTheme="minorEastAsia"/>
          <w:b/>
          <w:bCs/>
          <w:sz w:val="24"/>
          <w:szCs w:val="24"/>
        </w:rPr>
      </w:pPr>
      <w:r>
        <w:rPr>
          <w:rFonts w:ascii="Times New Roman" w:hAnsi="Times New Roman" w:cs="Times New Roman" w:eastAsiaTheme="minorEastAsia"/>
          <w:color w:val="000000" w:themeColor="text1"/>
          <w:sz w:val="24"/>
          <w:szCs w:val="24"/>
          <w14:textFill>
            <w14:solidFill>
              <w14:schemeClr w14:val="tx1"/>
            </w14:solidFill>
          </w14:textFill>
        </w:rPr>
        <w:fldChar w:fldCharType="begin"/>
      </w:r>
      <w:r>
        <w:rPr>
          <w:rFonts w:ascii="Times New Roman" w:hAnsi="Times New Roman" w:cs="Times New Roman" w:eastAsiaTheme="minorEastAsia"/>
          <w:color w:val="000000" w:themeColor="text1"/>
          <w:sz w:val="24"/>
          <w:szCs w:val="24"/>
          <w14:textFill>
            <w14:solidFill>
              <w14:schemeClr w14:val="tx1"/>
            </w14:solidFill>
          </w14:textFill>
        </w:rPr>
        <w:instrText xml:space="preserve">TOC \o "1-3" \h \u </w:instrText>
      </w:r>
      <w:r>
        <w:rPr>
          <w:rFonts w:ascii="Times New Roman" w:hAnsi="Times New Roman" w:cs="Times New Roman" w:eastAsiaTheme="minorEastAsia"/>
          <w:color w:val="000000" w:themeColor="text1"/>
          <w:sz w:val="24"/>
          <w:szCs w:val="24"/>
          <w14:textFill>
            <w14:solidFill>
              <w14:schemeClr w14:val="tx1"/>
            </w14:solidFill>
          </w14:textFill>
        </w:rPr>
        <w:fldChar w:fldCharType="separate"/>
      </w:r>
      <w:r>
        <w:fldChar w:fldCharType="begin"/>
      </w:r>
      <w:r>
        <w:instrText xml:space="preserve"> HYPERLINK \l "_Toc89358631" </w:instrText>
      </w:r>
      <w:r>
        <w:fldChar w:fldCharType="separate"/>
      </w:r>
      <w:r>
        <w:rPr>
          <w:rStyle w:val="20"/>
          <w:rFonts w:ascii="Times New Roman" w:hAnsi="Times New Roman" w:cs="Times New Roman" w:eastAsiaTheme="minorEastAsia"/>
          <w:b/>
          <w:bCs/>
          <w:sz w:val="24"/>
          <w:szCs w:val="24"/>
        </w:rPr>
        <w:t>一、</w:t>
      </w:r>
      <w:r>
        <w:rPr>
          <w:rStyle w:val="20"/>
          <w:rFonts w:hint="eastAsia" w:ascii="Times New Roman" w:hAnsi="Times New Roman" w:cs="Times New Roman" w:eastAsiaTheme="minorEastAsia"/>
          <w:b/>
          <w:bCs/>
          <w:sz w:val="24"/>
          <w:szCs w:val="24"/>
        </w:rPr>
        <w:t>“</w:t>
      </w:r>
      <w:r>
        <w:rPr>
          <w:rStyle w:val="20"/>
          <w:rFonts w:ascii="Times New Roman" w:hAnsi="Times New Roman" w:cs="Times New Roman" w:eastAsiaTheme="minorEastAsia"/>
          <w:b/>
          <w:bCs/>
          <w:sz w:val="24"/>
          <w:szCs w:val="24"/>
        </w:rPr>
        <w:t>十三五”发展回顾</w:t>
      </w:r>
      <w:r>
        <w:rPr>
          <w:rFonts w:ascii="Times New Roman" w:hAnsi="Times New Roman" w:cs="Times New Roman" w:eastAsiaTheme="minorEastAsia"/>
          <w:b/>
          <w:bCs/>
          <w:sz w:val="24"/>
          <w:szCs w:val="24"/>
        </w:rPr>
        <w:tab/>
      </w:r>
      <w:r>
        <w:rPr>
          <w:rFonts w:ascii="Times New Roman" w:hAnsi="Times New Roman" w:cs="Times New Roman" w:eastAsiaTheme="minorEastAsia"/>
          <w:b/>
          <w:bCs/>
          <w:sz w:val="24"/>
          <w:szCs w:val="24"/>
        </w:rPr>
        <w:fldChar w:fldCharType="begin"/>
      </w:r>
      <w:r>
        <w:rPr>
          <w:rFonts w:ascii="Times New Roman" w:hAnsi="Times New Roman" w:cs="Times New Roman" w:eastAsiaTheme="minorEastAsia"/>
          <w:b/>
          <w:bCs/>
          <w:sz w:val="24"/>
          <w:szCs w:val="24"/>
        </w:rPr>
        <w:instrText xml:space="preserve"> PAGEREF _Toc89358631 \h </w:instrText>
      </w:r>
      <w:r>
        <w:rPr>
          <w:rFonts w:ascii="Times New Roman" w:hAnsi="Times New Roman" w:cs="Times New Roman" w:eastAsiaTheme="minorEastAsia"/>
          <w:b/>
          <w:bCs/>
          <w:sz w:val="24"/>
          <w:szCs w:val="24"/>
        </w:rPr>
        <w:fldChar w:fldCharType="separate"/>
      </w:r>
      <w:r>
        <w:rPr>
          <w:rFonts w:ascii="Times New Roman" w:hAnsi="Times New Roman" w:cs="Times New Roman" w:eastAsiaTheme="minorEastAsia"/>
          <w:b/>
          <w:bCs/>
          <w:sz w:val="24"/>
          <w:szCs w:val="24"/>
        </w:rPr>
        <w:t>- 3 -</w:t>
      </w:r>
      <w:r>
        <w:rPr>
          <w:rFonts w:ascii="Times New Roman" w:hAnsi="Times New Roman" w:cs="Times New Roman" w:eastAsiaTheme="minorEastAsia"/>
          <w:b/>
          <w:bCs/>
          <w:sz w:val="24"/>
          <w:szCs w:val="24"/>
        </w:rPr>
        <w:fldChar w:fldCharType="end"/>
      </w:r>
      <w:r>
        <w:rPr>
          <w:rFonts w:ascii="Times New Roman" w:hAnsi="Times New Roman" w:cs="Times New Roman" w:eastAsiaTheme="minorEastAsia"/>
          <w:b/>
          <w:bCs/>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"_Toc89358632" </w:instrText>
      </w:r>
      <w:r>
        <w:fldChar w:fldCharType="separate"/>
      </w:r>
      <w:r>
        <w:rPr>
          <w:rStyle w:val="20"/>
          <w:rFonts w:ascii="Times New Roman" w:hAnsi="Times New Roman" w:cs="Times New Roman" w:eastAsiaTheme="minorEastAsia"/>
          <w:sz w:val="24"/>
          <w:szCs w:val="24"/>
        </w:rPr>
        <w:t>（一）</w:t>
      </w:r>
      <w:r>
        <w:rPr>
          <w:rStyle w:val="20"/>
          <w:rFonts w:hint="eastAsia" w:ascii="Times New Roman" w:hAnsi="Times New Roman" w:cs="Times New Roman" w:eastAsiaTheme="minorEastAsia"/>
          <w:sz w:val="24"/>
          <w:szCs w:val="24"/>
        </w:rPr>
        <w:t>“</w:t>
      </w:r>
      <w:r>
        <w:rPr>
          <w:rStyle w:val="20"/>
          <w:rFonts w:ascii="Times New Roman" w:hAnsi="Times New Roman" w:cs="Times New Roman" w:eastAsiaTheme="minorEastAsia"/>
          <w:sz w:val="24"/>
          <w:szCs w:val="24"/>
        </w:rPr>
        <w:t>十三五</w:t>
      </w:r>
      <w:r>
        <w:rPr>
          <w:rStyle w:val="20"/>
          <w:rFonts w:hint="eastAsia" w:ascii="Times New Roman" w:hAnsi="Times New Roman" w:cs="Times New Roman" w:eastAsiaTheme="minorEastAsia"/>
          <w:sz w:val="24"/>
          <w:szCs w:val="24"/>
        </w:rPr>
        <w:t>”</w:t>
      </w:r>
      <w:r>
        <w:rPr>
          <w:rStyle w:val="20"/>
          <w:rFonts w:ascii="Times New Roman" w:hAnsi="Times New Roman" w:cs="Times New Roman" w:eastAsiaTheme="minorEastAsia"/>
          <w:sz w:val="24"/>
          <w:szCs w:val="24"/>
        </w:rPr>
        <w:t>发展取得成就</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_Toc89358632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- 3 -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"_Toc89358633" </w:instrText>
      </w:r>
      <w:r>
        <w:fldChar w:fldCharType="separate"/>
      </w:r>
      <w:r>
        <w:rPr>
          <w:rStyle w:val="20"/>
          <w:rFonts w:ascii="Times New Roman" w:hAnsi="Times New Roman" w:cs="Times New Roman" w:eastAsiaTheme="minorEastAsia"/>
          <w:sz w:val="24"/>
          <w:szCs w:val="24"/>
        </w:rPr>
        <w:t>1、地区经济综合实力加速提升</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_Toc89358633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- 3 -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"_Toc89358634" </w:instrText>
      </w:r>
      <w:r>
        <w:fldChar w:fldCharType="separate"/>
      </w:r>
      <w:r>
        <w:rPr>
          <w:rStyle w:val="20"/>
          <w:rFonts w:ascii="Times New Roman" w:hAnsi="Times New Roman" w:cs="Times New Roman" w:eastAsiaTheme="minorEastAsia"/>
          <w:sz w:val="24"/>
          <w:szCs w:val="24"/>
        </w:rPr>
        <w:t>2、产业结构和层次进一步优化</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_Toc89358634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- 3 -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"_Toc89358635" </w:instrText>
      </w:r>
      <w:r>
        <w:fldChar w:fldCharType="separate"/>
      </w:r>
      <w:r>
        <w:rPr>
          <w:rStyle w:val="20"/>
          <w:rFonts w:ascii="Times New Roman" w:hAnsi="Times New Roman" w:cs="Times New Roman" w:eastAsiaTheme="minorEastAsia"/>
          <w:sz w:val="24"/>
          <w:szCs w:val="24"/>
        </w:rPr>
        <w:t>3、科技创新驱动能力明显增强</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_Toc89358635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- 4 -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"_Toc89358636" </w:instrText>
      </w:r>
      <w:r>
        <w:fldChar w:fldCharType="separate"/>
      </w:r>
      <w:r>
        <w:rPr>
          <w:rStyle w:val="20"/>
          <w:rFonts w:ascii="Times New Roman" w:hAnsi="Times New Roman" w:cs="Times New Roman" w:eastAsiaTheme="minorEastAsia"/>
          <w:sz w:val="24"/>
          <w:szCs w:val="24"/>
        </w:rPr>
        <w:t>4、园区综合服务体系日益完善</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_Toc89358636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- 5 -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"_Toc89358637" </w:instrText>
      </w:r>
      <w:r>
        <w:fldChar w:fldCharType="separate"/>
      </w:r>
      <w:r>
        <w:rPr>
          <w:rStyle w:val="20"/>
          <w:rFonts w:ascii="Times New Roman" w:hAnsi="Times New Roman" w:cs="Times New Roman" w:eastAsiaTheme="minorEastAsia"/>
          <w:sz w:val="24"/>
          <w:szCs w:val="24"/>
        </w:rPr>
        <w:t>5、土地空间资源开发稳步推进</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_Toc89358637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- 6 -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"_Toc89358638" </w:instrText>
      </w:r>
      <w:r>
        <w:fldChar w:fldCharType="separate"/>
      </w:r>
      <w:r>
        <w:rPr>
          <w:rStyle w:val="20"/>
          <w:rFonts w:ascii="Times New Roman" w:hAnsi="Times New Roman" w:cs="Times New Roman" w:eastAsiaTheme="minorEastAsia"/>
          <w:sz w:val="24"/>
          <w:szCs w:val="24"/>
        </w:rPr>
        <w:t>6、基础配套环境建设不断改善</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_Toc89358638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- 6 -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"_Toc89358639" </w:instrText>
      </w:r>
      <w:r>
        <w:fldChar w:fldCharType="separate"/>
      </w:r>
      <w:r>
        <w:rPr>
          <w:rStyle w:val="20"/>
          <w:rFonts w:ascii="Times New Roman" w:hAnsi="Times New Roman" w:cs="Times New Roman" w:eastAsiaTheme="minorEastAsia"/>
          <w:sz w:val="24"/>
          <w:szCs w:val="24"/>
        </w:rPr>
        <w:t xml:space="preserve">（二） </w:t>
      </w:r>
      <w:r>
        <w:rPr>
          <w:rStyle w:val="20"/>
          <w:rFonts w:hint="eastAsia" w:ascii="Times New Roman" w:hAnsi="Times New Roman" w:cs="Times New Roman" w:eastAsiaTheme="minorEastAsia"/>
          <w:sz w:val="24"/>
          <w:szCs w:val="24"/>
        </w:rPr>
        <w:t>“</w:t>
      </w:r>
      <w:r>
        <w:rPr>
          <w:rStyle w:val="20"/>
          <w:rFonts w:ascii="Times New Roman" w:hAnsi="Times New Roman" w:cs="Times New Roman" w:eastAsiaTheme="minorEastAsia"/>
          <w:sz w:val="24"/>
          <w:szCs w:val="24"/>
        </w:rPr>
        <w:t>十三五</w:t>
      </w:r>
      <w:r>
        <w:rPr>
          <w:rStyle w:val="20"/>
          <w:rFonts w:hint="eastAsia" w:ascii="Times New Roman" w:hAnsi="Times New Roman" w:cs="Times New Roman" w:eastAsiaTheme="minorEastAsia"/>
          <w:sz w:val="24"/>
          <w:szCs w:val="24"/>
        </w:rPr>
        <w:t>”</w:t>
      </w:r>
      <w:r>
        <w:rPr>
          <w:rStyle w:val="20"/>
          <w:rFonts w:ascii="Times New Roman" w:hAnsi="Times New Roman" w:cs="Times New Roman" w:eastAsiaTheme="minorEastAsia"/>
          <w:sz w:val="24"/>
          <w:szCs w:val="24"/>
        </w:rPr>
        <w:t>发展存在不足</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_Toc89358639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- 8 -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"_Toc89358640" </w:instrText>
      </w:r>
      <w:r>
        <w:fldChar w:fldCharType="separate"/>
      </w:r>
      <w:r>
        <w:rPr>
          <w:rStyle w:val="20"/>
          <w:rFonts w:ascii="Times New Roman" w:hAnsi="Times New Roman" w:cs="Times New Roman" w:eastAsiaTheme="minorEastAsia"/>
          <w:sz w:val="24"/>
          <w:szCs w:val="24"/>
        </w:rPr>
        <w:t>1、整体发展能级有待进一步提升</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_Toc89358640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- 8 -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"_Toc89358641" </w:instrText>
      </w:r>
      <w:r>
        <w:fldChar w:fldCharType="separate"/>
      </w:r>
      <w:r>
        <w:rPr>
          <w:rStyle w:val="20"/>
          <w:rFonts w:ascii="Times New Roman" w:hAnsi="Times New Roman" w:cs="Times New Roman" w:eastAsiaTheme="minorEastAsia"/>
          <w:sz w:val="24"/>
          <w:szCs w:val="24"/>
        </w:rPr>
        <w:t>2、价值链高端环节有待进一步突破</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_Toc89358641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- 9 -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"_Toc89358642" </w:instrText>
      </w:r>
      <w:r>
        <w:fldChar w:fldCharType="separate"/>
      </w:r>
      <w:r>
        <w:rPr>
          <w:rStyle w:val="20"/>
          <w:rFonts w:ascii="Times New Roman" w:hAnsi="Times New Roman" w:cs="Times New Roman" w:eastAsiaTheme="minorEastAsia"/>
          <w:sz w:val="24"/>
          <w:szCs w:val="24"/>
        </w:rPr>
        <w:t>3、科技创新资源有待进一步完善</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_Toc89358642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- 9 -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"_Toc89358643" </w:instrText>
      </w:r>
      <w:r>
        <w:fldChar w:fldCharType="separate"/>
      </w:r>
      <w:r>
        <w:rPr>
          <w:rStyle w:val="20"/>
          <w:rFonts w:ascii="Times New Roman" w:hAnsi="Times New Roman" w:cs="Times New Roman" w:eastAsiaTheme="minorEastAsia"/>
          <w:sz w:val="24"/>
          <w:szCs w:val="24"/>
        </w:rPr>
        <w:t>4、土地整备工作有待进一步加强</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_Toc89358643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- 10 -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rPr>
          <w:rFonts w:ascii="Times New Roman" w:hAnsi="Times New Roman" w:cs="Times New Roman" w:eastAsiaTheme="minorEastAsia"/>
          <w:sz w:val="24"/>
          <w:szCs w:val="24"/>
        </w:rPr>
      </w:pPr>
      <w:r>
        <w:fldChar w:fldCharType="begin"/>
      </w:r>
      <w:r>
        <w:instrText xml:space="preserve"> HYPERLINK \l "_Toc89358644" </w:instrText>
      </w:r>
      <w:r>
        <w:fldChar w:fldCharType="separate"/>
      </w:r>
      <w:r>
        <w:rPr>
          <w:rStyle w:val="20"/>
          <w:rFonts w:ascii="Times New Roman" w:hAnsi="Times New Roman" w:cs="Times New Roman" w:eastAsiaTheme="minorEastAsia"/>
          <w:sz w:val="24"/>
          <w:szCs w:val="24"/>
        </w:rPr>
        <w:t>5、产城融合发展有待进一步深化</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_Toc89358644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- 11 -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2"/>
        <w:tabs>
          <w:tab w:val="right" w:leader="dot" w:pos="8296"/>
        </w:tabs>
        <w:rPr>
          <w:rFonts w:ascii="Times New Roman" w:hAnsi="Times New Roman" w:cs="Times New Roman" w:eastAsiaTheme="minorEastAsia"/>
          <w:b/>
          <w:bCs/>
          <w:sz w:val="24"/>
          <w:szCs w:val="24"/>
        </w:rPr>
      </w:pPr>
      <w:r>
        <w:fldChar w:fldCharType="begin"/>
      </w:r>
      <w:r>
        <w:instrText xml:space="preserve"> HYPERLINK \l "_Toc89358645" </w:instrText>
      </w:r>
      <w:r>
        <w:fldChar w:fldCharType="separate"/>
      </w:r>
      <w:r>
        <w:rPr>
          <w:rStyle w:val="20"/>
          <w:rFonts w:ascii="Times New Roman" w:hAnsi="Times New Roman" w:cs="Times New Roman" w:eastAsiaTheme="minorEastAsia"/>
          <w:b/>
          <w:bCs/>
          <w:sz w:val="24"/>
          <w:szCs w:val="24"/>
        </w:rPr>
        <w:t>二、</w:t>
      </w:r>
      <w:r>
        <w:rPr>
          <w:rStyle w:val="20"/>
          <w:rFonts w:hint="eastAsia" w:ascii="Times New Roman" w:hAnsi="Times New Roman" w:cs="Times New Roman" w:eastAsiaTheme="minorEastAsia"/>
          <w:b/>
          <w:bCs/>
          <w:sz w:val="24"/>
          <w:szCs w:val="24"/>
        </w:rPr>
        <w:t>“</w:t>
      </w:r>
      <w:r>
        <w:rPr>
          <w:rStyle w:val="20"/>
          <w:rFonts w:ascii="Times New Roman" w:hAnsi="Times New Roman" w:cs="Times New Roman" w:eastAsiaTheme="minorEastAsia"/>
          <w:b/>
          <w:bCs/>
          <w:sz w:val="24"/>
          <w:szCs w:val="24"/>
        </w:rPr>
        <w:t>十四五</w:t>
      </w:r>
      <w:r>
        <w:rPr>
          <w:rStyle w:val="20"/>
          <w:rFonts w:hint="eastAsia" w:ascii="Times New Roman" w:hAnsi="Times New Roman" w:cs="Times New Roman" w:eastAsiaTheme="minorEastAsia"/>
          <w:b/>
          <w:bCs/>
          <w:sz w:val="24"/>
          <w:szCs w:val="24"/>
        </w:rPr>
        <w:t>”</w:t>
      </w:r>
      <w:r>
        <w:rPr>
          <w:rStyle w:val="20"/>
          <w:rFonts w:ascii="Times New Roman" w:hAnsi="Times New Roman" w:cs="Times New Roman" w:eastAsiaTheme="minorEastAsia"/>
          <w:b/>
          <w:bCs/>
          <w:sz w:val="24"/>
          <w:szCs w:val="24"/>
        </w:rPr>
        <w:t>发展面临形势</w:t>
      </w:r>
      <w:r>
        <w:rPr>
          <w:rFonts w:ascii="Times New Roman" w:hAnsi="Times New Roman" w:cs="Times New Roman" w:eastAsiaTheme="minorEastAsia"/>
          <w:b/>
          <w:bCs/>
          <w:sz w:val="24"/>
          <w:szCs w:val="24"/>
        </w:rPr>
        <w:tab/>
      </w:r>
      <w:r>
        <w:rPr>
          <w:rFonts w:ascii="Times New Roman" w:hAnsi="Times New Roman" w:cs="Times New Roman" w:eastAsiaTheme="minorEastAsia"/>
          <w:b/>
          <w:bCs/>
          <w:sz w:val="24"/>
          <w:szCs w:val="24"/>
        </w:rPr>
        <w:fldChar w:fldCharType="begin"/>
      </w:r>
      <w:r>
        <w:rPr>
          <w:rFonts w:ascii="Times New Roman" w:hAnsi="Times New Roman" w:cs="Times New Roman" w:eastAsiaTheme="minorEastAsia"/>
          <w:b/>
          <w:bCs/>
          <w:sz w:val="24"/>
          <w:szCs w:val="24"/>
        </w:rPr>
        <w:instrText xml:space="preserve"> PAGEREF _Toc89358645 \h </w:instrText>
      </w:r>
      <w:r>
        <w:rPr>
          <w:rFonts w:ascii="Times New Roman" w:hAnsi="Times New Roman" w:cs="Times New Roman" w:eastAsiaTheme="minorEastAsia"/>
          <w:b/>
          <w:bCs/>
          <w:sz w:val="24"/>
          <w:szCs w:val="24"/>
        </w:rPr>
        <w:fldChar w:fldCharType="separate"/>
      </w:r>
      <w:r>
        <w:rPr>
          <w:rFonts w:ascii="Times New Roman" w:hAnsi="Times New Roman" w:cs="Times New Roman" w:eastAsiaTheme="minorEastAsia"/>
          <w:b/>
          <w:bCs/>
          <w:sz w:val="24"/>
          <w:szCs w:val="24"/>
        </w:rPr>
        <w:t>- 12 -</w:t>
      </w:r>
      <w:r>
        <w:rPr>
          <w:rFonts w:ascii="Times New Roman" w:hAnsi="Times New Roman" w:cs="Times New Roman" w:eastAsiaTheme="minorEastAsia"/>
          <w:b/>
          <w:bCs/>
          <w:sz w:val="24"/>
          <w:szCs w:val="24"/>
        </w:rPr>
        <w:fldChar w:fldCharType="end"/>
      </w:r>
      <w:r>
        <w:rPr>
          <w:rFonts w:ascii="Times New Roman" w:hAnsi="Times New Roman" w:cs="Times New Roman" w:eastAsiaTheme="minorEastAsia"/>
          <w:b/>
          <w:bCs/>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"_Toc89358646" </w:instrText>
      </w:r>
      <w:r>
        <w:fldChar w:fldCharType="separate"/>
      </w:r>
      <w:r>
        <w:rPr>
          <w:rStyle w:val="20"/>
          <w:rFonts w:ascii="Times New Roman" w:hAnsi="Times New Roman" w:cs="Times New Roman" w:eastAsiaTheme="minorEastAsia"/>
          <w:sz w:val="24"/>
          <w:szCs w:val="24"/>
        </w:rPr>
        <w:t>（一）双循环和双碳战略加快推动转型升级</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_Toc89358646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- 12 -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"_Toc89358647" </w:instrText>
      </w:r>
      <w:r>
        <w:fldChar w:fldCharType="separate"/>
      </w:r>
      <w:r>
        <w:rPr>
          <w:rStyle w:val="20"/>
          <w:rFonts w:ascii="Times New Roman" w:hAnsi="Times New Roman" w:cs="Times New Roman" w:eastAsiaTheme="minorEastAsia"/>
          <w:sz w:val="24"/>
          <w:szCs w:val="24"/>
        </w:rPr>
        <w:t>（二）创新驱动发展成为园区发展根本路径</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_Toc89358647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- 12 -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"_Toc89358648" </w:instrText>
      </w:r>
      <w:r>
        <w:fldChar w:fldCharType="separate"/>
      </w:r>
      <w:r>
        <w:rPr>
          <w:rStyle w:val="20"/>
          <w:rFonts w:ascii="Times New Roman" w:hAnsi="Times New Roman" w:cs="Times New Roman" w:eastAsiaTheme="minorEastAsia"/>
          <w:sz w:val="24"/>
          <w:szCs w:val="24"/>
        </w:rPr>
        <w:t>（三）数字经济加速推进带来产业发展机遇</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_Toc89358648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- 13 -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"_Toc89358649" </w:instrText>
      </w:r>
      <w:r>
        <w:fldChar w:fldCharType="separate"/>
      </w:r>
      <w:r>
        <w:rPr>
          <w:rStyle w:val="20"/>
          <w:rFonts w:ascii="Times New Roman" w:hAnsi="Times New Roman" w:cs="Times New Roman" w:eastAsiaTheme="minorEastAsia"/>
          <w:sz w:val="24"/>
          <w:szCs w:val="24"/>
        </w:rPr>
        <w:t>（四）新基建赋能区域发展和行业关联企业</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_Toc89358649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- 14 -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"_Toc89358650" </w:instrText>
      </w:r>
      <w:r>
        <w:fldChar w:fldCharType="separate"/>
      </w:r>
      <w:r>
        <w:rPr>
          <w:rStyle w:val="20"/>
          <w:rFonts w:ascii="Times New Roman" w:hAnsi="Times New Roman" w:cs="Times New Roman" w:eastAsiaTheme="minorEastAsia"/>
          <w:sz w:val="24"/>
          <w:szCs w:val="24"/>
        </w:rPr>
        <w:t>（五）粤港澳大湾区发展合作与竞争并存</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_Toc89358650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- 15 -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2"/>
        <w:tabs>
          <w:tab w:val="right" w:leader="dot" w:pos="8296"/>
        </w:tabs>
        <w:rPr>
          <w:rFonts w:ascii="Times New Roman" w:hAnsi="Times New Roman" w:cs="Times New Roman" w:eastAsiaTheme="minorEastAsia"/>
          <w:b/>
          <w:bCs/>
          <w:sz w:val="24"/>
          <w:szCs w:val="24"/>
        </w:rPr>
      </w:pPr>
      <w:r>
        <w:fldChar w:fldCharType="begin"/>
      </w:r>
      <w:r>
        <w:instrText xml:space="preserve"> HYPERLINK \l "_Toc89358651" </w:instrText>
      </w:r>
      <w:r>
        <w:fldChar w:fldCharType="separate"/>
      </w:r>
      <w:r>
        <w:rPr>
          <w:rStyle w:val="20"/>
          <w:rFonts w:ascii="Times New Roman" w:hAnsi="Times New Roman" w:cs="Times New Roman" w:eastAsiaTheme="minorEastAsia"/>
          <w:b/>
          <w:bCs/>
          <w:sz w:val="24"/>
          <w:szCs w:val="24"/>
        </w:rPr>
        <w:t>三、发展定位与目标</w:t>
      </w:r>
      <w:r>
        <w:rPr>
          <w:rFonts w:ascii="Times New Roman" w:hAnsi="Times New Roman" w:cs="Times New Roman" w:eastAsiaTheme="minorEastAsia"/>
          <w:b/>
          <w:bCs/>
          <w:sz w:val="24"/>
          <w:szCs w:val="24"/>
        </w:rPr>
        <w:tab/>
      </w:r>
      <w:r>
        <w:rPr>
          <w:rFonts w:ascii="Times New Roman" w:hAnsi="Times New Roman" w:cs="Times New Roman" w:eastAsiaTheme="minorEastAsia"/>
          <w:b/>
          <w:bCs/>
          <w:sz w:val="24"/>
          <w:szCs w:val="24"/>
        </w:rPr>
        <w:fldChar w:fldCharType="begin"/>
      </w:r>
      <w:r>
        <w:rPr>
          <w:rFonts w:ascii="Times New Roman" w:hAnsi="Times New Roman" w:cs="Times New Roman" w:eastAsiaTheme="minorEastAsia"/>
          <w:b/>
          <w:bCs/>
          <w:sz w:val="24"/>
          <w:szCs w:val="24"/>
        </w:rPr>
        <w:instrText xml:space="preserve"> PAGEREF _Toc89358651 \h </w:instrText>
      </w:r>
      <w:r>
        <w:rPr>
          <w:rFonts w:ascii="Times New Roman" w:hAnsi="Times New Roman" w:cs="Times New Roman" w:eastAsiaTheme="minorEastAsia"/>
          <w:b/>
          <w:bCs/>
          <w:sz w:val="24"/>
          <w:szCs w:val="24"/>
        </w:rPr>
        <w:fldChar w:fldCharType="separate"/>
      </w:r>
      <w:r>
        <w:rPr>
          <w:rFonts w:ascii="Times New Roman" w:hAnsi="Times New Roman" w:cs="Times New Roman" w:eastAsiaTheme="minorEastAsia"/>
          <w:b/>
          <w:bCs/>
          <w:sz w:val="24"/>
          <w:szCs w:val="24"/>
        </w:rPr>
        <w:t>- 16 -</w:t>
      </w:r>
      <w:r>
        <w:rPr>
          <w:rFonts w:ascii="Times New Roman" w:hAnsi="Times New Roman" w:cs="Times New Roman" w:eastAsiaTheme="minorEastAsia"/>
          <w:b/>
          <w:bCs/>
          <w:sz w:val="24"/>
          <w:szCs w:val="24"/>
        </w:rPr>
        <w:fldChar w:fldCharType="end"/>
      </w:r>
      <w:r>
        <w:rPr>
          <w:rFonts w:ascii="Times New Roman" w:hAnsi="Times New Roman" w:cs="Times New Roman" w:eastAsiaTheme="minorEastAsia"/>
          <w:b/>
          <w:bCs/>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"_Toc89358652" </w:instrText>
      </w:r>
      <w:r>
        <w:fldChar w:fldCharType="separate"/>
      </w:r>
      <w:r>
        <w:rPr>
          <w:rStyle w:val="20"/>
          <w:rFonts w:ascii="Times New Roman" w:hAnsi="Times New Roman" w:cs="Times New Roman" w:eastAsiaTheme="minorEastAsia"/>
          <w:sz w:val="24"/>
          <w:szCs w:val="24"/>
        </w:rPr>
        <w:t>（一）指导思想</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_Toc89358652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- 16 -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"_Toc89358653" </w:instrText>
      </w:r>
      <w:r>
        <w:fldChar w:fldCharType="separate"/>
      </w:r>
      <w:r>
        <w:rPr>
          <w:rStyle w:val="20"/>
          <w:rFonts w:ascii="Times New Roman" w:hAnsi="Times New Roman" w:cs="Times New Roman" w:eastAsiaTheme="minorEastAsia"/>
          <w:sz w:val="24"/>
          <w:szCs w:val="24"/>
        </w:rPr>
        <w:t>（二）发展定位</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_Toc89358653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- 16 -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"_Toc89358654" </w:instrText>
      </w:r>
      <w:r>
        <w:fldChar w:fldCharType="separate"/>
      </w:r>
      <w:r>
        <w:rPr>
          <w:rStyle w:val="20"/>
          <w:rFonts w:ascii="Times New Roman" w:hAnsi="Times New Roman" w:cs="Times New Roman" w:eastAsiaTheme="minorEastAsia"/>
          <w:sz w:val="24"/>
          <w:szCs w:val="24"/>
        </w:rPr>
        <w:t>（三）发展目标</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_Toc89358654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- 18 -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2"/>
        <w:tabs>
          <w:tab w:val="right" w:leader="dot" w:pos="8296"/>
        </w:tabs>
        <w:rPr>
          <w:rFonts w:ascii="Times New Roman" w:hAnsi="Times New Roman" w:cs="Times New Roman" w:eastAsiaTheme="minorEastAsia"/>
          <w:b/>
          <w:bCs/>
          <w:sz w:val="24"/>
          <w:szCs w:val="24"/>
        </w:rPr>
      </w:pPr>
      <w:r>
        <w:fldChar w:fldCharType="begin"/>
      </w:r>
      <w:r>
        <w:instrText xml:space="preserve"> HYPERLINK \l "_Toc89358655" </w:instrText>
      </w:r>
      <w:r>
        <w:fldChar w:fldCharType="separate"/>
      </w:r>
      <w:r>
        <w:rPr>
          <w:rStyle w:val="20"/>
          <w:rFonts w:ascii="Times New Roman" w:hAnsi="Times New Roman" w:cs="Times New Roman" w:eastAsiaTheme="minorEastAsia"/>
          <w:b/>
          <w:bCs/>
          <w:sz w:val="24"/>
          <w:szCs w:val="24"/>
        </w:rPr>
        <w:t>四、重点战略举措</w:t>
      </w:r>
      <w:r>
        <w:rPr>
          <w:rFonts w:ascii="Times New Roman" w:hAnsi="Times New Roman" w:cs="Times New Roman" w:eastAsiaTheme="minorEastAsia"/>
          <w:b/>
          <w:bCs/>
          <w:sz w:val="24"/>
          <w:szCs w:val="24"/>
        </w:rPr>
        <w:tab/>
      </w:r>
      <w:r>
        <w:rPr>
          <w:rFonts w:ascii="Times New Roman" w:hAnsi="Times New Roman" w:cs="Times New Roman" w:eastAsiaTheme="minorEastAsia"/>
          <w:b/>
          <w:bCs/>
          <w:sz w:val="24"/>
          <w:szCs w:val="24"/>
        </w:rPr>
        <w:fldChar w:fldCharType="begin"/>
      </w:r>
      <w:r>
        <w:rPr>
          <w:rFonts w:ascii="Times New Roman" w:hAnsi="Times New Roman" w:cs="Times New Roman" w:eastAsiaTheme="minorEastAsia"/>
          <w:b/>
          <w:bCs/>
          <w:sz w:val="24"/>
          <w:szCs w:val="24"/>
        </w:rPr>
        <w:instrText xml:space="preserve"> PAGEREF _Toc89358655 \h </w:instrText>
      </w:r>
      <w:r>
        <w:rPr>
          <w:rFonts w:ascii="Times New Roman" w:hAnsi="Times New Roman" w:cs="Times New Roman" w:eastAsiaTheme="minorEastAsia"/>
          <w:b/>
          <w:bCs/>
          <w:sz w:val="24"/>
          <w:szCs w:val="24"/>
        </w:rPr>
        <w:fldChar w:fldCharType="separate"/>
      </w:r>
      <w:r>
        <w:rPr>
          <w:rFonts w:ascii="Times New Roman" w:hAnsi="Times New Roman" w:cs="Times New Roman" w:eastAsiaTheme="minorEastAsia"/>
          <w:b/>
          <w:bCs/>
          <w:sz w:val="24"/>
          <w:szCs w:val="24"/>
        </w:rPr>
        <w:t>- 20 -</w:t>
      </w:r>
      <w:r>
        <w:rPr>
          <w:rFonts w:ascii="Times New Roman" w:hAnsi="Times New Roman" w:cs="Times New Roman" w:eastAsiaTheme="minorEastAsia"/>
          <w:b/>
          <w:bCs/>
          <w:sz w:val="24"/>
          <w:szCs w:val="24"/>
        </w:rPr>
        <w:fldChar w:fldCharType="end"/>
      </w:r>
      <w:r>
        <w:rPr>
          <w:rFonts w:ascii="Times New Roman" w:hAnsi="Times New Roman" w:cs="Times New Roman" w:eastAsiaTheme="minorEastAsia"/>
          <w:b/>
          <w:bCs/>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"_Toc89358656" </w:instrText>
      </w:r>
      <w:r>
        <w:fldChar w:fldCharType="separate"/>
      </w:r>
      <w:r>
        <w:rPr>
          <w:rStyle w:val="20"/>
          <w:rFonts w:ascii="Times New Roman" w:hAnsi="Times New Roman" w:cs="Times New Roman" w:eastAsiaTheme="minorEastAsia"/>
          <w:sz w:val="24"/>
          <w:szCs w:val="24"/>
        </w:rPr>
        <w:t>（一）强化产业链高端化和协同发展，打造区域</w:t>
      </w:r>
      <w:r>
        <w:rPr>
          <w:rStyle w:val="20"/>
          <w:rFonts w:hint="eastAsia" w:ascii="Times New Roman" w:hAnsi="Times New Roman" w:cs="Times New Roman" w:eastAsiaTheme="minorEastAsia"/>
          <w:sz w:val="24"/>
          <w:szCs w:val="24"/>
        </w:rPr>
        <w:t>“</w:t>
      </w:r>
      <w:r>
        <w:rPr>
          <w:rStyle w:val="20"/>
          <w:rFonts w:ascii="Times New Roman" w:hAnsi="Times New Roman" w:cs="Times New Roman" w:eastAsiaTheme="minorEastAsia"/>
          <w:sz w:val="24"/>
          <w:szCs w:val="24"/>
        </w:rPr>
        <w:t>数字经济</w:t>
      </w:r>
      <w:r>
        <w:rPr>
          <w:rStyle w:val="20"/>
          <w:rFonts w:hint="eastAsia" w:ascii="Times New Roman" w:hAnsi="Times New Roman" w:cs="Times New Roman" w:eastAsiaTheme="minorEastAsia"/>
          <w:sz w:val="24"/>
          <w:szCs w:val="24"/>
        </w:rPr>
        <w:t>”</w:t>
      </w:r>
      <w:r>
        <w:rPr>
          <w:rStyle w:val="20"/>
          <w:rFonts w:ascii="Times New Roman" w:hAnsi="Times New Roman" w:cs="Times New Roman" w:eastAsiaTheme="minorEastAsia"/>
          <w:sz w:val="24"/>
          <w:szCs w:val="24"/>
        </w:rPr>
        <w:t>发展引擎</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_Toc89358656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xml:space="preserve">- 20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"_Toc89358657" </w:instrText>
      </w:r>
      <w:r>
        <w:fldChar w:fldCharType="separate"/>
      </w:r>
      <w:r>
        <w:rPr>
          <w:rStyle w:val="20"/>
          <w:rFonts w:ascii="Times New Roman" w:hAnsi="Times New Roman" w:cs="Times New Roman" w:eastAsiaTheme="minorEastAsia"/>
          <w:sz w:val="24"/>
          <w:szCs w:val="24"/>
        </w:rPr>
        <w:t>（二）全面加速科技创新资源集聚，打造粤港澳大湾区创新策源主阵地</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_Toc89358657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xml:space="preserve">- 22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"_Toc89358658" </w:instrText>
      </w:r>
      <w:r>
        <w:fldChar w:fldCharType="separate"/>
      </w:r>
      <w:r>
        <w:rPr>
          <w:rStyle w:val="20"/>
          <w:rFonts w:ascii="Times New Roman" w:hAnsi="Times New Roman" w:cs="Times New Roman" w:eastAsiaTheme="minorEastAsia"/>
          <w:sz w:val="24"/>
          <w:szCs w:val="24"/>
        </w:rPr>
        <w:t>（三）凸显核心竞争优势和发展导向，打响</w:t>
      </w:r>
      <w:r>
        <w:rPr>
          <w:rStyle w:val="20"/>
          <w:rFonts w:hint="eastAsia" w:ascii="Times New Roman" w:hAnsi="Times New Roman" w:cs="Times New Roman" w:eastAsiaTheme="minorEastAsia"/>
          <w:sz w:val="24"/>
          <w:szCs w:val="24"/>
        </w:rPr>
        <w:t>“</w:t>
      </w:r>
      <w:r>
        <w:rPr>
          <w:rStyle w:val="20"/>
          <w:rFonts w:ascii="Times New Roman" w:hAnsi="Times New Roman" w:cs="Times New Roman" w:eastAsiaTheme="minorEastAsia"/>
          <w:sz w:val="24"/>
          <w:szCs w:val="24"/>
        </w:rPr>
        <w:t>科创活力区</w:t>
      </w:r>
      <w:r>
        <w:rPr>
          <w:rStyle w:val="20"/>
          <w:rFonts w:hint="eastAsia" w:ascii="Times New Roman" w:hAnsi="Times New Roman" w:cs="Times New Roman" w:eastAsiaTheme="minorEastAsia"/>
          <w:sz w:val="24"/>
          <w:szCs w:val="24"/>
        </w:rPr>
        <w:t>”</w:t>
      </w:r>
      <w:r>
        <w:rPr>
          <w:rStyle w:val="20"/>
          <w:rFonts w:ascii="Times New Roman" w:hAnsi="Times New Roman" w:cs="Times New Roman" w:eastAsiaTheme="minorEastAsia"/>
          <w:sz w:val="24"/>
          <w:szCs w:val="24"/>
        </w:rPr>
        <w:t>的区域品牌</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_Toc89358658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xml:space="preserve">- 23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"_Toc89358659" </w:instrText>
      </w:r>
      <w:r>
        <w:fldChar w:fldCharType="separate"/>
      </w:r>
      <w:r>
        <w:rPr>
          <w:rStyle w:val="20"/>
          <w:rFonts w:ascii="Times New Roman" w:hAnsi="Times New Roman" w:cs="Times New Roman" w:eastAsiaTheme="minorEastAsia"/>
          <w:sz w:val="24"/>
          <w:szCs w:val="24"/>
        </w:rPr>
        <w:t>（四）积极有序推进城市有机更新，拓展中心城区发展空间</w:t>
      </w:r>
      <w:r>
        <w:rPr>
          <w:rStyle w:val="20"/>
          <w:rFonts w:hint="eastAsia" w:ascii="Times New Roman" w:hAnsi="Times New Roman" w:cs="Times New Roman" w:eastAsiaTheme="minorEastAsia"/>
          <w:sz w:val="24"/>
          <w:szCs w:val="24"/>
        </w:rPr>
        <w:t>“</w:t>
      </w:r>
      <w:r>
        <w:rPr>
          <w:rStyle w:val="20"/>
          <w:rFonts w:ascii="Times New Roman" w:hAnsi="Times New Roman" w:cs="Times New Roman" w:eastAsiaTheme="minorEastAsia"/>
          <w:sz w:val="24"/>
          <w:szCs w:val="24"/>
        </w:rPr>
        <w:t>新增量</w:t>
      </w:r>
      <w:r>
        <w:rPr>
          <w:rStyle w:val="20"/>
          <w:rFonts w:hint="eastAsia" w:ascii="Times New Roman" w:hAnsi="Times New Roman" w:cs="Times New Roman" w:eastAsiaTheme="minorEastAsia"/>
          <w:sz w:val="24"/>
          <w:szCs w:val="24"/>
        </w:rPr>
        <w:t>”</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_Toc89358659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xml:space="preserve">- 24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"_Toc89358660" </w:instrText>
      </w:r>
      <w:r>
        <w:fldChar w:fldCharType="separate"/>
      </w:r>
      <w:r>
        <w:rPr>
          <w:rStyle w:val="20"/>
          <w:rFonts w:ascii="Times New Roman" w:hAnsi="Times New Roman" w:cs="Times New Roman" w:eastAsiaTheme="minorEastAsia"/>
          <w:sz w:val="24"/>
          <w:szCs w:val="24"/>
        </w:rPr>
        <w:t>（五）加强与周边重点平台衔接和联动，打开区域协同创新发展新局面</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_Toc89358660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xml:space="preserve">- 25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2"/>
        <w:tabs>
          <w:tab w:val="right" w:leader="dot" w:pos="8296"/>
        </w:tabs>
        <w:rPr>
          <w:rFonts w:ascii="Times New Roman" w:hAnsi="Times New Roman" w:cs="Times New Roman" w:eastAsiaTheme="minorEastAsia"/>
          <w:b/>
          <w:bCs/>
          <w:sz w:val="24"/>
          <w:szCs w:val="24"/>
        </w:rPr>
      </w:pPr>
      <w:r>
        <w:fldChar w:fldCharType="begin"/>
      </w:r>
      <w:r>
        <w:instrText xml:space="preserve"> HYPERLINK \l "_Toc89358661" </w:instrText>
      </w:r>
      <w:r>
        <w:fldChar w:fldCharType="separate"/>
      </w:r>
      <w:r>
        <w:rPr>
          <w:rStyle w:val="20"/>
          <w:rFonts w:ascii="Times New Roman" w:hAnsi="Times New Roman" w:cs="Times New Roman" w:eastAsiaTheme="minorEastAsia"/>
          <w:b/>
          <w:bCs/>
          <w:sz w:val="24"/>
          <w:szCs w:val="24"/>
        </w:rPr>
        <w:t>五、产业体系及空间布局</w:t>
      </w:r>
      <w:r>
        <w:rPr>
          <w:rFonts w:ascii="Times New Roman" w:hAnsi="Times New Roman" w:cs="Times New Roman" w:eastAsiaTheme="minorEastAsia"/>
          <w:b/>
          <w:bCs/>
          <w:sz w:val="24"/>
          <w:szCs w:val="24"/>
        </w:rPr>
        <w:tab/>
      </w:r>
      <w:r>
        <w:rPr>
          <w:rFonts w:ascii="Times New Roman" w:hAnsi="Times New Roman" w:cs="Times New Roman" w:eastAsiaTheme="minorEastAsia"/>
          <w:b/>
          <w:bCs/>
          <w:sz w:val="24"/>
          <w:szCs w:val="24"/>
        </w:rPr>
        <w:fldChar w:fldCharType="begin"/>
      </w:r>
      <w:r>
        <w:rPr>
          <w:rFonts w:ascii="Times New Roman" w:hAnsi="Times New Roman" w:cs="Times New Roman" w:eastAsiaTheme="minorEastAsia"/>
          <w:b/>
          <w:bCs/>
          <w:sz w:val="24"/>
          <w:szCs w:val="24"/>
        </w:rPr>
        <w:instrText xml:space="preserve"> PAGEREF _Toc89358661 \h </w:instrText>
      </w:r>
      <w:r>
        <w:rPr>
          <w:rFonts w:ascii="Times New Roman" w:hAnsi="Times New Roman" w:cs="Times New Roman" w:eastAsiaTheme="minorEastAsia"/>
          <w:b/>
          <w:bCs/>
          <w:sz w:val="24"/>
          <w:szCs w:val="24"/>
        </w:rPr>
        <w:fldChar w:fldCharType="separate"/>
      </w:r>
      <w:r>
        <w:rPr>
          <w:rFonts w:ascii="Times New Roman" w:hAnsi="Times New Roman" w:cs="Times New Roman" w:eastAsiaTheme="minorEastAsia"/>
          <w:b/>
          <w:bCs/>
          <w:sz w:val="24"/>
          <w:szCs w:val="24"/>
        </w:rPr>
        <w:t>- 26 -</w:t>
      </w:r>
      <w:r>
        <w:rPr>
          <w:rFonts w:ascii="Times New Roman" w:hAnsi="Times New Roman" w:cs="Times New Roman" w:eastAsiaTheme="minorEastAsia"/>
          <w:b/>
          <w:bCs/>
          <w:sz w:val="24"/>
          <w:szCs w:val="24"/>
        </w:rPr>
        <w:fldChar w:fldCharType="end"/>
      </w:r>
      <w:r>
        <w:rPr>
          <w:rFonts w:ascii="Times New Roman" w:hAnsi="Times New Roman" w:cs="Times New Roman" w:eastAsiaTheme="minorEastAsia"/>
          <w:b/>
          <w:bCs/>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"_Toc89358662" </w:instrText>
      </w:r>
      <w:r>
        <w:fldChar w:fldCharType="separate"/>
      </w:r>
      <w:r>
        <w:rPr>
          <w:rStyle w:val="20"/>
          <w:rFonts w:ascii="Times New Roman" w:hAnsi="Times New Roman" w:cs="Times New Roman" w:eastAsiaTheme="minorEastAsia"/>
          <w:sz w:val="24"/>
          <w:szCs w:val="24"/>
        </w:rPr>
        <w:t>（一）巩固发展新一代信息技术产业</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_Toc89358662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- 27 -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"_Toc89358663" </w:instrText>
      </w:r>
      <w:r>
        <w:fldChar w:fldCharType="separate"/>
      </w:r>
      <w:r>
        <w:rPr>
          <w:rStyle w:val="20"/>
          <w:rFonts w:ascii="Times New Roman" w:hAnsi="Times New Roman" w:cs="Times New Roman" w:eastAsiaTheme="minorEastAsia"/>
          <w:sz w:val="24"/>
          <w:szCs w:val="24"/>
        </w:rPr>
        <w:t>（二）大力发展数字创意产业</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_Toc89358663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- 33 -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"_Toc89358664" </w:instrText>
      </w:r>
      <w:r>
        <w:fldChar w:fldCharType="separate"/>
      </w:r>
      <w:r>
        <w:rPr>
          <w:rStyle w:val="20"/>
          <w:rFonts w:ascii="Times New Roman" w:hAnsi="Times New Roman" w:cs="Times New Roman" w:eastAsiaTheme="minorEastAsia"/>
          <w:sz w:val="24"/>
          <w:szCs w:val="24"/>
        </w:rPr>
        <w:t>（三）大力发展现代都市工业</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_Toc89358664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- 36 -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"_Toc89358665" </w:instrText>
      </w:r>
      <w:r>
        <w:fldChar w:fldCharType="separate"/>
      </w:r>
      <w:r>
        <w:rPr>
          <w:rStyle w:val="20"/>
          <w:rFonts w:ascii="Times New Roman" w:hAnsi="Times New Roman" w:cs="Times New Roman" w:eastAsiaTheme="minorEastAsia"/>
          <w:sz w:val="24"/>
          <w:szCs w:val="24"/>
        </w:rPr>
        <w:t>（四）积极布局未来产业</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_Toc89358665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- 40 -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"_Toc89358666" </w:instrText>
      </w:r>
      <w:r>
        <w:fldChar w:fldCharType="separate"/>
      </w:r>
      <w:r>
        <w:rPr>
          <w:rStyle w:val="20"/>
          <w:rFonts w:ascii="Times New Roman" w:hAnsi="Times New Roman" w:cs="Times New Roman" w:eastAsiaTheme="minorEastAsia"/>
          <w:sz w:val="24"/>
          <w:szCs w:val="24"/>
        </w:rPr>
        <w:t>（五）加快提升科技服务业</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_Toc89358666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- 40 -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"_Toc89358667" </w:instrText>
      </w:r>
      <w:r>
        <w:fldChar w:fldCharType="separate"/>
      </w:r>
      <w:r>
        <w:rPr>
          <w:rStyle w:val="20"/>
          <w:rFonts w:ascii="Times New Roman" w:hAnsi="Times New Roman" w:cs="Times New Roman" w:eastAsiaTheme="minorEastAsia"/>
          <w:sz w:val="24"/>
          <w:szCs w:val="24"/>
        </w:rPr>
        <w:t>（六）产业空间布局</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_Toc89358667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- 41 -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2"/>
        <w:tabs>
          <w:tab w:val="right" w:leader="dot" w:pos="8296"/>
        </w:tabs>
        <w:rPr>
          <w:rFonts w:ascii="Times New Roman" w:hAnsi="Times New Roman" w:cs="Times New Roman" w:eastAsiaTheme="minorEastAsia"/>
          <w:b/>
          <w:bCs/>
          <w:sz w:val="24"/>
          <w:szCs w:val="24"/>
        </w:rPr>
      </w:pPr>
      <w:r>
        <w:fldChar w:fldCharType="begin"/>
      </w:r>
      <w:r>
        <w:instrText xml:space="preserve"> HYPERLINK \l "_Toc89358668" </w:instrText>
      </w:r>
      <w:r>
        <w:fldChar w:fldCharType="separate"/>
      </w:r>
      <w:r>
        <w:rPr>
          <w:rStyle w:val="20"/>
          <w:rFonts w:ascii="Times New Roman" w:hAnsi="Times New Roman" w:cs="Times New Roman" w:eastAsiaTheme="minorEastAsia"/>
          <w:b/>
          <w:bCs/>
          <w:sz w:val="24"/>
          <w:szCs w:val="24"/>
        </w:rPr>
        <w:t>六、主要任务</w:t>
      </w:r>
      <w:r>
        <w:rPr>
          <w:rFonts w:ascii="Times New Roman" w:hAnsi="Times New Roman" w:cs="Times New Roman" w:eastAsiaTheme="minorEastAsia"/>
          <w:b/>
          <w:bCs/>
          <w:sz w:val="24"/>
          <w:szCs w:val="24"/>
        </w:rPr>
        <w:tab/>
      </w:r>
      <w:r>
        <w:rPr>
          <w:rFonts w:ascii="Times New Roman" w:hAnsi="Times New Roman" w:cs="Times New Roman" w:eastAsiaTheme="minorEastAsia"/>
          <w:b/>
          <w:bCs/>
          <w:sz w:val="24"/>
          <w:szCs w:val="24"/>
        </w:rPr>
        <w:fldChar w:fldCharType="begin"/>
      </w:r>
      <w:r>
        <w:rPr>
          <w:rFonts w:ascii="Times New Roman" w:hAnsi="Times New Roman" w:cs="Times New Roman" w:eastAsiaTheme="minorEastAsia"/>
          <w:b/>
          <w:bCs/>
          <w:sz w:val="24"/>
          <w:szCs w:val="24"/>
        </w:rPr>
        <w:instrText xml:space="preserve"> PAGEREF _Toc89358668 \h </w:instrText>
      </w:r>
      <w:r>
        <w:rPr>
          <w:rFonts w:ascii="Times New Roman" w:hAnsi="Times New Roman" w:cs="Times New Roman" w:eastAsiaTheme="minorEastAsia"/>
          <w:b/>
          <w:bCs/>
          <w:sz w:val="24"/>
          <w:szCs w:val="24"/>
        </w:rPr>
        <w:fldChar w:fldCharType="separate"/>
      </w:r>
      <w:r>
        <w:rPr>
          <w:rFonts w:ascii="Times New Roman" w:hAnsi="Times New Roman" w:cs="Times New Roman" w:eastAsiaTheme="minorEastAsia"/>
          <w:b/>
          <w:bCs/>
          <w:sz w:val="24"/>
          <w:szCs w:val="24"/>
        </w:rPr>
        <w:t>- 43 -</w:t>
      </w:r>
      <w:r>
        <w:rPr>
          <w:rFonts w:ascii="Times New Roman" w:hAnsi="Times New Roman" w:cs="Times New Roman" w:eastAsiaTheme="minorEastAsia"/>
          <w:b/>
          <w:bCs/>
          <w:sz w:val="24"/>
          <w:szCs w:val="24"/>
        </w:rPr>
        <w:fldChar w:fldCharType="end"/>
      </w:r>
      <w:r>
        <w:rPr>
          <w:rFonts w:ascii="Times New Roman" w:hAnsi="Times New Roman" w:cs="Times New Roman" w:eastAsiaTheme="minorEastAsia"/>
          <w:b/>
          <w:bCs/>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"_Toc89358669" </w:instrText>
      </w:r>
      <w:r>
        <w:fldChar w:fldCharType="separate"/>
      </w:r>
      <w:r>
        <w:rPr>
          <w:rStyle w:val="20"/>
          <w:rFonts w:ascii="Times New Roman" w:hAnsi="Times New Roman" w:cs="Times New Roman" w:eastAsiaTheme="minorEastAsia"/>
          <w:sz w:val="24"/>
          <w:szCs w:val="24"/>
        </w:rPr>
        <w:t>（一）实施配套环境提升工程，促进产城融合发展</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_Toc89358669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- 43 -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"_Toc89358670" </w:instrText>
      </w:r>
      <w:r>
        <w:fldChar w:fldCharType="separate"/>
      </w:r>
      <w:r>
        <w:rPr>
          <w:rStyle w:val="20"/>
          <w:rFonts w:ascii="Times New Roman" w:hAnsi="Times New Roman" w:cs="Times New Roman" w:eastAsiaTheme="minorEastAsia"/>
          <w:sz w:val="24"/>
          <w:szCs w:val="24"/>
        </w:rPr>
        <w:t>（二）实施招商引资强化工程，注入强劲发展动能</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_Toc89358670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- 47 -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"_Toc89358671" </w:instrText>
      </w:r>
      <w:r>
        <w:fldChar w:fldCharType="separate"/>
      </w:r>
      <w:r>
        <w:rPr>
          <w:rStyle w:val="20"/>
          <w:rFonts w:ascii="Times New Roman" w:hAnsi="Times New Roman" w:cs="Times New Roman" w:eastAsiaTheme="minorEastAsia"/>
          <w:sz w:val="24"/>
          <w:szCs w:val="24"/>
        </w:rPr>
        <w:t>（三）实施人才引进培育工程，打造湾区人才高地</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_Toc89358671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- 50 -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"_Toc89358672" </w:instrText>
      </w:r>
      <w:r>
        <w:fldChar w:fldCharType="separate"/>
      </w:r>
      <w:r>
        <w:rPr>
          <w:rStyle w:val="20"/>
          <w:rFonts w:ascii="Times New Roman" w:hAnsi="Times New Roman" w:cs="Times New Roman" w:eastAsiaTheme="minorEastAsia"/>
          <w:sz w:val="24"/>
          <w:szCs w:val="24"/>
        </w:rPr>
        <w:t>（四）实施智慧城市引领工程，发挥示范带动作用</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_Toc89358672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- 53 -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"_Toc89358673" </w:instrText>
      </w:r>
      <w:r>
        <w:fldChar w:fldCharType="separate"/>
      </w:r>
      <w:r>
        <w:rPr>
          <w:rStyle w:val="20"/>
          <w:rFonts w:ascii="Times New Roman" w:hAnsi="Times New Roman" w:cs="Times New Roman" w:eastAsiaTheme="minorEastAsia"/>
          <w:sz w:val="24"/>
          <w:szCs w:val="24"/>
        </w:rPr>
        <w:t>（五）实施服务平台建设工程，完善园区服务体系</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_Toc89358673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- 54 -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2"/>
        <w:tabs>
          <w:tab w:val="right" w:leader="dot" w:pos="8296"/>
        </w:tabs>
        <w:rPr>
          <w:rFonts w:ascii="Times New Roman" w:hAnsi="Times New Roman" w:cs="Times New Roman" w:eastAsiaTheme="minorEastAsia"/>
          <w:b/>
          <w:bCs/>
          <w:sz w:val="24"/>
          <w:szCs w:val="24"/>
        </w:rPr>
      </w:pPr>
      <w:r>
        <w:fldChar w:fldCharType="begin"/>
      </w:r>
      <w:r>
        <w:instrText xml:space="preserve"> HYPERLINK \l "_Toc89358674" </w:instrText>
      </w:r>
      <w:r>
        <w:fldChar w:fldCharType="separate"/>
      </w:r>
      <w:r>
        <w:rPr>
          <w:rStyle w:val="20"/>
          <w:rFonts w:ascii="Times New Roman" w:hAnsi="Times New Roman" w:cs="Times New Roman" w:eastAsiaTheme="minorEastAsia"/>
          <w:b/>
          <w:bCs/>
          <w:sz w:val="24"/>
          <w:szCs w:val="24"/>
        </w:rPr>
        <w:t>七、保障措施</w:t>
      </w:r>
      <w:r>
        <w:rPr>
          <w:rFonts w:ascii="Times New Roman" w:hAnsi="Times New Roman" w:cs="Times New Roman" w:eastAsiaTheme="minorEastAsia"/>
          <w:b/>
          <w:bCs/>
          <w:sz w:val="24"/>
          <w:szCs w:val="24"/>
        </w:rPr>
        <w:tab/>
      </w:r>
      <w:r>
        <w:rPr>
          <w:rFonts w:ascii="Times New Roman" w:hAnsi="Times New Roman" w:cs="Times New Roman" w:eastAsiaTheme="minorEastAsia"/>
          <w:b/>
          <w:bCs/>
          <w:sz w:val="24"/>
          <w:szCs w:val="24"/>
        </w:rPr>
        <w:fldChar w:fldCharType="begin"/>
      </w:r>
      <w:r>
        <w:rPr>
          <w:rFonts w:ascii="Times New Roman" w:hAnsi="Times New Roman" w:cs="Times New Roman" w:eastAsiaTheme="minorEastAsia"/>
          <w:b/>
          <w:bCs/>
          <w:sz w:val="24"/>
          <w:szCs w:val="24"/>
        </w:rPr>
        <w:instrText xml:space="preserve"> PAGEREF _Toc89358674 \h </w:instrText>
      </w:r>
      <w:r>
        <w:rPr>
          <w:rFonts w:ascii="Times New Roman" w:hAnsi="Times New Roman" w:cs="Times New Roman" w:eastAsiaTheme="minorEastAsia"/>
          <w:b/>
          <w:bCs/>
          <w:sz w:val="24"/>
          <w:szCs w:val="24"/>
        </w:rPr>
        <w:fldChar w:fldCharType="separate"/>
      </w:r>
      <w:r>
        <w:rPr>
          <w:rFonts w:ascii="Times New Roman" w:hAnsi="Times New Roman" w:cs="Times New Roman" w:eastAsiaTheme="minorEastAsia"/>
          <w:b/>
          <w:bCs/>
          <w:sz w:val="24"/>
          <w:szCs w:val="24"/>
        </w:rPr>
        <w:t>- 56 -</w:t>
      </w:r>
      <w:r>
        <w:rPr>
          <w:rFonts w:ascii="Times New Roman" w:hAnsi="Times New Roman" w:cs="Times New Roman" w:eastAsiaTheme="minorEastAsia"/>
          <w:b/>
          <w:bCs/>
          <w:sz w:val="24"/>
          <w:szCs w:val="24"/>
        </w:rPr>
        <w:fldChar w:fldCharType="end"/>
      </w:r>
      <w:r>
        <w:rPr>
          <w:rFonts w:ascii="Times New Roman" w:hAnsi="Times New Roman" w:cs="Times New Roman" w:eastAsiaTheme="minorEastAsia"/>
          <w:b/>
          <w:bCs/>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"_Toc89358675" </w:instrText>
      </w:r>
      <w:r>
        <w:fldChar w:fldCharType="separate"/>
      </w:r>
      <w:r>
        <w:rPr>
          <w:rStyle w:val="20"/>
          <w:rFonts w:ascii="Times New Roman" w:hAnsi="Times New Roman" w:cs="Times New Roman" w:eastAsiaTheme="minorEastAsia"/>
          <w:sz w:val="24"/>
          <w:szCs w:val="24"/>
        </w:rPr>
        <w:t>（一）加强组织领导</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_Toc89358675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- 56 -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"_Toc89358676" </w:instrText>
      </w:r>
      <w:r>
        <w:fldChar w:fldCharType="separate"/>
      </w:r>
      <w:r>
        <w:rPr>
          <w:rStyle w:val="20"/>
          <w:rFonts w:ascii="Times New Roman" w:hAnsi="Times New Roman" w:cs="Times New Roman" w:eastAsiaTheme="minorEastAsia"/>
          <w:sz w:val="24"/>
          <w:szCs w:val="24"/>
        </w:rPr>
        <w:t>（二）加大政策支持</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_Toc89358676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- 56 -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"_Toc89358677" </w:instrText>
      </w:r>
      <w:r>
        <w:fldChar w:fldCharType="separate"/>
      </w:r>
      <w:r>
        <w:rPr>
          <w:rStyle w:val="20"/>
          <w:rFonts w:ascii="Times New Roman" w:hAnsi="Times New Roman" w:cs="Times New Roman" w:eastAsiaTheme="minorEastAsia"/>
          <w:sz w:val="24"/>
          <w:szCs w:val="24"/>
        </w:rPr>
        <w:t>（三）优化营商环境</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_Toc89358677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- 57 -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"_Toc89358678" </w:instrText>
      </w:r>
      <w:r>
        <w:fldChar w:fldCharType="separate"/>
      </w:r>
      <w:r>
        <w:rPr>
          <w:rStyle w:val="20"/>
          <w:rFonts w:ascii="Times New Roman" w:hAnsi="Times New Roman" w:cs="Times New Roman" w:eastAsiaTheme="minorEastAsia"/>
          <w:sz w:val="24"/>
          <w:szCs w:val="24"/>
        </w:rPr>
        <w:t>（四）强化考核激励</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_Toc89358678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- 57 -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rPr>
          <w:rFonts w:ascii="Times New Roman" w:hAnsi="Times New Roman" w:cs="Times New Roman" w:eastAsiaTheme="minorEastAsia"/>
          <w:sz w:val="24"/>
          <w:szCs w:val="24"/>
        </w:rPr>
      </w:pPr>
      <w:r>
        <w:fldChar w:fldCharType="begin"/>
      </w:r>
      <w:r>
        <w:instrText xml:space="preserve"> HYPERLINK \l "_Toc89358679" </w:instrText>
      </w:r>
      <w:r>
        <w:fldChar w:fldCharType="separate"/>
      </w:r>
      <w:r>
        <w:rPr>
          <w:rStyle w:val="20"/>
          <w:rFonts w:ascii="Times New Roman" w:hAnsi="Times New Roman" w:cs="Times New Roman" w:eastAsiaTheme="minorEastAsia"/>
          <w:sz w:val="24"/>
          <w:szCs w:val="24"/>
        </w:rPr>
        <w:t>（五）提升宣传力度</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_Toc89358679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- 58 -</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rPr>
          <w:rFonts w:ascii="Times New Roman" w:hAnsi="Times New Roman" w:cs="Times New Roman" w:eastAsiaTheme="minorEastAsia"/>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fldChar w:fldCharType="end"/>
      </w:r>
    </w:p>
    <w:p>
      <w:pPr>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cs="Times New Roman"/>
          <w:color w:val="000000" w:themeColor="text1"/>
          <w14:textFill>
            <w14:solidFill>
              <w14:schemeClr w14:val="tx1"/>
            </w14:solidFill>
          </w14:textFill>
        </w:rPr>
        <w:br w:type="page"/>
      </w:r>
    </w:p>
    <w:p>
      <w:pPr>
        <w:pStyle w:val="2"/>
      </w:pPr>
    </w:p>
    <w:p>
      <w:pPr>
        <w:spacing w:line="360" w:lineRule="auto"/>
        <w:ind w:firstLine="640" w:firstLineChars="200"/>
        <w:rPr>
          <w:rFonts w:ascii="Times New Roman" w:hAnsi="Times New Roman" w:eastAsia="仿宋" w:cs="Times New Roman"/>
          <w:snapToGrid w:val="0"/>
          <w:color w:val="000000" w:themeColor="text1"/>
          <w:kern w:val="0"/>
          <w:sz w:val="32"/>
          <w:szCs w:val="32"/>
          <w14:textFill>
            <w14:solidFill>
              <w14:schemeClr w14:val="tx1"/>
            </w14:solidFill>
          </w14:textFill>
        </w:rPr>
      </w:pPr>
      <w:r>
        <w:rPr>
          <w:rFonts w:hint="eastAsia" w:ascii="Times New Roman" w:hAnsi="Times New Roman" w:eastAsia="仿宋" w:cs="Times New Roman"/>
          <w:snapToGrid w:val="0"/>
          <w:color w:val="000000" w:themeColor="text1"/>
          <w:kern w:val="0"/>
          <w:sz w:val="32"/>
          <w:szCs w:val="32"/>
          <w14:textFill>
            <w14:solidFill>
              <w14:schemeClr w14:val="tx1"/>
            </w14:solidFill>
          </w14:textFill>
        </w:rPr>
        <w:t>“</w:t>
      </w:r>
      <w:r>
        <w:rPr>
          <w:rFonts w:ascii="Times New Roman" w:hAnsi="Times New Roman" w:eastAsia="仿宋" w:cs="Times New Roman"/>
          <w:snapToGrid w:val="0"/>
          <w:color w:val="000000" w:themeColor="text1"/>
          <w:kern w:val="0"/>
          <w:sz w:val="32"/>
          <w:szCs w:val="32"/>
          <w14:textFill>
            <w14:solidFill>
              <w14:schemeClr w14:val="tx1"/>
            </w14:solidFill>
          </w14:textFill>
        </w:rPr>
        <w:t>十四五</w:t>
      </w:r>
      <w:r>
        <w:rPr>
          <w:rFonts w:hint="eastAsia" w:ascii="Times New Roman" w:hAnsi="Times New Roman" w:eastAsia="仿宋" w:cs="Times New Roman"/>
          <w:snapToGrid w:val="0"/>
          <w:color w:val="000000" w:themeColor="text1"/>
          <w:kern w:val="0"/>
          <w:sz w:val="32"/>
          <w:szCs w:val="32"/>
          <w14:textFill>
            <w14:solidFill>
              <w14:schemeClr w14:val="tx1"/>
            </w14:solidFill>
          </w14:textFill>
        </w:rPr>
        <w:t>”</w:t>
      </w:r>
      <w:r>
        <w:rPr>
          <w:rFonts w:ascii="Times New Roman" w:hAnsi="Times New Roman" w:eastAsia="仿宋" w:cs="Times New Roman"/>
          <w:snapToGrid w:val="0"/>
          <w:color w:val="000000" w:themeColor="text1"/>
          <w:kern w:val="0"/>
          <w:sz w:val="32"/>
          <w:szCs w:val="32"/>
          <w14:textFill>
            <w14:solidFill>
              <w14:schemeClr w14:val="tx1"/>
            </w14:solidFill>
          </w14:textFill>
        </w:rPr>
        <w:t>时期是我国全面建成小康社会、实现第一个百年奋斗目标之后，乘势而上开启全面建设社会主义现代化国家新征程、向第二个百年奋斗目标进军的第一个五年；是天河区助力广州实现老城市新活力、</w:t>
      </w:r>
      <w:r>
        <w:rPr>
          <w:rFonts w:hint="eastAsia" w:ascii="Times New Roman" w:hAnsi="Times New Roman" w:eastAsia="仿宋" w:cs="Times New Roman"/>
          <w:snapToGrid w:val="0"/>
          <w:color w:val="000000" w:themeColor="text1"/>
          <w:kern w:val="0"/>
          <w:sz w:val="32"/>
          <w:szCs w:val="32"/>
          <w14:textFill>
            <w14:solidFill>
              <w14:schemeClr w14:val="tx1"/>
            </w14:solidFill>
          </w14:textFill>
        </w:rPr>
        <w:t>“</w:t>
      </w:r>
      <w:r>
        <w:rPr>
          <w:rFonts w:ascii="Times New Roman" w:hAnsi="Times New Roman" w:eastAsia="仿宋" w:cs="Times New Roman"/>
          <w:snapToGrid w:val="0"/>
          <w:color w:val="000000" w:themeColor="text1"/>
          <w:kern w:val="0"/>
          <w:sz w:val="32"/>
          <w:szCs w:val="32"/>
          <w14:textFill>
            <w14:solidFill>
              <w14:schemeClr w14:val="tx1"/>
            </w14:solidFill>
          </w14:textFill>
        </w:rPr>
        <w:t>四个出新出彩</w:t>
      </w:r>
      <w:r>
        <w:rPr>
          <w:rFonts w:hint="eastAsia" w:ascii="Times New Roman" w:hAnsi="Times New Roman" w:eastAsia="仿宋" w:cs="Times New Roman"/>
          <w:snapToGrid w:val="0"/>
          <w:color w:val="000000" w:themeColor="text1"/>
          <w:kern w:val="0"/>
          <w:sz w:val="32"/>
          <w:szCs w:val="32"/>
          <w14:textFill>
            <w14:solidFill>
              <w14:schemeClr w14:val="tx1"/>
            </w14:solidFill>
          </w14:textFill>
        </w:rPr>
        <w:t>”</w:t>
      </w:r>
      <w:r>
        <w:rPr>
          <w:rFonts w:ascii="Times New Roman" w:hAnsi="Times New Roman" w:eastAsia="仿宋" w:cs="Times New Roman"/>
          <w:snapToGrid w:val="0"/>
          <w:color w:val="000000" w:themeColor="text1"/>
          <w:kern w:val="0"/>
          <w:sz w:val="32"/>
          <w:szCs w:val="32"/>
          <w14:textFill>
            <w14:solidFill>
              <w14:schemeClr w14:val="tx1"/>
            </w14:solidFill>
          </w14:textFill>
        </w:rPr>
        <w:t>，谱写高质量发展新篇章的关键阶段。作为天河区发展的重大平台，天河智慧城在</w:t>
      </w:r>
      <w:r>
        <w:rPr>
          <w:rFonts w:hint="eastAsia" w:ascii="Times New Roman" w:hAnsi="Times New Roman" w:eastAsia="仿宋" w:cs="Times New Roman"/>
          <w:snapToGrid w:val="0"/>
          <w:color w:val="000000" w:themeColor="text1"/>
          <w:kern w:val="0"/>
          <w:sz w:val="32"/>
          <w:szCs w:val="32"/>
          <w14:textFill>
            <w14:solidFill>
              <w14:schemeClr w14:val="tx1"/>
            </w14:solidFill>
          </w14:textFill>
        </w:rPr>
        <w:t>“</w:t>
      </w:r>
      <w:r>
        <w:rPr>
          <w:rFonts w:ascii="Times New Roman" w:hAnsi="Times New Roman" w:eastAsia="仿宋" w:cs="Times New Roman"/>
          <w:snapToGrid w:val="0"/>
          <w:color w:val="000000" w:themeColor="text1"/>
          <w:kern w:val="0"/>
          <w:sz w:val="32"/>
          <w:szCs w:val="32"/>
          <w14:textFill>
            <w14:solidFill>
              <w14:schemeClr w14:val="tx1"/>
            </w14:solidFill>
          </w14:textFill>
        </w:rPr>
        <w:t>十四五</w:t>
      </w:r>
      <w:r>
        <w:rPr>
          <w:rFonts w:hint="eastAsia" w:ascii="Times New Roman" w:hAnsi="Times New Roman" w:eastAsia="仿宋" w:cs="Times New Roman"/>
          <w:snapToGrid w:val="0"/>
          <w:color w:val="000000" w:themeColor="text1"/>
          <w:kern w:val="0"/>
          <w:sz w:val="32"/>
          <w:szCs w:val="32"/>
          <w14:textFill>
            <w14:solidFill>
              <w14:schemeClr w14:val="tx1"/>
            </w14:solidFill>
          </w14:textFill>
        </w:rPr>
        <w:t>”</w:t>
      </w:r>
      <w:r>
        <w:rPr>
          <w:rFonts w:ascii="Times New Roman" w:hAnsi="Times New Roman" w:eastAsia="仿宋" w:cs="Times New Roman"/>
          <w:snapToGrid w:val="0"/>
          <w:color w:val="000000" w:themeColor="text1"/>
          <w:kern w:val="0"/>
          <w:sz w:val="32"/>
          <w:szCs w:val="32"/>
          <w14:textFill>
            <w14:solidFill>
              <w14:schemeClr w14:val="tx1"/>
            </w14:solidFill>
          </w14:textFill>
        </w:rPr>
        <w:t>期间，应坚定不移实施创新驱动发展战略，提升产业基础高级化、产业链现代化水平，优化提升片区格局和发展空间，构建宜居宜业片区，加快建设更高水平开放型经济新体制，引领支撑区域数字经济和战略性新兴产业发展，成为广深港澳科技创新走廊和广州科技创新轴的关键节点、粤港澳大湾区科技协同创新引领区、</w:t>
      </w:r>
      <w:r>
        <w:rPr>
          <w:rFonts w:hint="eastAsia" w:ascii="Times New Roman" w:hAnsi="Times New Roman" w:eastAsia="仿宋" w:cs="Times New Roman"/>
          <w:snapToGrid w:val="0"/>
          <w:color w:val="000000" w:themeColor="text1"/>
          <w:kern w:val="0"/>
          <w:sz w:val="32"/>
          <w:szCs w:val="32"/>
          <w14:textFill>
            <w14:solidFill>
              <w14:schemeClr w14:val="tx1"/>
            </w14:solidFill>
          </w14:textFill>
        </w:rPr>
        <w:t>产城深度融合发展区</w:t>
      </w:r>
      <w:r>
        <w:rPr>
          <w:rFonts w:ascii="Times New Roman" w:hAnsi="Times New Roman" w:eastAsia="仿宋" w:cs="Times New Roman"/>
          <w:snapToGrid w:val="0"/>
          <w:color w:val="000000" w:themeColor="text1"/>
          <w:kern w:val="0"/>
          <w:sz w:val="32"/>
          <w:szCs w:val="32"/>
          <w14:textFill>
            <w14:solidFill>
              <w14:schemeClr w14:val="tx1"/>
            </w14:solidFill>
          </w14:textFill>
        </w:rPr>
        <w:t>。</w:t>
      </w:r>
    </w:p>
    <w:p>
      <w:pPr>
        <w:spacing w:line="360" w:lineRule="auto"/>
        <w:ind w:firstLine="640" w:firstLineChars="200"/>
        <w:rPr>
          <w:rFonts w:ascii="Times New Roman" w:hAnsi="Times New Roman" w:eastAsia="仿宋" w:cs="Times New Roman"/>
          <w:snapToGrid w:val="0"/>
          <w:color w:val="000000" w:themeColor="text1"/>
          <w:kern w:val="0"/>
          <w:sz w:val="32"/>
          <w:szCs w:val="32"/>
          <w14:textFill>
            <w14:solidFill>
              <w14:schemeClr w14:val="tx1"/>
            </w14:solidFill>
          </w14:textFill>
        </w:rPr>
      </w:pPr>
      <w:r>
        <w:rPr>
          <w:rFonts w:ascii="Times New Roman" w:hAnsi="Times New Roman" w:eastAsia="仿宋" w:cs="Times New Roman"/>
          <w:snapToGrid w:val="0"/>
          <w:color w:val="000000" w:themeColor="text1"/>
          <w:kern w:val="0"/>
          <w:sz w:val="32"/>
          <w:szCs w:val="32"/>
          <w14:textFill>
            <w14:solidFill>
              <w14:schemeClr w14:val="tx1"/>
            </w14:solidFill>
          </w14:textFill>
        </w:rPr>
        <w:t>根据《关于推动广州天河智慧城高质量发展的实施意见》，本次规划范围聚焦在天河智慧城核心区（20.69平方公里）和天河智谷片区（15.2平方公里），总计35.89平方公里。为推动天河智慧城高质量发展，依据《广州市天河区国民经济和社会发展第十四个五年规划和2035年远景目标纲要》《关于推动广州天河智慧城高质量发展的实施意见》《关于加快推进广州天河高新技术产业开发区高质量发展的实施方案》等有关文件，编制本规划，规划期为2021-2025年。</w:t>
      </w:r>
    </w:p>
    <w:p>
      <w:pPr>
        <w:pStyle w:val="2"/>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270500" cy="492950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0500" cy="4929505"/>
                    </a:xfrm>
                    <a:prstGeom prst="rect">
                      <a:avLst/>
                    </a:prstGeom>
                    <a:noFill/>
                    <a:ln>
                      <a:noFill/>
                    </a:ln>
                  </pic:spPr>
                </pic:pic>
              </a:graphicData>
            </a:graphic>
          </wp:inline>
        </w:drawing>
      </w:r>
    </w:p>
    <w:p>
      <w:pPr>
        <w:pStyle w:val="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图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图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天河智慧城“十四五”规划范围</w:t>
      </w:r>
    </w:p>
    <w:p>
      <w:pPr>
        <w:pStyle w:val="2"/>
        <w:rPr>
          <w:rFonts w:ascii="Times New Roman" w:hAnsi="Times New Roman" w:cs="Times New Roman"/>
          <w:color w:val="000000" w:themeColor="text1"/>
          <w14:textFill>
            <w14:solidFill>
              <w14:schemeClr w14:val="tx1"/>
            </w14:solidFill>
          </w14:textFill>
        </w:rPr>
      </w:pPr>
    </w:p>
    <w:p>
      <w:pPr>
        <w:widowControl/>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pStyle w:val="3"/>
        <w:ind w:firstLine="640"/>
        <w:rPr>
          <w:color w:val="000000" w:themeColor="text1"/>
          <w14:textFill>
            <w14:solidFill>
              <w14:schemeClr w14:val="tx1"/>
            </w14:solidFill>
          </w14:textFill>
        </w:rPr>
      </w:pPr>
      <w:bookmarkStart w:id="1" w:name="_Toc89358631"/>
      <w:r>
        <w:rPr>
          <w:color w:val="000000" w:themeColor="text1"/>
          <w14:textFill>
            <w14:solidFill>
              <w14:schemeClr w14:val="tx1"/>
            </w14:solidFill>
          </w14:textFill>
        </w:rPr>
        <w:t>一、</w:t>
      </w:r>
      <w:bookmarkEnd w:id="0"/>
      <w:r>
        <w:rPr>
          <w:rFonts w:hint="eastAsia"/>
          <w:color w:val="000000" w:themeColor="text1"/>
          <w14:textFill>
            <w14:solidFill>
              <w14:schemeClr w14:val="tx1"/>
            </w14:solidFill>
          </w14:textFill>
        </w:rPr>
        <w:t>“</w:t>
      </w:r>
      <w:r>
        <w:rPr>
          <w:color w:val="000000" w:themeColor="text1"/>
          <w14:textFill>
            <w14:solidFill>
              <w14:schemeClr w14:val="tx1"/>
            </w14:solidFill>
          </w14:textFill>
        </w:rPr>
        <w:t>十三五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发展回顾</w:t>
      </w:r>
      <w:bookmarkEnd w:id="1"/>
    </w:p>
    <w:p>
      <w:pPr>
        <w:pStyle w:val="4"/>
        <w:rPr>
          <w:color w:val="000000" w:themeColor="text1"/>
          <w14:textFill>
            <w14:solidFill>
              <w14:schemeClr w14:val="tx1"/>
            </w14:solidFill>
          </w14:textFill>
        </w:rPr>
      </w:pPr>
      <w:bookmarkStart w:id="2" w:name="_Toc89358632"/>
      <w:r>
        <w:rPr>
          <w:color w:val="000000" w:themeColor="text1"/>
          <w14:textFill>
            <w14:solidFill>
              <w14:schemeClr w14:val="tx1"/>
            </w14:solidFill>
          </w14:textFill>
        </w:rPr>
        <w:t>（一）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十三五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发展取得成就</w:t>
      </w:r>
      <w:bookmarkEnd w:id="2"/>
    </w:p>
    <w:p>
      <w:pPr>
        <w:pStyle w:val="5"/>
        <w:ind w:firstLine="643"/>
        <w:rPr>
          <w:rFonts w:cs="Times New Roman"/>
          <w:color w:val="000000" w:themeColor="text1"/>
          <w14:textFill>
            <w14:solidFill>
              <w14:schemeClr w14:val="tx1"/>
            </w14:solidFill>
          </w14:textFill>
        </w:rPr>
      </w:pPr>
      <w:bookmarkStart w:id="3" w:name="_Toc89358633"/>
      <w:r>
        <w:rPr>
          <w:rFonts w:cs="Times New Roman"/>
          <w:color w:val="000000" w:themeColor="text1"/>
          <w14:textFill>
            <w14:solidFill>
              <w14:schemeClr w14:val="tx1"/>
            </w14:solidFill>
          </w14:textFill>
        </w:rPr>
        <w:t>1、地区经济综合实力加速提升</w:t>
      </w:r>
      <w:bookmarkEnd w:id="3"/>
    </w:p>
    <w:p>
      <w:pPr>
        <w:spacing w:line="560" w:lineRule="exact"/>
        <w:ind w:firstLine="640" w:firstLineChars="20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天河智慧城是天河区重大战略平台之一，</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十三五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期间地区经济综合实力得到快速提升。</w:t>
      </w:r>
      <w:r>
        <w:rPr>
          <w:rFonts w:ascii="Times New Roman" w:hAnsi="Times New Roman" w:eastAsia="仿宋" w:cs="Times New Roman"/>
          <w:b/>
          <w:bCs/>
          <w:color w:val="000000" w:themeColor="text1"/>
          <w:sz w:val="32"/>
          <w:szCs w:val="20"/>
          <w14:textFill>
            <w14:solidFill>
              <w14:schemeClr w14:val="tx1"/>
            </w14:solidFill>
          </w14:textFill>
        </w:rPr>
        <w:t>地区生产总值总量加速扩大</w:t>
      </w:r>
      <w:r>
        <w:rPr>
          <w:rFonts w:ascii="Times New Roman" w:hAnsi="Times New Roman" w:eastAsia="仿宋" w:cs="Times New Roman"/>
          <w:color w:val="000000" w:themeColor="text1"/>
          <w:sz w:val="32"/>
          <w:szCs w:val="20"/>
          <w14:textFill>
            <w14:solidFill>
              <w14:schemeClr w14:val="tx1"/>
            </w14:solidFill>
          </w14:textFill>
        </w:rPr>
        <w:t>，2020年天河智慧城地区生产总值643.76亿元</w:t>
      </w:r>
      <w:r>
        <w:rPr>
          <w:rStyle w:val="22"/>
          <w:rFonts w:ascii="Times New Roman" w:hAnsi="Times New Roman" w:eastAsia="仿宋" w:cs="Times New Roman"/>
          <w:color w:val="000000" w:themeColor="text1"/>
          <w:sz w:val="32"/>
          <w:szCs w:val="20"/>
          <w14:textFill>
            <w14:solidFill>
              <w14:schemeClr w14:val="tx1"/>
            </w14:solidFill>
          </w14:textFill>
        </w:rPr>
        <w:footnoteReference w:id="0"/>
      </w:r>
      <w:r>
        <w:rPr>
          <w:rFonts w:ascii="Times New Roman" w:hAnsi="Times New Roman" w:eastAsia="仿宋" w:cs="Times New Roman"/>
          <w:color w:val="000000" w:themeColor="text1"/>
          <w:sz w:val="32"/>
          <w:szCs w:val="20"/>
          <w14:textFill>
            <w14:solidFill>
              <w14:schemeClr w14:val="tx1"/>
            </w14:solidFill>
          </w14:textFill>
        </w:rPr>
        <w:t>，每平方公里GDP产出达10.22亿元，在2015年的基础上接近翻倍。</w:t>
      </w:r>
      <w:r>
        <w:rPr>
          <w:rFonts w:ascii="Times New Roman" w:hAnsi="Times New Roman" w:eastAsia="仿宋" w:cs="Times New Roman"/>
          <w:b/>
          <w:color w:val="000000" w:themeColor="text1"/>
          <w:sz w:val="32"/>
          <w:szCs w:val="20"/>
          <w14:textFill>
            <w14:solidFill>
              <w14:schemeClr w14:val="tx1"/>
            </w14:solidFill>
          </w14:textFill>
        </w:rPr>
        <w:t>国家及省级平台建设工作取得积极进展</w:t>
      </w:r>
      <w:r>
        <w:rPr>
          <w:rFonts w:ascii="Times New Roman" w:hAnsi="Times New Roman" w:eastAsia="仿宋" w:cs="Times New Roman"/>
          <w:color w:val="000000" w:themeColor="text1"/>
          <w:sz w:val="32"/>
          <w:szCs w:val="20"/>
          <w14:textFill>
            <w14:solidFill>
              <w14:schemeClr w14:val="tx1"/>
            </w14:solidFill>
          </w14:textFill>
        </w:rPr>
        <w:t>，到2020年2月天河智慧城被认定为省级高新技术产业开发区，天河智慧城已拥有广州高新区天河科技园和广州天河高新区两大高新区平台，同时拥有国家软件产业基地、国家网络游戏动漫产业发展基地、海外高层次人才创新创业基地等国家级创新发展平台。</w:t>
      </w:r>
    </w:p>
    <w:p>
      <w:pPr>
        <w:pStyle w:val="5"/>
        <w:ind w:firstLine="643"/>
        <w:rPr>
          <w:rFonts w:cs="Times New Roman"/>
          <w:color w:val="000000" w:themeColor="text1"/>
          <w14:textFill>
            <w14:solidFill>
              <w14:schemeClr w14:val="tx1"/>
            </w14:solidFill>
          </w14:textFill>
        </w:rPr>
      </w:pPr>
      <w:bookmarkStart w:id="4" w:name="_Toc89358634"/>
      <w:r>
        <w:rPr>
          <w:rFonts w:cs="Times New Roman"/>
          <w:color w:val="000000" w:themeColor="text1"/>
          <w14:textFill>
            <w14:solidFill>
              <w14:schemeClr w14:val="tx1"/>
            </w14:solidFill>
          </w14:textFill>
        </w:rPr>
        <w:t>2、产业结构和层次进一步优化</w:t>
      </w:r>
      <w:bookmarkEnd w:id="4"/>
    </w:p>
    <w:p>
      <w:pPr>
        <w:spacing w:line="560" w:lineRule="exact"/>
        <w:ind w:firstLine="640" w:firstLineChars="200"/>
        <w:rPr>
          <w:rFonts w:ascii="Times New Roman" w:hAnsi="Times New Roman" w:eastAsia="仿宋" w:cs="Times New Roman"/>
          <w:color w:val="000000" w:themeColor="text1"/>
          <w:sz w:val="32"/>
          <w:szCs w:val="20"/>
          <w14:textFill>
            <w14:solidFill>
              <w14:schemeClr w14:val="tx1"/>
            </w14:solidFill>
          </w14:textFill>
        </w:rPr>
      </w:pP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十三五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期间，天河智慧城核心区</w:t>
      </w:r>
      <w:r>
        <w:rPr>
          <w:rFonts w:ascii="Times New Roman" w:hAnsi="Times New Roman" w:eastAsia="仿宋" w:cs="Times New Roman"/>
          <w:b/>
          <w:bCs/>
          <w:color w:val="000000" w:themeColor="text1"/>
          <w:sz w:val="32"/>
          <w:szCs w:val="20"/>
          <w14:textFill>
            <w14:solidFill>
              <w14:schemeClr w14:val="tx1"/>
            </w14:solidFill>
          </w14:textFill>
        </w:rPr>
        <w:t>整体产业结构得到进一步优化，</w:t>
      </w:r>
      <w:r>
        <w:rPr>
          <w:rFonts w:ascii="Times New Roman" w:hAnsi="Times New Roman" w:eastAsia="仿宋" w:cs="Times New Roman"/>
          <w:color w:val="000000" w:themeColor="text1"/>
          <w:sz w:val="32"/>
          <w:szCs w:val="20"/>
          <w14:textFill>
            <w14:solidFill>
              <w14:schemeClr w14:val="tx1"/>
            </w14:solidFill>
          </w14:textFill>
        </w:rPr>
        <w:t>以电信业、软件业、租赁和商务服务业、科学研究和技术服务业为代表的营利性服务业，和非营利性服务业的营收占比均有所上升，批发零售业、建筑业和工业占比有所下降。</w:t>
      </w:r>
      <w:r>
        <w:rPr>
          <w:rFonts w:ascii="Times New Roman" w:hAnsi="Times New Roman" w:eastAsia="仿宋" w:cs="Times New Roman"/>
          <w:b/>
          <w:bCs/>
          <w:color w:val="000000" w:themeColor="text1"/>
          <w:sz w:val="32"/>
          <w:szCs w:val="20"/>
          <w14:textFill>
            <w14:solidFill>
              <w14:schemeClr w14:val="tx1"/>
            </w14:solidFill>
          </w14:textFill>
        </w:rPr>
        <w:t>构建起创新型现代产业体系，</w:t>
      </w:r>
      <w:r>
        <w:rPr>
          <w:rFonts w:ascii="Times New Roman" w:hAnsi="Times New Roman" w:eastAsia="仿宋" w:cs="Times New Roman"/>
          <w:color w:val="000000" w:themeColor="text1"/>
          <w:sz w:val="32"/>
          <w:szCs w:val="20"/>
          <w14:textFill>
            <w14:solidFill>
              <w14:schemeClr w14:val="tx1"/>
            </w14:solidFill>
          </w14:textFill>
        </w:rPr>
        <w:t>2020年天河智慧城核心区</w:t>
      </w:r>
      <w:r>
        <w:rPr>
          <w:rFonts w:hint="eastAsia" w:ascii="Times New Roman" w:hAnsi="Times New Roman" w:eastAsia="仿宋" w:cs="Times New Roman"/>
          <w:color w:val="000000" w:themeColor="text1"/>
          <w:sz w:val="32"/>
          <w:szCs w:val="20"/>
          <w14:textFill>
            <w14:solidFill>
              <w14:schemeClr w14:val="tx1"/>
            </w14:solidFill>
          </w14:textFill>
        </w:rPr>
        <w:t>四上企业</w:t>
      </w:r>
      <w:r>
        <w:rPr>
          <w:rFonts w:ascii="Times New Roman" w:hAnsi="Times New Roman" w:eastAsia="仿宋" w:cs="Times New Roman"/>
          <w:color w:val="000000" w:themeColor="text1"/>
          <w:sz w:val="32"/>
          <w:szCs w:val="20"/>
          <w14:textFill>
            <w14:solidFill>
              <w14:schemeClr w14:val="tx1"/>
            </w14:solidFill>
          </w14:textFill>
        </w:rPr>
        <w:t>实现营业收入620亿元，</w:t>
      </w:r>
      <w:r>
        <w:rPr>
          <w:rFonts w:hint="eastAsia" w:ascii="Times New Roman" w:hAnsi="Times New Roman" w:eastAsia="仿宋" w:cs="Times New Roman"/>
          <w:color w:val="000000" w:themeColor="text1"/>
          <w:sz w:val="32"/>
          <w:szCs w:val="20"/>
          <w14:textFill>
            <w14:solidFill>
              <w14:schemeClr w14:val="tx1"/>
            </w14:solidFill>
          </w14:textFill>
        </w:rPr>
        <w:t>其中</w:t>
      </w:r>
      <w:r>
        <w:rPr>
          <w:rFonts w:ascii="Times New Roman" w:hAnsi="Times New Roman" w:eastAsia="仿宋" w:cs="Times New Roman"/>
          <w:color w:val="000000" w:themeColor="text1"/>
          <w:sz w:val="32"/>
          <w:szCs w:val="20"/>
          <w14:textFill>
            <w14:solidFill>
              <w14:schemeClr w14:val="tx1"/>
            </w14:solidFill>
          </w14:textFill>
        </w:rPr>
        <w:t>软件和信息技术服务业占比约</w:t>
      </w:r>
      <w:r>
        <w:rPr>
          <w:rFonts w:hint="eastAsia" w:ascii="Times New Roman" w:hAnsi="Times New Roman" w:eastAsia="仿宋" w:cs="Times New Roman"/>
          <w:color w:val="000000" w:themeColor="text1"/>
          <w:sz w:val="32"/>
          <w:szCs w:val="20"/>
          <w14:textFill>
            <w14:solidFill>
              <w14:schemeClr w14:val="tx1"/>
            </w14:solidFill>
          </w14:textFill>
        </w:rPr>
        <w:t>55%</w:t>
      </w:r>
      <w:r>
        <w:rPr>
          <w:rFonts w:ascii="Times New Roman" w:hAnsi="Times New Roman" w:eastAsia="仿宋" w:cs="Times New Roman"/>
          <w:color w:val="000000" w:themeColor="text1"/>
          <w:sz w:val="32"/>
          <w:szCs w:val="20"/>
          <w14:textFill>
            <w14:solidFill>
              <w14:schemeClr w14:val="tx1"/>
            </w14:solidFill>
          </w14:textFill>
        </w:rPr>
        <w:t>，构建了以软件和信息技术服务为主导优势产业，下一代信息网络、数字文化创意、人工智能、地理信息、生物医药、智能网联汽车等为特色潜力产业的现代产业体系。</w:t>
      </w:r>
      <w:r>
        <w:rPr>
          <w:rFonts w:ascii="Times New Roman" w:hAnsi="Times New Roman" w:eastAsia="仿宋" w:cs="Times New Roman"/>
          <w:b/>
          <w:bCs/>
          <w:color w:val="000000" w:themeColor="text1"/>
          <w:sz w:val="32"/>
          <w:szCs w:val="20"/>
          <w14:textFill>
            <w14:solidFill>
              <w14:schemeClr w14:val="tx1"/>
            </w14:solidFill>
          </w14:textFill>
        </w:rPr>
        <w:t>形成大中小型企业协调发展格局</w:t>
      </w:r>
      <w:r>
        <w:rPr>
          <w:rFonts w:ascii="Times New Roman" w:hAnsi="Times New Roman" w:eastAsia="仿宋" w:cs="Times New Roman"/>
          <w:color w:val="000000" w:themeColor="text1"/>
          <w:sz w:val="32"/>
          <w:szCs w:val="20"/>
          <w14:textFill>
            <w14:solidFill>
              <w14:schemeClr w14:val="tx1"/>
            </w14:solidFill>
          </w14:textFill>
        </w:rPr>
        <w:t>，网易、中移互联网等龙头企业，北明软件、天普生化、极飞科技、南方测绘、小鹏汽车等行业领军企业，驴迹、趣炫、三维家、游爱等广州独角兽、未来独角兽企业集聚，智慧城核心区认定高新技术企业350家，其中营收超亿元企业60家。</w:t>
      </w:r>
      <w:r>
        <w:rPr>
          <w:rFonts w:ascii="Times New Roman" w:hAnsi="Times New Roman" w:eastAsia="仿宋" w:cs="Times New Roman"/>
          <w:b/>
          <w:color w:val="000000" w:themeColor="text1"/>
          <w:sz w:val="32"/>
          <w:szCs w:val="20"/>
          <w14:textFill>
            <w14:solidFill>
              <w14:schemeClr w14:val="tx1"/>
            </w14:solidFill>
          </w14:textFill>
        </w:rPr>
        <w:t>智谷片区招商引资</w:t>
      </w:r>
      <w:r>
        <w:rPr>
          <w:rFonts w:hint="eastAsia" w:ascii="Times New Roman" w:hAnsi="Times New Roman" w:eastAsia="仿宋" w:cs="Times New Roman"/>
          <w:b/>
          <w:color w:val="000000" w:themeColor="text1"/>
          <w:sz w:val="32"/>
          <w:szCs w:val="20"/>
          <w14:textFill>
            <w14:solidFill>
              <w14:schemeClr w14:val="tx1"/>
            </w14:solidFill>
          </w14:textFill>
        </w:rPr>
        <w:t>颇具</w:t>
      </w:r>
      <w:r>
        <w:rPr>
          <w:rFonts w:ascii="Times New Roman" w:hAnsi="Times New Roman" w:eastAsia="仿宋" w:cs="Times New Roman"/>
          <w:b/>
          <w:color w:val="000000" w:themeColor="text1"/>
          <w:sz w:val="32"/>
          <w:szCs w:val="20"/>
          <w14:textFill>
            <w14:solidFill>
              <w14:schemeClr w14:val="tx1"/>
            </w14:solidFill>
          </w14:textFill>
        </w:rPr>
        <w:t>成效，</w:t>
      </w:r>
      <w:r>
        <w:rPr>
          <w:rFonts w:ascii="Times New Roman" w:hAnsi="Times New Roman" w:eastAsia="仿宋_GB2312" w:cs="Times New Roman"/>
          <w:color w:val="000000" w:themeColor="text1"/>
          <w:sz w:val="32"/>
          <w:szCs w:val="32"/>
          <w14:textFill>
            <w14:solidFill>
              <w14:schemeClr w14:val="tx1"/>
            </w14:solidFill>
          </w14:textFill>
        </w:rPr>
        <w:t>着力引进数字经济领域的</w:t>
      </w:r>
      <w:r>
        <w:rPr>
          <w:rFonts w:ascii="Times New Roman" w:hAnsi="Times New Roman" w:eastAsia="仿宋_GB2312" w:cs="Times New Roman"/>
          <w:snapToGrid w:val="0"/>
          <w:color w:val="000000" w:themeColor="text1"/>
          <w:kern w:val="0"/>
          <w:sz w:val="32"/>
          <w:szCs w:val="32"/>
          <w14:textFill>
            <w14:solidFill>
              <w14:schemeClr w14:val="tx1"/>
            </w14:solidFill>
          </w14:textFill>
        </w:rPr>
        <w:t>引领型、龙头型</w:t>
      </w:r>
      <w:r>
        <w:rPr>
          <w:rFonts w:ascii="Times New Roman" w:hAnsi="Times New Roman" w:eastAsia="仿宋_GB2312" w:cs="Times New Roman"/>
          <w:color w:val="000000" w:themeColor="text1"/>
          <w:sz w:val="32"/>
          <w:szCs w:val="32"/>
          <w14:textFill>
            <w14:solidFill>
              <w14:schemeClr w14:val="tx1"/>
            </w14:solidFill>
          </w14:textFill>
        </w:rPr>
        <w:t>科技创新以及文化创意企业，已有近50家</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高新、高质、高端</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总部型企业表达投资落地意向，9家企业已入驻，总投资约42亿元，总建筑规模约30万平方米，已落户企业包括玖的数码、百田信息、德生科技、安泰化学、尚恩科技、易简传媒、粤科智能、龙狮俱乐部及贪玩信息等知名龙头企业。</w:t>
      </w:r>
    </w:p>
    <w:p>
      <w:pPr>
        <w:pStyle w:val="5"/>
        <w:ind w:firstLine="643"/>
        <w:rPr>
          <w:rFonts w:cs="Times New Roman"/>
          <w:color w:val="000000" w:themeColor="text1"/>
          <w14:textFill>
            <w14:solidFill>
              <w14:schemeClr w14:val="tx1"/>
            </w14:solidFill>
          </w14:textFill>
        </w:rPr>
      </w:pPr>
      <w:bookmarkStart w:id="5" w:name="_Toc89358635"/>
      <w:r>
        <w:rPr>
          <w:rFonts w:cs="Times New Roman"/>
          <w:color w:val="000000" w:themeColor="text1"/>
          <w14:textFill>
            <w14:solidFill>
              <w14:schemeClr w14:val="tx1"/>
            </w14:solidFill>
          </w14:textFill>
        </w:rPr>
        <w:t>3、科技创新驱动能力明显增强</w:t>
      </w:r>
      <w:bookmarkEnd w:id="5"/>
    </w:p>
    <w:p>
      <w:pPr>
        <w:pStyle w:val="2"/>
        <w:ind w:firstLine="640"/>
        <w:rPr>
          <w:rFonts w:ascii="Times New Roman" w:hAnsi="Times New Roman" w:eastAsia="仿宋" w:cs="Times New Roman"/>
          <w:color w:val="000000" w:themeColor="text1"/>
          <w:sz w:val="32"/>
          <w:szCs w:val="36"/>
          <w14:textFill>
            <w14:solidFill>
              <w14:schemeClr w14:val="tx1"/>
            </w14:solidFill>
          </w14:textFill>
        </w:rPr>
      </w:pPr>
      <w:r>
        <w:rPr>
          <w:rFonts w:ascii="Times New Roman" w:hAnsi="Times New Roman" w:eastAsia="仿宋" w:cs="Times New Roman"/>
          <w:color w:val="000000" w:themeColor="text1"/>
          <w:sz w:val="32"/>
          <w:szCs w:val="36"/>
          <w14:textFill>
            <w14:solidFill>
              <w14:schemeClr w14:val="tx1"/>
            </w14:solidFill>
          </w14:textFill>
        </w:rPr>
        <w:t>天河智慧城拥有57家省级</w:t>
      </w:r>
      <w:r>
        <w:rPr>
          <w:rFonts w:hint="eastAsia" w:ascii="Times New Roman" w:hAnsi="Times New Roman" w:eastAsia="仿宋" w:cs="Times New Roman"/>
          <w:color w:val="000000" w:themeColor="text1"/>
          <w:sz w:val="32"/>
          <w:szCs w:val="36"/>
          <w14:textFill>
            <w14:solidFill>
              <w14:schemeClr w14:val="tx1"/>
            </w14:solidFill>
          </w14:textFill>
        </w:rPr>
        <w:t>及以上</w:t>
      </w:r>
      <w:r>
        <w:rPr>
          <w:rFonts w:ascii="Times New Roman" w:hAnsi="Times New Roman" w:eastAsia="仿宋" w:cs="Times New Roman"/>
          <w:color w:val="000000" w:themeColor="text1"/>
          <w:sz w:val="32"/>
          <w:szCs w:val="36"/>
          <w14:textFill>
            <w14:solidFill>
              <w14:schemeClr w14:val="tx1"/>
            </w14:solidFill>
          </w14:textFill>
        </w:rPr>
        <w:t>工程技术研究中心</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企业技术中心</w:t>
      </w:r>
      <w:r>
        <w:rPr>
          <w:rFonts w:hint="eastAsia" w:ascii="Times New Roman" w:hAnsi="Times New Roman" w:eastAsia="仿宋" w:cs="Times New Roman"/>
          <w:color w:val="000000" w:themeColor="text1"/>
          <w:sz w:val="32"/>
          <w:szCs w:val="36"/>
          <w14:textFill>
            <w14:solidFill>
              <w14:schemeClr w14:val="tx1"/>
            </w14:solidFill>
          </w14:textFill>
        </w:rPr>
        <w:t>和新型研发机构</w:t>
      </w:r>
      <w:r>
        <w:rPr>
          <w:rFonts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b/>
          <w:bCs/>
          <w:color w:val="000000" w:themeColor="text1"/>
          <w:sz w:val="32"/>
          <w:szCs w:val="36"/>
          <w14:textFill>
            <w14:solidFill>
              <w14:schemeClr w14:val="tx1"/>
            </w14:solidFill>
          </w14:textFill>
        </w:rPr>
        <w:t>科技创新产出不断丰富</w:t>
      </w:r>
      <w:r>
        <w:rPr>
          <w:rFonts w:ascii="Times New Roman" w:hAnsi="Times New Roman" w:eastAsia="仿宋" w:cs="Times New Roman"/>
          <w:color w:val="000000" w:themeColor="text1"/>
          <w:sz w:val="32"/>
          <w:szCs w:val="36"/>
          <w14:textFill>
            <w14:solidFill>
              <w14:schemeClr w14:val="tx1"/>
            </w14:solidFill>
          </w14:textFill>
        </w:rPr>
        <w:t>，2020年，天河智慧城核心区企业当年专利申请受理数与授权数分别</w:t>
      </w:r>
      <w:r>
        <w:rPr>
          <w:rFonts w:hint="eastAsia" w:ascii="Times New Roman" w:hAnsi="Times New Roman" w:eastAsia="仿宋" w:cs="Times New Roman"/>
          <w:color w:val="000000" w:themeColor="text1"/>
          <w:sz w:val="32"/>
          <w:szCs w:val="36"/>
          <w14:textFill>
            <w14:solidFill>
              <w14:schemeClr w14:val="tx1"/>
            </w14:solidFill>
          </w14:textFill>
        </w:rPr>
        <w:t>为</w:t>
      </w:r>
      <w:r>
        <w:rPr>
          <w:rFonts w:ascii="Times New Roman" w:hAnsi="Times New Roman" w:eastAsia="仿宋" w:cs="Times New Roman"/>
          <w:color w:val="000000" w:themeColor="text1"/>
          <w:sz w:val="32"/>
          <w:szCs w:val="36"/>
          <w14:textFill>
            <w14:solidFill>
              <w14:schemeClr w14:val="tx1"/>
            </w14:solidFill>
          </w14:textFill>
        </w:rPr>
        <w:t>2</w:t>
      </w:r>
      <w:r>
        <w:rPr>
          <w:rFonts w:hint="eastAsia" w:ascii="Times New Roman" w:hAnsi="Times New Roman" w:eastAsia="仿宋" w:cs="Times New Roman"/>
          <w:color w:val="000000" w:themeColor="text1"/>
          <w:sz w:val="32"/>
          <w:szCs w:val="36"/>
          <w14:textFill>
            <w14:solidFill>
              <w14:schemeClr w14:val="tx1"/>
            </w14:solidFill>
          </w14:textFill>
        </w:rPr>
        <w:t>221</w:t>
      </w:r>
      <w:r>
        <w:rPr>
          <w:rFonts w:ascii="Times New Roman" w:hAnsi="Times New Roman" w:eastAsia="仿宋" w:cs="Times New Roman"/>
          <w:color w:val="000000" w:themeColor="text1"/>
          <w:sz w:val="32"/>
          <w:szCs w:val="36"/>
          <w14:textFill>
            <w14:solidFill>
              <w14:schemeClr w14:val="tx1"/>
            </w14:solidFill>
          </w14:textFill>
        </w:rPr>
        <w:t>件和1</w:t>
      </w:r>
      <w:r>
        <w:rPr>
          <w:rFonts w:hint="eastAsia" w:ascii="Times New Roman" w:hAnsi="Times New Roman" w:eastAsia="仿宋" w:cs="Times New Roman"/>
          <w:color w:val="000000" w:themeColor="text1"/>
          <w:sz w:val="32"/>
          <w:szCs w:val="36"/>
          <w14:textFill>
            <w14:solidFill>
              <w14:schemeClr w14:val="tx1"/>
            </w14:solidFill>
          </w14:textFill>
        </w:rPr>
        <w:t>405</w:t>
      </w:r>
      <w:r>
        <w:rPr>
          <w:rFonts w:ascii="Times New Roman" w:hAnsi="Times New Roman" w:eastAsia="仿宋" w:cs="Times New Roman"/>
          <w:color w:val="000000" w:themeColor="text1"/>
          <w:sz w:val="32"/>
          <w:szCs w:val="36"/>
          <w14:textFill>
            <w14:solidFill>
              <w14:schemeClr w14:val="tx1"/>
            </w14:solidFill>
          </w14:textFill>
        </w:rPr>
        <w:t>件，其中发明专利授权2</w:t>
      </w:r>
      <w:r>
        <w:rPr>
          <w:rFonts w:hint="eastAsia" w:ascii="Times New Roman" w:hAnsi="Times New Roman" w:eastAsia="仿宋" w:cs="Times New Roman"/>
          <w:color w:val="000000" w:themeColor="text1"/>
          <w:sz w:val="32"/>
          <w:szCs w:val="36"/>
          <w14:textFill>
            <w14:solidFill>
              <w14:schemeClr w14:val="tx1"/>
            </w14:solidFill>
          </w14:textFill>
        </w:rPr>
        <w:t>96</w:t>
      </w:r>
      <w:r>
        <w:rPr>
          <w:rFonts w:ascii="Times New Roman" w:hAnsi="Times New Roman" w:eastAsia="仿宋" w:cs="Times New Roman"/>
          <w:color w:val="000000" w:themeColor="text1"/>
          <w:sz w:val="32"/>
          <w:szCs w:val="36"/>
          <w14:textFill>
            <w14:solidFill>
              <w14:schemeClr w14:val="tx1"/>
            </w14:solidFill>
          </w14:textFill>
        </w:rPr>
        <w:t>件。企业参与制定形成的国家或行业标准11项，在产业发展关键环节的主导权进一步增强。</w:t>
      </w:r>
      <w:r>
        <w:rPr>
          <w:rFonts w:ascii="Times New Roman" w:hAnsi="Times New Roman" w:eastAsia="仿宋" w:cs="Times New Roman"/>
          <w:b/>
          <w:bCs/>
          <w:color w:val="000000" w:themeColor="text1"/>
          <w:sz w:val="32"/>
          <w:szCs w:val="36"/>
          <w14:textFill>
            <w14:solidFill>
              <w14:schemeClr w14:val="tx1"/>
            </w14:solidFill>
          </w14:textFill>
        </w:rPr>
        <w:t>优质创新主体量质齐升</w:t>
      </w:r>
      <w:r>
        <w:rPr>
          <w:rFonts w:ascii="Times New Roman" w:hAnsi="Times New Roman" w:eastAsia="仿宋" w:cs="Times New Roman"/>
          <w:color w:val="000000" w:themeColor="text1"/>
          <w:sz w:val="32"/>
          <w:szCs w:val="36"/>
          <w14:textFill>
            <w14:solidFill>
              <w14:schemeClr w14:val="tx1"/>
            </w14:solidFill>
          </w14:textFill>
        </w:rPr>
        <w:t>，智慧城核心区已认定高新技术企业全年实现营收约350亿元，占园区总收入的5</w:t>
      </w:r>
      <w:r>
        <w:rPr>
          <w:rFonts w:hint="eastAsia" w:ascii="Times New Roman" w:hAnsi="Times New Roman" w:eastAsia="仿宋" w:cs="Times New Roman"/>
          <w:color w:val="000000" w:themeColor="text1"/>
          <w:sz w:val="32"/>
          <w:szCs w:val="36"/>
          <w14:textFill>
            <w14:solidFill>
              <w14:schemeClr w14:val="tx1"/>
            </w14:solidFill>
          </w14:textFill>
        </w:rPr>
        <w:t>6</w:t>
      </w:r>
      <w:r>
        <w:rPr>
          <w:rFonts w:ascii="Times New Roman" w:hAnsi="Times New Roman" w:eastAsia="仿宋" w:cs="Times New Roman"/>
          <w:color w:val="000000" w:themeColor="text1"/>
          <w:sz w:val="32"/>
          <w:szCs w:val="36"/>
          <w14:textFill>
            <w14:solidFill>
              <w14:schemeClr w14:val="tx1"/>
            </w14:solidFill>
          </w14:textFill>
        </w:rPr>
        <w:t>%，其中有3家企业入选</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2020年广州企业创新TOP50榜</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，有5家企业入选</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2020年广州技术市场50强榜单</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；拥有25家上市企业（含17家新三板），其中网易集团入选</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2020年中国互联网企业100强</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，佳都集团、北明软件入选</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2020年中国软件和信息技术服务综合竞争力百强</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b/>
          <w:bCs/>
          <w:color w:val="000000" w:themeColor="text1"/>
          <w:sz w:val="32"/>
          <w:szCs w:val="36"/>
          <w14:textFill>
            <w14:solidFill>
              <w14:schemeClr w14:val="tx1"/>
            </w14:solidFill>
          </w14:textFill>
        </w:rPr>
        <w:t>科技创新生态不断优化</w:t>
      </w:r>
      <w:r>
        <w:rPr>
          <w:rFonts w:ascii="Times New Roman" w:hAnsi="Times New Roman" w:eastAsia="仿宋" w:cs="Times New Roman"/>
          <w:color w:val="000000" w:themeColor="text1"/>
          <w:sz w:val="32"/>
          <w:szCs w:val="36"/>
          <w14:textFill>
            <w14:solidFill>
              <w14:schemeClr w14:val="tx1"/>
            </w14:solidFill>
          </w14:textFill>
        </w:rPr>
        <w:t>，佳都科技全球人工智能研究院、南方测绘院士工作站等科研平台深化产学研合作，粤港澳大湾区（广东）创新创业孵化基地等综合性高端创新枢纽加快建设。目前拥有17家孵化器和众创空间，时代E-PARK、宏太智慧谷等科技孵化器和众创空间加速推进构建孵化育成体系，天河二号基金完成思林杰、广州携旅、广州海鹚和品高软件（二轮）项目投资近5000万元，累计带动社会投资超8亿元。</w:t>
      </w:r>
    </w:p>
    <w:p>
      <w:pPr>
        <w:pStyle w:val="5"/>
        <w:ind w:firstLine="643"/>
        <w:rPr>
          <w:rFonts w:cs="Times New Roman"/>
          <w:color w:val="000000" w:themeColor="text1"/>
          <w14:textFill>
            <w14:solidFill>
              <w14:schemeClr w14:val="tx1"/>
            </w14:solidFill>
          </w14:textFill>
        </w:rPr>
      </w:pPr>
      <w:bookmarkStart w:id="6" w:name="_Toc89358636"/>
      <w:r>
        <w:rPr>
          <w:rFonts w:cs="Times New Roman"/>
          <w:color w:val="000000" w:themeColor="text1"/>
          <w14:textFill>
            <w14:solidFill>
              <w14:schemeClr w14:val="tx1"/>
            </w14:solidFill>
          </w14:textFill>
        </w:rPr>
        <w:t>4、园区综合服务体系日益完善</w:t>
      </w:r>
      <w:bookmarkEnd w:id="6"/>
    </w:p>
    <w:p>
      <w:pPr>
        <w:spacing w:line="560" w:lineRule="exact"/>
        <w:ind w:firstLine="640" w:firstLineChars="20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bCs/>
          <w:color w:val="000000" w:themeColor="text1"/>
          <w:sz w:val="32"/>
          <w:szCs w:val="20"/>
          <w14:textFill>
            <w14:solidFill>
              <w14:schemeClr w14:val="tx1"/>
            </w14:solidFill>
          </w14:textFill>
        </w:rPr>
        <w:t>通过强化政策、管理、服务机制，天河智慧城核心区园区综合服务体系日益完善。</w:t>
      </w:r>
      <w:r>
        <w:rPr>
          <w:rFonts w:ascii="Times New Roman" w:hAnsi="Times New Roman" w:eastAsia="仿宋" w:cs="Times New Roman"/>
          <w:b/>
          <w:bCs/>
          <w:color w:val="000000" w:themeColor="text1"/>
          <w:sz w:val="32"/>
          <w:szCs w:val="20"/>
          <w14:textFill>
            <w14:solidFill>
              <w14:schemeClr w14:val="tx1"/>
            </w14:solidFill>
          </w14:textFill>
        </w:rPr>
        <w:t>出台专项扶持政策，</w:t>
      </w:r>
      <w:r>
        <w:rPr>
          <w:rFonts w:ascii="Times New Roman" w:hAnsi="Times New Roman" w:eastAsia="仿宋" w:cs="Times New Roman"/>
          <w:color w:val="000000" w:themeColor="text1"/>
          <w:sz w:val="32"/>
          <w:szCs w:val="20"/>
          <w14:textFill>
            <w14:solidFill>
              <w14:schemeClr w14:val="tx1"/>
            </w14:solidFill>
          </w14:textFill>
        </w:rPr>
        <w:t>天河区印发了扶持产业发展和科技创新的</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1+1+N</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系列政策，其中专门针对天河科技园企业发展予以重点支持。</w:t>
      </w:r>
      <w:r>
        <w:rPr>
          <w:rFonts w:ascii="Times New Roman" w:hAnsi="Times New Roman" w:eastAsia="仿宋" w:cs="Times New Roman"/>
          <w:b/>
          <w:bCs/>
          <w:color w:val="000000" w:themeColor="text1"/>
          <w:sz w:val="32"/>
          <w:szCs w:val="32"/>
          <w14:textFill>
            <w14:solidFill>
              <w14:schemeClr w14:val="tx1"/>
            </w14:solidFill>
          </w14:textFill>
        </w:rPr>
        <w:t>强化园区管理服务，</w:t>
      </w:r>
      <w:r>
        <w:rPr>
          <w:rFonts w:ascii="Times New Roman" w:hAnsi="Times New Roman" w:eastAsia="仿宋" w:cs="Times New Roman"/>
          <w:color w:val="000000" w:themeColor="text1"/>
          <w:sz w:val="32"/>
          <w:szCs w:val="32"/>
          <w14:textFill>
            <w14:solidFill>
              <w14:schemeClr w14:val="tx1"/>
            </w14:solidFill>
          </w14:textFill>
        </w:rPr>
        <w:t>加</w:t>
      </w:r>
      <w:r>
        <w:rPr>
          <w:rFonts w:ascii="Times New Roman" w:hAnsi="Times New Roman" w:eastAsia="仿宋" w:cs="Times New Roman"/>
          <w:color w:val="000000" w:themeColor="text1"/>
          <w:sz w:val="32"/>
          <w:szCs w:val="20"/>
          <w14:textFill>
            <w14:solidFill>
              <w14:schemeClr w14:val="tx1"/>
            </w14:solidFill>
          </w14:textFill>
        </w:rPr>
        <w:t>强环卫保洁、绿化养护，加强道路、排污等管网整治，确保园区环境整洁有序，加强土地监管，严格落实储备地块巡查制度，做好项目施工动土审批管理等。</w:t>
      </w:r>
      <w:r>
        <w:rPr>
          <w:rFonts w:ascii="Times New Roman" w:hAnsi="Times New Roman" w:eastAsia="仿宋" w:cs="Times New Roman"/>
          <w:b/>
          <w:bCs/>
          <w:color w:val="000000" w:themeColor="text1"/>
          <w:sz w:val="32"/>
          <w:szCs w:val="20"/>
          <w14:textFill>
            <w14:solidFill>
              <w14:schemeClr w14:val="tx1"/>
            </w14:solidFill>
          </w14:textFill>
        </w:rPr>
        <w:t>优化园区公共服务，</w:t>
      </w:r>
      <w:r>
        <w:rPr>
          <w:rFonts w:ascii="Times New Roman" w:hAnsi="Times New Roman" w:eastAsia="仿宋" w:cs="Times New Roman"/>
          <w:color w:val="000000" w:themeColor="text1"/>
          <w:sz w:val="32"/>
          <w:szCs w:val="20"/>
          <w14:textFill>
            <w14:solidFill>
              <w14:schemeClr w14:val="tx1"/>
            </w14:solidFill>
          </w14:textFill>
        </w:rPr>
        <w:t>深入开展</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暖企</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行动、落实重点企业走访服务机制，组织政策宣讲会、企业座谈会、经济分析会以及知识产权、税务等培训会，针对重点项目提供</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一对一</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服务支持，组织发动企业申请相关政策支持，</w:t>
      </w:r>
      <w:r>
        <w:rPr>
          <w:rFonts w:ascii="Times New Roman" w:hAnsi="Times New Roman" w:eastAsia="仿宋" w:cs="Times New Roman"/>
          <w:color w:val="000000" w:themeColor="text1"/>
          <w:sz w:val="32"/>
          <w:szCs w:val="32"/>
          <w14:textFill>
            <w14:solidFill>
              <w14:schemeClr w14:val="tx1"/>
            </w14:solidFill>
          </w14:textFill>
        </w:rPr>
        <w:t>全面加强企业服务。</w:t>
      </w:r>
      <w:r>
        <w:rPr>
          <w:rFonts w:ascii="Times New Roman" w:hAnsi="Times New Roman" w:eastAsia="仿宋" w:cs="Times New Roman"/>
          <w:b/>
          <w:bCs/>
          <w:color w:val="000000" w:themeColor="text1"/>
          <w:sz w:val="32"/>
          <w:szCs w:val="20"/>
          <w14:textFill>
            <w14:solidFill>
              <w14:schemeClr w14:val="tx1"/>
            </w14:solidFill>
          </w14:textFill>
        </w:rPr>
        <w:t>搭建企业交流、服务平台，</w:t>
      </w:r>
      <w:r>
        <w:rPr>
          <w:rFonts w:ascii="Times New Roman" w:hAnsi="Times New Roman" w:eastAsia="仿宋" w:cs="Times New Roman"/>
          <w:color w:val="000000" w:themeColor="text1"/>
          <w:sz w:val="32"/>
          <w:szCs w:val="20"/>
          <w14:textFill>
            <w14:solidFill>
              <w14:schemeClr w14:val="tx1"/>
            </w14:solidFill>
          </w14:textFill>
        </w:rPr>
        <w:t>依托天河科技园信息产业联合会，组建云计算、地理信息、现代服务业等10大产业联盟，促进园区优势信息产业链各环节之间的整合。</w:t>
      </w:r>
    </w:p>
    <w:p>
      <w:pPr>
        <w:pStyle w:val="5"/>
        <w:ind w:firstLine="643"/>
        <w:rPr>
          <w:rFonts w:cs="Times New Roman"/>
          <w:color w:val="000000" w:themeColor="text1"/>
          <w14:textFill>
            <w14:solidFill>
              <w14:schemeClr w14:val="tx1"/>
            </w14:solidFill>
          </w14:textFill>
        </w:rPr>
      </w:pPr>
      <w:bookmarkStart w:id="7" w:name="_Toc89358637"/>
      <w:r>
        <w:rPr>
          <w:rFonts w:cs="Times New Roman"/>
          <w:color w:val="000000" w:themeColor="text1"/>
          <w14:textFill>
            <w14:solidFill>
              <w14:schemeClr w14:val="tx1"/>
            </w14:solidFill>
          </w14:textFill>
        </w:rPr>
        <w:t>5、土地空间资源开发稳步推进</w:t>
      </w:r>
      <w:bookmarkEnd w:id="7"/>
    </w:p>
    <w:p>
      <w:pPr>
        <w:pStyle w:val="2"/>
        <w:ind w:firstLine="640"/>
        <w:rPr>
          <w:rFonts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十三五</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期间，天河智慧城土地征储、出让有序开展，土地空间资源集约高效利用。</w:t>
      </w:r>
      <w:r>
        <w:rPr>
          <w:rFonts w:ascii="Times New Roman" w:hAnsi="Times New Roman" w:eastAsia="仿宋" w:cs="Times New Roman"/>
          <w:b/>
          <w:color w:val="000000" w:themeColor="text1"/>
          <w:sz w:val="32"/>
          <w:szCs w:val="32"/>
          <w14:textFill>
            <w14:solidFill>
              <w14:schemeClr w14:val="tx1"/>
            </w14:solidFill>
          </w14:textFill>
        </w:rPr>
        <w:t>稳步推进土地征储</w:t>
      </w:r>
      <w:r>
        <w:rPr>
          <w:rFonts w:ascii="Times New Roman" w:hAnsi="Times New Roman" w:eastAsia="仿宋" w:cs="Times New Roman"/>
          <w:color w:val="000000" w:themeColor="text1"/>
          <w:sz w:val="32"/>
          <w:szCs w:val="32"/>
          <w14:textFill>
            <w14:solidFill>
              <w14:schemeClr w14:val="tx1"/>
            </w14:solidFill>
          </w14:textFill>
        </w:rPr>
        <w:t>，成立天河智慧城核心区土地征储和管理专职工作小组，深入一线沟通协调，全力推进土地征储工作。</w:t>
      </w:r>
      <w:r>
        <w:rPr>
          <w:rFonts w:ascii="Times New Roman" w:hAnsi="Times New Roman" w:eastAsia="仿宋" w:cs="Times New Roman"/>
          <w:b/>
          <w:color w:val="000000" w:themeColor="text1"/>
          <w:sz w:val="32"/>
          <w:szCs w:val="32"/>
          <w14:textFill>
            <w14:solidFill>
              <w14:schemeClr w14:val="tx1"/>
            </w14:solidFill>
          </w14:textFill>
        </w:rPr>
        <w:t>有序开展土地出让</w:t>
      </w:r>
      <w:r>
        <w:rPr>
          <w:rFonts w:ascii="Times New Roman" w:hAnsi="Times New Roman" w:eastAsia="仿宋" w:cs="Times New Roman"/>
          <w:color w:val="000000" w:themeColor="text1"/>
          <w:sz w:val="32"/>
          <w:szCs w:val="32"/>
          <w14:textFill>
            <w14:solidFill>
              <w14:schemeClr w14:val="tx1"/>
            </w14:solidFill>
          </w14:textFill>
        </w:rPr>
        <w:t>，2016-2020年间天河智慧城核心区成功出让土地9块，总用地面积达15.65万平方米，计容总建筑面积达36.5万平方米，总成交金额达24.16亿元。</w:t>
      </w:r>
      <w:r>
        <w:rPr>
          <w:rFonts w:ascii="Times New Roman" w:hAnsi="Times New Roman" w:eastAsia="仿宋" w:cs="Times New Roman"/>
          <w:b/>
          <w:bCs/>
          <w:color w:val="000000" w:themeColor="text1"/>
          <w:sz w:val="32"/>
          <w:szCs w:val="32"/>
          <w14:textFill>
            <w14:solidFill>
              <w14:schemeClr w14:val="tx1"/>
            </w14:solidFill>
          </w14:textFill>
        </w:rPr>
        <w:t>开展智慧城核心区规划实施评估，</w:t>
      </w:r>
      <w:r>
        <w:rPr>
          <w:rFonts w:ascii="Times New Roman" w:hAnsi="Times New Roman" w:eastAsia="仿宋" w:cs="Times New Roman"/>
          <w:color w:val="000000" w:themeColor="text1"/>
          <w:sz w:val="32"/>
          <w:szCs w:val="32"/>
          <w14:textFill>
            <w14:solidFill>
              <w14:schemeClr w14:val="tx1"/>
            </w14:solidFill>
          </w14:textFill>
        </w:rPr>
        <w:t>完成天河智慧城核心区海绵城市专项规划及地下综合支线系统专项规划编制，形成更具前瞻性、系统性、实施性的规划成果。</w:t>
      </w:r>
      <w:r>
        <w:rPr>
          <w:rFonts w:ascii="Times New Roman" w:hAnsi="Times New Roman" w:eastAsia="仿宋" w:cs="Times New Roman"/>
          <w:b/>
          <w:color w:val="000000" w:themeColor="text1"/>
          <w:sz w:val="32"/>
          <w:szCs w:val="32"/>
          <w14:textFill>
            <w14:solidFill>
              <w14:schemeClr w14:val="tx1"/>
            </w14:solidFill>
          </w14:textFill>
        </w:rPr>
        <w:t>土地空间资源利用更趋集约高效</w:t>
      </w:r>
      <w:r>
        <w:rPr>
          <w:rFonts w:ascii="Times New Roman" w:hAnsi="Times New Roman" w:eastAsia="仿宋" w:cs="Times New Roman"/>
          <w:color w:val="000000" w:themeColor="text1"/>
          <w:sz w:val="32"/>
          <w:szCs w:val="32"/>
          <w14:textFill>
            <w14:solidFill>
              <w14:schemeClr w14:val="tx1"/>
            </w14:solidFill>
          </w14:textFill>
        </w:rPr>
        <w:t>，天河智慧城经济密度从2015年的5.52亿元每平方公里上升到2020年的10.22亿元每平方公里，单位面积规上企业营业总收入从9.33亿元每平方公里上升到24.21亿元每平方公里。</w:t>
      </w:r>
      <w:r>
        <w:rPr>
          <w:rFonts w:ascii="Times New Roman" w:hAnsi="Times New Roman" w:eastAsia="仿宋" w:cs="Times New Roman"/>
          <w:b/>
          <w:color w:val="000000" w:themeColor="text1"/>
          <w:sz w:val="32"/>
          <w:szCs w:val="32"/>
          <w14:textFill>
            <w14:solidFill>
              <w14:schemeClr w14:val="tx1"/>
            </w14:solidFill>
          </w14:textFill>
        </w:rPr>
        <w:t>智谷片区土地收储出让工作顺利推进。</w:t>
      </w:r>
      <w:r>
        <w:rPr>
          <w:rFonts w:ascii="Times New Roman" w:hAnsi="Times New Roman" w:eastAsia="仿宋" w:cs="Times New Roman"/>
          <w:color w:val="000000" w:themeColor="text1"/>
          <w:sz w:val="32"/>
          <w:szCs w:val="32"/>
          <w14:textFill>
            <w14:solidFill>
              <w14:schemeClr w14:val="tx1"/>
            </w14:solidFill>
          </w14:textFill>
        </w:rPr>
        <w:t>自广州天河高新区批复下发后，天健上城东地块、航天奇观一期北共出让土地9宗，总建筑规模约30万平方米，为天河智慧城的建设提供了良好的发展空间。</w:t>
      </w:r>
    </w:p>
    <w:p>
      <w:pPr>
        <w:pStyle w:val="5"/>
        <w:ind w:firstLine="643"/>
        <w:rPr>
          <w:rFonts w:cs="Times New Roman"/>
          <w:color w:val="000000" w:themeColor="text1"/>
          <w14:textFill>
            <w14:solidFill>
              <w14:schemeClr w14:val="tx1"/>
            </w14:solidFill>
          </w14:textFill>
        </w:rPr>
      </w:pPr>
      <w:bookmarkStart w:id="8" w:name="_Toc89358638"/>
      <w:r>
        <w:rPr>
          <w:rFonts w:cs="Times New Roman"/>
          <w:color w:val="000000" w:themeColor="text1"/>
          <w14:textFill>
            <w14:solidFill>
              <w14:schemeClr w14:val="tx1"/>
            </w14:solidFill>
          </w14:textFill>
        </w:rPr>
        <w:t>6、基础配套环境建设不断改善</w:t>
      </w:r>
      <w:bookmarkEnd w:id="8"/>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通过加大基础设施建设，全面优化园区配套，狠抓公共配套体系优化，天河智慧城核心区基础配套环境不断完善，智谷片区基础配套建设持续推进。</w:t>
      </w:r>
      <w:r>
        <w:rPr>
          <w:rFonts w:ascii="Times New Roman" w:hAnsi="Times New Roman" w:eastAsia="仿宋" w:cs="Times New Roman"/>
          <w:b/>
          <w:color w:val="000000" w:themeColor="text1"/>
          <w:sz w:val="32"/>
          <w:szCs w:val="32"/>
          <w14:textFill>
            <w14:solidFill>
              <w14:schemeClr w14:val="tx1"/>
            </w14:solidFill>
          </w14:textFill>
        </w:rPr>
        <w:t>交通基础设施建设成效显著，</w:t>
      </w:r>
      <w:r>
        <w:rPr>
          <w:rFonts w:ascii="Times New Roman" w:hAnsi="Times New Roman" w:eastAsia="仿宋" w:cs="Times New Roman"/>
          <w:color w:val="000000" w:themeColor="text1"/>
          <w:sz w:val="32"/>
          <w:szCs w:val="32"/>
          <w14:textFill>
            <w14:solidFill>
              <w14:schemeClr w14:val="tx1"/>
            </w14:solidFill>
          </w14:textFill>
        </w:rPr>
        <w:t>深入推进柯木塱南路、华观路等基础配套设施建设，已完成核心区东区、北区道路升级改造工程，龙洞、柯木塱、高塘石和天河智慧城4个地铁站启用，已基本构筑起外通内达的交通循环配套网络。智谷片区车陂路北延线、珠吉路拓宽（一期）工程部分标段施工招标已经完成，正在进行施工前期工作；悦景路和健明六路建设工作已完成建设方案编制及征拆摸查并取得规划条件，建设方案已提交评审；黄云路、大观街、马鞍山绿廊工程也在持续推进中。</w:t>
      </w:r>
      <w:r>
        <w:rPr>
          <w:rFonts w:ascii="Times New Roman" w:hAnsi="Times New Roman" w:eastAsia="仿宋" w:cs="Times New Roman"/>
          <w:b/>
          <w:color w:val="000000" w:themeColor="text1"/>
          <w:sz w:val="32"/>
          <w:szCs w:val="32"/>
          <w14:textFill>
            <w14:solidFill>
              <w14:schemeClr w14:val="tx1"/>
            </w14:solidFill>
          </w14:textFill>
        </w:rPr>
        <w:t>商业生活配套建设日渐完善，</w:t>
      </w:r>
      <w:r>
        <w:rPr>
          <w:rFonts w:ascii="Times New Roman" w:hAnsi="Times New Roman" w:eastAsia="仿宋" w:cs="Times New Roman"/>
          <w:color w:val="000000" w:themeColor="text1"/>
          <w:sz w:val="32"/>
          <w:szCs w:val="32"/>
          <w14:textFill>
            <w14:solidFill>
              <w14:schemeClr w14:val="tx1"/>
            </w14:solidFill>
          </w14:textFill>
        </w:rPr>
        <w:t>核心区的日航酒店、万科云城城市综合体等相继投入运营，商业配套设施不断完善。</w:t>
      </w:r>
      <w:r>
        <w:rPr>
          <w:rFonts w:ascii="Times New Roman" w:hAnsi="Times New Roman" w:eastAsia="仿宋" w:cs="Times New Roman"/>
          <w:b/>
          <w:color w:val="000000" w:themeColor="text1"/>
          <w:sz w:val="32"/>
          <w:szCs w:val="32"/>
          <w14:textFill>
            <w14:solidFill>
              <w14:schemeClr w14:val="tx1"/>
            </w14:solidFill>
          </w14:textFill>
        </w:rPr>
        <w:t>公共服务配套不断提升</w:t>
      </w:r>
      <w:r>
        <w:rPr>
          <w:rFonts w:ascii="Times New Roman" w:hAnsi="Times New Roman" w:eastAsia="仿宋" w:cs="Times New Roman"/>
          <w:color w:val="000000" w:themeColor="text1"/>
          <w:sz w:val="32"/>
          <w:szCs w:val="32"/>
          <w14:textFill>
            <w14:solidFill>
              <w14:schemeClr w14:val="tx1"/>
            </w14:solidFill>
          </w14:textFill>
        </w:rPr>
        <w:t>，南部人才公寓等重点工程正加快推进，天河区第二人民医院正加快建设，清华附中、执信中学等多所学校纳入规划建设。</w:t>
      </w:r>
      <w:r>
        <w:rPr>
          <w:rFonts w:ascii="Times New Roman" w:hAnsi="Times New Roman" w:eastAsia="仿宋" w:cs="Times New Roman"/>
          <w:b/>
          <w:color w:val="000000" w:themeColor="text1"/>
          <w:sz w:val="32"/>
          <w:szCs w:val="32"/>
          <w14:textFill>
            <w14:solidFill>
              <w14:schemeClr w14:val="tx1"/>
            </w14:solidFill>
          </w14:textFill>
        </w:rPr>
        <w:t>景观环境优化升级及配套改造加快</w:t>
      </w:r>
      <w:r>
        <w:rPr>
          <w:rFonts w:ascii="Times New Roman" w:hAnsi="Times New Roman" w:eastAsia="仿宋" w:cs="Times New Roman"/>
          <w:color w:val="000000" w:themeColor="text1"/>
          <w:sz w:val="32"/>
          <w:szCs w:val="32"/>
          <w14:textFill>
            <w14:solidFill>
              <w14:schemeClr w14:val="tx1"/>
            </w14:solidFill>
          </w14:textFill>
        </w:rPr>
        <w:t>，完成核心区道路绿化升级改造工程和景观标识导视系统工程，天河湿地公园的配套设施和标识系统建设得到优化提升，成为天河生态名片和网红打卡点。</w:t>
      </w:r>
      <w:r>
        <w:rPr>
          <w:rFonts w:ascii="Times New Roman" w:hAnsi="Times New Roman" w:eastAsia="仿宋" w:cs="Times New Roman"/>
          <w:b/>
          <w:color w:val="000000" w:themeColor="text1"/>
          <w:sz w:val="32"/>
          <w:szCs w:val="32"/>
          <w14:textFill>
            <w14:solidFill>
              <w14:schemeClr w14:val="tx1"/>
            </w14:solidFill>
          </w14:textFill>
        </w:rPr>
        <w:t>5G智慧基础设施全覆盖</w:t>
      </w:r>
      <w:r>
        <w:rPr>
          <w:rFonts w:ascii="Times New Roman" w:hAnsi="Times New Roman" w:eastAsia="仿宋" w:cs="Times New Roman"/>
          <w:color w:val="000000" w:themeColor="text1"/>
          <w:sz w:val="32"/>
          <w:szCs w:val="32"/>
          <w14:textFill>
            <w14:solidFill>
              <w14:schemeClr w14:val="tx1"/>
            </w14:solidFill>
          </w14:textFill>
        </w:rPr>
        <w:t>，在天河智慧城范围内协调建成移动5G站点92个，电信5G站点100多个，联通5G站点 25个，实现智慧城内5G网络全覆盖。</w:t>
      </w:r>
    </w:p>
    <w:p>
      <w:pPr>
        <w:spacing w:line="560" w:lineRule="exact"/>
        <w:ind w:firstLine="640" w:firstLineChars="20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总体来看，</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十三五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期间，天河智慧城整体保持了较快的发展增速，产业结构和创新能力方面得到了较大的提升，其中GDP（643.76亿元）已超越</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十三五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设定目标（510-530亿元）。但从净利润、税收收入的角度来看，出现了下滑，发展质量有待提升。智谷片区纳入天河智慧城范围为智慧城提供了充足的发展空间资源。</w:t>
      </w:r>
    </w:p>
    <w:p>
      <w:pPr>
        <w:pStyle w:val="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表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表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天河智慧城</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十三五</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指标完成情况</w:t>
      </w:r>
    </w:p>
    <w:tbl>
      <w:tblPr>
        <w:tblStyle w:val="16"/>
        <w:tblW w:w="8539" w:type="dxa"/>
        <w:tblCellSpacing w:w="0"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3"/>
        <w:gridCol w:w="3101"/>
        <w:gridCol w:w="1613"/>
        <w:gridCol w:w="1473"/>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Header/>
          <w:tblCellSpacing w:w="0" w:type="dxa"/>
        </w:trPr>
        <w:tc>
          <w:tcPr>
            <w:tcW w:w="79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类别</w:t>
            </w:r>
          </w:p>
        </w:tc>
        <w:tc>
          <w:tcPr>
            <w:tcW w:w="3101"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指标</w:t>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2015年实际值</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2020年预计</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2020年</w:t>
            </w:r>
            <w:r>
              <w:rPr>
                <w:rFonts w:hint="eastAsia" w:ascii="Times New Roman" w:hAnsi="Times New Roman" w:cs="Times New Roman"/>
                <w:b/>
                <w:color w:val="000000" w:themeColor="text1"/>
                <w:sz w:val="20"/>
                <w:szCs w:val="20"/>
                <w14:textFill>
                  <w14:solidFill>
                    <w14:schemeClr w14:val="tx1"/>
                  </w14:solidFill>
                </w14:textFill>
              </w:rPr>
              <w:t>实际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restart"/>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经济实力</w:t>
            </w: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技工贸总收入（亿元）</w:t>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1609.85</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2713</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2638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净利润（亿元）</w:t>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144.52</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266</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税收收入（亿元）</w:t>
            </w:r>
            <w:r>
              <w:rPr>
                <w:rStyle w:val="22"/>
                <w:rFonts w:ascii="Times New Roman" w:hAnsi="Times New Roman" w:cs="Times New Roman"/>
                <w:color w:val="000000" w:themeColor="text1"/>
                <w:sz w:val="20"/>
                <w:szCs w:val="20"/>
                <w14:textFill>
                  <w14:solidFill>
                    <w14:schemeClr w14:val="tx1"/>
                  </w14:solidFill>
                </w14:textFill>
              </w:rPr>
              <w:footnoteReference w:id="1"/>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90.85</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167</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软件业务收入（亿元）</w:t>
            </w:r>
            <w:r>
              <w:rPr>
                <w:rStyle w:val="22"/>
                <w:rFonts w:ascii="Times New Roman" w:hAnsi="Times New Roman" w:cs="Times New Roman"/>
                <w:color w:val="000000" w:themeColor="text1"/>
                <w:sz w:val="20"/>
                <w:szCs w:val="20"/>
                <w14:textFill>
                  <w14:solidFill>
                    <w14:schemeClr w14:val="tx1"/>
                  </w14:solidFill>
                </w14:textFill>
              </w:rPr>
              <w:footnoteReference w:id="2"/>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1316.39</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2648</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restart"/>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产业结构</w:t>
            </w: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总部企业数（家）</w:t>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21</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高新技术企业数（家）</w:t>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309</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420</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总收入超亿元企业（家）</w:t>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161</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220</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restart"/>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创新能力</w:t>
            </w: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省级以上企业研发中心、工程中心和实验室（家）</w:t>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31</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55</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专利申请量（件）</w:t>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2154</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3800</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5"/>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专利授权量（件）</w:t>
            </w:r>
          </w:p>
        </w:tc>
        <w:tc>
          <w:tcPr>
            <w:tcW w:w="161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1066</w:t>
            </w:r>
          </w:p>
        </w:tc>
        <w:tc>
          <w:tcPr>
            <w:tcW w:w="1473" w:type="dxa"/>
            <w:tcBorders>
              <w:tl2br w:val="nil"/>
              <w:tr2bl w:val="nil"/>
            </w:tcBorders>
            <w:shd w:val="clear" w:color="auto" w:fill="auto"/>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1200</w:t>
            </w:r>
          </w:p>
        </w:tc>
        <w:tc>
          <w:tcPr>
            <w:tcW w:w="1559" w:type="dxa"/>
            <w:tcBorders>
              <w:tl2br w:val="nil"/>
              <w:tr2bl w:val="nil"/>
            </w:tcBorders>
            <w:shd w:val="clear" w:color="auto" w:fill="E7E6E6"/>
            <w:tcMar>
              <w:left w:w="108" w:type="dxa"/>
              <w:right w:w="108" w:type="dxa"/>
            </w:tcMar>
            <w:vAlign w:val="center"/>
          </w:tcPr>
          <w:p>
            <w:pPr>
              <w:pStyle w:val="15"/>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3504</w:t>
            </w:r>
          </w:p>
        </w:tc>
      </w:tr>
    </w:tbl>
    <w:p>
      <w:pPr>
        <w:pStyle w:val="6"/>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注：</w:t>
      </w:r>
      <w:r>
        <w:rPr>
          <w:rFonts w:ascii="Times New Roman" w:hAnsi="Times New Roman" w:cs="Times New Roman"/>
          <w:color w:val="000000" w:themeColor="text1"/>
          <w14:textFill>
            <w14:solidFill>
              <w14:schemeClr w14:val="tx1"/>
            </w14:solidFill>
          </w14:textFill>
        </w:rPr>
        <w:t>统计范围为天河科技园/软件园</w:t>
      </w:r>
      <w:r>
        <w:rPr>
          <w:rFonts w:hint="eastAsia" w:ascii="Times New Roman" w:hAnsi="Times New Roman" w:cs="Times New Roman"/>
          <w:color w:val="000000" w:themeColor="text1"/>
          <w14:textFill>
            <w14:solidFill>
              <w14:schemeClr w14:val="tx1"/>
            </w14:solidFill>
          </w14:textFill>
        </w:rPr>
        <w:t>。</w:t>
      </w:r>
    </w:p>
    <w:p>
      <w:pPr>
        <w:pStyle w:val="4"/>
        <w:numPr>
          <w:ilvl w:val="0"/>
          <w:numId w:val="1"/>
        </w:numPr>
        <w:rPr>
          <w:color w:val="000000" w:themeColor="text1"/>
          <w14:textFill>
            <w14:solidFill>
              <w14:schemeClr w14:val="tx1"/>
            </w14:solidFill>
          </w14:textFill>
        </w:rPr>
      </w:pPr>
      <w:bookmarkStart w:id="9" w:name="_Toc89358639"/>
      <w:r>
        <w:rPr>
          <w:color w:val="000000" w:themeColor="text1"/>
          <w14:textFill>
            <w14:solidFill>
              <w14:schemeClr w14:val="tx1"/>
            </w14:solidFill>
          </w14:textFill>
        </w:rPr>
        <w:t>“十三五”发展存在不足</w:t>
      </w:r>
      <w:bookmarkEnd w:id="9"/>
    </w:p>
    <w:p>
      <w:pPr>
        <w:pStyle w:val="5"/>
        <w:ind w:firstLine="643"/>
        <w:rPr>
          <w:rFonts w:cs="Times New Roman"/>
          <w:color w:val="000000" w:themeColor="text1"/>
          <w14:textFill>
            <w14:solidFill>
              <w14:schemeClr w14:val="tx1"/>
            </w14:solidFill>
          </w14:textFill>
        </w:rPr>
      </w:pPr>
      <w:bookmarkStart w:id="10" w:name="_Toc89358640"/>
      <w:r>
        <w:rPr>
          <w:rFonts w:cs="Times New Roman"/>
          <w:color w:val="000000" w:themeColor="text1"/>
          <w14:textFill>
            <w14:solidFill>
              <w14:schemeClr w14:val="tx1"/>
            </w14:solidFill>
          </w14:textFill>
        </w:rPr>
        <w:t>1、整体发展能级有待进一步提升</w:t>
      </w:r>
      <w:bookmarkEnd w:id="10"/>
    </w:p>
    <w:p>
      <w:pPr>
        <w:pStyle w:val="2"/>
        <w:ind w:firstLine="64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天河智慧城作为区域发展重大平台，在取得快速发展的同时，仍然面临着整体发展能级不高的问题，从经济规模和效益看，智慧城核心区在GDP、营业收入、税收贡献、就业拉动等总量指标，和地均产出、人均产值、研发强度、高企占比等强度相对指标上与</w:t>
      </w:r>
      <w:r>
        <w:rPr>
          <w:rFonts w:hint="eastAsia" w:ascii="Times New Roman" w:hAnsi="Times New Roman" w:eastAsia="仿宋" w:cs="Times New Roman"/>
          <w:color w:val="000000" w:themeColor="text1"/>
          <w:sz w:val="32"/>
          <w:szCs w:val="20"/>
          <w14:textFill>
            <w14:solidFill>
              <w14:schemeClr w14:val="tx1"/>
            </w14:solidFill>
          </w14:textFill>
        </w:rPr>
        <w:t>北京中关村、上海张江科学城、深圳高新区等</w:t>
      </w:r>
      <w:r>
        <w:rPr>
          <w:rFonts w:ascii="Times New Roman" w:hAnsi="Times New Roman" w:eastAsia="仿宋" w:cs="Times New Roman"/>
          <w:color w:val="000000" w:themeColor="text1"/>
          <w:sz w:val="32"/>
          <w:szCs w:val="20"/>
          <w14:textFill>
            <w14:solidFill>
              <w14:schemeClr w14:val="tx1"/>
            </w14:solidFill>
          </w14:textFill>
        </w:rPr>
        <w:t>先进</w:t>
      </w:r>
      <w:r>
        <w:rPr>
          <w:rFonts w:hint="eastAsia" w:ascii="Times New Roman" w:hAnsi="Times New Roman" w:eastAsia="仿宋" w:cs="Times New Roman"/>
          <w:color w:val="000000" w:themeColor="text1"/>
          <w:sz w:val="32"/>
          <w:szCs w:val="20"/>
          <w14:textFill>
            <w14:solidFill>
              <w14:schemeClr w14:val="tx1"/>
            </w14:solidFill>
          </w14:textFill>
        </w:rPr>
        <w:t>区域</w:t>
      </w:r>
      <w:r>
        <w:rPr>
          <w:rFonts w:ascii="Times New Roman" w:hAnsi="Times New Roman" w:eastAsia="仿宋" w:cs="Times New Roman"/>
          <w:color w:val="000000" w:themeColor="text1"/>
          <w:sz w:val="32"/>
          <w:szCs w:val="20"/>
          <w14:textFill>
            <w14:solidFill>
              <w14:schemeClr w14:val="tx1"/>
            </w14:solidFill>
          </w14:textFill>
        </w:rPr>
        <w:t>存在着较大差距，综合发展水平有待提升，而智谷片区的经济社会发展仍处于起步阶段；从区域影响力看，园区还未形成清晰鲜明、特色突出的总体定位和品牌形象，知名度、影响力、号召力有待提高。整体能级不高导致园区对高端主体和要素的吸引力不足，制约着园区的持续发展。</w:t>
      </w:r>
    </w:p>
    <w:p>
      <w:pPr>
        <w:pStyle w:val="5"/>
        <w:ind w:firstLine="643"/>
        <w:rPr>
          <w:rFonts w:cs="Times New Roman"/>
          <w:color w:val="000000" w:themeColor="text1"/>
          <w14:textFill>
            <w14:solidFill>
              <w14:schemeClr w14:val="tx1"/>
            </w14:solidFill>
          </w14:textFill>
        </w:rPr>
      </w:pPr>
      <w:bookmarkStart w:id="11" w:name="_Toc89358641"/>
      <w:r>
        <w:rPr>
          <w:rFonts w:cs="Times New Roman"/>
          <w:color w:val="000000" w:themeColor="text1"/>
          <w14:textFill>
            <w14:solidFill>
              <w14:schemeClr w14:val="tx1"/>
            </w14:solidFill>
          </w14:textFill>
        </w:rPr>
        <w:t>2、价值链高端环节有待进一步突破</w:t>
      </w:r>
      <w:bookmarkEnd w:id="11"/>
    </w:p>
    <w:p>
      <w:pPr>
        <w:pStyle w:val="2"/>
        <w:ind w:firstLine="64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天河智慧城产业发展总体仍处于产业链和价值链中低端。一方面，研发、设计、咨询、营销、供应链管理、品牌等关键核心环节薄弱，具有国际影响力的自主品牌缺乏，科技创新能力和产品竞争力不够强，且</w:t>
      </w:r>
      <w:r>
        <w:rPr>
          <w:rFonts w:hint="eastAsia" w:ascii="Times New Roman" w:hAnsi="Times New Roman" w:eastAsia="仿宋" w:cs="Times New Roman"/>
          <w:color w:val="000000" w:themeColor="text1"/>
          <w:sz w:val="32"/>
          <w:szCs w:val="20"/>
          <w14:textFill>
            <w14:solidFill>
              <w14:schemeClr w14:val="tx1"/>
            </w14:solidFill>
          </w14:textFill>
        </w:rPr>
        <w:t>目前仅有１家百亿级企业，市场主体</w:t>
      </w:r>
      <w:r>
        <w:rPr>
          <w:rFonts w:ascii="Times New Roman" w:hAnsi="Times New Roman" w:eastAsia="仿宋" w:cs="Times New Roman"/>
          <w:color w:val="000000" w:themeColor="text1"/>
          <w:sz w:val="32"/>
          <w:szCs w:val="20"/>
          <w14:textFill>
            <w14:solidFill>
              <w14:schemeClr w14:val="tx1"/>
            </w14:solidFill>
          </w14:textFill>
        </w:rPr>
        <w:t>多为腰部企业或细分领域领军企业，缺乏具备产业链和高端要素配置能力的龙头企业，规上企业整体利润水平</w:t>
      </w:r>
      <w:r>
        <w:rPr>
          <w:rFonts w:hint="eastAsia" w:ascii="Times New Roman" w:hAnsi="Times New Roman" w:eastAsia="仿宋" w:cs="Times New Roman"/>
          <w:color w:val="000000" w:themeColor="text1"/>
          <w:sz w:val="32"/>
          <w:szCs w:val="20"/>
          <w14:textFill>
            <w14:solidFill>
              <w14:schemeClr w14:val="tx1"/>
            </w14:solidFill>
          </w14:textFill>
        </w:rPr>
        <w:t>仅为2.37%</w:t>
      </w:r>
      <w:r>
        <w:rPr>
          <w:rFonts w:ascii="Times New Roman" w:hAnsi="Times New Roman" w:eastAsia="仿宋" w:cs="Times New Roman"/>
          <w:color w:val="000000" w:themeColor="text1"/>
          <w:sz w:val="32"/>
          <w:szCs w:val="20"/>
          <w14:textFill>
            <w14:solidFill>
              <w14:schemeClr w14:val="tx1"/>
            </w14:solidFill>
          </w14:textFill>
        </w:rPr>
        <w:t>。另一方面，产业发展的顶层设计和前瞻性布局有待加强，虽然目前已在智能网联汽车、智能硬件、通信导航等战略性新兴领域涌现出了部分领先企业，但从整体来看仍以软件业为主，新兴产业占比较低，文化产业、生物与健康、人工智能等处于起步期，类脑认知计算、量子技术、太赫兹技术、区块链、基因编辑技术等前沿和颠覆性未来技术布局缺位。价值链高端缺失导致园区未来产业转型升级和高质量发展动能不足，削弱了产业竞争力。</w:t>
      </w:r>
    </w:p>
    <w:p>
      <w:pPr>
        <w:pStyle w:val="5"/>
        <w:ind w:firstLine="643"/>
        <w:rPr>
          <w:rFonts w:cs="Times New Roman"/>
          <w:color w:val="000000" w:themeColor="text1"/>
          <w14:textFill>
            <w14:solidFill>
              <w14:schemeClr w14:val="tx1"/>
            </w14:solidFill>
          </w14:textFill>
        </w:rPr>
      </w:pPr>
      <w:bookmarkStart w:id="12" w:name="_Toc89358642"/>
      <w:r>
        <w:rPr>
          <w:rFonts w:cs="Times New Roman"/>
          <w:color w:val="000000" w:themeColor="text1"/>
          <w14:textFill>
            <w14:solidFill>
              <w14:schemeClr w14:val="tx1"/>
            </w14:solidFill>
          </w14:textFill>
        </w:rPr>
        <w:t>3、科技创新资源有待进一步完善</w:t>
      </w:r>
      <w:bookmarkEnd w:id="12"/>
    </w:p>
    <w:p>
      <w:pPr>
        <w:ind w:firstLine="640" w:firstLineChars="20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天河智慧城科技创新资源不足，整体科技创新水平仍有较大提升空间。核心区和智谷片区内重大科技基础创新平台数量仍较少，缺少国家级大科学装置，国家级、省级重点实验室以及具有国际一流水平的科学实验室和研发中心匮乏。园区缺乏创新型企业和人才，大部分企业科研基础薄弱，自主创新能力不强，发明专利</w:t>
      </w:r>
      <w:r>
        <w:rPr>
          <w:rFonts w:hint="eastAsia" w:ascii="Times New Roman" w:hAnsi="Times New Roman" w:eastAsia="仿宋" w:cs="Times New Roman"/>
          <w:color w:val="000000" w:themeColor="text1"/>
          <w:sz w:val="32"/>
          <w:szCs w:val="20"/>
          <w14:textFill>
            <w14:solidFill>
              <w14:schemeClr w14:val="tx1"/>
            </w14:solidFill>
          </w14:textFill>
        </w:rPr>
        <w:t>授权量占专利总授权量比重不到2</w:t>
      </w:r>
      <w:r>
        <w:rPr>
          <w:rFonts w:ascii="Times New Roman" w:hAnsi="Times New Roman" w:eastAsia="仿宋" w:cs="Times New Roman"/>
          <w:color w:val="000000" w:themeColor="text1"/>
          <w:sz w:val="32"/>
          <w:szCs w:val="20"/>
          <w14:textFill>
            <w14:solidFill>
              <w14:schemeClr w14:val="tx1"/>
            </w14:solidFill>
          </w14:textFill>
        </w:rPr>
        <w:t>0</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，缺少前沿性、引领性关键核心技术成果和自主知识产权，发展后劲不足，且园区内从事高新技术产业开发的高层次人才紧缺，特别是缺乏国际顶尖级的战略科学家团队。此外，从产业和创新生态看，</w:t>
      </w:r>
      <w:r>
        <w:rPr>
          <w:rFonts w:hint="eastAsia" w:ascii="Times New Roman" w:hAnsi="Times New Roman" w:eastAsia="仿宋" w:cs="Times New Roman"/>
          <w:color w:val="000000" w:themeColor="text1"/>
          <w:sz w:val="32"/>
          <w:szCs w:val="20"/>
          <w14:textFill>
            <w14:solidFill>
              <w14:schemeClr w14:val="tx1"/>
            </w14:solidFill>
          </w14:textFill>
        </w:rPr>
        <w:t>园区</w:t>
      </w:r>
      <w:r>
        <w:rPr>
          <w:rFonts w:ascii="Times New Roman" w:hAnsi="Times New Roman" w:eastAsia="仿宋" w:cs="Times New Roman"/>
          <w:color w:val="000000" w:themeColor="text1"/>
          <w:sz w:val="32"/>
          <w:szCs w:val="20"/>
          <w14:textFill>
            <w14:solidFill>
              <w14:schemeClr w14:val="tx1"/>
            </w14:solidFill>
          </w14:textFill>
        </w:rPr>
        <w:t>在</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创意-孵化-加速</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创新服务体系、</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研发-交易-转化</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科技服务体系、</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股权-债权-政策性</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资金融通体系、</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引进-培育-管理</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人才服务体系等方面，</w:t>
      </w:r>
      <w:r>
        <w:rPr>
          <w:rFonts w:hint="eastAsia" w:ascii="Times New Roman" w:hAnsi="Times New Roman" w:eastAsia="仿宋" w:cs="Times New Roman"/>
          <w:color w:val="000000" w:themeColor="text1"/>
          <w:sz w:val="32"/>
          <w:szCs w:val="20"/>
          <w14:textFill>
            <w14:solidFill>
              <w14:schemeClr w14:val="tx1"/>
            </w14:solidFill>
          </w14:textFill>
        </w:rPr>
        <w:t>尚</w:t>
      </w:r>
      <w:r>
        <w:rPr>
          <w:rFonts w:ascii="Times New Roman" w:hAnsi="Times New Roman" w:eastAsia="仿宋" w:cs="Times New Roman"/>
          <w:color w:val="000000" w:themeColor="text1"/>
          <w:sz w:val="32"/>
          <w:szCs w:val="20"/>
          <w14:textFill>
            <w14:solidFill>
              <w14:schemeClr w14:val="tx1"/>
            </w14:solidFill>
          </w14:textFill>
        </w:rPr>
        <w:t>未构建起紧密结合、互相促进的高效生态。高端科技创新资源要素的不足限制了园区高端化发展路径。</w:t>
      </w:r>
    </w:p>
    <w:p>
      <w:pPr>
        <w:pStyle w:val="5"/>
        <w:ind w:firstLine="643"/>
        <w:rPr>
          <w:rFonts w:cs="Times New Roman"/>
          <w:color w:val="000000" w:themeColor="text1"/>
          <w14:textFill>
            <w14:solidFill>
              <w14:schemeClr w14:val="tx1"/>
            </w14:solidFill>
          </w14:textFill>
        </w:rPr>
      </w:pPr>
      <w:bookmarkStart w:id="13" w:name="_Toc89358643"/>
      <w:r>
        <w:rPr>
          <w:rFonts w:cs="Times New Roman"/>
          <w:color w:val="000000" w:themeColor="text1"/>
          <w14:textFill>
            <w14:solidFill>
              <w14:schemeClr w14:val="tx1"/>
            </w14:solidFill>
          </w14:textFill>
        </w:rPr>
        <w:t>4、土地整备工作有待进一步加强</w:t>
      </w:r>
      <w:bookmarkEnd w:id="13"/>
    </w:p>
    <w:p>
      <w:pPr>
        <w:pStyle w:val="2"/>
        <w:ind w:firstLine="64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天河智慧城内良好产业发展生态所形成的产业吸引力与土地资源开发利用空间及进程之间仍存在较大矛盾。</w:t>
      </w:r>
      <w:r>
        <w:rPr>
          <w:rFonts w:ascii="Times New Roman" w:hAnsi="Times New Roman" w:eastAsia="仿宋" w:cs="Times New Roman"/>
          <w:b/>
          <w:color w:val="000000" w:themeColor="text1"/>
          <w:sz w:val="32"/>
          <w:szCs w:val="20"/>
          <w14:textFill>
            <w14:solidFill>
              <w14:schemeClr w14:val="tx1"/>
            </w14:solidFill>
          </w14:textFill>
        </w:rPr>
        <w:t>一方面，智慧城核心区现有可开发利用土地资源紧张。</w:t>
      </w:r>
      <w:r>
        <w:rPr>
          <w:rFonts w:ascii="Times New Roman" w:hAnsi="Times New Roman" w:eastAsia="仿宋" w:cs="Times New Roman"/>
          <w:color w:val="000000" w:themeColor="text1"/>
          <w:sz w:val="32"/>
          <w:szCs w:val="20"/>
          <w14:textFill>
            <w14:solidFill>
              <w14:schemeClr w14:val="tx1"/>
            </w14:solidFill>
          </w14:textFill>
        </w:rPr>
        <w:t>除去非建设用地、</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十村</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、特殊用地及</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两区</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等已建设区域，剩余可开发用地面积不足2平方公里，且主要为收储难度大、置换需求高的村集体用地。当前天河智慧城核心区范围内现有可出让土地不足</w:t>
      </w:r>
      <w:r>
        <w:rPr>
          <w:rFonts w:hint="eastAsia" w:ascii="Times New Roman" w:hAnsi="Times New Roman" w:eastAsia="仿宋" w:cs="Times New Roman"/>
          <w:color w:val="000000" w:themeColor="text1"/>
          <w:sz w:val="32"/>
          <w:szCs w:val="20"/>
          <w14:textFill>
            <w14:solidFill>
              <w14:schemeClr w14:val="tx1"/>
            </w14:solidFill>
          </w14:textFill>
        </w:rPr>
        <w:t>4</w:t>
      </w:r>
      <w:r>
        <w:rPr>
          <w:rFonts w:ascii="Times New Roman" w:hAnsi="Times New Roman" w:eastAsia="仿宋" w:cs="Times New Roman"/>
          <w:color w:val="000000" w:themeColor="text1"/>
          <w:sz w:val="32"/>
          <w:szCs w:val="20"/>
          <w14:textFill>
            <w14:solidFill>
              <w14:schemeClr w14:val="tx1"/>
            </w14:solidFill>
          </w14:textFill>
        </w:rPr>
        <w:t>0公顷，受重点对象协调难度制约，预计</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十四五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期间可收储土地为255公顷，</w:t>
      </w:r>
      <w:r>
        <w:rPr>
          <w:rFonts w:hint="eastAsia" w:ascii="Times New Roman" w:hAnsi="Times New Roman" w:eastAsia="仿宋" w:cs="Times New Roman"/>
          <w:color w:val="000000" w:themeColor="text1"/>
          <w:sz w:val="32"/>
          <w:szCs w:val="20"/>
          <w14:textFill>
            <w14:solidFill>
              <w14:schemeClr w14:val="tx1"/>
            </w14:solidFill>
          </w14:textFill>
        </w:rPr>
        <w:t>可供应</w:t>
      </w:r>
      <w:r>
        <w:rPr>
          <w:rFonts w:ascii="Times New Roman" w:hAnsi="Times New Roman" w:eastAsia="仿宋" w:cs="Times New Roman"/>
          <w:color w:val="000000" w:themeColor="text1"/>
          <w:sz w:val="32"/>
          <w:szCs w:val="20"/>
          <w14:textFill>
            <w14:solidFill>
              <w14:schemeClr w14:val="tx1"/>
            </w14:solidFill>
          </w14:textFill>
        </w:rPr>
        <w:t>产业用地</w:t>
      </w:r>
      <w:r>
        <w:rPr>
          <w:rFonts w:hint="eastAsia" w:ascii="Times New Roman" w:hAnsi="Times New Roman" w:eastAsia="仿宋" w:cs="Times New Roman"/>
          <w:color w:val="000000" w:themeColor="text1"/>
          <w:sz w:val="32"/>
          <w:szCs w:val="20"/>
          <w14:textFill>
            <w14:solidFill>
              <w14:schemeClr w14:val="tx1"/>
            </w14:solidFill>
          </w14:textFill>
        </w:rPr>
        <w:t>不足100</w:t>
      </w:r>
      <w:r>
        <w:rPr>
          <w:rFonts w:ascii="Times New Roman" w:hAnsi="Times New Roman" w:eastAsia="仿宋" w:cs="Times New Roman"/>
          <w:color w:val="000000" w:themeColor="text1"/>
          <w:sz w:val="32"/>
          <w:szCs w:val="20"/>
          <w14:textFill>
            <w14:solidFill>
              <w14:schemeClr w14:val="tx1"/>
            </w14:solidFill>
          </w14:textFill>
        </w:rPr>
        <w:t>公顷。</w:t>
      </w:r>
      <w:r>
        <w:rPr>
          <w:rFonts w:ascii="Times New Roman" w:hAnsi="Times New Roman" w:eastAsia="仿宋" w:cs="Times New Roman"/>
          <w:b/>
          <w:color w:val="000000" w:themeColor="text1"/>
          <w:sz w:val="32"/>
          <w:szCs w:val="20"/>
          <w14:textFill>
            <w14:solidFill>
              <w14:schemeClr w14:val="tx1"/>
            </w14:solidFill>
          </w14:textFill>
        </w:rPr>
        <w:t>另一方面，智谷片区的土地收储出让工作仍存在进度慢等问题</w:t>
      </w:r>
      <w:r>
        <w:rPr>
          <w:rFonts w:ascii="Times New Roman" w:hAnsi="Times New Roman" w:eastAsia="仿宋" w:cs="Times New Roman"/>
          <w:color w:val="000000" w:themeColor="text1"/>
          <w:sz w:val="32"/>
          <w:szCs w:val="20"/>
          <w14:textFill>
            <w14:solidFill>
              <w14:schemeClr w14:val="tx1"/>
            </w14:solidFill>
          </w14:textFill>
        </w:rPr>
        <w:t>。智谷片区政府待统筹开发范围的土地693.12公顷，涉及国有土地376.24公顷（已储未供174.13公顷），集体土地316.88公顷，涉及棠东、珠村、黄村等8个村，收储难度较大，时间进度缓慢；其他土地审批工作也存在不少困难，马鞍山分片区的广氮四期用地报批因新土地管理法而受到影响。</w:t>
      </w:r>
    </w:p>
    <w:p>
      <w:pPr>
        <w:pStyle w:val="5"/>
        <w:ind w:firstLine="643"/>
        <w:rPr>
          <w:rFonts w:cs="Times New Roman"/>
          <w:color w:val="000000" w:themeColor="text1"/>
          <w14:textFill>
            <w14:solidFill>
              <w14:schemeClr w14:val="tx1"/>
            </w14:solidFill>
          </w14:textFill>
        </w:rPr>
      </w:pPr>
      <w:bookmarkStart w:id="14" w:name="_Toc89358644"/>
      <w:r>
        <w:rPr>
          <w:rFonts w:cs="Times New Roman"/>
          <w:color w:val="000000" w:themeColor="text1"/>
          <w14:textFill>
            <w14:solidFill>
              <w14:schemeClr w14:val="tx1"/>
            </w14:solidFill>
          </w14:textFill>
        </w:rPr>
        <w:t>5、产城融合发展有待进一步深化</w:t>
      </w:r>
      <w:bookmarkEnd w:id="14"/>
    </w:p>
    <w:p>
      <w:pPr>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天河智慧城核心区和智谷片区在居住、公共服务、生活和商业等方面都存在较大的配套不足问题。一是园区住房不足，智慧城核心区周边的住宅供给以城中村民房为主，缺乏高质量的住宅、公寓等设施。二是先进教育和医疗仍存在较大空白，优质学校较少，主要的医疗服务以社区卫生服务中心（站）为主，</w:t>
      </w:r>
      <w:r>
        <w:rPr>
          <w:rFonts w:hint="eastAsia" w:ascii="Times New Roman" w:hAnsi="Times New Roman" w:eastAsia="仿宋" w:cs="Times New Roman"/>
          <w:color w:val="000000" w:themeColor="text1"/>
          <w:sz w:val="32"/>
          <w:szCs w:val="20"/>
          <w14:textFill>
            <w14:solidFill>
              <w14:schemeClr w14:val="tx1"/>
            </w14:solidFill>
          </w14:textFill>
        </w:rPr>
        <w:t>医疗服务水平亟待提升</w:t>
      </w:r>
      <w:r>
        <w:rPr>
          <w:rFonts w:ascii="Times New Roman" w:hAnsi="Times New Roman" w:eastAsia="仿宋" w:cs="Times New Roman"/>
          <w:color w:val="000000" w:themeColor="text1"/>
          <w:sz w:val="32"/>
          <w:szCs w:val="20"/>
          <w14:textFill>
            <w14:solidFill>
              <w14:schemeClr w14:val="tx1"/>
            </w14:solidFill>
          </w14:textFill>
        </w:rPr>
        <w:t>。三是商业分布零散且档次较低，智慧城范围内未有</w:t>
      </w:r>
      <w:r>
        <w:rPr>
          <w:rFonts w:hint="eastAsia" w:ascii="Times New Roman" w:hAnsi="Times New Roman" w:eastAsia="仿宋" w:cs="Times New Roman"/>
          <w:color w:val="000000" w:themeColor="text1"/>
          <w:sz w:val="32"/>
          <w:szCs w:val="20"/>
          <w14:textFill>
            <w14:solidFill>
              <w14:schemeClr w14:val="tx1"/>
            </w14:solidFill>
          </w14:textFill>
        </w:rPr>
        <w:t>成熟</w:t>
      </w:r>
      <w:r>
        <w:rPr>
          <w:rFonts w:ascii="Times New Roman" w:hAnsi="Times New Roman" w:eastAsia="仿宋" w:cs="Times New Roman"/>
          <w:color w:val="000000" w:themeColor="text1"/>
          <w:sz w:val="32"/>
          <w:szCs w:val="20"/>
          <w14:textFill>
            <w14:solidFill>
              <w14:schemeClr w14:val="tx1"/>
            </w14:solidFill>
          </w14:textFill>
        </w:rPr>
        <w:t>商圈，部分区域甚至缺少日常的餐饮配套。四是缺少社区生活配套，服务设施、文化设施配套不足，无法满足居民健身娱乐需求。</w:t>
      </w:r>
      <w:r>
        <w:rPr>
          <w:rFonts w:hint="eastAsia" w:ascii="Times New Roman" w:hAnsi="Times New Roman" w:eastAsia="仿宋" w:cs="Times New Roman"/>
          <w:color w:val="000000" w:themeColor="text1"/>
          <w:sz w:val="32"/>
          <w:szCs w:val="20"/>
          <w14:textFill>
            <w14:solidFill>
              <w14:schemeClr w14:val="tx1"/>
            </w14:solidFill>
          </w14:textFill>
        </w:rPr>
        <w:t>五是交通问题较为突出，轨道交通和公交站点较少，华观路-科韵路通道过境车辆多、内外交通混杂，思成路、天蕴路等道路较窄引发堵车问题。</w:t>
      </w:r>
      <w:r>
        <w:rPr>
          <w:rFonts w:ascii="Times New Roman" w:hAnsi="Times New Roman" w:eastAsia="仿宋" w:cs="Times New Roman"/>
          <w:color w:val="000000" w:themeColor="text1"/>
          <w:sz w:val="32"/>
          <w:szCs w:val="20"/>
          <w14:textFill>
            <w14:solidFill>
              <w14:schemeClr w14:val="tx1"/>
            </w14:solidFill>
          </w14:textFill>
        </w:rPr>
        <w:t>总体来看，天河智慧城核心区目前职住分离问题较为严重，大量的通勤需求，加之地铁站点距离办公集聚区域较远，进一步增加了交通压力；智谷片区生产生活配套建设进度亟待提升。随着人们对生活居住及工作环境要求的不断提高，产城分离问题将削弱智慧城人才和产业集聚的吸引力。</w:t>
      </w:r>
    </w:p>
    <w:p>
      <w:pPr>
        <w:pStyle w:val="3"/>
        <w:ind w:firstLine="640"/>
        <w:rPr>
          <w:color w:val="000000" w:themeColor="text1"/>
          <w14:textFill>
            <w14:solidFill>
              <w14:schemeClr w14:val="tx1"/>
            </w14:solidFill>
          </w14:textFill>
        </w:rPr>
      </w:pPr>
      <w:bookmarkStart w:id="15" w:name="_Toc89358645"/>
      <w:r>
        <w:rPr>
          <w:color w:val="000000" w:themeColor="text1"/>
          <w14:textFill>
            <w14:solidFill>
              <w14:schemeClr w14:val="tx1"/>
            </w14:solidFill>
          </w14:textFill>
        </w:rPr>
        <w:t>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十四五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发展面临形势</w:t>
      </w:r>
      <w:bookmarkEnd w:id="15"/>
    </w:p>
    <w:p>
      <w:pPr>
        <w:pStyle w:val="4"/>
        <w:numPr>
          <w:ilvl w:val="0"/>
          <w:numId w:val="2"/>
        </w:numPr>
        <w:ind w:firstLineChars="0"/>
        <w:rPr>
          <w:color w:val="000000" w:themeColor="text1"/>
          <w14:textFill>
            <w14:solidFill>
              <w14:schemeClr w14:val="tx1"/>
            </w14:solidFill>
          </w14:textFill>
        </w:rPr>
      </w:pPr>
      <w:bookmarkStart w:id="16" w:name="_Toc89358646"/>
      <w:bookmarkStart w:id="17" w:name="_Toc19618"/>
      <w:r>
        <w:rPr>
          <w:rFonts w:hint="eastAsia"/>
          <w:color w:val="000000" w:themeColor="text1"/>
          <w14:textFill>
            <w14:solidFill>
              <w14:schemeClr w14:val="tx1"/>
            </w14:solidFill>
          </w14:textFill>
        </w:rPr>
        <w:t>双</w:t>
      </w:r>
      <w:r>
        <w:rPr>
          <w:color w:val="000000" w:themeColor="text1"/>
          <w14:textFill>
            <w14:solidFill>
              <w14:schemeClr w14:val="tx1"/>
            </w14:solidFill>
          </w14:textFill>
        </w:rPr>
        <w:t>循环</w:t>
      </w:r>
      <w:r>
        <w:rPr>
          <w:rFonts w:hint="eastAsia"/>
          <w:color w:val="000000" w:themeColor="text1"/>
          <w14:textFill>
            <w14:solidFill>
              <w14:schemeClr w14:val="tx1"/>
            </w14:solidFill>
          </w14:textFill>
        </w:rPr>
        <w:t>和双碳战略加快推动转型升级</w:t>
      </w:r>
      <w:bookmarkEnd w:id="16"/>
    </w:p>
    <w:p>
      <w:pPr>
        <w:spacing w:line="560" w:lineRule="exact"/>
        <w:ind w:firstLine="640" w:firstLineChars="20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在新冠疫情冲击产业链供应链、全球化经济增长趋势放缓、贸易保护主义抬头的形势下，我国提出了</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加快形成以国内大循环为主体、国内国际双循环相互促进</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的发展战略。</w:t>
      </w:r>
      <w:r>
        <w:rPr>
          <w:rFonts w:hint="eastAsia" w:ascii="Times New Roman" w:hAnsi="Times New Roman" w:eastAsia="仿宋" w:cs="Times New Roman"/>
          <w:color w:val="000000" w:themeColor="text1"/>
          <w:sz w:val="32"/>
          <w:szCs w:val="20"/>
          <w14:textFill>
            <w14:solidFill>
              <w14:schemeClr w14:val="tx1"/>
            </w14:solidFill>
          </w14:textFill>
        </w:rPr>
        <w:t>同时为积极应对气候变化，坚定不移走生态优先、绿色低碳的高质量发展道路，我国把碳达峰、碳中和纳入经济社会发展全局，提出在2030年实现碳达峰，2060年实现碳中和。“双循环”和“双碳”战略从需求和供给两端发力，加快推动我国产业结构和能源结构调整优化，未来我国将大力发展战略性新兴产业，加快</w:t>
      </w:r>
      <w:r>
        <w:rPr>
          <w:rFonts w:ascii="Times New Roman" w:hAnsi="Times New Roman" w:eastAsia="仿宋" w:cs="Times New Roman"/>
          <w:color w:val="000000" w:themeColor="text1"/>
          <w:sz w:val="32"/>
          <w:szCs w:val="20"/>
          <w14:textFill>
            <w14:solidFill>
              <w14:schemeClr w14:val="tx1"/>
            </w14:solidFill>
          </w14:textFill>
        </w:rPr>
        <w:t>人工智能、区块链、云计算、大数据等数字技术领域</w:t>
      </w:r>
      <w:r>
        <w:rPr>
          <w:rFonts w:hint="eastAsia" w:ascii="Times New Roman" w:hAnsi="Times New Roman" w:eastAsia="仿宋" w:cs="Times New Roman"/>
          <w:color w:val="000000" w:themeColor="text1"/>
          <w:sz w:val="32"/>
          <w:szCs w:val="20"/>
          <w14:textFill>
            <w14:solidFill>
              <w14:schemeClr w14:val="tx1"/>
            </w14:solidFill>
          </w14:textFill>
        </w:rPr>
        <w:t>突破</w:t>
      </w:r>
      <w:r>
        <w:rPr>
          <w:rFonts w:ascii="Times New Roman" w:hAnsi="Times New Roman" w:eastAsia="仿宋" w:cs="Times New Roman"/>
          <w:color w:val="000000" w:themeColor="text1"/>
          <w:sz w:val="32"/>
          <w:szCs w:val="20"/>
          <w14:textFill>
            <w14:solidFill>
              <w14:schemeClr w14:val="tx1"/>
            </w14:solidFill>
          </w14:textFill>
        </w:rPr>
        <w:t>，</w:t>
      </w:r>
      <w:r>
        <w:rPr>
          <w:rFonts w:hint="eastAsia" w:ascii="Times New Roman" w:hAnsi="Times New Roman" w:eastAsia="仿宋" w:cs="Times New Roman"/>
          <w:color w:val="000000" w:themeColor="text1"/>
          <w:sz w:val="32"/>
          <w:szCs w:val="20"/>
          <w14:textFill>
            <w14:solidFill>
              <w14:schemeClr w14:val="tx1"/>
            </w14:solidFill>
          </w14:textFill>
        </w:rPr>
        <w:t>解决关键领域的“卡脖子”技术，</w:t>
      </w:r>
      <w:r>
        <w:rPr>
          <w:rFonts w:ascii="Times New Roman" w:hAnsi="Times New Roman" w:eastAsia="仿宋" w:cs="Times New Roman"/>
          <w:color w:val="000000" w:themeColor="text1"/>
          <w:sz w:val="32"/>
          <w:szCs w:val="20"/>
          <w14:textFill>
            <w14:solidFill>
              <w14:schemeClr w14:val="tx1"/>
            </w14:solidFill>
          </w14:textFill>
        </w:rPr>
        <w:t>形成更具科技实力和附加价值的产业链条</w:t>
      </w:r>
      <w:r>
        <w:rPr>
          <w:rFonts w:hint="eastAsia" w:ascii="Times New Roman" w:hAnsi="Times New Roman" w:eastAsia="仿宋" w:cs="Times New Roman"/>
          <w:color w:val="000000" w:themeColor="text1"/>
          <w:sz w:val="32"/>
          <w:szCs w:val="20"/>
          <w14:textFill>
            <w14:solidFill>
              <w14:schemeClr w14:val="tx1"/>
            </w14:solidFill>
          </w14:textFill>
        </w:rPr>
        <w:t>，加快推动传统产业数字化和绿色低碳改造。此外，还将全面提高资源利用效率，大力发展循环经济，推进产业园区循环化发展，提升资源产出率和循环利用率。</w:t>
      </w:r>
      <w:r>
        <w:rPr>
          <w:rFonts w:ascii="Times New Roman" w:hAnsi="Times New Roman" w:eastAsia="仿宋" w:cs="Times New Roman"/>
          <w:color w:val="000000" w:themeColor="text1"/>
          <w:sz w:val="32"/>
          <w:szCs w:val="20"/>
          <w14:textFill>
            <w14:solidFill>
              <w14:schemeClr w14:val="tx1"/>
            </w14:solidFill>
          </w14:textFill>
        </w:rPr>
        <w:t>天河智慧城作为天河区高起点打造的</w:t>
      </w:r>
      <w:r>
        <w:rPr>
          <w:rFonts w:hint="eastAsia" w:ascii="Times New Roman" w:hAnsi="Times New Roman" w:eastAsia="仿宋" w:cs="Times New Roman"/>
          <w:color w:val="000000" w:themeColor="text1"/>
          <w:sz w:val="32"/>
          <w:szCs w:val="20"/>
          <w14:textFill>
            <w14:solidFill>
              <w14:schemeClr w14:val="tx1"/>
            </w14:solidFill>
          </w14:textFill>
        </w:rPr>
        <w:t>战略性新兴产业</w:t>
      </w:r>
      <w:r>
        <w:rPr>
          <w:rFonts w:ascii="Times New Roman" w:hAnsi="Times New Roman" w:eastAsia="仿宋" w:cs="Times New Roman"/>
          <w:color w:val="000000" w:themeColor="text1"/>
          <w:sz w:val="32"/>
          <w:szCs w:val="20"/>
          <w14:textFill>
            <w14:solidFill>
              <w14:schemeClr w14:val="tx1"/>
            </w14:solidFill>
          </w14:textFill>
        </w:rPr>
        <w:t>发展载体</w:t>
      </w:r>
      <w:r>
        <w:rPr>
          <w:rFonts w:hint="eastAsia" w:ascii="Times New Roman" w:hAnsi="Times New Roman" w:eastAsia="仿宋" w:cs="Times New Roman"/>
          <w:color w:val="000000" w:themeColor="text1"/>
          <w:sz w:val="32"/>
          <w:szCs w:val="20"/>
          <w14:textFill>
            <w14:solidFill>
              <w14:schemeClr w14:val="tx1"/>
            </w14:solidFill>
          </w14:textFill>
        </w:rPr>
        <w:t>和重点产业园区</w:t>
      </w:r>
      <w:r>
        <w:rPr>
          <w:rFonts w:ascii="Times New Roman" w:hAnsi="Times New Roman" w:eastAsia="仿宋" w:cs="Times New Roman"/>
          <w:color w:val="000000" w:themeColor="text1"/>
          <w:sz w:val="32"/>
          <w:szCs w:val="20"/>
          <w14:textFill>
            <w14:solidFill>
              <w14:schemeClr w14:val="tx1"/>
            </w14:solidFill>
          </w14:textFill>
        </w:rPr>
        <w:t>，必须要牢牢把握这一大时代历史机遇，扎实推进经济高质量发展。</w:t>
      </w:r>
    </w:p>
    <w:p>
      <w:pPr>
        <w:pStyle w:val="4"/>
        <w:numPr>
          <w:ilvl w:val="0"/>
          <w:numId w:val="2"/>
        </w:numPr>
        <w:ind w:firstLineChars="0"/>
        <w:rPr>
          <w:color w:val="000000" w:themeColor="text1"/>
          <w14:textFill>
            <w14:solidFill>
              <w14:schemeClr w14:val="tx1"/>
            </w14:solidFill>
          </w14:textFill>
        </w:rPr>
      </w:pPr>
      <w:bookmarkStart w:id="18" w:name="_Toc89358647"/>
      <w:r>
        <w:rPr>
          <w:color w:val="000000" w:themeColor="text1"/>
          <w14:textFill>
            <w14:solidFill>
              <w14:schemeClr w14:val="tx1"/>
            </w14:solidFill>
          </w14:textFill>
        </w:rPr>
        <w:t>创新驱动发展成为园区发展根本路径</w:t>
      </w:r>
      <w:bookmarkEnd w:id="18"/>
    </w:p>
    <w:p>
      <w:pPr>
        <w:spacing w:line="560" w:lineRule="exact"/>
        <w:ind w:firstLine="640" w:firstLineChars="20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科技创新始终是推动一个国家、一个民族向前发展的重要力量。党的十八大、十九大、十九届五中全会等每一个关键时期均高度重视科技创新，并明确提出要</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实施创新驱动发展战略</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。高新区作为实施创新驱动发展战略的重要载体，必将在提升自主创新能力、培育发展新动能和提升产业发展现代化水平上承担更加重要的使命。</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十四五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时期，广州市将通过锻造</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科技创新轴</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汇聚高端战略创新平台、建设科技体制机制改革先行区等多举措建设科技创新强市。其中，天河智慧城是全市域科技创新关键节点，是广州举全市之力建设的科技创新轴链接的关键节点。同时，天河高新区也是全市要做优做高沿江产业带的重要产业平台。天河智慧城作为省级高新技术产业开发区和天河区产业科技创新的主阵地，在</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十四五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时期要坚持深化改革、创新引领、开放协同、绿色集约、特色发展，不断创新发展体制机制，全力推进产业转型升级，全面提升科技创新能力，努力打造产业发展生态和创新创业生态，为天河区构建现代化经济体系和提升全区经济社会发展水平提供有力支撑。</w:t>
      </w:r>
    </w:p>
    <w:p>
      <w:pPr>
        <w:pStyle w:val="4"/>
        <w:numPr>
          <w:ilvl w:val="0"/>
          <w:numId w:val="2"/>
        </w:numPr>
        <w:ind w:firstLineChars="0"/>
        <w:rPr>
          <w:color w:val="000000" w:themeColor="text1"/>
          <w14:textFill>
            <w14:solidFill>
              <w14:schemeClr w14:val="tx1"/>
            </w14:solidFill>
          </w14:textFill>
        </w:rPr>
      </w:pPr>
      <w:bookmarkStart w:id="19" w:name="_Toc89358648"/>
      <w:r>
        <w:rPr>
          <w:color w:val="000000" w:themeColor="text1"/>
          <w14:textFill>
            <w14:solidFill>
              <w14:schemeClr w14:val="tx1"/>
            </w14:solidFill>
          </w14:textFill>
        </w:rPr>
        <w:t>数字经济加速推进带来产业发展机遇</w:t>
      </w:r>
      <w:bookmarkEnd w:id="19"/>
    </w:p>
    <w:p>
      <w:pPr>
        <w:spacing w:line="560" w:lineRule="exact"/>
        <w:ind w:firstLine="640" w:firstLineChars="20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当前，以人工智能、区块链、5G、量子通信等为代表的新一轮科技革命正在重构全球产业格局，人类历史已全面进入数字经济时代。党的十八大以来，国家高度重视数字经济，推动数字经济逐渐上升为国家战略。以数字技术为基础的新产业、新业态、新模式异军突起，成为对冲经济下行压力的</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稳定器</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和后疫情时期经济复苏的新引擎。</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十四五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时期，</w:t>
      </w:r>
      <w:r>
        <w:rPr>
          <w:rFonts w:hint="eastAsia" w:ascii="Times New Roman" w:hAnsi="Times New Roman" w:eastAsia="仿宋" w:cs="Times New Roman"/>
          <w:color w:val="000000" w:themeColor="text1"/>
          <w:sz w:val="32"/>
          <w:szCs w:val="20"/>
          <w14:textFill>
            <w14:solidFill>
              <w14:schemeClr w14:val="tx1"/>
            </w14:solidFill>
          </w14:textFill>
        </w:rPr>
        <w:t>我国进入数字价值化、数字产业化、产业数字化、治理数字化“四化”协同发展新阶段，持续推进数字产业化和产业数字化，促进数字技术与实体经济深度融合，赋能传统产业转型升级，催生新产业、新业态，打造具有国际竞争力的数字产业集群</w:t>
      </w:r>
      <w:r>
        <w:rPr>
          <w:rFonts w:ascii="Times New Roman" w:hAnsi="Times New Roman" w:eastAsia="仿宋" w:cs="Times New Roman"/>
          <w:color w:val="000000" w:themeColor="text1"/>
          <w:sz w:val="32"/>
          <w:szCs w:val="20"/>
          <w14:textFill>
            <w14:solidFill>
              <w14:schemeClr w14:val="tx1"/>
            </w14:solidFill>
          </w14:textFill>
        </w:rPr>
        <w:t>。当前，天河智慧城正努力建设广深港澳科技创新走廊和广州科技创新轴的关键节点，重点提升智慧城片区数字经济科技创新能级。在数字经济蓬勃发展为经济社会带来持续不断的增长点的趋势下，天河智慧城顺应数字化驱动的转型升级热潮，必将迎来更广阔的发展空间。</w:t>
      </w:r>
    </w:p>
    <w:p>
      <w:pPr>
        <w:pStyle w:val="4"/>
        <w:numPr>
          <w:ilvl w:val="0"/>
          <w:numId w:val="2"/>
        </w:numPr>
        <w:ind w:firstLineChars="0"/>
        <w:rPr>
          <w:color w:val="000000" w:themeColor="text1"/>
          <w14:textFill>
            <w14:solidFill>
              <w14:schemeClr w14:val="tx1"/>
            </w14:solidFill>
          </w14:textFill>
        </w:rPr>
      </w:pPr>
      <w:bookmarkStart w:id="20" w:name="_Toc89358649"/>
      <w:r>
        <w:rPr>
          <w:color w:val="000000" w:themeColor="text1"/>
          <w14:textFill>
            <w14:solidFill>
              <w14:schemeClr w14:val="tx1"/>
            </w14:solidFill>
          </w14:textFill>
        </w:rPr>
        <w:t>新基建赋能区域发展和行业关联企业</w:t>
      </w:r>
      <w:bookmarkEnd w:id="20"/>
    </w:p>
    <w:p>
      <w:pPr>
        <w:ind w:firstLine="640" w:firstLineChars="20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2020年国务院政府工作报告中提出要重点支持</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两新一重</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建设，激发新消费需求、助力产业升级。新基建的爆发性开展将对区域发展带来重大的发展机遇。一是给新基建相关企业带来巨大市场机遇。</w:t>
      </w:r>
      <w:r>
        <w:rPr>
          <w:rFonts w:ascii="Times New Roman" w:hAnsi="Times New Roman" w:eastAsia="仿宋" w:cs="Times New Roman"/>
          <w:bCs/>
          <w:color w:val="000000" w:themeColor="text1"/>
          <w:sz w:val="32"/>
          <w:szCs w:val="20"/>
          <w14:textFill>
            <w14:solidFill>
              <w14:schemeClr w14:val="tx1"/>
            </w14:solidFill>
          </w14:textFill>
        </w:rPr>
        <w:t>5G、云计算、大数据、物联网、人工智能等</w:t>
      </w:r>
      <w:r>
        <w:rPr>
          <w:rFonts w:ascii="Times New Roman" w:hAnsi="Times New Roman" w:eastAsia="仿宋" w:cs="Times New Roman"/>
          <w:color w:val="000000" w:themeColor="text1"/>
          <w:sz w:val="32"/>
          <w:szCs w:val="20"/>
          <w14:textFill>
            <w14:solidFill>
              <w14:schemeClr w14:val="tx1"/>
            </w14:solidFill>
          </w14:textFill>
        </w:rPr>
        <w:t>新型基础设施建设关联企业，作为产品和服务的重要供给方，将在新基建中进一步扩大自身的优势，获得更多的发展空间。二是新基建有助于促进区域发展环境提质。新型基础设施建设一方面将加快智慧城市建设，进一步推动社会治理、民生服务和企业发展，促进区域发展环境品质提升；另一方面可激发区域开放应用场景，为企业拓展市场提供新实验空间，为推动创新成果应用提供孵化平台。</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十四五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时期，以5G、工业互联网、大数据中心和人工智能为代表</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数字基建</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将从投资期加快向建设运营期迈进，有利于补充、优化、延伸打造具有地区特色的数字产业链。新基建的快速推进将为天河智慧城构建梯次分明、特色凸显、相互融合、具有国际竞争力的数字产业集群提供坚实支撑。</w:t>
      </w:r>
    </w:p>
    <w:p>
      <w:pPr>
        <w:pStyle w:val="4"/>
        <w:numPr>
          <w:ilvl w:val="0"/>
          <w:numId w:val="2"/>
        </w:numPr>
        <w:ind w:firstLineChars="0"/>
        <w:rPr>
          <w:rFonts w:eastAsia="仿宋"/>
          <w:color w:val="000000" w:themeColor="text1"/>
          <w:szCs w:val="20"/>
          <w14:textFill>
            <w14:solidFill>
              <w14:schemeClr w14:val="tx1"/>
            </w14:solidFill>
          </w14:textFill>
        </w:rPr>
      </w:pPr>
      <w:bookmarkStart w:id="21" w:name="_Toc89358650"/>
      <w:r>
        <w:rPr>
          <w:color w:val="000000" w:themeColor="text1"/>
          <w14:textFill>
            <w14:solidFill>
              <w14:schemeClr w14:val="tx1"/>
            </w14:solidFill>
          </w14:textFill>
        </w:rPr>
        <w:t>粤港澳大湾区发展合作与竞争并存</w:t>
      </w:r>
      <w:bookmarkEnd w:id="21"/>
    </w:p>
    <w:p>
      <w:pPr>
        <w:pStyle w:val="2"/>
        <w:ind w:firstLine="640"/>
        <w:rPr>
          <w:rFonts w:ascii="Times New Roman" w:hAnsi="Times New Roman" w:eastAsia="仿宋" w:cs="Times New Roman"/>
          <w:color w:val="000000" w:themeColor="text1"/>
          <w:sz w:val="32"/>
          <w:szCs w:val="20"/>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中央《粤港澳大湾区发展规划纲要》和《关于支持深圳建设中国特色社会主义先行示范区的意见》的实施，为大湾区发展赋予新的历史使命、带来新的重大机遇。广州作为湾区核心引擎之一，正着力深化</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双城联动</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，全面激发大湾区、先行示范区利好叠加的</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双区驱动效应</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天河智慧城地处广深港澳科技创新走廊的核心位置，位于广州科技创新轴和沿江产业带，与广州人工智能与数字经济试验区、广州科学城、五山-石牌高教区等重大平台毗邻，在加强科技和产业合作、创新能力建设以及产学研深度融合等方面具备独特优势。同时天河智慧城在新一代信息技术、卫星及应用、数字文化创意等战略性新兴产业领域具有良好发展基础，也为园区发挥带头引领作用，打造产业链条完善、辐射带动力强、具有国际竞争力的战略性新兴产业集群带来重大机遇。但与此同时，由于各类创新要素跨境流动和区域融通的增强，大湾区内各区域之间在高端要素竞争方面也将迎来激烈竞争，各地纷纷出台政策措施，争夺资本和创新资源</w:t>
      </w:r>
      <w:r>
        <w:rPr>
          <w:rFonts w:hint="eastAsia" w:ascii="Times New Roman" w:hAnsi="Times New Roman" w:eastAsia="仿宋" w:cs="Times New Roman"/>
          <w:color w:val="000000" w:themeColor="text1"/>
          <w:sz w:val="32"/>
          <w:szCs w:val="20"/>
          <w14:textFill>
            <w14:solidFill>
              <w14:schemeClr w14:val="tx1"/>
            </w14:solidFill>
          </w14:textFill>
        </w:rPr>
        <w:t>，天河智慧城在产业发展空间、政策支持力度、配套完善程度等方面存在一定短板</w:t>
      </w:r>
      <w:r>
        <w:rPr>
          <w:rFonts w:ascii="Times New Roman" w:hAnsi="Times New Roman" w:eastAsia="仿宋" w:cs="Times New Roman"/>
          <w:color w:val="000000" w:themeColor="text1"/>
          <w:sz w:val="32"/>
          <w:szCs w:val="20"/>
          <w14:textFill>
            <w14:solidFill>
              <w14:schemeClr w14:val="tx1"/>
            </w14:solidFill>
          </w14:textFill>
        </w:rPr>
        <w:t>。未来，天河智慧城应当以更高站位、更广阔的视野强化与港澳、深圳以及黄埔等周边区域的产业衔接与协同，以</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资源共享、优势互补、携手共进</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的理念积极争取相关要素到天河智慧城集聚发展。</w:t>
      </w:r>
    </w:p>
    <w:p>
      <w:pPr>
        <w:pStyle w:val="3"/>
        <w:ind w:firstLine="640"/>
        <w:rPr>
          <w:color w:val="000000" w:themeColor="text1"/>
          <w14:textFill>
            <w14:solidFill>
              <w14:schemeClr w14:val="tx1"/>
            </w14:solidFill>
          </w14:textFill>
        </w:rPr>
      </w:pPr>
      <w:bookmarkStart w:id="22" w:name="_Toc89358651"/>
      <w:r>
        <w:rPr>
          <w:color w:val="000000" w:themeColor="text1"/>
          <w14:textFill>
            <w14:solidFill>
              <w14:schemeClr w14:val="tx1"/>
            </w14:solidFill>
          </w14:textFill>
        </w:rPr>
        <w:t>三、发展定位与目标</w:t>
      </w:r>
      <w:bookmarkEnd w:id="17"/>
      <w:bookmarkEnd w:id="22"/>
    </w:p>
    <w:p>
      <w:pPr>
        <w:pStyle w:val="4"/>
        <w:rPr>
          <w:color w:val="000000" w:themeColor="text1"/>
          <w14:textFill>
            <w14:solidFill>
              <w14:schemeClr w14:val="tx1"/>
            </w14:solidFill>
          </w14:textFill>
        </w:rPr>
      </w:pPr>
      <w:bookmarkStart w:id="23" w:name="_Toc30525"/>
      <w:bookmarkStart w:id="24" w:name="_Toc89358652"/>
      <w:r>
        <w:rPr>
          <w:color w:val="000000" w:themeColor="text1"/>
          <w14:textFill>
            <w14:solidFill>
              <w14:schemeClr w14:val="tx1"/>
            </w14:solidFill>
          </w14:textFill>
        </w:rPr>
        <w:t>（一）指导思想</w:t>
      </w:r>
      <w:bookmarkEnd w:id="23"/>
      <w:bookmarkEnd w:id="24"/>
    </w:p>
    <w:p>
      <w:pPr>
        <w:ind w:firstLine="640" w:firstLineChars="200"/>
        <w:rPr>
          <w:rFonts w:ascii="Times New Roman" w:hAnsi="Times New Roman" w:eastAsia="仿宋" w:cs="Times New Roman"/>
          <w:color w:val="000000" w:themeColor="text1"/>
          <w:sz w:val="32"/>
          <w:szCs w:val="20"/>
          <w14:textFill>
            <w14:solidFill>
              <w14:schemeClr w14:val="tx1"/>
            </w14:solidFill>
          </w14:textFill>
        </w:rPr>
      </w:pPr>
      <w:bookmarkStart w:id="25" w:name="_Toc3959"/>
      <w:r>
        <w:rPr>
          <w:rFonts w:ascii="Times New Roman" w:hAnsi="Times New Roman" w:eastAsia="仿宋" w:cs="Times New Roman"/>
          <w:color w:val="000000" w:themeColor="text1"/>
          <w:sz w:val="32"/>
          <w:szCs w:val="20"/>
          <w14:textFill>
            <w14:solidFill>
              <w14:schemeClr w14:val="tx1"/>
            </w14:solidFill>
          </w14:textFill>
        </w:rPr>
        <w:t>深入贯彻党的十九大和十九届二中、三中、四中、五中</w:t>
      </w:r>
      <w:r>
        <w:rPr>
          <w:rFonts w:hint="eastAsia" w:ascii="Times New Roman" w:hAnsi="Times New Roman" w:eastAsia="仿宋" w:cs="Times New Roman"/>
          <w:color w:val="000000" w:themeColor="text1"/>
          <w:sz w:val="32"/>
          <w:szCs w:val="20"/>
          <w14:textFill>
            <w14:solidFill>
              <w14:schemeClr w14:val="tx1"/>
            </w14:solidFill>
          </w14:textFill>
        </w:rPr>
        <w:t>、六中</w:t>
      </w:r>
      <w:r>
        <w:rPr>
          <w:rFonts w:ascii="Times New Roman" w:hAnsi="Times New Roman" w:eastAsia="仿宋" w:cs="Times New Roman"/>
          <w:color w:val="000000" w:themeColor="text1"/>
          <w:sz w:val="32"/>
          <w:szCs w:val="20"/>
          <w14:textFill>
            <w14:solidFill>
              <w14:schemeClr w14:val="tx1"/>
            </w14:solidFill>
          </w14:textFill>
        </w:rPr>
        <w:t>全会精神，坚持以习近平新时代中国特色社会主义思想为指导，深入学习贯彻习近平总书记对广东系列重要讲话和重要指示批示精神，坚定不移贯彻新发展理念，以推动高质量发展为主题，以</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双区</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建设、</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双城</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联动为战略引领，以做大做强人工智能与数字经引擎为主攻方向，</w:t>
      </w:r>
      <w:r>
        <w:rPr>
          <w:rFonts w:hint="eastAsia" w:ascii="Times New Roman" w:hAnsi="Times New Roman" w:eastAsia="仿宋" w:cs="Times New Roman"/>
          <w:color w:val="000000" w:themeColor="text1"/>
          <w:sz w:val="32"/>
          <w:szCs w:val="20"/>
          <w14:textFill>
            <w14:solidFill>
              <w14:schemeClr w14:val="tx1"/>
            </w14:solidFill>
          </w14:textFill>
        </w:rPr>
        <w:t>以“</w:t>
      </w:r>
      <w:r>
        <w:rPr>
          <w:rFonts w:ascii="Times New Roman" w:hAnsi="Times New Roman" w:eastAsia="仿宋" w:cs="Times New Roman"/>
          <w:color w:val="000000" w:themeColor="text1"/>
          <w:sz w:val="32"/>
          <w:szCs w:val="20"/>
          <w14:textFill>
            <w14:solidFill>
              <w14:schemeClr w14:val="tx1"/>
            </w14:solidFill>
          </w14:textFill>
        </w:rPr>
        <w:t>四个出新出彩</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引领各项工作全面出新出彩，</w:t>
      </w:r>
      <w:r>
        <w:rPr>
          <w:rFonts w:hint="eastAsia" w:ascii="Times New Roman" w:hAnsi="Times New Roman" w:eastAsia="仿宋" w:cs="Times New Roman"/>
          <w:color w:val="000000" w:themeColor="text1"/>
          <w:sz w:val="32"/>
          <w:szCs w:val="20"/>
          <w14:textFill>
            <w14:solidFill>
              <w14:schemeClr w14:val="tx1"/>
            </w14:solidFill>
          </w14:textFill>
        </w:rPr>
        <w:t>加强</w:t>
      </w:r>
      <w:r>
        <w:rPr>
          <w:rFonts w:ascii="Times New Roman" w:hAnsi="Times New Roman" w:eastAsia="仿宋" w:cs="Times New Roman"/>
          <w:color w:val="000000" w:themeColor="text1"/>
          <w:sz w:val="32"/>
          <w:szCs w:val="20"/>
          <w14:textFill>
            <w14:solidFill>
              <w14:schemeClr w14:val="tx1"/>
            </w14:solidFill>
          </w14:textFill>
        </w:rPr>
        <w:t>深化改革、创新驱动、规划引领、集聚集约、产城融合，不断提升产业能级，推进创新驱动和转型引领，</w:t>
      </w:r>
      <w:r>
        <w:rPr>
          <w:rFonts w:hint="eastAsia" w:ascii="Times New Roman" w:hAnsi="Times New Roman" w:eastAsia="仿宋" w:cs="Times New Roman"/>
          <w:color w:val="000000" w:themeColor="text1"/>
          <w:sz w:val="32"/>
          <w:szCs w:val="20"/>
          <w14:textFill>
            <w14:solidFill>
              <w14:schemeClr w14:val="tx1"/>
            </w14:solidFill>
          </w14:textFill>
        </w:rPr>
        <w:t>打造人工智能和数字经济高地、产城深度融合典范，</w:t>
      </w:r>
      <w:r>
        <w:rPr>
          <w:rFonts w:ascii="Times New Roman" w:hAnsi="Times New Roman" w:eastAsia="仿宋" w:cs="Times New Roman"/>
          <w:color w:val="000000" w:themeColor="text1"/>
          <w:sz w:val="32"/>
          <w:szCs w:val="20"/>
          <w14:textFill>
            <w14:solidFill>
              <w14:schemeClr w14:val="tx1"/>
            </w14:solidFill>
          </w14:textFill>
        </w:rPr>
        <w:t>着力将天河智慧城建设成为</w:t>
      </w:r>
      <w:r>
        <w:rPr>
          <w:rFonts w:hint="eastAsia" w:ascii="Times New Roman" w:hAnsi="Times New Roman" w:eastAsia="仿宋" w:cs="Times New Roman"/>
          <w:color w:val="000000" w:themeColor="text1"/>
          <w:sz w:val="32"/>
          <w:szCs w:val="20"/>
          <w14:textFill>
            <w14:solidFill>
              <w14:schemeClr w14:val="tx1"/>
            </w14:solidFill>
          </w14:textFill>
        </w:rPr>
        <w:t>区域经济发展重要</w:t>
      </w:r>
      <w:r>
        <w:rPr>
          <w:rFonts w:ascii="Times New Roman" w:hAnsi="Times New Roman" w:eastAsia="仿宋" w:cs="Times New Roman"/>
          <w:color w:val="000000" w:themeColor="text1"/>
          <w:sz w:val="32"/>
          <w:szCs w:val="20"/>
          <w14:textFill>
            <w14:solidFill>
              <w14:schemeClr w14:val="tx1"/>
            </w14:solidFill>
          </w14:textFill>
        </w:rPr>
        <w:t>增长极和世界一流高科技园区。</w:t>
      </w:r>
    </w:p>
    <w:p>
      <w:pPr>
        <w:pStyle w:val="4"/>
        <w:numPr>
          <w:ilvl w:val="0"/>
          <w:numId w:val="3"/>
        </w:numPr>
        <w:rPr>
          <w:color w:val="000000" w:themeColor="text1"/>
          <w14:textFill>
            <w14:solidFill>
              <w14:schemeClr w14:val="tx1"/>
            </w14:solidFill>
          </w14:textFill>
        </w:rPr>
      </w:pPr>
      <w:bookmarkStart w:id="26" w:name="_Toc89358653"/>
      <w:r>
        <w:rPr>
          <w:color w:val="000000" w:themeColor="text1"/>
          <w14:textFill>
            <w14:solidFill>
              <w14:schemeClr w14:val="tx1"/>
            </w14:solidFill>
          </w14:textFill>
        </w:rPr>
        <w:t>发展定位</w:t>
      </w:r>
      <w:bookmarkEnd w:id="25"/>
      <w:bookmarkEnd w:id="26"/>
    </w:p>
    <w:p>
      <w:pPr>
        <w:pStyle w:val="2"/>
        <w:ind w:firstLine="640"/>
        <w:rPr>
          <w:rFonts w:ascii="Times New Roman" w:hAnsi="Times New Roman" w:eastAsia="仿宋" w:cs="Times New Roman"/>
          <w:b/>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紧抓粤港澳大湾区建设、广东改革开放先行先试、广州推动</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四个出新出彩</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等机遇，立足园区区位和产业优势，坚定不移实施创新驱动发展战略，坚持深化改革，创新天河智慧城发展体制机制，探索天河智慧城建设管理新路径新模式；坚持创新驱动，加快数字经济赋能产业转型升级，</w:t>
      </w:r>
      <w:r>
        <w:rPr>
          <w:rFonts w:hint="eastAsia" w:ascii="Times New Roman" w:hAnsi="Times New Roman" w:eastAsia="仿宋" w:cs="Times New Roman"/>
          <w:color w:val="000000" w:themeColor="text1"/>
          <w:sz w:val="32"/>
          <w:szCs w:val="32"/>
          <w14:textFill>
            <w14:solidFill>
              <w14:schemeClr w14:val="tx1"/>
            </w14:solidFill>
          </w14:textFill>
        </w:rPr>
        <w:t>加强创新资源集聚，</w:t>
      </w:r>
      <w:r>
        <w:rPr>
          <w:rFonts w:ascii="Times New Roman" w:hAnsi="Times New Roman" w:eastAsia="仿宋" w:cs="Times New Roman"/>
          <w:color w:val="000000" w:themeColor="text1"/>
          <w:sz w:val="32"/>
          <w:szCs w:val="32"/>
          <w14:textFill>
            <w14:solidFill>
              <w14:schemeClr w14:val="tx1"/>
            </w14:solidFill>
          </w14:textFill>
        </w:rPr>
        <w:t>不断增强高质量发展内生动力；坚持规划引领，</w:t>
      </w:r>
      <w:r>
        <w:rPr>
          <w:rFonts w:hint="eastAsia" w:ascii="Times New Roman" w:hAnsi="Times New Roman" w:eastAsia="仿宋" w:cs="Times New Roman"/>
          <w:color w:val="000000" w:themeColor="text1"/>
          <w:sz w:val="32"/>
          <w:szCs w:val="32"/>
          <w14:textFill>
            <w14:solidFill>
              <w14:schemeClr w14:val="tx1"/>
            </w14:solidFill>
          </w14:textFill>
        </w:rPr>
        <w:t>有序推进产业发展和</w:t>
      </w:r>
      <w:r>
        <w:rPr>
          <w:rFonts w:ascii="Times New Roman" w:hAnsi="Times New Roman" w:eastAsia="仿宋" w:cs="Times New Roman"/>
          <w:color w:val="000000" w:themeColor="text1"/>
          <w:sz w:val="32"/>
          <w:szCs w:val="32"/>
          <w14:textFill>
            <w14:solidFill>
              <w14:schemeClr w14:val="tx1"/>
            </w14:solidFill>
          </w14:textFill>
        </w:rPr>
        <w:t>城市</w:t>
      </w:r>
      <w:r>
        <w:rPr>
          <w:rFonts w:hint="eastAsia" w:ascii="Times New Roman" w:hAnsi="Times New Roman" w:eastAsia="仿宋" w:cs="Times New Roman"/>
          <w:color w:val="000000" w:themeColor="text1"/>
          <w:sz w:val="32"/>
          <w:szCs w:val="32"/>
          <w14:textFill>
            <w14:solidFill>
              <w14:schemeClr w14:val="tx1"/>
            </w14:solidFill>
          </w14:textFill>
        </w:rPr>
        <w:t>有机</w:t>
      </w:r>
      <w:r>
        <w:rPr>
          <w:rFonts w:ascii="Times New Roman" w:hAnsi="Times New Roman" w:eastAsia="仿宋" w:cs="Times New Roman"/>
          <w:color w:val="000000" w:themeColor="text1"/>
          <w:sz w:val="32"/>
          <w:szCs w:val="32"/>
          <w14:textFill>
            <w14:solidFill>
              <w14:schemeClr w14:val="tx1"/>
            </w14:solidFill>
          </w14:textFill>
        </w:rPr>
        <w:t>更新，着力优化空间布局和功能定位；坚持集聚集约，提升产业基础高级化、产业链现代化水平，持续提升产业层次和发展能级；坚持产城融合，以智慧城市为引领，统筹生产、生活、生态布局，不断完善城区综合服务功能，提升绿色发展水平，将天河智慧城建设成为</w:t>
      </w:r>
      <w:r>
        <w:rPr>
          <w:rFonts w:ascii="Times New Roman" w:hAnsi="Times New Roman" w:eastAsia="仿宋" w:cs="Times New Roman"/>
          <w:b/>
          <w:color w:val="000000" w:themeColor="text1"/>
          <w:sz w:val="32"/>
          <w:szCs w:val="32"/>
          <w14:textFill>
            <w14:solidFill>
              <w14:schemeClr w14:val="tx1"/>
            </w14:solidFill>
          </w14:textFill>
        </w:rPr>
        <w:t>功能布局合理、主导产业明晰、双创活力迸发、产城深度融合的高质量发展平台，成为广深港澳科技创新走廊和广州科技创新轴关键节点、粤港澳大湾区科技协同创新引领区、</w:t>
      </w:r>
      <w:r>
        <w:rPr>
          <w:rFonts w:hint="eastAsia" w:ascii="Times New Roman" w:hAnsi="Times New Roman" w:eastAsia="仿宋" w:cs="Times New Roman"/>
          <w:b/>
          <w:color w:val="000000" w:themeColor="text1"/>
          <w:sz w:val="32"/>
          <w:szCs w:val="32"/>
          <w14:textFill>
            <w14:solidFill>
              <w14:schemeClr w14:val="tx1"/>
            </w14:solidFill>
          </w14:textFill>
        </w:rPr>
        <w:t>产城深度融合发展区</w:t>
      </w:r>
      <w:r>
        <w:rPr>
          <w:rFonts w:ascii="Times New Roman" w:hAnsi="Times New Roman" w:eastAsia="仿宋" w:cs="Times New Roman"/>
          <w:b/>
          <w:color w:val="000000" w:themeColor="text1"/>
          <w:sz w:val="32"/>
          <w:szCs w:val="32"/>
          <w14:textFill>
            <w14:solidFill>
              <w14:schemeClr w14:val="tx1"/>
            </w14:solidFill>
          </w14:textFill>
        </w:rPr>
        <w:t>。</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color w:val="000000" w:themeColor="text1"/>
          <w:sz w:val="32"/>
          <w:szCs w:val="32"/>
          <w14:textFill>
            <w14:solidFill>
              <w14:schemeClr w14:val="tx1"/>
            </w14:solidFill>
          </w14:textFill>
        </w:rPr>
        <w:t>——广深港澳科技创新走廊和广州科技创新轴的关键节点。</w:t>
      </w:r>
      <w:r>
        <w:rPr>
          <w:rFonts w:ascii="Times New Roman" w:hAnsi="Times New Roman" w:eastAsia="仿宋" w:cs="Times New Roman"/>
          <w:color w:val="000000" w:themeColor="text1"/>
          <w:sz w:val="32"/>
          <w:szCs w:val="32"/>
          <w14:textFill>
            <w14:solidFill>
              <w14:schemeClr w14:val="tx1"/>
            </w14:solidFill>
          </w14:textFill>
        </w:rPr>
        <w:t>坚持创新驱动，引导天河智慧城内企业加强原始创新，建设具有世界领先水平的实验室，增强园区高质量发展内生动力。打造一批高水平新兴产业研究创新平台，集聚若干大科学装置和重大创新平台，打造前沿科学研究高地。以广州（国际）科技成果转化天河基地、粤港澳大湾区（广东）创新创业孵化基地为依托，促成相关技术创新成果在园区转化，推动更多人才、技术、成果等科技创新资源要素在园区集聚。加强与广州科学城、广州人工智能与数字经济试验区等全市域科技创新关键节点的链接协作，强化天河智慧城作为广州科技创新轴关键节点的产业引领与技术辐射功能。</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color w:val="000000" w:themeColor="text1"/>
          <w:sz w:val="32"/>
          <w:szCs w:val="32"/>
          <w14:textFill>
            <w14:solidFill>
              <w14:schemeClr w14:val="tx1"/>
            </w14:solidFill>
          </w14:textFill>
        </w:rPr>
        <w:t>——粤港澳大湾区科技协同创新引领区。</w:t>
      </w:r>
      <w:r>
        <w:rPr>
          <w:rFonts w:ascii="Times New Roman" w:hAnsi="Times New Roman" w:eastAsia="仿宋" w:cs="Times New Roman"/>
          <w:color w:val="000000" w:themeColor="text1"/>
          <w:sz w:val="32"/>
          <w:szCs w:val="32"/>
          <w14:textFill>
            <w14:solidFill>
              <w14:schemeClr w14:val="tx1"/>
            </w14:solidFill>
          </w14:textFill>
        </w:rPr>
        <w:t>加快天河软件价值创新园建设，打造全国高端软件研发基地和全市战略性新兴产业发展新高地。完善基础设施建设，加快推动重点产业项目建设，推动园区战略性新兴产业做大做强，加快推进智慧城市、工业互联网、数字创意、智能网联汽车、人工智能、地理信息</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数字农业等主导产业发展，打造具有核心竞争力的数字经济产业集群。引导校、企和商协会联合成立技术创新战略合作联盟，围绕优势产业分批组建产业联盟。与港澳科技产业园、高等院校、科研机构等在创业孵化、科技金融、科技成果转让等领域开展深度合作，共建新型研发机构、科技产业园区、高水平技术转移中心、产学研合作协同创新中心或重点实验室。</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color w:val="000000" w:themeColor="text1"/>
          <w:sz w:val="32"/>
          <w:szCs w:val="32"/>
          <w14:textFill>
            <w14:solidFill>
              <w14:schemeClr w14:val="tx1"/>
            </w14:solidFill>
          </w14:textFill>
        </w:rPr>
        <w:t>——</w:t>
      </w:r>
      <w:r>
        <w:rPr>
          <w:rFonts w:hint="eastAsia" w:ascii="Times New Roman" w:hAnsi="Times New Roman" w:eastAsia="仿宋" w:cs="Times New Roman"/>
          <w:b/>
          <w:color w:val="000000" w:themeColor="text1"/>
          <w:sz w:val="32"/>
          <w:szCs w:val="32"/>
          <w14:textFill>
            <w14:solidFill>
              <w14:schemeClr w14:val="tx1"/>
            </w14:solidFill>
          </w14:textFill>
        </w:rPr>
        <w:t>产城深度融合发展</w:t>
      </w:r>
      <w:r>
        <w:rPr>
          <w:rFonts w:ascii="Times New Roman" w:hAnsi="Times New Roman" w:eastAsia="仿宋" w:cs="Times New Roman"/>
          <w:b/>
          <w:color w:val="000000" w:themeColor="text1"/>
          <w:sz w:val="32"/>
          <w:szCs w:val="32"/>
          <w14:textFill>
            <w14:solidFill>
              <w14:schemeClr w14:val="tx1"/>
            </w14:solidFill>
          </w14:textFill>
        </w:rPr>
        <w:t>区。</w:t>
      </w:r>
      <w:r>
        <w:rPr>
          <w:rFonts w:ascii="Times New Roman" w:hAnsi="Times New Roman" w:eastAsia="仿宋" w:cs="Times New Roman"/>
          <w:color w:val="000000" w:themeColor="text1"/>
          <w:sz w:val="32"/>
          <w:szCs w:val="32"/>
          <w14:textFill>
            <w14:solidFill>
              <w14:schemeClr w14:val="tx1"/>
            </w14:solidFill>
          </w14:textFill>
        </w:rPr>
        <w:t>提升市政基础设施水平，完善综合管廊建设，配套电力、燃气、供水、通信、道路、消防、环卫等设施，打造立体交通系统和智慧轨道交通线网。按照产城融合、职住平衡的要求，统筹生产、生活、生态空间，加快公共服务设施和生活服务设施建设，提升天河智慧城生态品质。以智慧城市为引领，加强城市管理服务功能，提高城市治理的精细化和精准度，打造全市乃至粤港澳大湾区</w:t>
      </w:r>
      <w:r>
        <w:rPr>
          <w:rFonts w:hint="eastAsia" w:ascii="Times New Roman" w:hAnsi="Times New Roman" w:eastAsia="仿宋" w:cs="Times New Roman"/>
          <w:color w:val="000000" w:themeColor="text1"/>
          <w:sz w:val="32"/>
          <w:szCs w:val="32"/>
          <w14:textFill>
            <w14:solidFill>
              <w14:schemeClr w14:val="tx1"/>
            </w14:solidFill>
          </w14:textFill>
        </w:rPr>
        <w:t>产城深度融合典范</w:t>
      </w:r>
      <w:r>
        <w:rPr>
          <w:rFonts w:ascii="Times New Roman" w:hAnsi="Times New Roman" w:eastAsia="仿宋" w:cs="Times New Roman"/>
          <w:color w:val="000000" w:themeColor="text1"/>
          <w:sz w:val="32"/>
          <w:szCs w:val="32"/>
          <w14:textFill>
            <w14:solidFill>
              <w14:schemeClr w14:val="tx1"/>
            </w14:solidFill>
          </w14:textFill>
        </w:rPr>
        <w:t>，进一步增强城市吸引力。</w:t>
      </w:r>
      <w:r>
        <w:rPr>
          <w:rFonts w:hint="eastAsia" w:ascii="Times New Roman" w:hAnsi="Times New Roman" w:eastAsia="仿宋" w:cs="Times New Roman"/>
          <w:color w:val="000000" w:themeColor="text1"/>
          <w:sz w:val="32"/>
          <w:szCs w:val="32"/>
          <w14:textFill>
            <w14:solidFill>
              <w14:schemeClr w14:val="tx1"/>
            </w14:solidFill>
          </w14:textFill>
        </w:rPr>
        <w:t>高质量有序推进城市有机更新工作</w:t>
      </w:r>
      <w:r>
        <w:rPr>
          <w:rFonts w:ascii="Times New Roman" w:hAnsi="Times New Roman" w:eastAsia="仿宋" w:cs="Times New Roman"/>
          <w:color w:val="000000" w:themeColor="text1"/>
          <w:sz w:val="32"/>
          <w:szCs w:val="32"/>
          <w14:textFill>
            <w14:solidFill>
              <w14:schemeClr w14:val="tx1"/>
            </w14:solidFill>
          </w14:textFill>
        </w:rPr>
        <w:t>，释放产业发展潜力空间。</w:t>
      </w:r>
    </w:p>
    <w:p>
      <w:pPr>
        <w:pStyle w:val="4"/>
        <w:numPr>
          <w:ilvl w:val="0"/>
          <w:numId w:val="3"/>
        </w:numPr>
        <w:rPr>
          <w:color w:val="000000" w:themeColor="text1"/>
          <w14:textFill>
            <w14:solidFill>
              <w14:schemeClr w14:val="tx1"/>
            </w14:solidFill>
          </w14:textFill>
        </w:rPr>
      </w:pPr>
      <w:bookmarkStart w:id="27" w:name="_Toc10756"/>
      <w:bookmarkStart w:id="28" w:name="_Toc89358654"/>
      <w:r>
        <w:rPr>
          <w:color w:val="000000" w:themeColor="text1"/>
          <w14:textFill>
            <w14:solidFill>
              <w14:schemeClr w14:val="tx1"/>
            </w14:solidFill>
          </w14:textFill>
        </w:rPr>
        <w:t>发展目标</w:t>
      </w:r>
      <w:bookmarkEnd w:id="27"/>
      <w:bookmarkEnd w:id="28"/>
    </w:p>
    <w:p>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天河智慧城综合实力进一步跃升，天河高新区晋级为国家级高新区，创新能力进一步提高，创新成果转化成效显著，以数字经济为引领、产业链上下游深度整合的现代产业体系基本形成，城市功能品质显著提升，</w:t>
      </w:r>
      <w:r>
        <w:rPr>
          <w:rFonts w:hint="eastAsia" w:ascii="Times New Roman" w:hAnsi="Times New Roman" w:eastAsia="仿宋" w:cs="Times New Roman"/>
          <w:color w:val="000000" w:themeColor="text1"/>
          <w:sz w:val="32"/>
          <w:szCs w:val="32"/>
          <w14:textFill>
            <w14:solidFill>
              <w14:schemeClr w14:val="tx1"/>
            </w14:solidFill>
          </w14:textFill>
        </w:rPr>
        <w:t>区域品牌形象和发展导向有效凸显</w:t>
      </w:r>
      <w:r>
        <w:rPr>
          <w:rFonts w:ascii="Times New Roman" w:hAnsi="Times New Roman" w:eastAsia="仿宋" w:cs="Times New Roman"/>
          <w:color w:val="000000" w:themeColor="text1"/>
          <w:sz w:val="32"/>
          <w:szCs w:val="32"/>
          <w14:textFill>
            <w14:solidFill>
              <w14:schemeClr w14:val="tx1"/>
            </w14:solidFill>
          </w14:textFill>
        </w:rPr>
        <w:t>，粤港澳大湾区现代产业集聚区的领先优势充分彰显、示范作用充分发挥，成为天河经济发展的重要增长极。</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自主创新能力显著增强，创新生态体系持续优化。</w:t>
      </w:r>
      <w:r>
        <w:rPr>
          <w:rFonts w:ascii="Times New Roman" w:hAnsi="Times New Roman" w:eastAsia="仿宋" w:cs="Times New Roman"/>
          <w:color w:val="000000" w:themeColor="text1"/>
          <w:sz w:val="32"/>
          <w:szCs w:val="32"/>
          <w14:textFill>
            <w14:solidFill>
              <w14:schemeClr w14:val="tx1"/>
            </w14:solidFill>
          </w14:textFill>
        </w:rPr>
        <w:t>创新资源进一步集聚，培育一批具有国际竞争力的创新型高新技术企业，突破一批支撑产业和区域发展的关键核心技术，形成一批自主可控、国际领先的创新产品。孵化育成服务体系进一步优化，建成良好的产业发展生态和政府、企业、科研机构、中介服务等多种机构共同参与的协同创新生态体系，成为全市创新型企业孵化培育高地和创新驱动发展示范区。</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产业规模进一步发展壮大，现代产业体系基本形成</w:t>
      </w:r>
      <w:r>
        <w:rPr>
          <w:rFonts w:ascii="Times New Roman" w:hAnsi="Times New Roman" w:eastAsia="仿宋" w:cs="Times New Roman"/>
          <w:color w:val="000000" w:themeColor="text1"/>
          <w:sz w:val="32"/>
          <w:szCs w:val="32"/>
          <w14:textFill>
            <w14:solidFill>
              <w14:schemeClr w14:val="tx1"/>
            </w14:solidFill>
          </w14:textFill>
        </w:rPr>
        <w:t>。园区营收规模不断壮大，高新技术企业规模数量和质量效益进一步提升，产业结构进一步优化</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以数字经济为核心，智慧城市、工业互联网、数字文创、智能网联汽车、数字农业等为主导的现代产业体系基本形成，数字经济产业集群规模效应进一步凸显，形成若干个百亿级产业集群，为天河区构建现代化经济体系提供有力支撑。</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产城融合发展进一步深化，综合功能品质大幅提升。</w:t>
      </w:r>
      <w:r>
        <w:rPr>
          <w:rFonts w:ascii="Times New Roman" w:hAnsi="Times New Roman" w:eastAsia="仿宋" w:cs="Times New Roman"/>
          <w:bCs/>
          <w:color w:val="000000" w:themeColor="text1"/>
          <w:sz w:val="32"/>
          <w:szCs w:val="32"/>
          <w14:textFill>
            <w14:solidFill>
              <w14:schemeClr w14:val="tx1"/>
            </w14:solidFill>
          </w14:textFill>
        </w:rPr>
        <w:t>产业空间再造取得突破进展，释放大批空间潜力。</w:t>
      </w:r>
      <w:r>
        <w:rPr>
          <w:rFonts w:ascii="Times New Roman" w:hAnsi="Times New Roman" w:eastAsia="仿宋" w:cs="Times New Roman"/>
          <w:color w:val="000000" w:themeColor="text1"/>
          <w:sz w:val="32"/>
          <w:szCs w:val="32"/>
          <w14:textFill>
            <w14:solidFill>
              <w14:schemeClr w14:val="tx1"/>
            </w14:solidFill>
          </w14:textFill>
        </w:rPr>
        <w:t>交通承载能力进一步提升，道路内联外畅，形成</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五横三纵</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高快速网络，</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四横六纵</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内部路网体系。教育、医疗服务水平进一步提升，生活居住配套、公共环境配套及基础环境配套全面优化，新一代基础设施加快布局，基本建成宜居宜业的现代化园区，成为全市乃至粤港澳大湾区产城融合发展典范。</w:t>
      </w:r>
    </w:p>
    <w:p>
      <w:pPr>
        <w:pStyle w:val="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表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表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天河智慧城</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十四五</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发展目标</w:t>
      </w:r>
    </w:p>
    <w:tbl>
      <w:tblPr>
        <w:tblStyle w:val="17"/>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3520"/>
        <w:gridCol w:w="1496"/>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Align w:val="center"/>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类别</w:t>
            </w:r>
          </w:p>
        </w:tc>
        <w:tc>
          <w:tcPr>
            <w:tcW w:w="3520"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指标名称</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单位</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2025年目标值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restart"/>
            <w:vAlign w:val="center"/>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综合实力</w:t>
            </w: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营业收入</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亿元</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1540-1680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税收收入</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亿元</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年末从业人员</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万人</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restart"/>
            <w:vAlign w:val="center"/>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科技创新</w:t>
            </w: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高新技术企业数</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家</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540-600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孵化培育创新型科技企业</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家</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市级以上新型研发机构等</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专利申请总量</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从事科技活动人员数</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万人</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restart"/>
            <w:vAlign w:val="center"/>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产业发展</w:t>
            </w: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高新技术企业营业收入</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亿元</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740-800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软件企业营业收入</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亿元</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930-1020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新增现代都市工业企业数量</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家</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营收超亿元企业数</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家</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restart"/>
            <w:vAlign w:val="center"/>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空间释放</w:t>
            </w: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土地收储面积</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公顷</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Pr>
                <w:rFonts w:hint="eastAsia" w:ascii="Times New Roman" w:hAnsi="Times New Roman" w:cs="Times New Roman"/>
                <w:color w:val="000000"/>
                <w:sz w:val="20"/>
                <w:szCs w:val="20"/>
              </w:rPr>
              <w:t>0</w:t>
            </w:r>
            <w:r>
              <w:rPr>
                <w:rFonts w:ascii="Times New Roman" w:hAnsi="Times New Roman"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6" w:type="dxa"/>
            <w:vMerge w:val="continue"/>
            <w:vAlign w:val="center"/>
          </w:tcPr>
          <w:p>
            <w:pPr>
              <w:rPr>
                <w:rFonts w:ascii="Times New Roman" w:hAnsi="Times New Roman" w:cs="Times New Roman"/>
                <w:color w:val="000000"/>
                <w:sz w:val="20"/>
                <w:szCs w:val="20"/>
              </w:rPr>
            </w:pPr>
          </w:p>
        </w:tc>
        <w:tc>
          <w:tcPr>
            <w:tcW w:w="3520" w:type="dxa"/>
          </w:tcPr>
          <w:p>
            <w:pPr>
              <w:pStyle w:val="15"/>
              <w:spacing w:before="0" w:beforeAutospacing="0" w:after="0" w:afterAutospacing="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产业用地供应面积</w:t>
            </w:r>
          </w:p>
        </w:tc>
        <w:tc>
          <w:tcPr>
            <w:tcW w:w="1496"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公顷</w:t>
            </w:r>
          </w:p>
        </w:tc>
        <w:tc>
          <w:tcPr>
            <w:tcW w:w="2177" w:type="dxa"/>
          </w:tcPr>
          <w:p>
            <w:pPr>
              <w:pStyle w:val="15"/>
              <w:spacing w:before="0" w:beforeAutospacing="0" w:after="0" w:afterAutospacing="0" w:line="240" w:lineRule="auto"/>
              <w:jc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184</w:t>
            </w:r>
          </w:p>
        </w:tc>
      </w:tr>
    </w:tbl>
    <w:p/>
    <w:p>
      <w:pPr>
        <w:pStyle w:val="3"/>
        <w:ind w:firstLine="640"/>
        <w:rPr>
          <w:color w:val="000000" w:themeColor="text1"/>
          <w14:textFill>
            <w14:solidFill>
              <w14:schemeClr w14:val="tx1"/>
            </w14:solidFill>
          </w14:textFill>
        </w:rPr>
      </w:pPr>
      <w:bookmarkStart w:id="29" w:name="_Toc89358655"/>
      <w:r>
        <w:rPr>
          <w:color w:val="000000" w:themeColor="text1"/>
          <w14:textFill>
            <w14:solidFill>
              <w14:schemeClr w14:val="tx1"/>
            </w14:solidFill>
          </w14:textFill>
        </w:rPr>
        <w:t>四、重点战略</w:t>
      </w:r>
      <w:r>
        <w:rPr>
          <w:rFonts w:hint="eastAsia"/>
          <w:color w:val="000000" w:themeColor="text1"/>
          <w14:textFill>
            <w14:solidFill>
              <w14:schemeClr w14:val="tx1"/>
            </w14:solidFill>
          </w14:textFill>
        </w:rPr>
        <w:t>举措</w:t>
      </w:r>
      <w:bookmarkEnd w:id="29"/>
    </w:p>
    <w:p>
      <w:pPr>
        <w:pStyle w:val="4"/>
        <w:rPr>
          <w:color w:val="000000" w:themeColor="text1"/>
          <w14:textFill>
            <w14:solidFill>
              <w14:schemeClr w14:val="tx1"/>
            </w14:solidFill>
          </w14:textFill>
        </w:rPr>
      </w:pPr>
      <w:bookmarkStart w:id="30" w:name="_Toc89358656"/>
      <w:r>
        <w:rPr>
          <w:color w:val="000000" w:themeColor="text1"/>
          <w14:textFill>
            <w14:solidFill>
              <w14:schemeClr w14:val="tx1"/>
            </w14:solidFill>
          </w14:textFill>
        </w:rPr>
        <w:t>（一）强化产业链高端化和协同发展，打造区域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数字经济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发展引擎</w:t>
      </w:r>
      <w:bookmarkEnd w:id="30"/>
    </w:p>
    <w:p>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依托天河智慧城新一代信息技术产业优势，以数字新基建为抓手和突破，以龙头企业为带动引领，以数字经济</w:t>
      </w:r>
      <w:r>
        <w:rPr>
          <w:rFonts w:hint="eastAsia" w:ascii="Times New Roman" w:hAnsi="Times New Roman" w:eastAsia="仿宋" w:cs="Times New Roman"/>
          <w:color w:val="000000" w:themeColor="text1"/>
          <w:sz w:val="32"/>
          <w:szCs w:val="32"/>
          <w14:textFill>
            <w14:solidFill>
              <w14:schemeClr w14:val="tx1"/>
            </w14:solidFill>
          </w14:textFill>
        </w:rPr>
        <w:t>为核心，大力发展</w:t>
      </w:r>
      <w:r>
        <w:rPr>
          <w:rFonts w:ascii="Times New Roman" w:hAnsi="Times New Roman" w:eastAsia="仿宋" w:cs="Times New Roman"/>
          <w:color w:val="000000" w:themeColor="text1"/>
          <w:sz w:val="32"/>
          <w:szCs w:val="32"/>
          <w14:textFill>
            <w14:solidFill>
              <w14:schemeClr w14:val="tx1"/>
            </w14:solidFill>
          </w14:textFill>
        </w:rPr>
        <w:t>智慧城市、工业互联网、数字文创、智能网联汽车</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数字农业等方向，加快推动人工智能和数字经济发展高地建设，打造区域产业发展引擎。瞄准产业链核心环节和价值链高端地位，强化技术主导，加快在信息和数字技术领域突破一批核心关键环节，切实把握发展主动权，鼓励企业加强数字化技术、产品和模式输出，推动传统产业高端化、智能化、绿色化发展，促进数字经济与实体经济深度融合。加强关联企业交流合作，深化产业链纵向深度整合、横向跨界融合，加快推动产业链协同发展，形成数字新基建产业集群竞争优势，做大做强网游动漫和电竞、智能网联汽车、人工智能及轨道交通、智慧城市产业生态，大力支持企业以联合方式积极争取国家、省、市重大项目，充分发挥重大项目带动示范作用。加快重大产业项目建设，发挥龙头项目引领带动作用，推动产业高质量集聚发展。用好用足天河高新区政策、区位、空间资源等优势，大力吸引</w:t>
      </w:r>
      <w:r>
        <w:rPr>
          <w:rFonts w:hint="eastAsia" w:ascii="Times New Roman" w:hAnsi="Times New Roman" w:eastAsia="仿宋" w:cs="Times New Roman"/>
          <w:color w:val="000000" w:themeColor="text1"/>
          <w:sz w:val="32"/>
          <w:szCs w:val="32"/>
          <w14:textFill>
            <w14:solidFill>
              <w14:schemeClr w14:val="tx1"/>
            </w14:solidFill>
          </w14:textFill>
        </w:rPr>
        <w:t>“专精特新”</w:t>
      </w:r>
      <w:r>
        <w:rPr>
          <w:rFonts w:ascii="Times New Roman" w:hAnsi="Times New Roman" w:eastAsia="仿宋" w:cs="Times New Roman"/>
          <w:color w:val="000000" w:themeColor="text1"/>
          <w:sz w:val="32"/>
          <w:szCs w:val="32"/>
          <w14:textFill>
            <w14:solidFill>
              <w14:schemeClr w14:val="tx1"/>
            </w14:solidFill>
          </w14:textFill>
        </w:rPr>
        <w:t>企业设立研发总部，打造人工智能和数字经济产业创新发展磁极。</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专栏1 以数字新基建为抓手，形成产业集群竞争优势</w:t>
            </w:r>
          </w:p>
          <w:p>
            <w:pPr>
              <w:pStyle w:val="2"/>
              <w:ind w:firstLine="480"/>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紧紧抓住新基建发展机遇，依托园区5G、云计算、大数据、物联网、人工智能、地理信息、轨道交通、智能网联新能源汽车等产业基础，以数字新基建为突破口和着力点，积极布局5G、城际轨道交通、新能源汽车充电桩、大数据中心、人工智能、工业互联网等领域项目建设，加快形成数字新基建产业集群竞争优势，抢占产业发展制高点，打造天河智慧城数字产业发展引擎。</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组建数字新基建产业联盟</w:t>
            </w:r>
            <w:r>
              <w:rPr>
                <w:rFonts w:ascii="Times New Roman" w:hAnsi="Times New Roman" w:eastAsia="仿宋" w:cs="Times New Roman"/>
                <w:color w:val="000000" w:themeColor="text1"/>
                <w:sz w:val="24"/>
                <w:szCs w:val="24"/>
                <w14:textFill>
                  <w14:solidFill>
                    <w14:schemeClr w14:val="tx1"/>
                  </w14:solidFill>
                </w14:textFill>
              </w:rPr>
              <w:t>，依托中国工业互联网研究院广东分院</w:t>
            </w:r>
            <w:r>
              <w:rPr>
                <w:rFonts w:hint="eastAsia" w:ascii="Times New Roman" w:hAnsi="Times New Roman" w:eastAsia="仿宋" w:cs="Times New Roman"/>
                <w:color w:val="000000" w:themeColor="text1"/>
                <w:sz w:val="24"/>
                <w:szCs w:val="24"/>
                <w14:textFill>
                  <w14:solidFill>
                    <w14:schemeClr w14:val="tx1"/>
                  </w14:solidFill>
                </w14:textFill>
              </w:rPr>
              <w:t>、中国移动南方基地、</w:t>
            </w:r>
            <w:r>
              <w:rPr>
                <w:rFonts w:ascii="Times New Roman" w:hAnsi="Times New Roman" w:eastAsia="仿宋" w:cs="Times New Roman"/>
                <w:color w:val="000000" w:themeColor="text1"/>
                <w:sz w:val="24"/>
                <w:szCs w:val="24"/>
                <w14:textFill>
                  <w14:solidFill>
                    <w14:schemeClr w14:val="tx1"/>
                  </w14:solidFill>
                </w14:textFill>
              </w:rPr>
              <w:t>佳都、北明、品高、小鹏汽车等相关龙头企业，组建数字新基建产业联盟，整合资源、推动交流，形成项目带动、产业联动、市场推动发展格局。</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加强新基建底层技术研发，</w:t>
            </w:r>
            <w:r>
              <w:rPr>
                <w:rFonts w:ascii="Times New Roman" w:hAnsi="Times New Roman" w:eastAsia="仿宋" w:cs="Times New Roman"/>
                <w:color w:val="000000" w:themeColor="text1"/>
                <w:sz w:val="24"/>
                <w:szCs w:val="24"/>
                <w14:textFill>
                  <w14:solidFill>
                    <w14:schemeClr w14:val="tx1"/>
                  </w14:solidFill>
                </w14:textFill>
              </w:rPr>
              <w:t>探索新基建新业态新模式，在5G、工业互联网、人工智能、大数据、新能源充电桩等领域，大力拓展信息基础设施、融合基础设施、创新基础设施发展空间。</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加强统筹规划和顶层设计，</w:t>
            </w:r>
            <w:r>
              <w:rPr>
                <w:rFonts w:hint="eastAsia" w:ascii="Times New Roman" w:hAnsi="Times New Roman" w:eastAsia="仿宋" w:cs="Times New Roman"/>
                <w:color w:val="000000" w:themeColor="text1"/>
                <w:sz w:val="24"/>
                <w:szCs w:val="24"/>
                <w14:textFill>
                  <w14:solidFill>
                    <w14:schemeClr w14:val="tx1"/>
                  </w14:solidFill>
                </w14:textFill>
              </w:rPr>
              <w:t>引导</w:t>
            </w:r>
            <w:r>
              <w:rPr>
                <w:rFonts w:ascii="Times New Roman" w:hAnsi="Times New Roman" w:eastAsia="仿宋" w:cs="Times New Roman"/>
                <w:color w:val="000000" w:themeColor="text1"/>
                <w:sz w:val="24"/>
                <w:szCs w:val="24"/>
                <w14:textFill>
                  <w14:solidFill>
                    <w14:schemeClr w14:val="tx1"/>
                  </w14:solidFill>
                </w14:textFill>
              </w:rPr>
              <w:t>数字新基建产业发展，加大财税金融政策扶持力度，开放和支持创新示范应用，积极为企业拓展应用场景和市场对接渠道。</w:t>
            </w:r>
          </w:p>
        </w:tc>
      </w:tr>
    </w:tbl>
    <w:p>
      <w:pPr>
        <w:pStyle w:val="2"/>
        <w:ind w:firstLine="0" w:firstLineChars="0"/>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 xml:space="preserve">专栏2 </w:t>
            </w:r>
            <w:r>
              <w:rPr>
                <w:rFonts w:hint="eastAsia" w:ascii="Times New Roman" w:hAnsi="Times New Roman" w:eastAsia="仿宋" w:cs="Times New Roman"/>
                <w:b/>
                <w:bCs/>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十四五</w:t>
            </w:r>
            <w:r>
              <w:rPr>
                <w:rFonts w:hint="eastAsia" w:ascii="Times New Roman" w:hAnsi="Times New Roman" w:eastAsia="仿宋" w:cs="Times New Roman"/>
                <w:b/>
                <w:bCs/>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期间重大产业项目</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新一代信息技术</w:t>
            </w:r>
            <w:r>
              <w:rPr>
                <w:rFonts w:ascii="Times New Roman" w:hAnsi="Times New Roman" w:eastAsia="仿宋" w:cs="Times New Roman"/>
                <w:color w:val="000000" w:themeColor="text1"/>
                <w:sz w:val="24"/>
                <w:szCs w:val="24"/>
                <w14:textFill>
                  <w14:solidFill>
                    <w14:schemeClr w14:val="tx1"/>
                  </w14:solidFill>
                </w14:textFill>
              </w:rPr>
              <w:t>：国家工业互联网大数据中心广东分中心、中国移动南方基地二期、联奕科技研发基地、品高云计算产业基地大楼、金税梦想大厦、尚恩科技大楼、德生科技大楼、南方数码空间大数据创新中心、中望龙腾大楼、涅生科技大楼。</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数字创意</w:t>
            </w:r>
            <w:r>
              <w:rPr>
                <w:rFonts w:ascii="Times New Roman" w:hAnsi="Times New Roman" w:eastAsia="仿宋" w:cs="Times New Roman"/>
                <w:color w:val="000000" w:themeColor="text1"/>
                <w:sz w:val="24"/>
                <w:szCs w:val="24"/>
                <w14:textFill>
                  <w14:solidFill>
                    <w14:schemeClr w14:val="tx1"/>
                  </w14:solidFill>
                </w14:textFill>
              </w:rPr>
              <w:t>：网易总部二期、网易城、易简文化创意产业园、贪玩游戏华南运营总部、益的广场项目、趣炫总部办公大楼、龙狮篮球俱乐部、百田科技大楼、易兴科技大楼、省文投大楼。</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现代都市工业：</w:t>
            </w:r>
            <w:r>
              <w:rPr>
                <w:rFonts w:ascii="Times New Roman" w:hAnsi="Times New Roman" w:eastAsia="仿宋" w:cs="Times New Roman"/>
                <w:color w:val="000000" w:themeColor="text1"/>
                <w:sz w:val="24"/>
                <w:szCs w:val="24"/>
                <w14:textFill>
                  <w14:solidFill>
                    <w14:schemeClr w14:val="tx1"/>
                  </w14:solidFill>
                </w14:textFill>
              </w:rPr>
              <w:t>智能网联汽车产业园</w:t>
            </w:r>
            <w:r>
              <w:rPr>
                <w:rFonts w:hint="eastAsia" w:ascii="Times New Roman" w:hAnsi="Times New Roman" w:eastAsia="仿宋" w:cs="Times New Roman"/>
                <w:color w:val="000000" w:themeColor="text1"/>
                <w:sz w:val="24"/>
                <w:szCs w:val="24"/>
                <w14:textFill>
                  <w14:solidFill>
                    <w14:schemeClr w14:val="tx1"/>
                  </w14:solidFill>
                </w14:textFill>
              </w:rPr>
              <w:t>（小鹏科技园）</w:t>
            </w:r>
            <w:r>
              <w:rPr>
                <w:rFonts w:ascii="Times New Roman" w:hAnsi="Times New Roman" w:eastAsia="仿宋" w:cs="Times New Roman"/>
                <w:color w:val="000000" w:themeColor="text1"/>
                <w:sz w:val="24"/>
                <w:szCs w:val="24"/>
                <w14:textFill>
                  <w14:solidFill>
                    <w14:schemeClr w14:val="tx1"/>
                  </w14:solidFill>
                </w14:textFill>
              </w:rPr>
              <w:t>、安泰化学大楼、粤科智能制造产业园。</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其他：</w:t>
            </w:r>
            <w:r>
              <w:rPr>
                <w:rFonts w:ascii="Times New Roman" w:hAnsi="Times New Roman" w:eastAsia="仿宋" w:cs="Times New Roman"/>
                <w:color w:val="000000" w:themeColor="text1"/>
                <w:sz w:val="24"/>
                <w:szCs w:val="24"/>
                <w14:textFill>
                  <w14:solidFill>
                    <w14:schemeClr w14:val="tx1"/>
                  </w14:solidFill>
                </w14:textFill>
              </w:rPr>
              <w:t>涞馨总部及研发大楼、宝供物流企业集团总部暨南方大宗商品电子交易中心、路通总部大楼、广东省石化院高科技成果转化产业园。</w:t>
            </w:r>
          </w:p>
        </w:tc>
      </w:tr>
    </w:tbl>
    <w:p>
      <w:pPr>
        <w:pStyle w:val="2"/>
        <w:rPr>
          <w:rFonts w:ascii="Times New Roman" w:hAnsi="Times New Roman" w:cs="Times New Roman"/>
          <w:color w:val="000000" w:themeColor="text1"/>
          <w14:textFill>
            <w14:solidFill>
              <w14:schemeClr w14:val="tx1"/>
            </w14:solidFill>
          </w14:textFill>
        </w:rPr>
      </w:pPr>
    </w:p>
    <w:p>
      <w:pPr>
        <w:pStyle w:val="4"/>
        <w:rPr>
          <w:color w:val="000000" w:themeColor="text1"/>
          <w14:textFill>
            <w14:solidFill>
              <w14:schemeClr w14:val="tx1"/>
            </w14:solidFill>
          </w14:textFill>
        </w:rPr>
      </w:pPr>
      <w:bookmarkStart w:id="31" w:name="_Toc89358657"/>
      <w:r>
        <w:rPr>
          <w:color w:val="000000" w:themeColor="text1"/>
          <w14:textFill>
            <w14:solidFill>
              <w14:schemeClr w14:val="tx1"/>
            </w14:solidFill>
          </w14:textFill>
        </w:rPr>
        <w:t>（二）全面加速科技创新资源集聚，打造粤港澳大湾区创新策源主阵地</w:t>
      </w:r>
      <w:bookmarkEnd w:id="31"/>
    </w:p>
    <w:p>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积极融入粤港澳大湾区国际科技创新中心、广深港澳科技创新走廊和广州科技创新轴建设，优化创新资源配置，完善创新雨林生态，加快打造粤港澳大湾区创新策源主阵地。依托中国工业互联网研究院广东分院（国家工业互联网大数据广东分中心）</w:t>
      </w:r>
      <w:r>
        <w:rPr>
          <w:rFonts w:hint="eastAsia" w:ascii="Times New Roman" w:hAnsi="Times New Roman" w:eastAsia="仿宋" w:cs="Times New Roman"/>
          <w:color w:val="000000" w:themeColor="text1"/>
          <w:sz w:val="32"/>
          <w:szCs w:val="32"/>
          <w14:textFill>
            <w14:solidFill>
              <w14:schemeClr w14:val="tx1"/>
            </w14:solidFill>
          </w14:textFill>
        </w:rPr>
        <w:t>、广州国家农业科创中心、中国移动粤港澳大湾区（广东）创新研究院、</w:t>
      </w:r>
      <w:r>
        <w:rPr>
          <w:rFonts w:ascii="Times New Roman" w:hAnsi="Times New Roman" w:eastAsia="仿宋" w:cs="Times New Roman"/>
          <w:color w:val="000000" w:themeColor="text1"/>
          <w:sz w:val="32"/>
          <w:szCs w:val="32"/>
          <w14:textFill>
            <w14:solidFill>
              <w14:schemeClr w14:val="tx1"/>
            </w14:solidFill>
          </w14:textFill>
        </w:rPr>
        <w:t>佳都科技全球人工智能技术研究院、南方测绘院士工作站等平台进一步深化产学研合作；争取落地一批国家级大科学装置、国家和省级重点实验室、交叉研究平台等重大科技基础创新载体；鼓励企业创建重点实验室、新型研发机构、工程（技术）研究开发中心；深化与港澳地区交流合作，支持开展关键共性技术、前沿引领技术、颠覆性技术联合攻关，突破单点创新瓶颈，切实提升创新效率和能级。全面融入天河区大孵化器战略，推动孵化器和众创空间提质增效，为创业项目和初创企业提供全链条、精准孵化服务；依托广州（国际）科技成果转化天河基地、粤港澳大湾区（广东）创新创业孵化基地，加强人才、技术、成果等创新要素集聚，推动建立高效</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创意-孵化-加速</w:t>
      </w:r>
      <w:r>
        <w:rPr>
          <w:rFonts w:hint="eastAsia" w:ascii="Times New Roman" w:hAnsi="Times New Roman" w:eastAsia="仿宋" w:cs="Times New Roman"/>
          <w:color w:val="000000" w:themeColor="text1"/>
          <w:sz w:val="32"/>
          <w:szCs w:val="20"/>
          <w14:textFill>
            <w14:solidFill>
              <w14:schemeClr w14:val="tx1"/>
            </w14:solidFill>
          </w14:textFill>
        </w:rPr>
        <w:t>”</w:t>
      </w:r>
      <w:r>
        <w:rPr>
          <w:rFonts w:ascii="Times New Roman" w:hAnsi="Times New Roman" w:eastAsia="仿宋" w:cs="Times New Roman"/>
          <w:color w:val="000000" w:themeColor="text1"/>
          <w:sz w:val="32"/>
          <w:szCs w:val="20"/>
          <w14:textFill>
            <w14:solidFill>
              <w14:schemeClr w14:val="tx1"/>
            </w14:solidFill>
          </w14:textFill>
        </w:rPr>
        <w:t>创新服务体系和</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研发-交易-转化</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科技服务体系，着力打通科技成果转化的</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最后一公里</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。积极建设集科技信贷、投贷联动、资本对接、项目推介、挂牌保荐为一体的综合性科技金融生态，推动建立完善的</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股权-债权-政策性</w:t>
      </w:r>
      <w:r>
        <w:rPr>
          <w:rFonts w:hint="eastAsia" w:ascii="Times New Roman" w:hAnsi="Times New Roman" w:eastAsia="仿宋" w:cs="Times New Roman"/>
          <w:color w:val="000000" w:themeColor="text1"/>
          <w:sz w:val="32"/>
          <w:szCs w:val="32"/>
          <w14:textFill>
            <w14:solidFill>
              <w14:schemeClr w14:val="tx1"/>
            </w14:solidFill>
          </w14:textFill>
        </w:rPr>
        <w:t xml:space="preserve"> ”</w:t>
      </w:r>
      <w:r>
        <w:rPr>
          <w:rFonts w:ascii="Times New Roman" w:hAnsi="Times New Roman" w:eastAsia="仿宋" w:cs="Times New Roman"/>
          <w:color w:val="000000" w:themeColor="text1"/>
          <w:sz w:val="32"/>
          <w:szCs w:val="32"/>
          <w14:textFill>
            <w14:solidFill>
              <w14:schemeClr w14:val="tx1"/>
            </w14:solidFill>
          </w14:textFill>
        </w:rPr>
        <w:t>资金融通体系，满足企业多元化科技金融服务需求。</w:t>
      </w:r>
      <w:r>
        <w:rPr>
          <w:rFonts w:hint="eastAsia" w:ascii="Times New Roman" w:hAnsi="Times New Roman" w:eastAsia="仿宋" w:cs="Times New Roman"/>
          <w:color w:val="000000" w:themeColor="text1"/>
          <w:sz w:val="32"/>
          <w:szCs w:val="32"/>
          <w14:textFill>
            <w14:solidFill>
              <w14:schemeClr w14:val="tx1"/>
            </w14:solidFill>
          </w14:textFill>
        </w:rPr>
        <w:t>构建“</w:t>
      </w:r>
      <w:r>
        <w:rPr>
          <w:rFonts w:ascii="Times New Roman" w:hAnsi="Times New Roman" w:eastAsia="仿宋" w:cs="Times New Roman"/>
          <w:color w:val="000000" w:themeColor="text1"/>
          <w:sz w:val="32"/>
          <w:szCs w:val="32"/>
          <w14:textFill>
            <w14:solidFill>
              <w14:schemeClr w14:val="tx1"/>
            </w14:solidFill>
          </w14:textFill>
        </w:rPr>
        <w:t>科学发现—技术发明—产业发展—生态优化—人才支撑</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的全链条创新发展路径</w:t>
      </w:r>
      <w:r>
        <w:rPr>
          <w:rFonts w:hint="eastAsia" w:ascii="Times New Roman" w:hAnsi="Times New Roman" w:eastAsia="仿宋" w:cs="Times New Roman"/>
          <w:color w:val="000000" w:themeColor="text1"/>
          <w:sz w:val="32"/>
          <w:szCs w:val="32"/>
          <w14:textFill>
            <w14:solidFill>
              <w14:schemeClr w14:val="tx1"/>
            </w14:solidFill>
          </w14:textFill>
        </w:rPr>
        <w:t>支撑体系。</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专栏3  丰富园区科技金融服务，提高企业融资效率</w:t>
            </w:r>
          </w:p>
          <w:p>
            <w:pPr>
              <w:pStyle w:val="2"/>
              <w:ind w:firstLine="48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探索实行</w:t>
            </w:r>
            <w:r>
              <w:rPr>
                <w:rFonts w:hint="eastAsia" w:ascii="Times New Roman" w:hAnsi="Times New Roman" w:eastAsia="仿宋" w:cs="Times New Roman"/>
                <w:b/>
                <w:bCs/>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集合授信</w:t>
            </w:r>
            <w:r>
              <w:rPr>
                <w:rFonts w:hint="eastAsia" w:ascii="Times New Roman" w:hAnsi="Times New Roman" w:eastAsia="仿宋" w:cs="Times New Roman"/>
                <w:b/>
                <w:bCs/>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试点</w:t>
            </w:r>
            <w:r>
              <w:rPr>
                <w:rFonts w:ascii="Times New Roman" w:hAnsi="Times New Roman" w:eastAsia="仿宋" w:cs="Times New Roman"/>
                <w:color w:val="000000" w:themeColor="text1"/>
                <w:sz w:val="24"/>
                <w:szCs w:val="24"/>
                <w14:textFill>
                  <w14:solidFill>
                    <w14:schemeClr w14:val="tx1"/>
                  </w14:solidFill>
                </w14:textFill>
              </w:rPr>
              <w:t>，组织筛选一批数字经济领域产业链上下游优质企业联合向商业银行申请贷款授信，以总体打包集合授信融资贷款的方式争取为企业提供缩短审批时间、简化审批流程、降低贷款利率等优惠政策，提高园区贷款企业融资效率。</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充分利用省、市线上融资对接平台</w:t>
            </w:r>
            <w:r>
              <w:rPr>
                <w:rFonts w:ascii="Times New Roman" w:hAnsi="Times New Roman" w:eastAsia="仿宋" w:cs="Times New Roman"/>
                <w:color w:val="000000" w:themeColor="text1"/>
                <w:sz w:val="24"/>
                <w:szCs w:val="24"/>
                <w14:textFill>
                  <w14:solidFill>
                    <w14:schemeClr w14:val="tx1"/>
                  </w14:solidFill>
                </w14:textFill>
              </w:rPr>
              <w:t>，积极利用多渠道收集企业融资需求，鼓励金融机构入驻全国中小企业融资综合信用平台广州站（信易贷广州站）、广东省中小微企业信用信息和融资对接平台（粤信融）、广东省中小企业融资平台（中小融）等线上融资对接平台，实现银企投融资精准对接。依托</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天河金融</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 xml:space="preserve">投融资对接工作机制，不断整合优质金融资源，为园区企业提供投融资对接渠道及多样化金融服务。 </w:t>
            </w:r>
          </w:p>
          <w:p>
            <w:pPr>
              <w:pStyle w:val="2"/>
              <w:ind w:firstLine="482"/>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支持企业借力</w:t>
            </w:r>
            <w:r>
              <w:rPr>
                <w:rFonts w:hint="eastAsia" w:ascii="Times New Roman" w:hAnsi="Times New Roman" w:eastAsia="仿宋" w:cs="Times New Roman"/>
                <w:b/>
                <w:bCs/>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科创板</w:t>
            </w:r>
            <w:r>
              <w:rPr>
                <w:rFonts w:hint="eastAsia" w:ascii="Times New Roman" w:hAnsi="Times New Roman" w:eastAsia="仿宋" w:cs="Times New Roman"/>
                <w:b/>
                <w:bCs/>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上市融资</w:t>
            </w:r>
            <w:r>
              <w:rPr>
                <w:rFonts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定期组织券商、律师事务所、会计师事务所等中介机构对拟上市企业提供咨询服务。</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支持</w:t>
            </w:r>
            <w:r>
              <w:rPr>
                <w:rFonts w:hint="eastAsia" w:ascii="Times New Roman" w:hAnsi="Times New Roman" w:eastAsia="仿宋" w:cs="Times New Roman"/>
                <w:b/>
                <w:bCs/>
                <w:color w:val="000000" w:themeColor="text1"/>
                <w:sz w:val="24"/>
                <w:szCs w:val="24"/>
                <w14:textFill>
                  <w14:solidFill>
                    <w14:schemeClr w14:val="tx1"/>
                  </w14:solidFill>
                </w14:textFill>
              </w:rPr>
              <w:t>发展</w:t>
            </w:r>
            <w:r>
              <w:rPr>
                <w:rFonts w:ascii="Times New Roman" w:hAnsi="Times New Roman" w:eastAsia="仿宋" w:cs="Times New Roman"/>
                <w:b/>
                <w:bCs/>
                <w:color w:val="000000" w:themeColor="text1"/>
                <w:sz w:val="24"/>
                <w:szCs w:val="24"/>
                <w14:textFill>
                  <w14:solidFill>
                    <w14:schemeClr w14:val="tx1"/>
                  </w14:solidFill>
                </w14:textFill>
              </w:rPr>
              <w:t>专利权质押</w:t>
            </w:r>
            <w:r>
              <w:rPr>
                <w:rFonts w:hint="eastAsia" w:ascii="Times New Roman" w:hAnsi="Times New Roman" w:eastAsia="仿宋" w:cs="Times New Roman"/>
                <w:b/>
                <w:bCs/>
                <w:color w:val="000000" w:themeColor="text1"/>
                <w:sz w:val="24"/>
                <w:szCs w:val="24"/>
                <w14:textFill>
                  <w14:solidFill>
                    <w14:schemeClr w14:val="tx1"/>
                  </w14:solidFill>
                </w14:textFill>
              </w:rPr>
              <w:t>融资，</w:t>
            </w:r>
            <w:r>
              <w:rPr>
                <w:rFonts w:hint="eastAsia" w:ascii="Times New Roman" w:hAnsi="Times New Roman" w:eastAsia="仿宋" w:cs="Times New Roman"/>
                <w:color w:val="000000" w:themeColor="text1"/>
                <w:sz w:val="24"/>
                <w:szCs w:val="24"/>
                <w14:textFill>
                  <w14:solidFill>
                    <w14:schemeClr w14:val="tx1"/>
                  </w14:solidFill>
                </w14:textFill>
              </w:rPr>
              <w:t>鼓励</w:t>
            </w:r>
            <w:r>
              <w:rPr>
                <w:rFonts w:ascii="Times New Roman" w:hAnsi="Times New Roman" w:eastAsia="仿宋" w:cs="Times New Roman"/>
                <w:color w:val="000000" w:themeColor="text1"/>
                <w:sz w:val="24"/>
                <w:szCs w:val="24"/>
                <w14:textFill>
                  <w14:solidFill>
                    <w14:schemeClr w14:val="tx1"/>
                  </w14:solidFill>
                </w14:textFill>
              </w:rPr>
              <w:t>专利服务机构、担保公司、保险公司、商业银行、保险经纪公司等相关单位，通过市场化运作服务，</w:t>
            </w:r>
            <w:r>
              <w:rPr>
                <w:rFonts w:hint="eastAsia" w:ascii="Times New Roman" w:hAnsi="Times New Roman" w:eastAsia="仿宋" w:cs="Times New Roman"/>
                <w:color w:val="000000" w:themeColor="text1"/>
                <w:sz w:val="24"/>
                <w:szCs w:val="24"/>
                <w14:textFill>
                  <w14:solidFill>
                    <w14:schemeClr w14:val="tx1"/>
                  </w14:solidFill>
                </w14:textFill>
              </w:rPr>
              <w:t>形成“</w:t>
            </w:r>
            <w:r>
              <w:rPr>
                <w:rFonts w:ascii="Times New Roman" w:hAnsi="Times New Roman" w:eastAsia="仿宋" w:cs="Times New Roman"/>
                <w:color w:val="000000" w:themeColor="text1"/>
                <w:sz w:val="24"/>
                <w:szCs w:val="24"/>
                <w14:textFill>
                  <w14:solidFill>
                    <w14:schemeClr w14:val="tx1"/>
                  </w14:solidFill>
                </w14:textFill>
              </w:rPr>
              <w:t>荐、评、担、险、贷</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风险化解体系，分散贷款风险，提高银行以专利为质押向企业提供贷款的积极性，帮助园区企业解决专利权质押融资困境。</w:t>
            </w:r>
          </w:p>
        </w:tc>
      </w:tr>
    </w:tbl>
    <w:p>
      <w:pPr>
        <w:pStyle w:val="2"/>
        <w:rPr>
          <w:rFonts w:ascii="Times New Roman" w:hAnsi="Times New Roman" w:cs="Times New Roman"/>
          <w:color w:val="000000" w:themeColor="text1"/>
          <w14:textFill>
            <w14:solidFill>
              <w14:schemeClr w14:val="tx1"/>
            </w14:solidFill>
          </w14:textFill>
        </w:rPr>
      </w:pPr>
    </w:p>
    <w:p>
      <w:pPr>
        <w:pStyle w:val="4"/>
        <w:rPr>
          <w:color w:val="000000" w:themeColor="text1"/>
          <w:sz w:val="28"/>
          <w14:textFill>
            <w14:solidFill>
              <w14:schemeClr w14:val="tx1"/>
            </w14:solidFill>
          </w14:textFill>
        </w:rPr>
      </w:pPr>
      <w:bookmarkStart w:id="32" w:name="_Toc89358658"/>
      <w:r>
        <w:rPr>
          <w:color w:val="000000" w:themeColor="text1"/>
          <w14:textFill>
            <w14:solidFill>
              <w14:schemeClr w14:val="tx1"/>
            </w14:solidFill>
          </w14:textFill>
        </w:rPr>
        <w:t>（三）凸显核心竞争优势和发展导向，打响</w:t>
      </w:r>
      <w:r>
        <w:rPr>
          <w:rFonts w:hint="eastAsia"/>
          <w:color w:val="000000" w:themeColor="text1"/>
          <w14:textFill>
            <w14:solidFill>
              <w14:schemeClr w14:val="tx1"/>
            </w14:solidFill>
          </w14:textFill>
        </w:rPr>
        <w:t>“科创活力区”的</w:t>
      </w:r>
      <w:r>
        <w:rPr>
          <w:color w:val="000000" w:themeColor="text1"/>
          <w14:textFill>
            <w14:solidFill>
              <w14:schemeClr w14:val="tx1"/>
            </w14:solidFill>
          </w14:textFill>
        </w:rPr>
        <w:t>区域品牌</w:t>
      </w:r>
      <w:bookmarkEnd w:id="32"/>
    </w:p>
    <w:p>
      <w:pPr>
        <w:ind w:firstLine="640" w:firstLineChars="200"/>
        <w:rPr>
          <w:rFonts w:ascii="Times New Roman" w:hAnsi="Times New Roman" w:cs="Times New Roman"/>
          <w:color w:val="000000" w:themeColor="text1"/>
          <w:sz w:val="28"/>
          <w:szCs w:val="32"/>
          <w14:textFill>
            <w14:solidFill>
              <w14:schemeClr w14:val="tx1"/>
            </w14:solidFill>
          </w14:textFill>
        </w:rPr>
      </w:pPr>
      <w:r>
        <w:rPr>
          <w:rFonts w:ascii="Times New Roman" w:hAnsi="Times New Roman" w:eastAsia="仿宋" w:cs="Times New Roman"/>
          <w:color w:val="000000" w:themeColor="text1"/>
          <w:sz w:val="32"/>
          <w:szCs w:val="20"/>
          <w14:textFill>
            <w14:solidFill>
              <w14:schemeClr w14:val="tx1"/>
            </w14:solidFill>
          </w14:textFill>
        </w:rPr>
        <w:t>以</w:t>
      </w:r>
      <w:r>
        <w:rPr>
          <w:rFonts w:hint="eastAsia" w:ascii="Times New Roman" w:hAnsi="Times New Roman" w:eastAsia="仿宋" w:cs="Times New Roman"/>
          <w:color w:val="000000" w:themeColor="text1"/>
          <w:sz w:val="32"/>
          <w:szCs w:val="20"/>
          <w14:textFill>
            <w14:solidFill>
              <w14:schemeClr w14:val="tx1"/>
            </w14:solidFill>
          </w14:textFill>
        </w:rPr>
        <w:t>“科创活力区”</w:t>
      </w:r>
      <w:r>
        <w:rPr>
          <w:rFonts w:ascii="Times New Roman" w:hAnsi="Times New Roman" w:eastAsia="仿宋" w:cs="Times New Roman"/>
          <w:color w:val="000000" w:themeColor="text1"/>
          <w:sz w:val="32"/>
          <w:szCs w:val="20"/>
          <w14:textFill>
            <w14:solidFill>
              <w14:schemeClr w14:val="tx1"/>
            </w14:solidFill>
          </w14:textFill>
        </w:rPr>
        <w:t>为主题，打造天河智慧城品牌形象，扩大区域认知度和吸引力，吸引各类优质要素集聚，形成产业和人才的磁吸效应。</w:t>
      </w:r>
      <w:r>
        <w:rPr>
          <w:rFonts w:hint="eastAsia" w:ascii="Times New Roman" w:hAnsi="Times New Roman" w:eastAsia="仿宋" w:cs="Times New Roman"/>
          <w:color w:val="000000" w:themeColor="text1"/>
          <w:sz w:val="32"/>
          <w:szCs w:val="20"/>
          <w14:textFill>
            <w14:solidFill>
              <w14:schemeClr w14:val="tx1"/>
            </w14:solidFill>
          </w14:textFill>
        </w:rPr>
        <w:t>“科创活力区”</w:t>
      </w:r>
      <w:r>
        <w:rPr>
          <w:rFonts w:ascii="Times New Roman" w:hAnsi="Times New Roman" w:eastAsia="仿宋" w:cs="Times New Roman"/>
          <w:color w:val="000000" w:themeColor="text1"/>
          <w:sz w:val="32"/>
          <w:szCs w:val="32"/>
          <w14:textFill>
            <w14:solidFill>
              <w14:schemeClr w14:val="tx1"/>
            </w14:solidFill>
          </w14:textFill>
        </w:rPr>
        <w:t>凸显天河智慧城以云计算、大数据、物联网、人工智能、地理信息、数字创意、智能网联汽车等</w:t>
      </w:r>
      <w:r>
        <w:rPr>
          <w:rFonts w:hint="eastAsia" w:ascii="Times New Roman" w:hAnsi="Times New Roman" w:eastAsia="仿宋" w:cs="Times New Roman"/>
          <w:color w:val="000000" w:themeColor="text1"/>
          <w:sz w:val="32"/>
          <w:szCs w:val="32"/>
          <w14:textFill>
            <w14:solidFill>
              <w14:schemeClr w14:val="tx1"/>
            </w14:solidFill>
          </w14:textFill>
        </w:rPr>
        <w:t>科技创新</w:t>
      </w:r>
      <w:r>
        <w:rPr>
          <w:rFonts w:ascii="Times New Roman" w:hAnsi="Times New Roman" w:eastAsia="仿宋" w:cs="Times New Roman"/>
          <w:color w:val="000000" w:themeColor="text1"/>
          <w:sz w:val="32"/>
          <w:szCs w:val="32"/>
          <w14:textFill>
            <w14:solidFill>
              <w14:schemeClr w14:val="tx1"/>
            </w14:solidFill>
          </w14:textFill>
        </w:rPr>
        <w:t>产业占优势地位的产业结构特点，加快树立创新型产业发展旗帜，积极构建科技创新产业发展首选地。同时，凸显天河智慧城在研发创新、科技成果转移转化、创新型企业孵化等方面的生态优势，</w:t>
      </w:r>
      <w:r>
        <w:rPr>
          <w:rFonts w:hint="eastAsia" w:ascii="Times New Roman" w:hAnsi="Times New Roman" w:eastAsia="仿宋" w:cs="Times New Roman"/>
          <w:color w:val="000000" w:themeColor="text1"/>
          <w:sz w:val="32"/>
          <w:szCs w:val="32"/>
          <w14:textFill>
            <w14:solidFill>
              <w14:schemeClr w14:val="tx1"/>
            </w14:solidFill>
          </w14:textFill>
        </w:rPr>
        <w:t>是天河区打造粤港澳大湾区</w:t>
      </w:r>
      <w:r>
        <w:rPr>
          <w:rFonts w:ascii="Times New Roman" w:hAnsi="Times New Roman" w:eastAsia="仿宋" w:cs="Times New Roman"/>
          <w:color w:val="000000" w:themeColor="text1"/>
          <w:sz w:val="32"/>
          <w:szCs w:val="32"/>
          <w14:textFill>
            <w14:solidFill>
              <w14:schemeClr w14:val="tx1"/>
            </w14:solidFill>
          </w14:textFill>
        </w:rPr>
        <w:t>创新策源地</w:t>
      </w:r>
      <w:r>
        <w:rPr>
          <w:rFonts w:hint="eastAsia" w:ascii="Times New Roman" w:hAnsi="Times New Roman" w:eastAsia="仿宋" w:cs="Times New Roman"/>
          <w:color w:val="000000" w:themeColor="text1"/>
          <w:sz w:val="32"/>
          <w:szCs w:val="32"/>
          <w14:textFill>
            <w14:solidFill>
              <w14:schemeClr w14:val="tx1"/>
            </w14:solidFill>
          </w14:textFill>
        </w:rPr>
        <w:t>的主要支撑。此外，</w:t>
      </w:r>
      <w:r>
        <w:rPr>
          <w:rFonts w:ascii="Times New Roman" w:hAnsi="Times New Roman" w:eastAsia="仿宋" w:cs="Times New Roman"/>
          <w:color w:val="000000" w:themeColor="text1"/>
          <w:sz w:val="32"/>
          <w:szCs w:val="32"/>
          <w14:textFill>
            <w14:solidFill>
              <w14:schemeClr w14:val="tx1"/>
            </w14:solidFill>
          </w14:textFill>
        </w:rPr>
        <w:t>加强智慧城市建设，推动云计算、大数据、物联网、人工智能等技术与城市场景深度融合，</w:t>
      </w:r>
      <w:r>
        <w:rPr>
          <w:rFonts w:hint="eastAsia" w:ascii="Times New Roman" w:hAnsi="Times New Roman" w:eastAsia="仿宋" w:cs="Times New Roman"/>
          <w:color w:val="000000" w:themeColor="text1"/>
          <w:sz w:val="32"/>
          <w:szCs w:val="32"/>
          <w14:textFill>
            <w14:solidFill>
              <w14:schemeClr w14:val="tx1"/>
            </w14:solidFill>
          </w14:textFill>
        </w:rPr>
        <w:t>打造具有活力的</w:t>
      </w:r>
      <w:r>
        <w:rPr>
          <w:rFonts w:ascii="Times New Roman" w:hAnsi="Times New Roman" w:eastAsia="仿宋" w:cs="Times New Roman"/>
          <w:color w:val="000000" w:themeColor="text1"/>
          <w:sz w:val="32"/>
          <w:szCs w:val="32"/>
          <w14:textFill>
            <w14:solidFill>
              <w14:schemeClr w14:val="tx1"/>
            </w14:solidFill>
          </w14:textFill>
        </w:rPr>
        <w:t>智慧化产城融合空间</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擦亮园区</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智慧</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招牌。强化天河智慧城整体标识系统建设，生动展示</w:t>
      </w:r>
      <w:r>
        <w:rPr>
          <w:rFonts w:hint="eastAsia" w:ascii="Times New Roman" w:hAnsi="Times New Roman" w:eastAsia="仿宋" w:cs="Times New Roman"/>
          <w:color w:val="000000" w:themeColor="text1"/>
          <w:sz w:val="32"/>
          <w:szCs w:val="32"/>
          <w14:textFill>
            <w14:solidFill>
              <w14:schemeClr w14:val="tx1"/>
            </w14:solidFill>
          </w14:textFill>
        </w:rPr>
        <w:t>“科创活力区”</w:t>
      </w:r>
      <w:r>
        <w:rPr>
          <w:rFonts w:ascii="Times New Roman" w:hAnsi="Times New Roman" w:eastAsia="仿宋" w:cs="Times New Roman"/>
          <w:color w:val="000000" w:themeColor="text1"/>
          <w:sz w:val="32"/>
          <w:szCs w:val="32"/>
          <w14:textFill>
            <w14:solidFill>
              <w14:schemeClr w14:val="tx1"/>
            </w14:solidFill>
          </w14:textFill>
        </w:rPr>
        <w:t>的品牌理念和形象，借助国内外知名论坛、研讨会、招商会等多种渠道，以国内外数字经济及智慧产业等相关领域核心群体为主要宣传对象，大力提升园区品牌知名度和辨识度，加深核心群体对园区品牌形象的认识。</w:t>
      </w:r>
    </w:p>
    <w:p>
      <w:pPr>
        <w:pStyle w:val="4"/>
        <w:rPr>
          <w:color w:val="000000" w:themeColor="text1"/>
          <w14:textFill>
            <w14:solidFill>
              <w14:schemeClr w14:val="tx1"/>
            </w14:solidFill>
          </w14:textFill>
        </w:rPr>
      </w:pPr>
      <w:bookmarkStart w:id="33" w:name="_Toc89358659"/>
      <w:r>
        <w:rPr>
          <w:color w:val="000000" w:themeColor="text1"/>
          <w14:textFill>
            <w14:solidFill>
              <w14:schemeClr w14:val="tx1"/>
            </w14:solidFill>
          </w14:textFill>
        </w:rPr>
        <w:t>（四）积极有序推进城市</w:t>
      </w:r>
      <w:r>
        <w:rPr>
          <w:rFonts w:hint="eastAsia"/>
          <w:color w:val="000000" w:themeColor="text1"/>
          <w14:textFill>
            <w14:solidFill>
              <w14:schemeClr w14:val="tx1"/>
            </w14:solidFill>
          </w14:textFill>
        </w:rPr>
        <w:t>有机</w:t>
      </w:r>
      <w:r>
        <w:rPr>
          <w:color w:val="000000" w:themeColor="text1"/>
          <w14:textFill>
            <w14:solidFill>
              <w14:schemeClr w14:val="tx1"/>
            </w14:solidFill>
          </w14:textFill>
        </w:rPr>
        <w:t>更新，拓展中心城区发展空间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新增量</w:t>
      </w:r>
      <w:r>
        <w:rPr>
          <w:rFonts w:hint="eastAsia"/>
          <w:color w:val="000000" w:themeColor="text1"/>
          <w14:textFill>
            <w14:solidFill>
              <w14:schemeClr w14:val="tx1"/>
            </w14:solidFill>
          </w14:textFill>
        </w:rPr>
        <w:t>”</w:t>
      </w:r>
      <w:bookmarkEnd w:id="33"/>
    </w:p>
    <w:p>
      <w:pPr>
        <w:pStyle w:val="6"/>
        <w:ind w:firstLine="640" w:firstLineChars="200"/>
        <w:rPr>
          <w:rFonts w:ascii="Times New Roman" w:hAnsi="Times New Roman" w:eastAsia="仿宋" w:cs="Times New Roman"/>
          <w:color w:val="000000" w:themeColor="text1"/>
          <w:sz w:val="32"/>
          <w:szCs w:val="36"/>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大力增强产业空间和公共服务空间资源供给，承担中心城区提升经济密度、强化核心功能使命。</w:t>
      </w:r>
      <w:r>
        <w:rPr>
          <w:rFonts w:hint="eastAsia" w:ascii="Times New Roman" w:hAnsi="Times New Roman" w:eastAsia="仿宋" w:cs="Times New Roman"/>
          <w:color w:val="000000" w:themeColor="text1"/>
          <w:sz w:val="32"/>
          <w:szCs w:val="32"/>
          <w14:textFill>
            <w14:solidFill>
              <w14:schemeClr w14:val="tx1"/>
            </w14:solidFill>
          </w14:textFill>
        </w:rPr>
        <w:t>加强土地收储，有序推进新塘新合、吉山村</w:t>
      </w:r>
      <w:r>
        <w:rPr>
          <w:rFonts w:ascii="Times New Roman" w:hAnsi="Times New Roman" w:eastAsia="仿宋" w:cs="Times New Roman"/>
          <w:color w:val="000000" w:themeColor="text1"/>
          <w:sz w:val="32"/>
          <w:szCs w:val="32"/>
          <w14:textFill>
            <w14:solidFill>
              <w14:schemeClr w14:val="tx1"/>
            </w14:solidFill>
          </w14:textFill>
        </w:rPr>
        <w:t>等</w:t>
      </w:r>
      <w:r>
        <w:rPr>
          <w:rFonts w:hint="eastAsia" w:ascii="Times New Roman" w:hAnsi="Times New Roman" w:eastAsia="仿宋" w:cs="Times New Roman"/>
          <w:color w:val="000000" w:themeColor="text1"/>
          <w:sz w:val="32"/>
          <w:szCs w:val="32"/>
          <w14:textFill>
            <w14:solidFill>
              <w14:schemeClr w14:val="tx1"/>
            </w14:solidFill>
          </w14:textFill>
        </w:rPr>
        <w:t>城中村</w:t>
      </w:r>
      <w:r>
        <w:rPr>
          <w:rFonts w:ascii="Times New Roman" w:hAnsi="Times New Roman" w:eastAsia="仿宋" w:cs="Times New Roman"/>
          <w:color w:val="000000" w:themeColor="text1"/>
          <w:sz w:val="32"/>
          <w:szCs w:val="32"/>
          <w14:textFill>
            <w14:solidFill>
              <w14:schemeClr w14:val="tx1"/>
            </w14:solidFill>
          </w14:textFill>
        </w:rPr>
        <w:t>改造，释放产业、公共服务设施、居住空间。保障清华附中湾区学校二期、网易城、智能网联汽车产业园等重大项目用地需求。加快推动天河智慧城核心区控规调整工作；</w:t>
      </w:r>
      <w:r>
        <w:rPr>
          <w:rFonts w:ascii="Times New Roman" w:hAnsi="Times New Roman" w:eastAsia="仿宋" w:cs="Times New Roman"/>
          <w:color w:val="000000" w:themeColor="text1"/>
          <w:sz w:val="32"/>
          <w:szCs w:val="36"/>
          <w14:textFill>
            <w14:solidFill>
              <w14:schemeClr w14:val="tx1"/>
            </w14:solidFill>
          </w14:textFill>
        </w:rPr>
        <w:t>做好机场影响区的发展空间提升工作，通过高标准、高水平的谋划，争取更大的产业发展空间；积极加强与园区内占地面积较大的国有权属土地所有方沟通与对接协调工作，争取在土地释放上获得更多空间；探索新型产业用地突破，推动工业上楼，着力解决工业用地短缺问题。加快推动天河智谷片区启动区和二期建设，市区联动，加快政府统筹开发进度；支持北钟岭209地块开展自主更新改造；支持广东高校环境友好型肥料工程技术研究中心、广州合成材料研究院广东省石油化工研究院开展整治提升；基础设施和公配先行，注重产业优先、住宅平衡，加快推进地下空间开发，着力打造产城融合发展典范。</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十四五</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期间，实现土地收储5</w:t>
      </w:r>
      <w:r>
        <w:rPr>
          <w:rFonts w:hint="eastAsia" w:ascii="Times New Roman" w:hAnsi="Times New Roman" w:eastAsia="仿宋" w:cs="Times New Roman"/>
          <w:color w:val="000000" w:themeColor="text1"/>
          <w:sz w:val="32"/>
          <w:szCs w:val="36"/>
          <w14:textFill>
            <w14:solidFill>
              <w14:schemeClr w14:val="tx1"/>
            </w14:solidFill>
          </w14:textFill>
        </w:rPr>
        <w:t>0</w:t>
      </w:r>
      <w:r>
        <w:rPr>
          <w:rFonts w:ascii="Times New Roman" w:hAnsi="Times New Roman" w:eastAsia="仿宋" w:cs="Times New Roman"/>
          <w:color w:val="000000" w:themeColor="text1"/>
          <w:sz w:val="32"/>
          <w:szCs w:val="36"/>
          <w14:textFill>
            <w14:solidFill>
              <w14:schemeClr w14:val="tx1"/>
            </w14:solidFill>
          </w14:textFill>
        </w:rPr>
        <w:t>0公顷，</w:t>
      </w:r>
      <w:r>
        <w:rPr>
          <w:rFonts w:hint="eastAsia" w:ascii="Times New Roman" w:hAnsi="Times New Roman" w:eastAsia="仿宋" w:cs="Times New Roman"/>
          <w:color w:val="000000" w:themeColor="text1"/>
          <w:sz w:val="32"/>
          <w:szCs w:val="36"/>
          <w14:textFill>
            <w14:solidFill>
              <w14:schemeClr w14:val="tx1"/>
            </w14:solidFill>
          </w14:textFill>
        </w:rPr>
        <w:t>供应土地</w:t>
      </w:r>
      <w:r>
        <w:rPr>
          <w:rFonts w:ascii="Times New Roman" w:hAnsi="Times New Roman" w:eastAsia="仿宋" w:cs="Times New Roman"/>
          <w:color w:val="000000" w:themeColor="text1"/>
          <w:sz w:val="32"/>
          <w:szCs w:val="36"/>
          <w14:textFill>
            <w14:solidFill>
              <w14:schemeClr w14:val="tx1"/>
            </w14:solidFill>
          </w14:textFill>
        </w:rPr>
        <w:t>2</w:t>
      </w:r>
      <w:r>
        <w:rPr>
          <w:rFonts w:hint="eastAsia" w:ascii="Times New Roman" w:hAnsi="Times New Roman" w:eastAsia="仿宋" w:cs="Times New Roman"/>
          <w:color w:val="000000" w:themeColor="text1"/>
          <w:sz w:val="32"/>
          <w:szCs w:val="36"/>
          <w14:textFill>
            <w14:solidFill>
              <w14:schemeClr w14:val="tx1"/>
            </w14:solidFill>
          </w14:textFill>
        </w:rPr>
        <w:t>33</w:t>
      </w:r>
      <w:r>
        <w:rPr>
          <w:rFonts w:ascii="Times New Roman" w:hAnsi="Times New Roman" w:eastAsia="仿宋" w:cs="Times New Roman"/>
          <w:color w:val="000000" w:themeColor="text1"/>
          <w:sz w:val="32"/>
          <w:szCs w:val="36"/>
          <w14:textFill>
            <w14:solidFill>
              <w14:schemeClr w14:val="tx1"/>
            </w14:solidFill>
          </w14:textFill>
        </w:rPr>
        <w:t>公顷，</w:t>
      </w:r>
      <w:r>
        <w:rPr>
          <w:rFonts w:hint="eastAsia" w:ascii="Times New Roman" w:hAnsi="Times New Roman" w:eastAsia="仿宋" w:cs="Times New Roman"/>
          <w:color w:val="000000" w:themeColor="text1"/>
          <w:sz w:val="32"/>
          <w:szCs w:val="36"/>
          <w14:textFill>
            <w14:solidFill>
              <w14:schemeClr w14:val="tx1"/>
            </w14:solidFill>
          </w14:textFill>
        </w:rPr>
        <w:t>其中</w:t>
      </w:r>
      <w:r>
        <w:rPr>
          <w:rFonts w:ascii="Times New Roman" w:hAnsi="Times New Roman" w:eastAsia="仿宋" w:cs="Times New Roman"/>
          <w:color w:val="000000" w:themeColor="text1"/>
          <w:sz w:val="32"/>
          <w:szCs w:val="36"/>
          <w14:textFill>
            <w14:solidFill>
              <w14:schemeClr w14:val="tx1"/>
            </w14:solidFill>
          </w14:textFill>
        </w:rPr>
        <w:t>产业用地1</w:t>
      </w:r>
      <w:r>
        <w:rPr>
          <w:rFonts w:hint="eastAsia" w:ascii="Times New Roman" w:hAnsi="Times New Roman" w:eastAsia="仿宋" w:cs="Times New Roman"/>
          <w:color w:val="000000" w:themeColor="text1"/>
          <w:sz w:val="32"/>
          <w:szCs w:val="36"/>
          <w14:textFill>
            <w14:solidFill>
              <w14:schemeClr w14:val="tx1"/>
            </w14:solidFill>
          </w14:textFill>
        </w:rPr>
        <w:t>84</w:t>
      </w:r>
      <w:r>
        <w:rPr>
          <w:rFonts w:ascii="Times New Roman" w:hAnsi="Times New Roman" w:eastAsia="仿宋" w:cs="Times New Roman"/>
          <w:color w:val="000000" w:themeColor="text1"/>
          <w:sz w:val="32"/>
          <w:szCs w:val="36"/>
          <w14:textFill>
            <w14:solidFill>
              <w14:schemeClr w14:val="tx1"/>
            </w14:solidFill>
          </w14:textFill>
        </w:rPr>
        <w:t>公顷</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居住及公共服务配套用地</w:t>
      </w:r>
      <w:r>
        <w:rPr>
          <w:rFonts w:hint="eastAsia" w:ascii="Times New Roman" w:hAnsi="Times New Roman" w:eastAsia="仿宋" w:cs="Times New Roman"/>
          <w:color w:val="000000" w:themeColor="text1"/>
          <w:sz w:val="32"/>
          <w:szCs w:val="36"/>
          <w14:textFill>
            <w14:solidFill>
              <w14:schemeClr w14:val="tx1"/>
            </w14:solidFill>
          </w14:textFill>
        </w:rPr>
        <w:t>49</w:t>
      </w:r>
      <w:r>
        <w:rPr>
          <w:rFonts w:ascii="Times New Roman" w:hAnsi="Times New Roman" w:eastAsia="仿宋" w:cs="Times New Roman"/>
          <w:color w:val="000000" w:themeColor="text1"/>
          <w:sz w:val="32"/>
          <w:szCs w:val="36"/>
          <w14:textFill>
            <w14:solidFill>
              <w14:schemeClr w14:val="tx1"/>
            </w14:solidFill>
          </w14:textFill>
        </w:rPr>
        <w:t>公顷。</w:t>
      </w:r>
    </w:p>
    <w:p>
      <w:pP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 xml:space="preserve">表 </w:t>
      </w:r>
      <w:r>
        <w:rPr>
          <w:rFonts w:ascii="Times New Roman" w:hAnsi="Times New Roman" w:eastAsia="黑体" w:cs="Times New Roman"/>
          <w:color w:val="000000" w:themeColor="text1"/>
          <w14:textFill>
            <w14:solidFill>
              <w14:schemeClr w14:val="tx1"/>
            </w14:solidFill>
          </w14:textFill>
        </w:rPr>
        <w:fldChar w:fldCharType="begin"/>
      </w:r>
      <w:r>
        <w:rPr>
          <w:rFonts w:ascii="Times New Roman" w:hAnsi="Times New Roman" w:eastAsia="黑体" w:cs="Times New Roman"/>
          <w:color w:val="000000" w:themeColor="text1"/>
          <w14:textFill>
            <w14:solidFill>
              <w14:schemeClr w14:val="tx1"/>
            </w14:solidFill>
          </w14:textFill>
        </w:rPr>
        <w:instrText xml:space="preserve"> SEQ 表 \* ARABIC </w:instrText>
      </w:r>
      <w:r>
        <w:rPr>
          <w:rFonts w:ascii="Times New Roman" w:hAnsi="Times New Roman" w:eastAsia="黑体" w:cs="Times New Roman"/>
          <w:color w:val="000000" w:themeColor="text1"/>
          <w14:textFill>
            <w14:solidFill>
              <w14:schemeClr w14:val="tx1"/>
            </w14:solidFill>
          </w14:textFill>
        </w:rPr>
        <w:fldChar w:fldCharType="separate"/>
      </w:r>
      <w:r>
        <w:rPr>
          <w:rFonts w:ascii="Times New Roman" w:hAnsi="Times New Roman" w:eastAsia="黑体" w:cs="Times New Roman"/>
          <w:color w:val="000000" w:themeColor="text1"/>
          <w14:textFill>
            <w14:solidFill>
              <w14:schemeClr w14:val="tx1"/>
            </w14:solidFill>
          </w14:textFill>
        </w:rPr>
        <w:t>3</w:t>
      </w:r>
      <w:r>
        <w:rPr>
          <w:rFonts w:ascii="Times New Roman" w:hAnsi="Times New Roman" w:eastAsia="黑体" w:cs="Times New Roman"/>
          <w:color w:val="000000" w:themeColor="text1"/>
          <w14:textFill>
            <w14:solidFill>
              <w14:schemeClr w14:val="tx1"/>
            </w14:solidFill>
          </w14:textFill>
        </w:rPr>
        <w:fldChar w:fldCharType="end"/>
      </w:r>
      <w:r>
        <w:rPr>
          <w:rFonts w:ascii="Times New Roman" w:hAnsi="Times New Roman" w:eastAsia="黑体" w:cs="Times New Roman"/>
          <w:color w:val="000000" w:themeColor="text1"/>
          <w14:textFill>
            <w14:solidFill>
              <w14:schemeClr w14:val="tx1"/>
            </w14:solidFill>
          </w14:textFill>
        </w:rPr>
        <w:t xml:space="preserve"> 天河智慧城</w:t>
      </w:r>
      <w:r>
        <w:rPr>
          <w:rFonts w:hint="eastAsia" w:ascii="Times New Roman" w:hAnsi="Times New Roman" w:eastAsia="黑体" w:cs="Times New Roman"/>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十四五</w:t>
      </w:r>
      <w:r>
        <w:rPr>
          <w:rFonts w:hint="eastAsia" w:ascii="Times New Roman" w:hAnsi="Times New Roman" w:eastAsia="黑体" w:cs="Times New Roman"/>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期间土地收储和</w:t>
      </w:r>
      <w:r>
        <w:rPr>
          <w:rFonts w:hint="eastAsia" w:ascii="Times New Roman" w:hAnsi="Times New Roman" w:eastAsia="黑体" w:cs="Times New Roman"/>
          <w:color w:val="000000" w:themeColor="text1"/>
          <w14:textFill>
            <w14:solidFill>
              <w14:schemeClr w14:val="tx1"/>
            </w14:solidFill>
          </w14:textFill>
        </w:rPr>
        <w:t>供应</w:t>
      </w:r>
      <w:r>
        <w:rPr>
          <w:rFonts w:ascii="Times New Roman" w:hAnsi="Times New Roman" w:eastAsia="黑体" w:cs="Times New Roman"/>
          <w:color w:val="000000" w:themeColor="text1"/>
          <w14:textFill>
            <w14:solidFill>
              <w14:schemeClr w14:val="tx1"/>
            </w14:solidFill>
          </w14:textFill>
        </w:rPr>
        <w:t>计划</w:t>
      </w:r>
      <w:r>
        <w:rPr>
          <w:rFonts w:hint="eastAsia" w:ascii="Times New Roman" w:hAnsi="Times New Roman" w:eastAsia="黑体" w:cs="Times New Roman"/>
          <w:color w:val="000000" w:themeColor="text1"/>
          <w14:textFill>
            <w14:solidFill>
              <w14:schemeClr w14:val="tx1"/>
            </w14:solidFill>
          </w14:textFill>
        </w:rPr>
        <w:t>（公顷）</w:t>
      </w:r>
    </w:p>
    <w:tbl>
      <w:tblPr>
        <w:tblStyle w:val="16"/>
        <w:tblW w:w="8327" w:type="dxa"/>
        <w:tblInd w:w="0" w:type="dxa"/>
        <w:tblLayout w:type="fixed"/>
        <w:tblCellMar>
          <w:top w:w="0" w:type="dxa"/>
          <w:left w:w="0" w:type="dxa"/>
          <w:bottom w:w="0" w:type="dxa"/>
          <w:right w:w="0" w:type="dxa"/>
        </w:tblCellMar>
      </w:tblPr>
      <w:tblGrid>
        <w:gridCol w:w="1787"/>
        <w:gridCol w:w="1523"/>
        <w:gridCol w:w="1828"/>
        <w:gridCol w:w="1848"/>
        <w:gridCol w:w="1341"/>
      </w:tblGrid>
      <w:tr>
        <w:tblPrEx>
          <w:tblLayout w:type="fixed"/>
          <w:tblCellMar>
            <w:top w:w="0" w:type="dxa"/>
            <w:left w:w="0" w:type="dxa"/>
            <w:bottom w:w="0" w:type="dxa"/>
            <w:right w:w="0" w:type="dxa"/>
          </w:tblCellMar>
        </w:tblPrEx>
        <w:trPr>
          <w:trHeight w:val="23" w:hRule="atLeast"/>
        </w:trPr>
        <w:tc>
          <w:tcPr>
            <w:tcW w:w="1787" w:type="dxa"/>
            <w:vMerge w:val="restart"/>
            <w:tcBorders>
              <w:top w:val="single" w:color="auto" w:sz="4" w:space="0"/>
              <w:left w:val="single" w:color="auto" w:sz="4" w:space="0"/>
              <w:right w:val="single" w:color="auto" w:sz="4" w:space="0"/>
            </w:tcBorders>
            <w:shd w:val="clear" w:color="auto" w:fill="auto"/>
            <w:tcMar>
              <w:top w:w="12" w:type="dxa"/>
              <w:left w:w="12" w:type="dxa"/>
              <w:right w:w="12" w:type="dxa"/>
            </w:tcMar>
            <w:vAlign w:val="center"/>
          </w:tcPr>
          <w:p>
            <w:pPr>
              <w:jc w:val="center"/>
              <w:rPr>
                <w:rFonts w:ascii="Times New Roman" w:hAnsi="Times New Roman" w:cs="Times New Roman" w:eastAsiaTheme="minorEastAsia"/>
                <w:b/>
                <w:bCs/>
                <w:color w:val="000000" w:themeColor="text1"/>
                <w:sz w:val="20"/>
                <w:szCs w:val="20"/>
                <w14:textFill>
                  <w14:solidFill>
                    <w14:schemeClr w14:val="tx1"/>
                  </w14:solidFill>
                </w14:textFill>
              </w:rPr>
            </w:pPr>
          </w:p>
        </w:tc>
        <w:tc>
          <w:tcPr>
            <w:tcW w:w="1523" w:type="dxa"/>
            <w:vMerge w:val="restart"/>
            <w:tcBorders>
              <w:top w:val="single" w:color="auto" w:sz="4" w:space="0"/>
              <w:left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b/>
                <w:bCs/>
                <w:color w:val="000000" w:themeColor="text1"/>
                <w:sz w:val="20"/>
                <w:szCs w:val="20"/>
                <w14:textFill>
                  <w14:solidFill>
                    <w14:schemeClr w14:val="tx1"/>
                  </w14:solidFill>
                </w14:textFill>
              </w:rPr>
            </w:pPr>
            <w:r>
              <w:rPr>
                <w:rFonts w:ascii="Times New Roman" w:hAnsi="Times New Roman" w:cs="Times New Roman" w:eastAsiaTheme="minorEastAsia"/>
                <w:b/>
                <w:bCs/>
                <w:color w:val="000000" w:themeColor="text1"/>
                <w:kern w:val="0"/>
                <w:sz w:val="20"/>
                <w:szCs w:val="20"/>
                <w:lang w:bidi="ar"/>
                <w14:textFill>
                  <w14:solidFill>
                    <w14:schemeClr w14:val="tx1"/>
                  </w14:solidFill>
                </w14:textFill>
              </w:rPr>
              <w:t>计划收储面积</w:t>
            </w:r>
          </w:p>
        </w:tc>
        <w:tc>
          <w:tcPr>
            <w:tcW w:w="5017" w:type="dxa"/>
            <w:gridSpan w:val="3"/>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b/>
                <w:bCs/>
                <w:color w:val="000000" w:themeColor="text1"/>
                <w:kern w:val="0"/>
                <w:sz w:val="20"/>
                <w:szCs w:val="20"/>
                <w:lang w:bidi="ar"/>
                <w14:textFill>
                  <w14:solidFill>
                    <w14:schemeClr w14:val="tx1"/>
                  </w14:solidFill>
                </w14:textFill>
              </w:rPr>
            </w:pPr>
            <w:r>
              <w:rPr>
                <w:rFonts w:hint="eastAsia" w:ascii="Times New Roman" w:hAnsi="Times New Roman" w:cs="Times New Roman" w:eastAsiaTheme="minorEastAsia"/>
                <w:b/>
                <w:bCs/>
                <w:color w:val="000000" w:themeColor="text1"/>
                <w:kern w:val="0"/>
                <w:sz w:val="20"/>
                <w:szCs w:val="20"/>
                <w:lang w:bidi="ar"/>
                <w14:textFill>
                  <w14:solidFill>
                    <w14:schemeClr w14:val="tx1"/>
                  </w14:solidFill>
                </w14:textFill>
              </w:rPr>
              <w:t>“</w:t>
            </w:r>
            <w:r>
              <w:rPr>
                <w:rFonts w:ascii="Times New Roman" w:hAnsi="Times New Roman" w:cs="Times New Roman" w:eastAsiaTheme="minorEastAsia"/>
                <w:b/>
                <w:bCs/>
                <w:color w:val="000000" w:themeColor="text1"/>
                <w:kern w:val="0"/>
                <w:sz w:val="20"/>
                <w:szCs w:val="20"/>
                <w:lang w:bidi="ar"/>
                <w14:textFill>
                  <w14:solidFill>
                    <w14:schemeClr w14:val="tx1"/>
                  </w14:solidFill>
                </w14:textFill>
              </w:rPr>
              <w:t>十四五</w:t>
            </w:r>
            <w:r>
              <w:rPr>
                <w:rFonts w:hint="eastAsia" w:ascii="Times New Roman" w:hAnsi="Times New Roman" w:cs="Times New Roman" w:eastAsiaTheme="minorEastAsia"/>
                <w:b/>
                <w:bCs/>
                <w:color w:val="000000" w:themeColor="text1"/>
                <w:kern w:val="0"/>
                <w:sz w:val="20"/>
                <w:szCs w:val="20"/>
                <w:lang w:bidi="ar"/>
                <w14:textFill>
                  <w14:solidFill>
                    <w14:schemeClr w14:val="tx1"/>
                  </w14:solidFill>
                </w14:textFill>
              </w:rPr>
              <w:t>”</w:t>
            </w:r>
            <w:r>
              <w:rPr>
                <w:rFonts w:ascii="Times New Roman" w:hAnsi="Times New Roman" w:cs="Times New Roman" w:eastAsiaTheme="minorEastAsia"/>
                <w:b/>
                <w:bCs/>
                <w:color w:val="000000" w:themeColor="text1"/>
                <w:kern w:val="0"/>
                <w:sz w:val="20"/>
                <w:szCs w:val="20"/>
                <w:lang w:bidi="ar"/>
                <w14:textFill>
                  <w14:solidFill>
                    <w14:schemeClr w14:val="tx1"/>
                  </w14:solidFill>
                </w14:textFill>
              </w:rPr>
              <w:t>供应计划</w:t>
            </w:r>
          </w:p>
        </w:tc>
      </w:tr>
      <w:tr>
        <w:tblPrEx>
          <w:tblLayout w:type="fixed"/>
          <w:tblCellMar>
            <w:top w:w="0" w:type="dxa"/>
            <w:left w:w="0" w:type="dxa"/>
            <w:bottom w:w="0" w:type="dxa"/>
            <w:right w:w="0" w:type="dxa"/>
          </w:tblCellMar>
        </w:tblPrEx>
        <w:trPr>
          <w:trHeight w:val="23" w:hRule="atLeast"/>
        </w:trPr>
        <w:tc>
          <w:tcPr>
            <w:tcW w:w="1787" w:type="dxa"/>
            <w:vMerge w:val="continue"/>
            <w:tcBorders>
              <w:left w:val="single" w:color="auto" w:sz="4" w:space="0"/>
              <w:bottom w:val="single" w:color="000000" w:sz="4" w:space="0"/>
              <w:right w:val="single" w:color="auto" w:sz="4" w:space="0"/>
            </w:tcBorders>
            <w:shd w:val="clear" w:color="auto" w:fill="auto"/>
            <w:tcMar>
              <w:top w:w="12" w:type="dxa"/>
              <w:left w:w="12" w:type="dxa"/>
              <w:right w:w="12" w:type="dxa"/>
            </w:tcMar>
            <w:vAlign w:val="center"/>
          </w:tcPr>
          <w:p>
            <w:pPr>
              <w:jc w:val="center"/>
              <w:rPr>
                <w:rFonts w:ascii="Times New Roman" w:hAnsi="Times New Roman" w:cs="Times New Roman" w:eastAsiaTheme="minorEastAsia"/>
                <w:b/>
                <w:bCs/>
                <w:color w:val="000000" w:themeColor="text1"/>
                <w:sz w:val="20"/>
                <w:szCs w:val="20"/>
                <w14:textFill>
                  <w14:solidFill>
                    <w14:schemeClr w14:val="tx1"/>
                  </w14:solidFill>
                </w14:textFill>
              </w:rPr>
            </w:pPr>
          </w:p>
        </w:tc>
        <w:tc>
          <w:tcPr>
            <w:tcW w:w="1523" w:type="dxa"/>
            <w:vMerge w:val="continue"/>
            <w:tcBorders>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b/>
                <w:bCs/>
                <w:color w:val="000000" w:themeColor="text1"/>
                <w:sz w:val="20"/>
                <w:szCs w:val="20"/>
                <w14:textFill>
                  <w14:solidFill>
                    <w14:schemeClr w14:val="tx1"/>
                  </w14:solidFill>
                </w14:textFill>
              </w:rPr>
            </w:pPr>
          </w:p>
        </w:tc>
        <w:tc>
          <w:tcPr>
            <w:tcW w:w="1828"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b/>
                <w:bCs/>
                <w:color w:val="000000" w:themeColor="text1"/>
                <w:sz w:val="20"/>
                <w:szCs w:val="20"/>
                <w14:textFill>
                  <w14:solidFill>
                    <w14:schemeClr w14:val="tx1"/>
                  </w14:solidFill>
                </w14:textFill>
              </w:rPr>
            </w:pPr>
            <w:r>
              <w:rPr>
                <w:rFonts w:ascii="Times New Roman" w:hAnsi="Times New Roman" w:cs="Times New Roman" w:eastAsiaTheme="minorEastAsia"/>
                <w:b/>
                <w:bCs/>
                <w:color w:val="000000" w:themeColor="text1"/>
                <w:kern w:val="0"/>
                <w:sz w:val="20"/>
                <w:szCs w:val="20"/>
                <w:lang w:bidi="ar"/>
                <w14:textFill>
                  <w14:solidFill>
                    <w14:schemeClr w14:val="tx1"/>
                  </w14:solidFill>
                </w14:textFill>
              </w:rPr>
              <w:t>供应面积</w:t>
            </w:r>
          </w:p>
        </w:tc>
        <w:tc>
          <w:tcPr>
            <w:tcW w:w="1848"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b/>
                <w:bCs/>
                <w:color w:val="000000" w:themeColor="text1"/>
                <w:sz w:val="20"/>
                <w:szCs w:val="20"/>
                <w14:textFill>
                  <w14:solidFill>
                    <w14:schemeClr w14:val="tx1"/>
                  </w14:solidFill>
                </w14:textFill>
              </w:rPr>
            </w:pPr>
            <w:r>
              <w:rPr>
                <w:rFonts w:ascii="Times New Roman" w:hAnsi="Times New Roman" w:cs="Times New Roman" w:eastAsiaTheme="minorEastAsia"/>
                <w:b/>
                <w:bCs/>
                <w:color w:val="000000" w:themeColor="text1"/>
                <w:kern w:val="0"/>
                <w:sz w:val="20"/>
                <w:szCs w:val="20"/>
                <w:lang w:bidi="ar"/>
                <w14:textFill>
                  <w14:solidFill>
                    <w14:schemeClr w14:val="tx1"/>
                  </w14:solidFill>
                </w14:textFill>
              </w:rPr>
              <w:t>其中：产业用地面积</w:t>
            </w:r>
          </w:p>
        </w:tc>
        <w:tc>
          <w:tcPr>
            <w:tcW w:w="134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b/>
                <w:bCs/>
                <w:color w:val="000000" w:themeColor="text1"/>
                <w:sz w:val="20"/>
                <w:szCs w:val="20"/>
                <w14:textFill>
                  <w14:solidFill>
                    <w14:schemeClr w14:val="tx1"/>
                  </w14:solidFill>
                </w14:textFill>
              </w:rPr>
            </w:pPr>
            <w:r>
              <w:rPr>
                <w:rFonts w:ascii="Times New Roman" w:hAnsi="Times New Roman" w:cs="Times New Roman" w:eastAsiaTheme="minorEastAsia"/>
                <w:b/>
                <w:bCs/>
                <w:color w:val="000000" w:themeColor="text1"/>
                <w:kern w:val="0"/>
                <w:sz w:val="20"/>
                <w:szCs w:val="20"/>
                <w:lang w:bidi="ar"/>
                <w14:textFill>
                  <w14:solidFill>
                    <w14:schemeClr w14:val="tx1"/>
                  </w14:solidFill>
                </w14:textFill>
              </w:rPr>
              <w:t>居住和公服配套面积</w:t>
            </w:r>
          </w:p>
        </w:tc>
      </w:tr>
      <w:tr>
        <w:tblPrEx>
          <w:tblLayout w:type="fixed"/>
          <w:tblCellMar>
            <w:top w:w="0" w:type="dxa"/>
            <w:left w:w="0" w:type="dxa"/>
            <w:bottom w:w="0" w:type="dxa"/>
            <w:right w:w="0" w:type="dxa"/>
          </w:tblCellMar>
        </w:tblPrEx>
        <w:trPr>
          <w:trHeight w:val="23" w:hRule="atLeast"/>
        </w:trPr>
        <w:tc>
          <w:tcPr>
            <w:tcW w:w="1787" w:type="dxa"/>
            <w:tcBorders>
              <w:top w:val="single" w:color="auto" w:sz="4" w:space="0"/>
              <w:left w:val="single" w:color="auto" w:sz="4" w:space="0"/>
              <w:bottom w:val="single" w:color="auto"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b/>
                <w:bCs/>
                <w:color w:val="000000" w:themeColor="text1"/>
                <w:kern w:val="0"/>
                <w:sz w:val="20"/>
                <w:szCs w:val="20"/>
                <w:lang w:bidi="ar"/>
                <w14:textFill>
                  <w14:solidFill>
                    <w14:schemeClr w14:val="tx1"/>
                  </w14:solidFill>
                </w14:textFill>
              </w:rPr>
              <w:t>天河智慧城</w:t>
            </w:r>
          </w:p>
        </w:tc>
        <w:tc>
          <w:tcPr>
            <w:tcW w:w="1523" w:type="dxa"/>
            <w:tcBorders>
              <w:top w:val="single" w:color="auto" w:sz="4" w:space="0"/>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lang w:bidi="ar"/>
                <w14:textFill>
                  <w14:solidFill>
                    <w14:schemeClr w14:val="tx1"/>
                  </w14:solidFill>
                </w14:textFill>
              </w:rPr>
              <w:t>500</w:t>
            </w:r>
          </w:p>
        </w:tc>
        <w:tc>
          <w:tcPr>
            <w:tcW w:w="1828" w:type="dxa"/>
            <w:tcBorders>
              <w:top w:val="single" w:color="auto" w:sz="4" w:space="0"/>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sz w:val="20"/>
                <w:szCs w:val="20"/>
                <w14:textFill>
                  <w14:solidFill>
                    <w14:schemeClr w14:val="tx1"/>
                  </w14:solidFill>
                </w14:textFill>
              </w:rPr>
              <w:t>233</w:t>
            </w:r>
          </w:p>
        </w:tc>
        <w:tc>
          <w:tcPr>
            <w:tcW w:w="1848" w:type="dxa"/>
            <w:tcBorders>
              <w:top w:val="single" w:color="auto" w:sz="4" w:space="0"/>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sz w:val="20"/>
                <w:szCs w:val="20"/>
                <w14:textFill>
                  <w14:solidFill>
                    <w14:schemeClr w14:val="tx1"/>
                  </w14:solidFill>
                </w14:textFill>
              </w:rPr>
              <w:t>184</w:t>
            </w:r>
          </w:p>
        </w:tc>
        <w:tc>
          <w:tcPr>
            <w:tcW w:w="1341" w:type="dxa"/>
            <w:tcBorders>
              <w:top w:val="single" w:color="auto" w:sz="4" w:space="0"/>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sz w:val="20"/>
                <w:szCs w:val="20"/>
                <w14:textFill>
                  <w14:solidFill>
                    <w14:schemeClr w14:val="tx1"/>
                  </w14:solidFill>
                </w14:textFill>
              </w:rPr>
              <w:t>49</w:t>
            </w:r>
          </w:p>
        </w:tc>
      </w:tr>
      <w:tr>
        <w:tblPrEx>
          <w:tblLayout w:type="fixed"/>
          <w:tblCellMar>
            <w:top w:w="0" w:type="dxa"/>
            <w:left w:w="0" w:type="dxa"/>
            <w:bottom w:w="0" w:type="dxa"/>
            <w:right w:w="0" w:type="dxa"/>
          </w:tblCellMar>
        </w:tblPrEx>
        <w:trPr>
          <w:trHeight w:val="23" w:hRule="atLeast"/>
        </w:trPr>
        <w:tc>
          <w:tcPr>
            <w:tcW w:w="1787" w:type="dxa"/>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textAlignment w:val="center"/>
              <w:rPr>
                <w:rFonts w:ascii="Times New Roman" w:hAnsi="Times New Roman" w:cs="Times New Roman" w:eastAsiaTheme="minorEastAsia"/>
                <w:color w:val="000000" w:themeColor="text1"/>
                <w:kern w:val="0"/>
                <w:sz w:val="20"/>
                <w:szCs w:val="20"/>
                <w:lang w:bidi="ar"/>
                <w14:textFill>
                  <w14:solidFill>
                    <w14:schemeClr w14:val="tx1"/>
                  </w14:solidFill>
                </w14:textFill>
              </w:rPr>
            </w:pPr>
            <w:r>
              <w:rPr>
                <w:rFonts w:ascii="Times New Roman" w:hAnsi="Times New Roman" w:cs="Times New Roman" w:eastAsiaTheme="minorEastAsia"/>
                <w:color w:val="000000" w:themeColor="text1"/>
                <w:kern w:val="0"/>
                <w:sz w:val="20"/>
                <w:szCs w:val="20"/>
                <w:lang w:bidi="ar"/>
                <w14:textFill>
                  <w14:solidFill>
                    <w14:schemeClr w14:val="tx1"/>
                  </w14:solidFill>
                </w14:textFill>
              </w:rPr>
              <w:t>其中：</w:t>
            </w:r>
          </w:p>
          <w:p>
            <w:pPr>
              <w:widowControl/>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b/>
                <w:bCs/>
                <w:color w:val="000000" w:themeColor="text1"/>
                <w:kern w:val="0"/>
                <w:sz w:val="20"/>
                <w:szCs w:val="20"/>
                <w:lang w:bidi="ar"/>
                <w14:textFill>
                  <w14:solidFill>
                    <w14:schemeClr w14:val="tx1"/>
                  </w14:solidFill>
                </w14:textFill>
              </w:rPr>
              <w:t>智慧城核心区</w:t>
            </w:r>
          </w:p>
        </w:tc>
        <w:tc>
          <w:tcPr>
            <w:tcW w:w="1523" w:type="dxa"/>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lang w:bidi="ar"/>
                <w14:textFill>
                  <w14:solidFill>
                    <w14:schemeClr w14:val="tx1"/>
                  </w14:solidFill>
                </w14:textFill>
              </w:rPr>
              <w:t>255</w:t>
            </w:r>
          </w:p>
        </w:tc>
        <w:tc>
          <w:tcPr>
            <w:tcW w:w="1828" w:type="dxa"/>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sz w:val="20"/>
                <w:szCs w:val="20"/>
                <w14:textFill>
                  <w14:solidFill>
                    <w14:schemeClr w14:val="tx1"/>
                  </w14:solidFill>
                </w14:textFill>
              </w:rPr>
              <w:t>127</w:t>
            </w:r>
          </w:p>
        </w:tc>
        <w:tc>
          <w:tcPr>
            <w:tcW w:w="1848" w:type="dxa"/>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sz w:val="20"/>
                <w:szCs w:val="20"/>
                <w14:textFill>
                  <w14:solidFill>
                    <w14:schemeClr w14:val="tx1"/>
                  </w14:solidFill>
                </w14:textFill>
              </w:rPr>
              <w:t>93</w:t>
            </w:r>
          </w:p>
        </w:tc>
        <w:tc>
          <w:tcPr>
            <w:tcW w:w="1341" w:type="dxa"/>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sz w:val="20"/>
                <w:szCs w:val="20"/>
                <w14:textFill>
                  <w14:solidFill>
                    <w14:schemeClr w14:val="tx1"/>
                  </w14:solidFill>
                </w14:textFill>
              </w:rPr>
              <w:t>34</w:t>
            </w:r>
          </w:p>
        </w:tc>
      </w:tr>
      <w:tr>
        <w:tblPrEx>
          <w:tblLayout w:type="fixed"/>
          <w:tblCellMar>
            <w:top w:w="0" w:type="dxa"/>
            <w:left w:w="0" w:type="dxa"/>
            <w:bottom w:w="0" w:type="dxa"/>
            <w:right w:w="0" w:type="dxa"/>
          </w:tblCellMar>
        </w:tblPrEx>
        <w:trPr>
          <w:trHeight w:val="23" w:hRule="atLeast"/>
        </w:trPr>
        <w:tc>
          <w:tcPr>
            <w:tcW w:w="1787" w:type="dxa"/>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b/>
                <w:bCs/>
                <w:color w:val="000000" w:themeColor="text1"/>
                <w:kern w:val="0"/>
                <w:sz w:val="20"/>
                <w:szCs w:val="20"/>
                <w:lang w:bidi="ar"/>
                <w14:textFill>
                  <w14:solidFill>
                    <w14:schemeClr w14:val="tx1"/>
                  </w14:solidFill>
                </w14:textFill>
              </w:rPr>
              <w:t>智谷片区</w:t>
            </w:r>
          </w:p>
        </w:tc>
        <w:tc>
          <w:tcPr>
            <w:tcW w:w="1523" w:type="dxa"/>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kern w:val="0"/>
                <w:sz w:val="20"/>
                <w:szCs w:val="20"/>
                <w:lang w:bidi="ar"/>
                <w14:textFill>
                  <w14:solidFill>
                    <w14:schemeClr w14:val="tx1"/>
                  </w14:solidFill>
                </w14:textFill>
              </w:rPr>
              <w:t>245</w:t>
            </w:r>
          </w:p>
        </w:tc>
        <w:tc>
          <w:tcPr>
            <w:tcW w:w="1828" w:type="dxa"/>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sz w:val="20"/>
                <w:szCs w:val="20"/>
                <w14:textFill>
                  <w14:solidFill>
                    <w14:schemeClr w14:val="tx1"/>
                  </w14:solidFill>
                </w14:textFill>
              </w:rPr>
              <w:t>106</w:t>
            </w:r>
          </w:p>
        </w:tc>
        <w:tc>
          <w:tcPr>
            <w:tcW w:w="1848" w:type="dxa"/>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sz w:val="20"/>
                <w:szCs w:val="20"/>
                <w14:textFill>
                  <w14:solidFill>
                    <w14:schemeClr w14:val="tx1"/>
                  </w14:solidFill>
                </w14:textFill>
              </w:rPr>
              <w:t>91</w:t>
            </w:r>
          </w:p>
        </w:tc>
        <w:tc>
          <w:tcPr>
            <w:tcW w:w="1341" w:type="dxa"/>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jc w:val="center"/>
              <w:textAlignment w:val="center"/>
              <w:rPr>
                <w:rFonts w:ascii="Times New Roman" w:hAnsi="Times New Roman" w:cs="Times New Roman" w:eastAsiaTheme="minorEastAsia"/>
                <w:color w:val="000000" w:themeColor="text1"/>
                <w:sz w:val="20"/>
                <w:szCs w:val="20"/>
                <w14:textFill>
                  <w14:solidFill>
                    <w14:schemeClr w14:val="tx1"/>
                  </w14:solidFill>
                </w14:textFill>
              </w:rPr>
            </w:pPr>
            <w:r>
              <w:rPr>
                <w:rFonts w:ascii="Times New Roman" w:hAnsi="Times New Roman" w:cs="Times New Roman" w:eastAsiaTheme="minorEastAsia"/>
                <w:color w:val="000000" w:themeColor="text1"/>
                <w:sz w:val="20"/>
                <w:szCs w:val="20"/>
                <w14:textFill>
                  <w14:solidFill>
                    <w14:schemeClr w14:val="tx1"/>
                  </w14:solidFill>
                </w14:textFill>
              </w:rPr>
              <w:t>15</w:t>
            </w:r>
          </w:p>
        </w:tc>
      </w:tr>
    </w:tbl>
    <w:p>
      <w:pPr>
        <w:pStyle w:val="4"/>
        <w:rPr>
          <w:color w:val="000000" w:themeColor="text1"/>
          <w14:textFill>
            <w14:solidFill>
              <w14:schemeClr w14:val="tx1"/>
            </w14:solidFill>
          </w14:textFill>
        </w:rPr>
      </w:pPr>
      <w:bookmarkStart w:id="34" w:name="_Toc89358660"/>
      <w:r>
        <w:rPr>
          <w:color w:val="000000" w:themeColor="text1"/>
          <w14:textFill>
            <w14:solidFill>
              <w14:schemeClr w14:val="tx1"/>
            </w14:solidFill>
          </w14:textFill>
        </w:rPr>
        <w:t>（五）加强与周边重点平台衔接和联动，打开区域协同创新发展新局面</w:t>
      </w:r>
      <w:bookmarkEnd w:id="34"/>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深刻认识加强与周边区域联动的必要性，全面融入粤港澳大湾区一体化建设，形成区域协同发展新格局。充分发挥天河智慧城在产业、人才、政策洼地等方面的优势，承接天河中央商务区等平台的产业外溢，强化与广州国际金融城在产业布局、招商引资等方面的联动，实现天河区重点平台间的协同错位发展，共同做优做强总部经济和数字经济产业集群，为大中小型企业发展提供相应合适载体，形成覆盖企业全生命周期的空间承载体系。围绕广州科技创新轴，以及沿江、东南部、西部三大产业带建设，强化与黄埔、南沙、海珠重大平台的联动，打造广州科技创新轴核心段。</w:t>
      </w:r>
      <w:r>
        <w:rPr>
          <w:rFonts w:hint="eastAsia" w:ascii="Times New Roman" w:hAnsi="Times New Roman" w:eastAsia="仿宋" w:cs="Times New Roman"/>
          <w:color w:val="000000" w:themeColor="text1"/>
          <w:sz w:val="32"/>
          <w:szCs w:val="32"/>
          <w14:textFill>
            <w14:solidFill>
              <w14:schemeClr w14:val="tx1"/>
            </w14:solidFill>
          </w14:textFill>
        </w:rPr>
        <w:t>加强与大湾区各区域的产业协同和联动，推动资源整合、产业链上下游协作；积极推动园区企业输出解决方案，通过产业数字化赋能湾区制造业、传统产业等转型升级。</w:t>
      </w:r>
    </w:p>
    <w:p>
      <w:pPr>
        <w:pStyle w:val="3"/>
        <w:ind w:firstLine="640"/>
        <w:rPr>
          <w:color w:val="000000" w:themeColor="text1"/>
          <w14:textFill>
            <w14:solidFill>
              <w14:schemeClr w14:val="tx1"/>
            </w14:solidFill>
          </w14:textFill>
        </w:rPr>
      </w:pPr>
      <w:bookmarkStart w:id="35" w:name="_Toc89358661"/>
      <w:r>
        <w:rPr>
          <w:color w:val="000000" w:themeColor="text1"/>
          <w14:textFill>
            <w14:solidFill>
              <w14:schemeClr w14:val="tx1"/>
            </w14:solidFill>
          </w14:textFill>
        </w:rPr>
        <w:t>五、产业</w:t>
      </w:r>
      <w:r>
        <w:rPr>
          <w:rFonts w:hint="eastAsia"/>
          <w:color w:val="000000" w:themeColor="text1"/>
          <w14:textFill>
            <w14:solidFill>
              <w14:schemeClr w14:val="tx1"/>
            </w14:solidFill>
          </w14:textFill>
        </w:rPr>
        <w:t>体系</w:t>
      </w:r>
      <w:r>
        <w:rPr>
          <w:color w:val="000000" w:themeColor="text1"/>
          <w14:textFill>
            <w14:solidFill>
              <w14:schemeClr w14:val="tx1"/>
            </w14:solidFill>
          </w14:textFill>
        </w:rPr>
        <w:t>及空间布局</w:t>
      </w:r>
      <w:bookmarkEnd w:id="35"/>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充分结合产业发展基础，市、区规划纲要及产业发展导向，以及未来发展趋势和需求，“十四五”期间天河智慧城将</w:t>
      </w:r>
      <w:r>
        <w:rPr>
          <w:rFonts w:ascii="Times New Roman" w:hAnsi="Times New Roman" w:eastAsia="仿宋" w:cs="Times New Roman"/>
          <w:color w:val="000000" w:themeColor="text1"/>
          <w:sz w:val="32"/>
          <w:szCs w:val="32"/>
          <w14:textFill>
            <w14:solidFill>
              <w14:schemeClr w14:val="tx1"/>
            </w14:solidFill>
          </w14:textFill>
        </w:rPr>
        <w:t>巩固发展以高端基础软硬件和行业应用软件产业为核心的新一代信息技术产业，大力发展以数字文化创意内容制作为核心的数字创意产业，以智能网联新能源汽车和智能设备为核心的现代都市工业，同时前瞻布局量子</w:t>
      </w:r>
      <w:r>
        <w:rPr>
          <w:rFonts w:hint="eastAsia" w:ascii="Times New Roman" w:hAnsi="Times New Roman" w:eastAsia="仿宋" w:cs="Times New Roman"/>
          <w:color w:val="000000" w:themeColor="text1"/>
          <w:sz w:val="32"/>
          <w:szCs w:val="32"/>
          <w14:textFill>
            <w14:solidFill>
              <w14:schemeClr w14:val="tx1"/>
            </w14:solidFill>
          </w14:textFill>
        </w:rPr>
        <w:t>科技</w:t>
      </w:r>
      <w:r>
        <w:rPr>
          <w:rFonts w:ascii="Times New Roman" w:hAnsi="Times New Roman" w:eastAsia="仿宋" w:cs="Times New Roman"/>
          <w:color w:val="000000" w:themeColor="text1"/>
          <w:sz w:val="32"/>
          <w:szCs w:val="32"/>
          <w14:textFill>
            <w14:solidFill>
              <w14:schemeClr w14:val="tx1"/>
            </w14:solidFill>
          </w14:textFill>
        </w:rPr>
        <w:t>、太赫兹、脑科学与类脑研究等关键未来产业，加快知识产权、技术推广、</w:t>
      </w:r>
      <w:r>
        <w:rPr>
          <w:rFonts w:hint="eastAsia" w:ascii="Times New Roman" w:hAnsi="Times New Roman" w:eastAsia="仿宋" w:cs="Times New Roman"/>
          <w:color w:val="000000" w:themeColor="text1"/>
          <w:sz w:val="32"/>
          <w:szCs w:val="32"/>
          <w14:textFill>
            <w14:solidFill>
              <w14:schemeClr w14:val="tx1"/>
            </w14:solidFill>
          </w14:textFill>
        </w:rPr>
        <w:t>技术孵化</w:t>
      </w:r>
      <w:r>
        <w:rPr>
          <w:rFonts w:ascii="Times New Roman" w:hAnsi="Times New Roman" w:eastAsia="仿宋" w:cs="Times New Roman"/>
          <w:color w:val="000000" w:themeColor="text1"/>
          <w:sz w:val="32"/>
          <w:szCs w:val="32"/>
          <w14:textFill>
            <w14:solidFill>
              <w14:schemeClr w14:val="tx1"/>
            </w14:solidFill>
          </w14:textFill>
        </w:rPr>
        <w:t>、检验检测等</w:t>
      </w:r>
      <w:r>
        <w:rPr>
          <w:rFonts w:hint="eastAsia" w:ascii="Times New Roman" w:hAnsi="Times New Roman" w:eastAsia="仿宋" w:cs="Times New Roman"/>
          <w:color w:val="000000" w:themeColor="text1"/>
          <w:sz w:val="32"/>
          <w:szCs w:val="32"/>
          <w14:textFill>
            <w14:solidFill>
              <w14:schemeClr w14:val="tx1"/>
            </w14:solidFill>
          </w14:textFill>
        </w:rPr>
        <w:t>科技</w:t>
      </w:r>
      <w:r>
        <w:rPr>
          <w:rFonts w:ascii="Times New Roman" w:hAnsi="Times New Roman" w:eastAsia="仿宋" w:cs="Times New Roman"/>
          <w:color w:val="000000" w:themeColor="text1"/>
          <w:sz w:val="32"/>
          <w:szCs w:val="32"/>
          <w14:textFill>
            <w14:solidFill>
              <w14:schemeClr w14:val="tx1"/>
            </w14:solidFill>
          </w14:textFill>
        </w:rPr>
        <w:t>服务业集聚，形成</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一主两翼两辅</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产业发展体系，在此基础上，以天河高新区为抓手，加强建链、延链、补链、强链，打造掌握关键核心技术、产业技术体系完备、大中小企业融通发展、处于国际国内领先地位的创新型产业集群，实现产业基础高级化和产业链现代化发展目标，全面支撑粤港澳大湾区科技协同创新引领区建设。</w:t>
      </w:r>
    </w:p>
    <w:p>
      <w:pPr>
        <w:pStyle w:val="4"/>
        <w:rPr>
          <w:color w:val="000000" w:themeColor="text1"/>
          <w14:textFill>
            <w14:solidFill>
              <w14:schemeClr w14:val="tx1"/>
            </w14:solidFill>
          </w14:textFill>
        </w:rPr>
      </w:pPr>
      <w:bookmarkStart w:id="36" w:name="_Toc89358662"/>
      <w:r>
        <w:rPr>
          <w:color w:val="000000" w:themeColor="text1"/>
          <w14:textFill>
            <w14:solidFill>
              <w14:schemeClr w14:val="tx1"/>
            </w14:solidFill>
          </w14:textFill>
        </w:rPr>
        <w:t>（一）巩固发展新一代信息技术产业</w:t>
      </w:r>
      <w:bookmarkEnd w:id="36"/>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依托软件和信息技术服务业集聚优势，大力发展</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基础软硬件+行业应用</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加快5G、大数据、人工智能等基础技术和软硬件开发，加强工业软件、移动应用软件、地理信息软件、智能网联汽车应用软件等应用开发，瞄准价值链高端环节，不断提升产品附加值和竞争力，抓住信创产业发展机遇，推动实现软件业的国产化安全、可控</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打造国家级软件产业示范基地。</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1、高端基础软硬件开发</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围绕5G、云计算、大数据、物联网、区块链、人工智能</w:t>
      </w:r>
      <w:r>
        <w:rPr>
          <w:rFonts w:hint="eastAsia" w:ascii="Times New Roman" w:hAnsi="Times New Roman" w:eastAsia="仿宋" w:cs="Times New Roman"/>
          <w:color w:val="000000" w:themeColor="text1"/>
          <w:sz w:val="32"/>
          <w:szCs w:val="32"/>
          <w14:textFill>
            <w14:solidFill>
              <w14:schemeClr w14:val="tx1"/>
            </w14:solidFill>
          </w14:textFill>
        </w:rPr>
        <w:t>、工业互联网</w:t>
      </w:r>
      <w:r>
        <w:rPr>
          <w:rFonts w:ascii="Times New Roman" w:hAnsi="Times New Roman" w:eastAsia="仿宋" w:cs="Times New Roman"/>
          <w:color w:val="000000" w:themeColor="text1"/>
          <w:sz w:val="32"/>
          <w:szCs w:val="32"/>
          <w14:textFill>
            <w14:solidFill>
              <w14:schemeClr w14:val="tx1"/>
            </w14:solidFill>
          </w14:textFill>
        </w:rPr>
        <w:t>领域，加强对佳都、超讯通信、北明软件、品高、中望龙腾等龙头企业支持，利用产业发展空间，以及中心城区基础、资源优势，大力引进一批拥有核心技术的龙头企业和高新特尖企业，鼓励企业申报和承接国家、省、市科技项目，鼓励龙头企业打造开放创新平台，支持企业开展协同攻关，争取在关键领域和</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卡脖子</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环节实现重大突破，形成一批带动产业发展的核心技术、行业标准。</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5G技术。</w:t>
      </w:r>
      <w:r>
        <w:rPr>
          <w:rFonts w:ascii="Times New Roman" w:hAnsi="Times New Roman" w:eastAsia="仿宋" w:cs="Times New Roman"/>
          <w:color w:val="000000" w:themeColor="text1"/>
          <w:sz w:val="32"/>
          <w:szCs w:val="32"/>
          <w14:textFill>
            <w14:solidFill>
              <w14:schemeClr w14:val="tx1"/>
            </w14:solidFill>
          </w14:textFill>
        </w:rPr>
        <w:t>围绕射频和光模块等核心领域，积极布局5G基础技术研发，引进行业龙头企业和隐形冠军，增强产业链高端化和自主可控能力。加强射频芯片研发，突破BAW滤波器、毫米波PA、GaN工艺PA等关键环节；构建高端光芯片研发能力，开展光收发、光放大器、动态可调、性能监控等光模块研发，推动光器件的集成化、小型化、智能化发展；提升5G网络规划运维能力。加快推动5G产品技术验证、质量检测、入网检测等公共服务平台建设。支持企业、科研院所开展6G网络技术前瞻性研究。</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大数据和云计算。</w:t>
      </w:r>
      <w:r>
        <w:rPr>
          <w:rFonts w:ascii="Times New Roman" w:hAnsi="Times New Roman" w:eastAsia="仿宋" w:cs="Times New Roman"/>
          <w:color w:val="000000" w:themeColor="text1"/>
          <w:sz w:val="32"/>
          <w:szCs w:val="32"/>
          <w14:textFill>
            <w14:solidFill>
              <w14:schemeClr w14:val="tx1"/>
            </w14:solidFill>
          </w14:textFill>
        </w:rPr>
        <w:t>大力支持品高、云润、航天云宏等企业发展，密切对接国家产业部署，积极承担国家重大项目和产业创新平台，加大云基础架构、云应用支撑平台、虚拟化平台、云操作系统、大数据平台、搜索引擎、大数据处理算法等基础技术研发，积极参与行业标准制定，推动产业进一步向高端化迈进；引进数据交易、数据分析及可视化等领域核心企业，搭建数据交易平台，推动数据库管理、商业智能等PaaS服务发展，全面提升大数据和云计算基础服务支撑能力。</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物联网。</w:t>
      </w:r>
      <w:r>
        <w:rPr>
          <w:rFonts w:ascii="Times New Roman" w:hAnsi="Times New Roman" w:eastAsia="仿宋" w:cs="Times New Roman"/>
          <w:color w:val="000000" w:themeColor="text1"/>
          <w:sz w:val="32"/>
          <w:szCs w:val="32"/>
          <w14:textFill>
            <w14:solidFill>
              <w14:schemeClr w14:val="tx1"/>
            </w14:solidFill>
          </w14:textFill>
        </w:rPr>
        <w:t>大力支持康利达等企业发展，加快强链补链，引进行业龙头企业和单打冠军，发展RFID芯片设计和设备制造、传感器节点芯片设计和设备制造、卫星导航芯片设计和终端制造等物联网技术，针对NB-IoT、Lora等LPWAN的底层芯片、通信模组、终端等开展研发设计；加快发展工业嵌入式软件、各类敏感元器件和智能传感器，提供工业物联网解决方案，支撑珠三角产业转型升级；结合智能网联汽车发展需求，推动激光雷达、毫米波雷达、超声波雷达等智能传感器研发设计，助力实现无人驾驶。</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人工智能。</w:t>
      </w:r>
      <w:r>
        <w:rPr>
          <w:rFonts w:ascii="Times New Roman" w:hAnsi="Times New Roman" w:eastAsia="仿宋" w:cs="Times New Roman"/>
          <w:color w:val="000000" w:themeColor="text1"/>
          <w:sz w:val="32"/>
          <w:szCs w:val="32"/>
          <w14:textFill>
            <w14:solidFill>
              <w14:schemeClr w14:val="tx1"/>
            </w14:solidFill>
          </w14:textFill>
        </w:rPr>
        <w:t>充分发挥佳都科技全球人工智能技术研究院作用，引导龙头企业整合资源，承接一批国家和省级技术创新中心、企业技术中心、重点实验室等重大创新平台。突破发展视觉传感器及视觉算法、图形处理器等核心硬件；加快发展计算机视觉、语音识别、自然语音理解、机器学习、知识处理、控制决策等智能系统解决方案；以无人机和智能网联汽车需求为导向，大力发展无人飞行控制系统、无人驾驶控制系统。</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b/>
          <w:bCs/>
          <w:color w:val="000000" w:themeColor="text1"/>
          <w:sz w:val="32"/>
          <w:szCs w:val="32"/>
          <w14:textFill>
            <w14:solidFill>
              <w14:schemeClr w14:val="tx1"/>
            </w14:solidFill>
          </w14:textFill>
        </w:rPr>
        <w:t>工业互联网。</w:t>
      </w:r>
      <w:r>
        <w:rPr>
          <w:rFonts w:ascii="Times New Roman" w:hAnsi="Times New Roman" w:eastAsia="仿宋" w:cs="Times New Roman"/>
          <w:color w:val="000000" w:themeColor="text1"/>
          <w:sz w:val="32"/>
          <w:szCs w:val="32"/>
          <w14:textFill>
            <w14:solidFill>
              <w14:schemeClr w14:val="tx1"/>
            </w14:solidFill>
          </w14:textFill>
        </w:rPr>
        <w:t>积极利用已落户中国工业互联网研究院广东分院（国家工业互联网大数据广东分中心），以广东省工业互联网产业生态资源供给池企业为依托，打造</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创新设计+工业知识+工业APP</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基地，形成开放开源的工业互联网创新生态，推动物联网、大数据、人工智能、云计算等新一代信息技术向工业互联网领域延伸拓展，形成从平台服务、平台测试到工业云操作系统、新型工业软件、工业大数据建模、微服务组件等核心技术的研发和产业化，提升工业互联网服务资源供给能力，面向粤港澳大湾区乃至全国输出工业互联网整体解决方案。</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w:t>
            </w:r>
            <w:r>
              <w:rPr>
                <w:rFonts w:hint="eastAsia" w:ascii="Times New Roman" w:hAnsi="Times New Roman" w:eastAsia="仿宋" w:cs="Times New Roman"/>
                <w:b/>
                <w:bCs/>
                <w:color w:val="000000" w:themeColor="text1"/>
                <w:sz w:val="24"/>
                <w:szCs w:val="24"/>
                <w14:textFill>
                  <w14:solidFill>
                    <w14:schemeClr w14:val="tx1"/>
                  </w14:solidFill>
                </w14:textFill>
              </w:rPr>
              <w:t>4</w:t>
            </w:r>
            <w:r>
              <w:rPr>
                <w:rFonts w:ascii="Times New Roman" w:hAnsi="Times New Roman" w:eastAsia="仿宋" w:cs="Times New Roman"/>
                <w:b/>
                <w:bCs/>
                <w:color w:val="000000" w:themeColor="text1"/>
                <w:sz w:val="24"/>
                <w:szCs w:val="24"/>
                <w14:textFill>
                  <w14:solidFill>
                    <w14:schemeClr w14:val="tx1"/>
                  </w14:solidFill>
                </w14:textFill>
              </w:rPr>
              <w:t xml:space="preserve"> </w:t>
            </w:r>
            <w:r>
              <w:rPr>
                <w:rFonts w:hint="eastAsia" w:ascii="Times New Roman" w:hAnsi="Times New Roman" w:eastAsia="仿宋" w:cs="Times New Roman"/>
                <w:b/>
                <w:bCs/>
                <w:color w:val="000000" w:themeColor="text1"/>
                <w:sz w:val="24"/>
                <w:szCs w:val="24"/>
                <w14:textFill>
                  <w14:solidFill>
                    <w14:schemeClr w14:val="tx1"/>
                  </w14:solidFill>
                </w14:textFill>
              </w:rPr>
              <w:t>工业互联网</w:t>
            </w:r>
            <w:r>
              <w:rPr>
                <w:rFonts w:ascii="Times New Roman" w:hAnsi="Times New Roman" w:eastAsia="仿宋" w:cs="Times New Roman"/>
                <w:b/>
                <w:bCs/>
                <w:color w:val="000000" w:themeColor="text1"/>
                <w:sz w:val="24"/>
                <w:szCs w:val="24"/>
                <w14:textFill>
                  <w14:solidFill>
                    <w14:schemeClr w14:val="tx1"/>
                  </w14:solidFill>
                </w14:textFill>
              </w:rPr>
              <w:t>发展路径</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发展思路</w:t>
            </w:r>
            <w:r>
              <w:rPr>
                <w:rFonts w:ascii="Times New Roman" w:hAnsi="Times New Roman" w:eastAsia="仿宋" w:cs="Times New Roman"/>
                <w:color w:val="000000" w:themeColor="text1"/>
                <w:sz w:val="24"/>
                <w:szCs w:val="24"/>
                <w14:textFill>
                  <w14:solidFill>
                    <w14:schemeClr w14:val="tx1"/>
                  </w14:solidFill>
                </w14:textFill>
              </w:rPr>
              <w:t>。充分发挥已落户中国工业互联网研究院广东分院（国家工业互联网大数据广东分中心）作用，引进工业互联网领域龙头，整合区内广东省工业互联网产业生态资源供给池企业，打造</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创新设计+工业知识+工业APP</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基地，形成从平台服务、平台测试到工业云操作系统、新型工业软件、工业大数据建模、微服务组件等核心技术的研发和产业化能力，打造开放开源的工业互联网创新生态，提升工业互联网服务资源供给能力，面向粤港澳大湾区乃至全国输出工业互联网整体解决方案。</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发展重点</w:t>
            </w:r>
            <w:r>
              <w:rPr>
                <w:rFonts w:ascii="Times New Roman" w:hAnsi="Times New Roman" w:eastAsia="仿宋" w:cs="Times New Roman"/>
                <w:b/>
                <w:bCs/>
                <w:color w:val="000000" w:themeColor="text1"/>
                <w:sz w:val="24"/>
                <w:szCs w:val="24"/>
                <w14:textFill>
                  <w14:solidFill>
                    <w14:schemeClr w14:val="tx1"/>
                  </w14:solidFill>
                </w14:textFill>
              </w:rPr>
              <w:t>。工业软件</w:t>
            </w:r>
            <w:r>
              <w:rPr>
                <w:rFonts w:ascii="Times New Roman" w:hAnsi="Times New Roman" w:eastAsia="仿宋" w:cs="Times New Roman"/>
                <w:color w:val="000000" w:themeColor="text1"/>
                <w:sz w:val="24"/>
                <w:szCs w:val="24"/>
                <w14:textFill>
                  <w14:solidFill>
                    <w14:schemeClr w14:val="tx1"/>
                  </w14:solidFill>
                </w14:textFill>
              </w:rPr>
              <w:t>：制造执行管理系统（MES）、三维计算机辅助设计（CAD）、产品生命周期管理（PLM）等工业软件。</w:t>
            </w:r>
            <w:r>
              <w:rPr>
                <w:rFonts w:ascii="Times New Roman" w:hAnsi="Times New Roman" w:eastAsia="仿宋" w:cs="Times New Roman"/>
                <w:b/>
                <w:bCs/>
                <w:color w:val="000000" w:themeColor="text1"/>
                <w:sz w:val="24"/>
                <w:szCs w:val="24"/>
                <w14:textFill>
                  <w14:solidFill>
                    <w14:schemeClr w14:val="tx1"/>
                  </w14:solidFill>
                </w14:textFill>
              </w:rPr>
              <w:t>工业APP</w:t>
            </w:r>
            <w:r>
              <w:rPr>
                <w:rFonts w:ascii="Times New Roman" w:hAnsi="Times New Roman" w:eastAsia="仿宋" w:cs="Times New Roman"/>
                <w:color w:val="000000" w:themeColor="text1"/>
                <w:sz w:val="24"/>
                <w:szCs w:val="24"/>
                <w14:textFill>
                  <w14:solidFill>
                    <w14:schemeClr w14:val="tx1"/>
                  </w14:solidFill>
                </w14:textFill>
              </w:rPr>
              <w:t>:生产流程优化、产品质量分析、设备预测性维护、供应链协同工业APP；研发设计、生产制造、经营管理、运维服务等核心业务环节工业APP；云化工业APP</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工业互联网平台</w:t>
            </w:r>
            <w:r>
              <w:rPr>
                <w:rFonts w:ascii="Times New Roman" w:hAnsi="Times New Roman" w:eastAsia="仿宋" w:cs="Times New Roman"/>
                <w:color w:val="000000" w:themeColor="text1"/>
                <w:sz w:val="24"/>
                <w:szCs w:val="24"/>
                <w14:textFill>
                  <w14:solidFill>
                    <w14:schemeClr w14:val="tx1"/>
                  </w14:solidFill>
                </w14:textFill>
              </w:rPr>
              <w:t>：企业应用实施级平台；行业协同服务级平台</w:t>
            </w:r>
          </w:p>
          <w:p>
            <w:pPr>
              <w:pStyle w:val="2"/>
              <w:ind w:firstLine="482"/>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发展措施：一是做好“软件”文章。</w:t>
            </w:r>
            <w:r>
              <w:rPr>
                <w:rFonts w:hint="eastAsia" w:ascii="Times New Roman" w:hAnsi="Times New Roman" w:eastAsia="仿宋" w:cs="Times New Roman"/>
                <w:color w:val="000000" w:themeColor="text1"/>
                <w:sz w:val="24"/>
                <w:szCs w:val="24"/>
                <w14:textFill>
                  <w14:solidFill>
                    <w14:schemeClr w14:val="tx1"/>
                  </w14:solidFill>
                </w14:textFill>
              </w:rPr>
              <w:t>实施工业技术软件化工程，支持入围省级工业互联网生态资源供给池的企业和区内重点软件及信息技术服务企业设立联合或者独立的研发创新中心，积极开展工业云操作系统、新型工业软件、工业大数据建模分析、微服务组件等核心技术的研发和产业化。</w:t>
            </w:r>
            <w:r>
              <w:rPr>
                <w:rFonts w:hint="eastAsia" w:ascii="Times New Roman" w:hAnsi="Times New Roman" w:eastAsia="仿宋" w:cs="Times New Roman"/>
                <w:b/>
                <w:bCs/>
                <w:color w:val="000000" w:themeColor="text1"/>
                <w:sz w:val="24"/>
                <w:szCs w:val="24"/>
                <w14:textFill>
                  <w14:solidFill>
                    <w14:schemeClr w14:val="tx1"/>
                  </w14:solidFill>
                </w14:textFill>
              </w:rPr>
              <w:t>二是构建工业互联网开放创新生态。</w:t>
            </w:r>
            <w:r>
              <w:rPr>
                <w:rFonts w:hint="eastAsia" w:ascii="Times New Roman" w:hAnsi="Times New Roman" w:eastAsia="仿宋" w:cs="Times New Roman"/>
                <w:color w:val="000000" w:themeColor="text1"/>
                <w:sz w:val="24"/>
                <w:szCs w:val="24"/>
                <w14:textFill>
                  <w14:solidFill>
                    <w14:schemeClr w14:val="tx1"/>
                  </w14:solidFill>
                </w14:textFill>
              </w:rPr>
              <w:t>以中国工业互联网研究院广东分院建设为契机，整合行业企业资源，大力引进和培育开源社区和开发者。争取市层面引导市内典型的自动化企业开放各类标准兼容、协议转换的技术，确保工业设备“联得上”；引导平台企业开放开发工具、知识组件、算法组件，构建开放共享、资源富集、创新活跃的工业APP开发生态，确保模型行业机理模型“跟得上”；围绕工业互联网平台举办开发者创业创新大赛，打造基于工业互联网平台的“双创”新生态，推动工业APP短时间内“上数量”。</w:t>
            </w:r>
          </w:p>
        </w:tc>
      </w:tr>
    </w:tbl>
    <w:p>
      <w:pPr>
        <w:pStyle w:val="2"/>
        <w:ind w:firstLine="640"/>
        <w:rPr>
          <w:rFonts w:ascii="Times New Roman" w:hAnsi="Times New Roman" w:eastAsia="仿宋" w:cs="Times New Roman"/>
          <w:color w:val="000000" w:themeColor="text1"/>
          <w:sz w:val="32"/>
          <w:szCs w:val="32"/>
          <w14:textFill>
            <w14:solidFill>
              <w14:schemeClr w14:val="tx1"/>
            </w14:solidFill>
          </w14:textFill>
        </w:rPr>
      </w:pP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w:t>
            </w:r>
            <w:r>
              <w:rPr>
                <w:rFonts w:hint="eastAsia" w:ascii="Times New Roman" w:hAnsi="Times New Roman" w:eastAsia="仿宋" w:cs="Times New Roman"/>
                <w:b/>
                <w:bCs/>
                <w:color w:val="000000" w:themeColor="text1"/>
                <w:sz w:val="24"/>
                <w:szCs w:val="24"/>
                <w14:textFill>
                  <w14:solidFill>
                    <w14:schemeClr w14:val="tx1"/>
                  </w14:solidFill>
                </w14:textFill>
              </w:rPr>
              <w:t>5</w:t>
            </w:r>
            <w:r>
              <w:rPr>
                <w:rFonts w:ascii="Times New Roman" w:hAnsi="Times New Roman" w:eastAsia="仿宋" w:cs="Times New Roman"/>
                <w:b/>
                <w:bCs/>
                <w:color w:val="000000" w:themeColor="text1"/>
                <w:sz w:val="24"/>
                <w:szCs w:val="24"/>
                <w14:textFill>
                  <w14:solidFill>
                    <w14:schemeClr w14:val="tx1"/>
                  </w14:solidFill>
                </w14:textFill>
              </w:rPr>
              <w:t xml:space="preserve"> 高端基础软硬件发展路径</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龙头企业带动提升</w:t>
            </w:r>
            <w:r>
              <w:rPr>
                <w:rFonts w:ascii="Times New Roman" w:hAnsi="Times New Roman" w:eastAsia="仿宋" w:cs="Times New Roman"/>
                <w:color w:val="000000" w:themeColor="text1"/>
                <w:sz w:val="24"/>
                <w:szCs w:val="24"/>
                <w14:textFill>
                  <w14:solidFill>
                    <w14:schemeClr w14:val="tx1"/>
                  </w14:solidFill>
                </w14:textFill>
              </w:rPr>
              <w:t>。支持佳都科技、北明软件、小鹏汽车等龙头企业和集成商提升集成能力，在人工智能及轨道交通、智慧城市、智能网联汽车产业集群领域大力引进链主企业,积极组织上下游关联企业开展产品集成技术攻关,协同解决共性问题。鼓励龙头企业组建行业资源共享平台,向中小企业开放,提升中小企业协同发展能力。支持建设产品试验试制和适配测试平台,为中小企业提供软硬件产品开发大型试制设备设施，以及产品适配测试环境。</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推动产业集聚发展。</w:t>
            </w:r>
            <w:r>
              <w:rPr>
                <w:rFonts w:ascii="Times New Roman" w:hAnsi="Times New Roman" w:eastAsia="仿宋" w:cs="Times New Roman"/>
                <w:color w:val="000000" w:themeColor="text1"/>
                <w:sz w:val="24"/>
                <w:szCs w:val="24"/>
                <w14:textFill>
                  <w14:solidFill>
                    <w14:schemeClr w14:val="tx1"/>
                  </w14:solidFill>
                </w14:textFill>
              </w:rPr>
              <w:t>协同科韵路沿线、五山-石牌高教区，导入5G、大数据、云计算、物联网、人工智能领域基础技术开发企业，推动高端基础软件企业集聚发展。</w:t>
            </w:r>
            <w:r>
              <w:rPr>
                <w:rFonts w:hint="eastAsia" w:ascii="Times New Roman" w:hAnsi="Times New Roman" w:eastAsia="仿宋" w:cs="Times New Roman"/>
                <w:color w:val="000000" w:themeColor="text1"/>
                <w:sz w:val="24"/>
                <w:szCs w:val="24"/>
                <w14:textFill>
                  <w14:solidFill>
                    <w14:schemeClr w14:val="tx1"/>
                  </w14:solidFill>
                </w14:textFill>
              </w:rPr>
              <w:t>加快</w:t>
            </w:r>
            <w:r>
              <w:rPr>
                <w:rFonts w:ascii="Times New Roman" w:hAnsi="Times New Roman" w:eastAsia="仿宋" w:cs="Times New Roman"/>
                <w:color w:val="000000" w:themeColor="text1"/>
                <w:sz w:val="24"/>
                <w:szCs w:val="24"/>
                <w14:textFill>
                  <w14:solidFill>
                    <w14:schemeClr w14:val="tx1"/>
                  </w14:solidFill>
                </w14:textFill>
              </w:rPr>
              <w:t>导入芯片、传感器、光器件、图形处理器等研发企业，推动硬件设备开发企业集聚发展。</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发挥行业联盟作用</w:t>
            </w:r>
            <w:r>
              <w:rPr>
                <w:rFonts w:ascii="Times New Roman" w:hAnsi="Times New Roman" w:eastAsia="仿宋" w:cs="Times New Roman"/>
                <w:color w:val="000000" w:themeColor="text1"/>
                <w:sz w:val="24"/>
                <w:szCs w:val="24"/>
                <w14:textFill>
                  <w14:solidFill>
                    <w14:schemeClr w14:val="tx1"/>
                  </w14:solidFill>
                </w14:textFill>
              </w:rPr>
              <w:t>。依托天河智慧城产业联盟，支持龙头企业牵头组建智慧城市产业联盟，鼓励各类主体参与建设新一代信息技术产业专业公共服务平台，提供技术研发、成果转化、标准制定、产品检测、人才服务和品牌推广等专业服务。促进联盟间沟通交流，结合技术特征和市场需求，推动跨行业底层基础技术研发合作，突破单点创新瓶颈。依托天河软件协会等行业组织,打造软件企业沟通交流和合作平台,密切掌握行业和企业发展动态,协调解决企业发展过程中遇到的问题。</w:t>
            </w:r>
          </w:p>
        </w:tc>
      </w:tr>
    </w:tbl>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2、行业应用软件开发</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围绕产业互联网和消费互联网，加强对</w:t>
      </w:r>
      <w:r>
        <w:rPr>
          <w:rFonts w:hint="eastAsia" w:ascii="Times New Roman" w:hAnsi="Times New Roman" w:eastAsia="仿宋" w:cs="Times New Roman"/>
          <w:color w:val="000000" w:themeColor="text1"/>
          <w:sz w:val="32"/>
          <w:szCs w:val="32"/>
          <w14:textFill>
            <w14:solidFill>
              <w14:schemeClr w14:val="tx1"/>
            </w14:solidFill>
          </w14:textFill>
        </w:rPr>
        <w:t>中国移动南方基地</w:t>
      </w:r>
      <w:r>
        <w:rPr>
          <w:rFonts w:ascii="Times New Roman" w:hAnsi="Times New Roman" w:eastAsia="仿宋" w:cs="Times New Roman"/>
          <w:color w:val="000000" w:themeColor="text1"/>
          <w:sz w:val="32"/>
          <w:szCs w:val="32"/>
          <w14:textFill>
            <w14:solidFill>
              <w14:schemeClr w14:val="tx1"/>
            </w14:solidFill>
          </w14:textFill>
        </w:rPr>
        <w:t>、轩辕网络、三维家、尚恩科技等企业支持，利用中心城区应用场景优势和产业基础，大力引进一批特色化行业应用软件开发企业，以企业需求为导向，大力发展金融业务系统软件、工业软件和APP、北斗卫星导航应用软件、车联网软件等；以个体用户需求为导向，推动电子商务、视频、直播、社交媒体、搜索等网站类和移动APP类互联网应用发展；加快推动大数据、人工智能、5G技术在政务、教育、医疗、交通、安防等公共服务领域的融合应用。加强示范推广，形成带动效应,推动园区实现特色化、专业化、品牌化、高端化发展。</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5G与人工智能应用</w:t>
      </w:r>
      <w:r>
        <w:rPr>
          <w:rFonts w:ascii="Times New Roman" w:hAnsi="Times New Roman" w:eastAsia="仿宋" w:cs="Times New Roman"/>
          <w:color w:val="000000" w:themeColor="text1"/>
          <w:sz w:val="32"/>
          <w:szCs w:val="32"/>
          <w14:textFill>
            <w14:solidFill>
              <w14:schemeClr w14:val="tx1"/>
            </w14:solidFill>
          </w14:textFill>
        </w:rPr>
        <w:t>。依托三大通信运营商</w:t>
      </w:r>
      <w:r>
        <w:rPr>
          <w:rFonts w:hint="eastAsia" w:ascii="Times New Roman" w:hAnsi="Times New Roman" w:eastAsia="仿宋" w:cs="Times New Roman"/>
          <w:color w:val="000000" w:themeColor="text1"/>
          <w:sz w:val="32"/>
          <w:szCs w:val="32"/>
          <w14:textFill>
            <w14:solidFill>
              <w14:schemeClr w14:val="tx1"/>
            </w14:solidFill>
          </w14:textFill>
        </w:rPr>
        <w:t>、中国移动粤港澳大湾区（广东）创新研究院等</w:t>
      </w:r>
      <w:r>
        <w:rPr>
          <w:rFonts w:ascii="Times New Roman" w:hAnsi="Times New Roman" w:eastAsia="仿宋" w:cs="Times New Roman"/>
          <w:color w:val="000000" w:themeColor="text1"/>
          <w:sz w:val="32"/>
          <w:szCs w:val="32"/>
          <w14:textFill>
            <w14:solidFill>
              <w14:schemeClr w14:val="tx1"/>
            </w14:solidFill>
          </w14:textFill>
        </w:rPr>
        <w:t>，加强5G信号覆盖，提供全产业链5G服务。聚焦商业、医疗、交通、教育、城市管理、园区管理等重点领域，推动形成一批智慧政务、智慧城市、智慧园区、智慧商圈、工业互联网、智慧交通、智慧教育、智慧医疗、家庭娱乐、社交网络等应用试点示范项目。加快推进天河智联新能源汽车产业园建设，在车联网领域取得突破，实现5G+智能网联汽车融合发展；依托北明软件等龙头企业，推动智慧城市建设落地实施，带动相关产业发展；以佳都科技为带动，推动智能轨道交通发展。</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w:t>
            </w:r>
            <w:r>
              <w:rPr>
                <w:rFonts w:hint="eastAsia" w:ascii="Times New Roman" w:hAnsi="Times New Roman" w:eastAsia="仿宋" w:cs="Times New Roman"/>
                <w:b/>
                <w:bCs/>
                <w:color w:val="000000" w:themeColor="text1"/>
                <w:sz w:val="24"/>
                <w:szCs w:val="24"/>
                <w14:textFill>
                  <w14:solidFill>
                    <w14:schemeClr w14:val="tx1"/>
                  </w14:solidFill>
                </w14:textFill>
              </w:rPr>
              <w:t>6</w:t>
            </w:r>
            <w:r>
              <w:rPr>
                <w:rFonts w:ascii="Times New Roman" w:hAnsi="Times New Roman" w:eastAsia="仿宋" w:cs="Times New Roman"/>
                <w:b/>
                <w:bCs/>
                <w:color w:val="000000" w:themeColor="text1"/>
                <w:sz w:val="24"/>
                <w:szCs w:val="24"/>
                <w14:textFill>
                  <w14:solidFill>
                    <w14:schemeClr w14:val="tx1"/>
                  </w14:solidFill>
                </w14:textFill>
              </w:rPr>
              <w:t xml:space="preserve"> </w:t>
            </w:r>
            <w:r>
              <w:rPr>
                <w:rFonts w:hint="eastAsia" w:ascii="Times New Roman" w:hAnsi="Times New Roman" w:eastAsia="仿宋" w:cs="Times New Roman"/>
                <w:b/>
                <w:bCs/>
                <w:color w:val="000000" w:themeColor="text1"/>
                <w:sz w:val="24"/>
                <w:szCs w:val="24"/>
                <w14:textFill>
                  <w14:solidFill>
                    <w14:schemeClr w14:val="tx1"/>
                  </w14:solidFill>
                </w14:textFill>
              </w:rPr>
              <w:t>5G</w:t>
            </w:r>
            <w:r>
              <w:rPr>
                <w:rFonts w:ascii="Times New Roman" w:hAnsi="Times New Roman" w:eastAsia="仿宋" w:cs="Times New Roman"/>
                <w:b/>
                <w:bCs/>
                <w:color w:val="000000" w:themeColor="text1"/>
                <w:sz w:val="24"/>
                <w:szCs w:val="24"/>
                <w14:textFill>
                  <w14:solidFill>
                    <w14:schemeClr w14:val="tx1"/>
                  </w14:solidFill>
                </w14:textFill>
              </w:rPr>
              <w:t>发展路径</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发展思路</w:t>
            </w:r>
            <w:r>
              <w:rPr>
                <w:rFonts w:ascii="Times New Roman" w:hAnsi="Times New Roman" w:eastAsia="仿宋" w:cs="Times New Roman"/>
                <w:color w:val="000000" w:themeColor="text1"/>
                <w:sz w:val="24"/>
                <w:szCs w:val="24"/>
                <w14:textFill>
                  <w14:solidFill>
                    <w14:schemeClr w14:val="tx1"/>
                  </w14:solidFill>
                </w14:textFill>
              </w:rPr>
              <w:t>。聚力突破一批在5G基站、5G传输、5G信号处理等领域的关键核心技术，以促进5G应用软件和5G硬件产业集聚为主线，以深化开放应用示范场景为牵引，加快探索形成一批行业标准和典型产品，推动产业链和产业生态体系构建，促进社会经济及民生事业向数字化、智能化发展。加快推动5G产品技术验证、质量检测、入网检测等公共服务平台建设。支持企业、科研院所开展6G网络技术前瞻性研究。</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发展重点</w:t>
            </w:r>
            <w:r>
              <w:rPr>
                <w:rFonts w:ascii="Times New Roman" w:hAnsi="Times New Roman" w:eastAsia="仿宋" w:cs="Times New Roman"/>
                <w:b/>
                <w:bCs/>
                <w:color w:val="000000" w:themeColor="text1"/>
                <w:sz w:val="24"/>
                <w:szCs w:val="24"/>
                <w14:textFill>
                  <w14:solidFill>
                    <w14:schemeClr w14:val="tx1"/>
                  </w14:solidFill>
                </w14:textFill>
              </w:rPr>
              <w:t>。5G通信网络服务</w:t>
            </w:r>
            <w:r>
              <w:rPr>
                <w:rFonts w:ascii="Times New Roman" w:hAnsi="Times New Roman" w:eastAsia="仿宋" w:cs="Times New Roman"/>
                <w:color w:val="000000" w:themeColor="text1"/>
                <w:sz w:val="24"/>
                <w:szCs w:val="24"/>
                <w14:textFill>
                  <w14:solidFill>
                    <w14:schemeClr w14:val="tx1"/>
                  </w14:solidFill>
                </w14:textFill>
              </w:rPr>
              <w:t>：发展5G移动基站、5G传输、5G信号处理等无线移动互联网技术，提升5G网络规划运维能力</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5G应用</w:t>
            </w:r>
            <w:r>
              <w:rPr>
                <w:rFonts w:ascii="Times New Roman" w:hAnsi="Times New Roman" w:eastAsia="仿宋" w:cs="Times New Roman"/>
                <w:color w:val="000000" w:themeColor="text1"/>
                <w:sz w:val="24"/>
                <w:szCs w:val="24"/>
                <w14:textFill>
                  <w14:solidFill>
                    <w14:schemeClr w14:val="tx1"/>
                  </w14:solidFill>
                </w14:textFill>
              </w:rPr>
              <w:t>：5G+智慧城市应用；5G+智能网联汽车应用5G+工业互联网应用。</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5G基础硬件</w:t>
            </w:r>
            <w:r>
              <w:rPr>
                <w:rFonts w:ascii="Times New Roman" w:hAnsi="Times New Roman" w:eastAsia="仿宋" w:cs="Times New Roman"/>
                <w:color w:val="000000" w:themeColor="text1"/>
                <w:sz w:val="24"/>
                <w:szCs w:val="24"/>
                <w14:textFill>
                  <w14:solidFill>
                    <w14:schemeClr w14:val="tx1"/>
                  </w14:solidFill>
                </w14:textFill>
              </w:rPr>
              <w:t>：5G小型基站、光通信设备、通信组件（含光器件与光模块、微波毫米波组件）、5G传感器、存储器、5G芯片（基站基带芯片、5G终端基带芯片、存储芯片、电源管理芯片等）设计研发等</w:t>
            </w:r>
          </w:p>
          <w:p>
            <w:pPr>
              <w:pStyle w:val="2"/>
              <w:ind w:firstLine="482"/>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发展措施：一是推动5G赋能，创建典型应用示范场景。</w:t>
            </w:r>
            <w:r>
              <w:rPr>
                <w:rFonts w:hint="eastAsia" w:ascii="Times New Roman" w:hAnsi="Times New Roman" w:eastAsia="仿宋" w:cs="Times New Roman"/>
                <w:color w:val="000000" w:themeColor="text1"/>
                <w:sz w:val="24"/>
                <w:szCs w:val="24"/>
                <w14:textFill>
                  <w14:solidFill>
                    <w14:schemeClr w14:val="tx1"/>
                  </w14:solidFill>
                </w14:textFill>
              </w:rPr>
              <w:t>5G+智慧城市，结合“智慧新城”打造，推动5G技术在交通管理、城市管理、社区管理、园区管理领域应用。5G+工业互联网，依托工业互联网研究院，推动5G+工业互联网从点状示范应用逐步向面状应用和系统应用发展。5G+智能网联汽车，加强5G与车联网技术协同研发，促进5G技术在新型车载计算平台上应用，发展面向不同场景需求LTE-V2X/5G车载电子设备、网络服务与运营、车联网应用的多样化产品和服务。</w:t>
            </w:r>
            <w:r>
              <w:rPr>
                <w:rFonts w:hint="eastAsia" w:ascii="Times New Roman" w:hAnsi="Times New Roman" w:eastAsia="仿宋" w:cs="Times New Roman"/>
                <w:b/>
                <w:bCs/>
                <w:color w:val="000000" w:themeColor="text1"/>
                <w:sz w:val="24"/>
                <w:szCs w:val="24"/>
                <w14:textFill>
                  <w14:solidFill>
                    <w14:schemeClr w14:val="tx1"/>
                  </w14:solidFill>
                </w14:textFill>
              </w:rPr>
              <w:t>二是整合行业资源，加强5G技术创新研发及转化。</w:t>
            </w:r>
            <w:r>
              <w:rPr>
                <w:rFonts w:hint="eastAsia" w:ascii="Times New Roman" w:hAnsi="Times New Roman" w:eastAsia="仿宋" w:cs="Times New Roman"/>
                <w:color w:val="000000" w:themeColor="text1"/>
                <w:sz w:val="24"/>
                <w:szCs w:val="24"/>
                <w14:textFill>
                  <w14:solidFill>
                    <w14:schemeClr w14:val="tx1"/>
                  </w14:solidFill>
                </w14:textFill>
              </w:rPr>
              <w:t>加强5G前沿、关键、共性技术的研发和应用。支持中国移动南方基地、中国移动粤港澳大湾区（广东）创新研究院、华南理工等创新能力显著的企业及科研院所，整合资源，建立联合创新中心、重点实验室等创新平台，组建5G产业孵化器、加速器，不断优化创新环境，加强5G前沿、关键、共性技术的研发和应用。打造5G领域硬科技创新企业集群。联动广州国际科技成果转化（天河）基地，遴选一批5G领域硬科技项目及企业，率先在高新区实现科技成果转移转化，加快打造5G硬科技创新企业集群。</w:t>
            </w:r>
            <w:r>
              <w:rPr>
                <w:rFonts w:hint="eastAsia" w:ascii="Times New Roman" w:hAnsi="Times New Roman" w:eastAsia="仿宋" w:cs="Times New Roman"/>
                <w:b/>
                <w:bCs/>
                <w:color w:val="000000" w:themeColor="text1"/>
                <w:sz w:val="24"/>
                <w:szCs w:val="24"/>
                <w14:textFill>
                  <w14:solidFill>
                    <w14:schemeClr w14:val="tx1"/>
                  </w14:solidFill>
                </w14:textFill>
              </w:rPr>
              <w:t>三是加快5G应用创新基础设施建设。</w:t>
            </w:r>
            <w:r>
              <w:rPr>
                <w:rFonts w:hint="eastAsia" w:ascii="Times New Roman" w:hAnsi="Times New Roman" w:eastAsia="仿宋" w:cs="Times New Roman"/>
                <w:color w:val="000000" w:themeColor="text1"/>
                <w:sz w:val="24"/>
                <w:szCs w:val="24"/>
                <w14:textFill>
                  <w14:solidFill>
                    <w14:schemeClr w14:val="tx1"/>
                  </w14:solidFill>
                </w14:textFill>
              </w:rPr>
              <w:t>支持企业积极参与国际、国内标准的研究与制定，评估、验证和推广应用自主创新技术形成的标准。加快5G信息基础设施建设。统筹现有基站资源，科学编制5G基站规划，高质量、高标准建设新一代信息通信基础设施。</w:t>
            </w:r>
          </w:p>
        </w:tc>
      </w:tr>
    </w:tbl>
    <w:p>
      <w:pPr>
        <w:pStyle w:val="2"/>
        <w:ind w:firstLine="640"/>
        <w:rPr>
          <w:rFonts w:ascii="Times New Roman" w:hAnsi="Times New Roman" w:eastAsia="仿宋" w:cs="Times New Roman"/>
          <w:color w:val="000000" w:themeColor="text1"/>
          <w:sz w:val="32"/>
          <w:szCs w:val="32"/>
          <w14:textFill>
            <w14:solidFill>
              <w14:schemeClr w14:val="tx1"/>
            </w14:solidFill>
          </w14:textFill>
        </w:rPr>
      </w:pP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区块链。</w:t>
      </w:r>
      <w:r>
        <w:rPr>
          <w:rFonts w:ascii="Times New Roman" w:hAnsi="Times New Roman" w:eastAsia="仿宋" w:cs="Times New Roman"/>
          <w:color w:val="000000" w:themeColor="text1"/>
          <w:sz w:val="32"/>
          <w:szCs w:val="32"/>
          <w14:textFill>
            <w14:solidFill>
              <w14:schemeClr w14:val="tx1"/>
            </w14:solidFill>
          </w14:textFill>
        </w:rPr>
        <w:t>以应用需求为导向，加快推动区块链与人工智能、大数据、工业互联网、物联网、5G等前沿信息技术深度融合，大力发展基于区块链技术的智能合约、保险业务、证券交易、公证业务等。大力支持北明软件管理运营</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至信链</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为社会提供安司法区块链应用服务。以司法区块链为突破口，加快拓展金融、教育、医疗等行业的融合应用，在医疗健康、供应链管理、产品追溯防伪、网络协同制造、版权保护和交易、电子证据存证等领域开展产业化应用。</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b/>
          <w:bCs/>
          <w:color w:val="000000" w:themeColor="text1"/>
          <w:sz w:val="32"/>
          <w:szCs w:val="32"/>
          <w14:textFill>
            <w14:solidFill>
              <w14:schemeClr w14:val="tx1"/>
            </w14:solidFill>
          </w14:textFill>
        </w:rPr>
        <w:t>数字</w:t>
      </w:r>
      <w:r>
        <w:rPr>
          <w:rFonts w:ascii="Times New Roman" w:hAnsi="Times New Roman" w:eastAsia="仿宋" w:cs="Times New Roman"/>
          <w:b/>
          <w:bCs/>
          <w:color w:val="000000" w:themeColor="text1"/>
          <w:sz w:val="32"/>
          <w:szCs w:val="32"/>
          <w14:textFill>
            <w14:solidFill>
              <w14:schemeClr w14:val="tx1"/>
            </w14:solidFill>
          </w14:textFill>
        </w:rPr>
        <w:t>农业</w:t>
      </w:r>
      <w:r>
        <w:rPr>
          <w:rFonts w:ascii="Times New Roman" w:hAnsi="Times New Roman" w:eastAsia="仿宋" w:cs="Times New Roman"/>
          <w:color w:val="000000" w:themeColor="text1"/>
          <w:sz w:val="32"/>
          <w:szCs w:val="32"/>
          <w14:textFill>
            <w14:solidFill>
              <w14:schemeClr w14:val="tx1"/>
            </w14:solidFill>
          </w14:textFill>
        </w:rPr>
        <w:t>。以广州国家农业科创中心为依托，大力发展现代农业，推动打造农业科技孵化、创新、交易</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硅谷</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重点依托极飞科技等企业，大力推动物联网、人工智能、5G、地理信息、区块链等新一代信息技术与农业融合，发展数字农业、智慧农业、信任农业、认养农业、可视农业等业态。积极利用无人机测绘与AI识别技术，发展精准选种、测土与全自动配肥施肥、智能配药等服务，实现对农业生产的精准控制；加快推动区块链技术应用，实现对农产品的溯源管理，保证农产品质量安全；运用大数据技术，分析预测农产品品种结构的需求，推动农业供给侧结构性改革。</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w:t>
            </w:r>
            <w:r>
              <w:rPr>
                <w:rFonts w:hint="eastAsia" w:ascii="Times New Roman" w:hAnsi="Times New Roman" w:eastAsia="仿宋" w:cs="Times New Roman"/>
                <w:b/>
                <w:bCs/>
                <w:color w:val="000000" w:themeColor="text1"/>
                <w:sz w:val="24"/>
                <w:szCs w:val="24"/>
                <w14:textFill>
                  <w14:solidFill>
                    <w14:schemeClr w14:val="tx1"/>
                  </w14:solidFill>
                </w14:textFill>
              </w:rPr>
              <w:t>7</w:t>
            </w:r>
            <w:r>
              <w:rPr>
                <w:rFonts w:ascii="Times New Roman" w:hAnsi="Times New Roman" w:eastAsia="仿宋" w:cs="Times New Roman"/>
                <w:b/>
                <w:bCs/>
                <w:color w:val="000000" w:themeColor="text1"/>
                <w:sz w:val="24"/>
                <w:szCs w:val="24"/>
                <w14:textFill>
                  <w14:solidFill>
                    <w14:schemeClr w14:val="tx1"/>
                  </w14:solidFill>
                </w14:textFill>
              </w:rPr>
              <w:t xml:space="preserve"> 行业应用重点企业</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工业软件</w:t>
            </w:r>
            <w:r>
              <w:rPr>
                <w:rFonts w:ascii="Times New Roman" w:hAnsi="Times New Roman" w:eastAsia="仿宋" w:cs="Times New Roman"/>
                <w:color w:val="000000" w:themeColor="text1"/>
                <w:sz w:val="24"/>
                <w:szCs w:val="24"/>
                <w14:textFill>
                  <w14:solidFill>
                    <w14:schemeClr w14:val="tx1"/>
                  </w14:solidFill>
                </w14:textFill>
              </w:rPr>
              <w:t>：中望龙腾（CAD设计软件）、接点智能科技（数字化智能工厂系统解决方案）、致远电子（工业互联网生态系统）。</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地理信息软件</w:t>
            </w:r>
            <w:r>
              <w:rPr>
                <w:rFonts w:ascii="Times New Roman" w:hAnsi="Times New Roman" w:eastAsia="仿宋" w:cs="Times New Roman"/>
                <w:color w:val="000000" w:themeColor="text1"/>
                <w:sz w:val="24"/>
                <w:szCs w:val="24"/>
                <w14:textFill>
                  <w14:solidFill>
                    <w14:schemeClr w14:val="tx1"/>
                  </w14:solidFill>
                </w14:textFill>
              </w:rPr>
              <w:t>：南方测绘（测绘地理信息产品和综合技术跻身全球四强，掌握先进的三维激光点云数据处理技术）、奥格科技（CIM基础平台，智慧水务、智慧市政、智慧规划、智慧国土）、国测规划（地理信息系统研究、开发、应用）。</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教育</w:t>
            </w:r>
            <w:r>
              <w:rPr>
                <w:rFonts w:ascii="Times New Roman" w:hAnsi="Times New Roman" w:eastAsia="仿宋" w:cs="Times New Roman"/>
                <w:color w:val="000000" w:themeColor="text1"/>
                <w:sz w:val="24"/>
                <w:szCs w:val="24"/>
                <w14:textFill>
                  <w14:solidFill>
                    <w14:schemeClr w14:val="tx1"/>
                  </w14:solidFill>
                </w14:textFill>
              </w:rPr>
              <w:t>：轩辕网络（汇捷实验实训教学云开创高职学校互联网实训先河）、联奕（智慧校园）。</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人工智能</w:t>
            </w:r>
            <w:r>
              <w:rPr>
                <w:rFonts w:ascii="Times New Roman" w:hAnsi="Times New Roman" w:eastAsia="仿宋" w:cs="Times New Roman"/>
                <w:color w:val="000000" w:themeColor="text1"/>
                <w:sz w:val="24"/>
                <w:szCs w:val="24"/>
                <w14:textFill>
                  <w14:solidFill>
                    <w14:schemeClr w14:val="tx1"/>
                  </w14:solidFill>
                </w14:textFill>
              </w:rPr>
              <w:t>：佳都科技（轨道交通，佳都科技智慧交通平台入选广东省新一代人工智能开放创新平台）、极飞（农业无人机）。</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其他</w:t>
            </w:r>
            <w:r>
              <w:rPr>
                <w:rFonts w:ascii="Times New Roman" w:hAnsi="Times New Roman" w:eastAsia="仿宋" w:cs="Times New Roman"/>
                <w:color w:val="000000" w:themeColor="text1"/>
                <w:sz w:val="24"/>
                <w:szCs w:val="24"/>
                <w14:textFill>
                  <w14:solidFill>
                    <w14:schemeClr w14:val="tx1"/>
                  </w14:solidFill>
                </w14:textFill>
              </w:rPr>
              <w:t>：中移互联网（面向个人和企业的互联网产品）、北明软件（智慧城市、区块链）、美电贝尔（智能安防）、三维家（家居设计）、驴迹科技（智慧旅游）、尚恩科技（史志大数据）、擎云（轨道交通行业软件和集成）、壹康信息科技（互联网医疗）、韵为（大数据和商业智能）。</w:t>
            </w:r>
          </w:p>
        </w:tc>
      </w:tr>
    </w:tbl>
    <w:p>
      <w:pPr>
        <w:pStyle w:val="4"/>
        <w:rPr>
          <w:color w:val="000000" w:themeColor="text1"/>
          <w14:textFill>
            <w14:solidFill>
              <w14:schemeClr w14:val="tx1"/>
            </w14:solidFill>
          </w14:textFill>
        </w:rPr>
      </w:pPr>
      <w:bookmarkStart w:id="37" w:name="_Toc89358663"/>
      <w:r>
        <w:rPr>
          <w:color w:val="000000" w:themeColor="text1"/>
          <w14:textFill>
            <w14:solidFill>
              <w14:schemeClr w14:val="tx1"/>
            </w14:solidFill>
          </w14:textFill>
        </w:rPr>
        <w:t>（二）大力发展数字创意产业</w:t>
      </w:r>
      <w:bookmarkEnd w:id="37"/>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依托园区龙头企业，增强产业平台支撑能力，以提升数字文化创意原创能力为核心，大力发展游戏、动漫、电竞等重点领域，助力天河区建设成为粤港澳大湾区游戏产业引领区</w:t>
      </w:r>
      <w:r>
        <w:rPr>
          <w:rFonts w:hint="eastAsia" w:ascii="Times New Roman" w:hAnsi="Times New Roman" w:eastAsia="仿宋" w:cs="Times New Roman"/>
          <w:color w:val="000000" w:themeColor="text1"/>
          <w:sz w:val="32"/>
          <w:szCs w:val="32"/>
          <w14:textFill>
            <w14:solidFill>
              <w14:schemeClr w14:val="tx1"/>
            </w14:solidFill>
          </w14:textFill>
        </w:rPr>
        <w:t>和世界级电竞中心。</w:t>
      </w:r>
      <w:r>
        <w:rPr>
          <w:rFonts w:ascii="Times New Roman" w:hAnsi="Times New Roman" w:eastAsia="仿宋" w:cs="Times New Roman"/>
          <w:color w:val="000000" w:themeColor="text1"/>
          <w:sz w:val="32"/>
          <w:szCs w:val="32"/>
          <w14:textFill>
            <w14:solidFill>
              <w14:schemeClr w14:val="tx1"/>
            </w14:solidFill>
          </w14:textFill>
        </w:rPr>
        <w:t>培育直播、短视频、新媒体、创新设计业态，补齐硬件短板，促进数字创意与相关产业融合发展，推动数字内容服务贸易出口，持续提升行业影响力。</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1、数字文化创意内容制作</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依托网易、趣炫、贪玩等头部企业，加强游戏、动漫、动画等数字创意领域内容开发，培育具有国际一流水准的原创游戏品牌、团队和企业；推动人机交互、互动化传播、沉浸化体验等智能技术在游戏产业的创新应用；支持优秀作品开发为电竞产品，以网易为核心，加快推动网易总部二期建设，提升电竞内容创作和科技研发能力，打造电竞产业策源中心，重点发展电竞游戏研发、电竞体育赛事制作、电竞赛事孵化，构建集赛事举办、内容制作、娱乐体验等为一体的泛娱乐电竞生态，串联科韵路集聚区，突出发展中小型赛事、中高质量休闲娱乐电竞、电竞人才培养及培训等环节，辐射带动珠江新城、广州国际金融城等片区，助力粤港澳大湾区世界级电竞中心建设。积极协调专业服务资源，针对数字文创企业</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出海</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外汇金融、版权保护等痛点、难点问题，提供服务支持，助力中小微文创企业开拓国际市场。</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2、新型媒体服务</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推动音视频数据采集、音视频编码、连麦、转码、回声消除、智能传输等直播、短视频基础技术开发，利用5G技术的增强型移动宽带、低时延高可靠特性,加快培育壮大一批直播和短视频解决方案供应商。支持企业建设集内容制作、视频技术、直播场景于一体的高水平直播、短视频基地,吸引国内外优质视频制作企业、直播平台、MCN机构集聚。加快推动易简文化创意产业园项目建设，搭建新媒体孵化器、文创空间、新媒体学院、研发中心、演艺中心等，引入新媒体产业链上下游优质企业。基于下一代广播电视网、移动互联网、云计算、物联网等新技术、新模式、新业态，推动传统媒体和新兴媒体的融合发展。加快媒体数字化建设，积极培育网络图书馆、网络视频、网络广播、交互式网络电视、互联网社交、手机媒体等新产业新媒体。</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3、创意设计</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加快发展工业设计,引进一批工业设计企业，推动CMF</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色彩、材料、工艺</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数据库、产品图谱库、设计项目案例库、生活方式数据库等基础信息资源共享，鼓励企业开展关键工艺、核心技术、共性环节设计创新攻关，积极参与行业标准制定；协同广州（国际）科技成果转化天河基地、粤港澳大湾区（广东）创新创业孵化基地，加快推动工业设计创新成果转化应用。加快发展专业设计服务，基于新创意、新技术、新工艺、新材料，推动多媒体设计、动漫及衍生产品设计、饰物装饰设计、美术图案设计、展台设计、模型设计等专业化设计服务发展。加快发展人居环境设计服务，利用大数据、虚拟现实等技术，推动城乡规划、园区和建筑设计、园林设计和装饰设计发展。</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4、数字创意设备制造</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培育发展虚拟现实、增强现实、全息成像、裸眼3D、可穿戴设备、内容采集制作设备等研发；探索发展数据手套、游戏控制器等动作感知、追踪定位和人机交互装置；顺应数字展览发展趋势，加快培育数字化艺术展演展陈技术装备、图书馆、美术馆和文化馆数字化装备研发；加快电影、广播电视数字化,提升内容制作、传输和使用的相关设备的智能化水平。</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5、融合发展</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推动数字创意与电子商务、社交网络、教育、旅游、健康、体育、地理信息、农业、展览展示、公共管理等各领域融合渗透，通过</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文化+</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提高相关产业的文化内涵、创意水平和附加价值，大力发展互联网广告、互联网旅行社、互联网农业等新兴业态。</w:t>
      </w:r>
    </w:p>
    <w:p>
      <w:pPr>
        <w:pStyle w:val="4"/>
        <w:rPr>
          <w:color w:val="000000" w:themeColor="text1"/>
          <w14:textFill>
            <w14:solidFill>
              <w14:schemeClr w14:val="tx1"/>
            </w14:solidFill>
          </w14:textFill>
        </w:rPr>
      </w:pPr>
      <w:bookmarkStart w:id="38" w:name="_Toc89358664"/>
      <w:r>
        <w:rPr>
          <w:color w:val="000000" w:themeColor="text1"/>
          <w14:textFill>
            <w14:solidFill>
              <w14:schemeClr w14:val="tx1"/>
            </w14:solidFill>
          </w14:textFill>
        </w:rPr>
        <w:t>（三）大力发展现代都市工业</w:t>
      </w:r>
      <w:bookmarkEnd w:id="38"/>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推动产业结构调整优化，提高工业比重，进一步提升产业综合竞争力和经济发展韧性。聚焦智能网联新能源汽车、智能设备、卫星及应用、生物医药与健康四大领域，加大力度引进</w:t>
      </w:r>
      <w:r>
        <w:rPr>
          <w:rFonts w:hint="eastAsia" w:ascii="Times New Roman" w:hAnsi="Times New Roman" w:eastAsia="仿宋" w:cs="Times New Roman"/>
          <w:color w:val="000000" w:themeColor="text1"/>
          <w:sz w:val="32"/>
          <w:szCs w:val="32"/>
          <w14:textFill>
            <w14:solidFill>
              <w14:schemeClr w14:val="tx1"/>
            </w14:solidFill>
          </w14:textFill>
        </w:rPr>
        <w:t>能源型、</w:t>
      </w:r>
      <w:r>
        <w:rPr>
          <w:rFonts w:ascii="Times New Roman" w:hAnsi="Times New Roman" w:eastAsia="仿宋" w:cs="Times New Roman"/>
          <w:color w:val="000000" w:themeColor="text1"/>
          <w:sz w:val="32"/>
          <w:szCs w:val="32"/>
          <w14:textFill>
            <w14:solidFill>
              <w14:schemeClr w14:val="tx1"/>
            </w14:solidFill>
          </w14:textFill>
        </w:rPr>
        <w:t>研发型、销售型、结算型工业总部企业</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挖掘工业产业用地存量和增量，积极推进</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工业上楼</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，为新引进重大项目提供空间要素支撑</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打造工业总部集聚区，培育和引入一批符合全区现代都市工业主攻方向、控制力和根植性强的</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链主</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企业。</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1、智能网联新能源汽车</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以广州打造国家智能网联汽车示范区为契机，发挥小鹏汽车整车厂商带动作用，加快推动小鹏汽车智联总部和智联新能源汽车产业园建设，靶向引进行业领军整车企业设立区域总部和研发中心，大力开展产业链招商、以商招商，培育一批产业链上下游相关配套企业，推动产业链条化、生态化发展。加强动力电池及关键材料、智能传感器、智能通用充电设备等智能网联新能源汽车配套硬件研发。发挥天河软件和信息技术服务产业及地理信息产业基础优势，支持龙头企业牵头建立智能网联汽车计算平台、信息安全平台以及监测和服务平台发展，加强智能网联汽车操作系统、智能网联汽车执行控制系统、智能网联汽车通信系统、自动/无人驾驶解决方案、语音人脸显示交互、电池管理系统、控制芯片设计、汽车造型设计等汽车软件及设计相关产业发展，加快形成和巩固智能网联新能源汽车行业竞争优势。</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w:t>
            </w:r>
            <w:r>
              <w:rPr>
                <w:rFonts w:hint="eastAsia" w:ascii="Times New Roman" w:hAnsi="Times New Roman" w:eastAsia="仿宋" w:cs="Times New Roman"/>
                <w:b/>
                <w:bCs/>
                <w:color w:val="000000" w:themeColor="text1"/>
                <w:sz w:val="24"/>
                <w:szCs w:val="24"/>
                <w14:textFill>
                  <w14:solidFill>
                    <w14:schemeClr w14:val="tx1"/>
                  </w14:solidFill>
                </w14:textFill>
              </w:rPr>
              <w:t>8</w:t>
            </w:r>
            <w:r>
              <w:rPr>
                <w:rFonts w:ascii="Times New Roman" w:hAnsi="Times New Roman" w:eastAsia="仿宋" w:cs="Times New Roman"/>
                <w:b/>
                <w:bCs/>
                <w:color w:val="000000" w:themeColor="text1"/>
                <w:sz w:val="24"/>
                <w:szCs w:val="24"/>
                <w14:textFill>
                  <w14:solidFill>
                    <w14:schemeClr w14:val="tx1"/>
                  </w14:solidFill>
                </w14:textFill>
              </w:rPr>
              <w:t xml:space="preserve"> </w:t>
            </w:r>
            <w:r>
              <w:rPr>
                <w:rFonts w:hint="eastAsia" w:ascii="Times New Roman" w:hAnsi="Times New Roman" w:eastAsia="仿宋" w:cs="Times New Roman"/>
                <w:b/>
                <w:bCs/>
                <w:color w:val="000000" w:themeColor="text1"/>
                <w:sz w:val="24"/>
                <w:szCs w:val="24"/>
                <w14:textFill>
                  <w14:solidFill>
                    <w14:schemeClr w14:val="tx1"/>
                  </w14:solidFill>
                </w14:textFill>
              </w:rPr>
              <w:t>智能网联新能源汽车发展路径</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发展思路。</w:t>
            </w:r>
            <w:r>
              <w:rPr>
                <w:rFonts w:ascii="Times New Roman" w:hAnsi="Times New Roman" w:eastAsia="仿宋" w:cs="Times New Roman"/>
                <w:color w:val="000000" w:themeColor="text1"/>
                <w:sz w:val="24"/>
                <w:szCs w:val="24"/>
                <w14:textFill>
                  <w14:solidFill>
                    <w14:schemeClr w14:val="tx1"/>
                  </w14:solidFill>
                </w14:textFill>
              </w:rPr>
              <w:t>以广州打造国家智能网联汽车示范区为契机，协同错位、融入广州市智能网联汽车产业布局，加强补链、延链、强链，加快推动小鹏汽车智联总部和智联新能源汽车产业园建设，靶向引进行业领军整车企业设立区域总部和研发中心；以智能网联汽车高端软件和智能硬件协同发展为主攻方向，积极引进一批智能网联汽车产业链上下游标杆配套企业；加强跨界资源整合，不断增强产业发展能级，形成</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龙头引领+平台支撑+应用先行+软硬协同</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的产业发展格局，打造智能网联汽车</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研发总部+销售总部</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集聚高地。</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发展重点。</w:t>
            </w:r>
            <w:r>
              <w:rPr>
                <w:rFonts w:ascii="Times New Roman" w:hAnsi="Times New Roman" w:eastAsia="仿宋" w:cs="Times New Roman"/>
                <w:b/>
                <w:bCs/>
                <w:color w:val="000000" w:themeColor="text1"/>
                <w:sz w:val="24"/>
                <w:szCs w:val="24"/>
                <w14:textFill>
                  <w14:solidFill>
                    <w14:schemeClr w14:val="tx1"/>
                  </w14:solidFill>
                </w14:textFill>
              </w:rPr>
              <w:t>智能网联软件</w:t>
            </w:r>
            <w:r>
              <w:rPr>
                <w:rFonts w:ascii="Times New Roman" w:hAnsi="Times New Roman" w:eastAsia="仿宋" w:cs="Times New Roman"/>
                <w:color w:val="000000" w:themeColor="text1"/>
                <w:sz w:val="24"/>
                <w:szCs w:val="24"/>
                <w14:textFill>
                  <w14:solidFill>
                    <w14:schemeClr w14:val="tx1"/>
                  </w14:solidFill>
                </w14:textFill>
              </w:rPr>
              <w:t>：围绕决策系统、执行系统、通信系统和下游应用服务，打造独具特色的智能网联汽车软件集群</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b/>
                <w:bCs/>
                <w:color w:val="000000" w:themeColor="text1"/>
                <w:sz w:val="24"/>
                <w:szCs w:val="24"/>
                <w14:textFill>
                  <w14:solidFill>
                    <w14:schemeClr w14:val="tx1"/>
                  </w14:solidFill>
                </w14:textFill>
              </w:rPr>
              <w:t>智能网联硬件</w:t>
            </w:r>
            <w:r>
              <w:rPr>
                <w:rFonts w:ascii="Times New Roman" w:hAnsi="Times New Roman" w:eastAsia="仿宋" w:cs="Times New Roman"/>
                <w:color w:val="000000" w:themeColor="text1"/>
                <w:sz w:val="24"/>
                <w:szCs w:val="24"/>
                <w14:textFill>
                  <w14:solidFill>
                    <w14:schemeClr w14:val="tx1"/>
                  </w14:solidFill>
                </w14:textFill>
              </w:rPr>
              <w:t>：围绕感知系统、智能驾驶舱，培育发展智能传感器、导航及定位终端、中控、数字仪表盘等配套硬件产业，补齐产业硬件短板。</w:t>
            </w:r>
          </w:p>
          <w:p>
            <w:pPr>
              <w:pStyle w:val="2"/>
              <w:ind w:firstLine="482"/>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发展措施。一是</w:t>
            </w:r>
            <w:r>
              <w:rPr>
                <w:rFonts w:ascii="Times New Roman" w:hAnsi="Times New Roman" w:eastAsia="仿宋" w:cs="Times New Roman"/>
                <w:b/>
                <w:bCs/>
                <w:color w:val="000000" w:themeColor="text1"/>
                <w:sz w:val="24"/>
                <w:szCs w:val="24"/>
                <w14:textFill>
                  <w14:solidFill>
                    <w14:schemeClr w14:val="tx1"/>
                  </w14:solidFill>
                </w14:textFill>
              </w:rPr>
              <w:t>以智能网联汽车创新发展平台为支撑，优化产业生态提升产业吸引力。</w:t>
            </w:r>
            <w:r>
              <w:rPr>
                <w:rFonts w:hint="eastAsia" w:ascii="Times New Roman" w:hAnsi="Times New Roman" w:eastAsia="仿宋" w:cs="Times New Roman"/>
                <w:color w:val="000000" w:themeColor="text1"/>
                <w:sz w:val="24"/>
                <w:szCs w:val="24"/>
                <w14:textFill>
                  <w14:solidFill>
                    <w14:schemeClr w14:val="tx1"/>
                  </w14:solidFill>
                </w14:textFill>
              </w:rPr>
              <w:t>依托智能网联汽车产业发展基础，联合区内企业、高校及科研机构，大力引进国内领先企业和科研院所，支持龙头企业和机构联动打造智能网联汽车计算平台、信息安全平台、智能网联汽车实验室，完善产业生态。</w:t>
            </w:r>
            <w:r>
              <w:rPr>
                <w:rFonts w:hint="eastAsia" w:ascii="Times New Roman" w:hAnsi="Times New Roman" w:eastAsia="仿宋" w:cs="Times New Roman"/>
                <w:b/>
                <w:bCs/>
                <w:color w:val="000000" w:themeColor="text1"/>
                <w:sz w:val="24"/>
                <w:szCs w:val="24"/>
                <w14:textFill>
                  <w14:solidFill>
                    <w14:schemeClr w14:val="tx1"/>
                  </w14:solidFill>
                </w14:textFill>
              </w:rPr>
              <w:t>二是以商用车落地应用为先导，加快发展自动驾驶解决方案和应用软件。</w:t>
            </w:r>
            <w:r>
              <w:rPr>
                <w:rFonts w:hint="eastAsia" w:ascii="Times New Roman" w:hAnsi="Times New Roman" w:eastAsia="仿宋" w:cs="Times New Roman"/>
                <w:color w:val="000000" w:themeColor="text1"/>
                <w:sz w:val="24"/>
                <w:szCs w:val="24"/>
                <w14:textFill>
                  <w14:solidFill>
                    <w14:schemeClr w14:val="tx1"/>
                  </w14:solidFill>
                </w14:textFill>
              </w:rPr>
              <w:t>抓住商用车更快市场化的发展机遇，大力推动车辆定位、车队管理、驾驶行为监控、故障诊断等运营服务发展，加快引培一批在港口、环卫、物流等场景具备竞争力的应用企业。积极拓展乘用车市场，培育发展面向消费者的自动驾驶解决方案。发展车上娱乐、基于位置的生活服务等汽车后市场服务。</w:t>
            </w:r>
            <w:r>
              <w:rPr>
                <w:rFonts w:hint="eastAsia" w:ascii="Times New Roman" w:hAnsi="Times New Roman" w:eastAsia="仿宋" w:cs="Times New Roman"/>
                <w:b/>
                <w:bCs/>
                <w:color w:val="000000" w:themeColor="text1"/>
                <w:sz w:val="24"/>
                <w:szCs w:val="24"/>
                <w14:textFill>
                  <w14:solidFill>
                    <w14:schemeClr w14:val="tx1"/>
                  </w14:solidFill>
                </w14:textFill>
              </w:rPr>
              <w:t>三是以行业联盟为抓手，推动行业跨界协同融合发展</w:t>
            </w:r>
            <w:r>
              <w:rPr>
                <w:rFonts w:hint="eastAsia" w:ascii="Times New Roman" w:hAnsi="Times New Roman" w:eastAsia="仿宋" w:cs="Times New Roman"/>
                <w:color w:val="000000" w:themeColor="text1"/>
                <w:sz w:val="24"/>
                <w:szCs w:val="24"/>
                <w14:textFill>
                  <w14:solidFill>
                    <w14:schemeClr w14:val="tx1"/>
                  </w14:solidFill>
                </w14:textFill>
              </w:rPr>
              <w:t>。顺应智能网联汽车多产业融合发展趋势，以集成优化产业资源配置为核心，支持小鹏汽车、华南理工大学等区内机构，积极吸收国内外芯片、人工智能、大数据、云计算、信息通信等行业优质企业、科研平台，联合组建智能网联汽车产业联盟。推进关键共性技术研发、标准法规制定、测试评价和示范、应用推广、金融对接、国际合作等工作。</w:t>
            </w:r>
          </w:p>
        </w:tc>
      </w:tr>
    </w:tbl>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2、智能设备</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支持极飞科技、美电贝尔、致远电子等行业龙头企业发展，加快推动粤科智能制造产业园建设，引进一批高新尖企业，在无人机、智能安防产品、感知控制设备等领域加强技术开发，突破高性能芯片、控制系统、传感器等核心技术,推动智能设备在物流、农业、测绘、电力、应急救援等行业领域的应用。以广东省培育智能机器人战略性新兴产业集群为契机，引进一批自主创新能力强、产品市场前景好、产业支撑作用大的优质骨干企业，大力发展工业机器人、服务机器人、特种机器人等研发设计与制造，集中力量突破减速器、伺服电机和系统、控制器等关键零部件和集成应用技术。</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3、卫星及应用</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抓住北斗产业发展机遇，以南方测绘和院士工作站为依托，大力发展北斗基础和终端产品，在多模多频北斗／GNSS芯片、模组、板卡、天线、接收机等关键领域加强研发设计与制造。加快北斗商业化应用，依托南方测绘、奥格科技等，发展光电测量、地形测量、高铁测量、航空摄影测量等测量服务；支持应用于车辆、农业、港口码头、石油管道、手机定位等导航服务，促进地理信息在智能交通、智能水务、公安警务、物流监控、电子商务、消费娱乐等领域的产业化、规模化应用。不断向北斗产业中高端延伸，成为国内重要的北斗产业基地。</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4、生物医药与健康</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支持天普生化等企业加大研发投入</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大力发展新型生化药品研发和医药研发外包。引进</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链主</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企业和生态主导型企业，加快推动疫苗、基因工程药、细胞治疗药等生物药研发，支持各类体外诊断试剂和仪器、植介入生物医用材料及设备研发。支持产学研医合作,联合共建研究中心、实验室和临床医学研究中心等协同创新平台,推动研究成果从实验室走向市场</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加快新技术、新产品转化应用。发挥区域医疗机构和消费群体集聚优势，推进医养结合、智慧治疗、互联网诊疗、远程医疗发展</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支持智慧健康产品开发；加快发展健康管理服务</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围绕居民全生命周期健康管理</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大力发展健康大数据开发与应用、健康检测咨询服务。</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w:t>
            </w:r>
            <w:r>
              <w:rPr>
                <w:rFonts w:hint="eastAsia" w:ascii="Times New Roman" w:hAnsi="Times New Roman" w:eastAsia="仿宋" w:cs="Times New Roman"/>
                <w:b/>
                <w:bCs/>
                <w:color w:val="000000" w:themeColor="text1"/>
                <w:sz w:val="24"/>
                <w:szCs w:val="24"/>
                <w14:textFill>
                  <w14:solidFill>
                    <w14:schemeClr w14:val="tx1"/>
                  </w14:solidFill>
                </w14:textFill>
              </w:rPr>
              <w:t>9</w:t>
            </w:r>
            <w:r>
              <w:rPr>
                <w:rFonts w:ascii="Times New Roman" w:hAnsi="Times New Roman" w:eastAsia="仿宋" w:cs="Times New Roman"/>
                <w:b/>
                <w:bCs/>
                <w:color w:val="000000" w:themeColor="text1"/>
                <w:sz w:val="24"/>
                <w:szCs w:val="24"/>
                <w14:textFill>
                  <w14:solidFill>
                    <w14:schemeClr w14:val="tx1"/>
                  </w14:solidFill>
                </w14:textFill>
              </w:rPr>
              <w:t xml:space="preserve"> 以龙头企业和平台为核心，打造</w:t>
            </w:r>
            <w:r>
              <w:rPr>
                <w:rFonts w:hint="eastAsia" w:ascii="Times New Roman" w:hAnsi="Times New Roman" w:eastAsia="仿宋" w:cs="Times New Roman"/>
                <w:b/>
                <w:bCs/>
                <w:color w:val="000000" w:themeColor="text1"/>
                <w:sz w:val="24"/>
                <w:szCs w:val="24"/>
                <w14:textFill>
                  <w14:solidFill>
                    <w14:schemeClr w14:val="tx1"/>
                  </w14:solidFill>
                </w14:textFill>
              </w:rPr>
              <w:t>八</w:t>
            </w:r>
            <w:r>
              <w:rPr>
                <w:rFonts w:ascii="Times New Roman" w:hAnsi="Times New Roman" w:eastAsia="仿宋" w:cs="Times New Roman"/>
                <w:b/>
                <w:bCs/>
                <w:color w:val="000000" w:themeColor="text1"/>
                <w:sz w:val="24"/>
                <w:szCs w:val="24"/>
                <w14:textFill>
                  <w14:solidFill>
                    <w14:schemeClr w14:val="tx1"/>
                  </w14:solidFill>
                </w14:textFill>
              </w:rPr>
              <w:t>大产业集群</w:t>
            </w:r>
          </w:p>
          <w:p>
            <w:pPr>
              <w:pStyle w:val="2"/>
              <w:ind w:firstLine="480"/>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依托网易、佳都科技、</w:t>
            </w:r>
            <w:r>
              <w:rPr>
                <w:rFonts w:hint="eastAsia" w:ascii="Times New Roman" w:hAnsi="Times New Roman" w:eastAsia="仿宋" w:cs="Times New Roman"/>
                <w:color w:val="000000" w:themeColor="text1"/>
                <w:sz w:val="24"/>
                <w:szCs w:val="24"/>
                <w14:textFill>
                  <w14:solidFill>
                    <w14:schemeClr w14:val="tx1"/>
                  </w14:solidFill>
                </w14:textFill>
              </w:rPr>
              <w:t>中国移动南方基地、中</w:t>
            </w:r>
            <w:r>
              <w:rPr>
                <w:rFonts w:ascii="Times New Roman" w:hAnsi="Times New Roman" w:eastAsia="仿宋" w:cs="Times New Roman"/>
                <w:color w:val="000000" w:themeColor="text1"/>
                <w:sz w:val="24"/>
                <w:szCs w:val="24"/>
                <w14:textFill>
                  <w14:solidFill>
                    <w14:schemeClr w14:val="tx1"/>
                  </w14:solidFill>
                </w14:textFill>
              </w:rPr>
              <w:t>国工业互联网研究院广东分院</w:t>
            </w:r>
            <w:r>
              <w:rPr>
                <w:rFonts w:hint="eastAsia" w:ascii="Times New Roman" w:hAnsi="Times New Roman" w:eastAsia="仿宋" w:cs="Times New Roman"/>
                <w:color w:val="000000" w:themeColor="text1"/>
                <w:sz w:val="24"/>
                <w:szCs w:val="24"/>
                <w14:textFill>
                  <w14:solidFill>
                    <w14:schemeClr w14:val="tx1"/>
                  </w14:solidFill>
                </w14:textFill>
              </w:rPr>
              <w:t>、小鹏汽车、北明软件、南方测绘、广州国家农业科创中心</w:t>
            </w:r>
            <w:r>
              <w:rPr>
                <w:rFonts w:ascii="Times New Roman" w:hAnsi="Times New Roman" w:eastAsia="仿宋" w:cs="Times New Roman"/>
                <w:color w:val="000000" w:themeColor="text1"/>
                <w:sz w:val="24"/>
                <w:szCs w:val="24"/>
                <w14:textFill>
                  <w14:solidFill>
                    <w14:schemeClr w14:val="tx1"/>
                  </w14:solidFill>
                </w14:textFill>
              </w:rPr>
              <w:t>，围绕游戏和电竞、人工智能、</w:t>
            </w:r>
            <w:r>
              <w:rPr>
                <w:rFonts w:hint="eastAsia" w:ascii="Times New Roman" w:hAnsi="Times New Roman" w:eastAsia="仿宋" w:cs="Times New Roman"/>
                <w:color w:val="000000" w:themeColor="text1"/>
                <w:sz w:val="24"/>
                <w:szCs w:val="24"/>
                <w14:textFill>
                  <w14:solidFill>
                    <w14:schemeClr w14:val="tx1"/>
                  </w14:solidFill>
                </w14:textFill>
              </w:rPr>
              <w:t>5G、工业互联网、</w:t>
            </w:r>
            <w:r>
              <w:rPr>
                <w:rFonts w:ascii="Times New Roman" w:hAnsi="Times New Roman" w:eastAsia="仿宋" w:cs="Times New Roman"/>
                <w:color w:val="000000" w:themeColor="text1"/>
                <w:sz w:val="24"/>
                <w:szCs w:val="24"/>
                <w14:textFill>
                  <w14:solidFill>
                    <w14:schemeClr w14:val="tx1"/>
                  </w14:solidFill>
                </w14:textFill>
              </w:rPr>
              <w:t>智能网联汽车、智慧城市、地理信息、现代农业，打造</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龙头企业/平台+空间+运营+投资</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的四位一体产业生态，以龙头企业和平台主动带动，整合产业链上下游企业，推动相关产业整体集聚和高质量发展，打响天河智慧城产业发展</w:t>
            </w:r>
            <w:r>
              <w:rPr>
                <w:rFonts w:hint="eastAsia" w:ascii="Times New Roman" w:hAnsi="Times New Roman" w:eastAsia="仿宋" w:cs="Times New Roman"/>
                <w:color w:val="000000" w:themeColor="text1"/>
                <w:sz w:val="24"/>
                <w:szCs w:val="24"/>
                <w14:textFill>
                  <w14:solidFill>
                    <w14:schemeClr w14:val="tx1"/>
                  </w14:solidFill>
                </w14:textFill>
              </w:rPr>
              <w:t>八</w:t>
            </w:r>
            <w:r>
              <w:rPr>
                <w:rFonts w:ascii="Times New Roman" w:hAnsi="Times New Roman" w:eastAsia="仿宋" w:cs="Times New Roman"/>
                <w:color w:val="000000" w:themeColor="text1"/>
                <w:sz w:val="24"/>
                <w:szCs w:val="24"/>
                <w14:textFill>
                  <w14:solidFill>
                    <w14:schemeClr w14:val="tx1"/>
                  </w14:solidFill>
                </w14:textFill>
              </w:rPr>
              <w:t>张特色名片。</w:t>
            </w:r>
          </w:p>
          <w:p>
            <w:pPr>
              <w:pStyle w:val="2"/>
              <w:ind w:firstLine="480"/>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抓住网易、佳都成为广州市软件和信创、文化创意、人工智能产业链链主企业机遇，大力推动其成为世界级龙头企业和行业领军企业，打造千亿级、百亿级产业链群。大力支持网易城、智联新能源汽车产业园建设，支持龙头企业和平台打造专业园区或楼宇，依托重大项目，吸引集聚一批产业链相关企业，依托研发平台和孵化平台，加强对产业链相关企业技术和经营管理支持。鼓励龙头企业和平台运营与投资并重，用好各级政府产业基金，积极募集社会资金，围绕自身产业链上下游及技术前沿领域进行投资布局，做强做优产业发展生态，打造企业集群，推动产业整体实力提升并不断优化升级。</w:t>
            </w:r>
          </w:p>
        </w:tc>
      </w:tr>
    </w:tbl>
    <w:p>
      <w:pPr>
        <w:pStyle w:val="4"/>
        <w:rPr>
          <w:color w:val="000000" w:themeColor="text1"/>
          <w14:textFill>
            <w14:solidFill>
              <w14:schemeClr w14:val="tx1"/>
            </w14:solidFill>
          </w14:textFill>
        </w:rPr>
      </w:pPr>
      <w:bookmarkStart w:id="39" w:name="_Toc89358665"/>
      <w:r>
        <w:rPr>
          <w:color w:val="000000" w:themeColor="text1"/>
          <w14:textFill>
            <w14:solidFill>
              <w14:schemeClr w14:val="tx1"/>
            </w14:solidFill>
          </w14:textFill>
        </w:rPr>
        <w:t>（四）积极布局未来产业</w:t>
      </w:r>
      <w:bookmarkEnd w:id="39"/>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加强产业前沿研究和顶层设计，积极对接国家、省、市发展战略，围绕太赫兹、量子</w:t>
      </w:r>
      <w:r>
        <w:rPr>
          <w:rFonts w:hint="eastAsia" w:ascii="Times New Roman" w:hAnsi="Times New Roman" w:eastAsia="仿宋" w:cs="Times New Roman"/>
          <w:color w:val="000000" w:themeColor="text1"/>
          <w:sz w:val="32"/>
          <w:szCs w:val="32"/>
          <w14:textFill>
            <w14:solidFill>
              <w14:schemeClr w14:val="tx1"/>
            </w14:solidFill>
          </w14:textFill>
        </w:rPr>
        <w:t>科技</w:t>
      </w:r>
      <w:r>
        <w:rPr>
          <w:rFonts w:ascii="Times New Roman" w:hAnsi="Times New Roman" w:eastAsia="仿宋" w:cs="Times New Roman"/>
          <w:color w:val="000000" w:themeColor="text1"/>
          <w:sz w:val="32"/>
          <w:szCs w:val="32"/>
          <w14:textFill>
            <w14:solidFill>
              <w14:schemeClr w14:val="tx1"/>
            </w14:solidFill>
          </w14:textFill>
        </w:rPr>
        <w:t>、脑科学与类脑研究、前沿材料等引领未来发展产业，争取重大基础设施和项目落地。瞄准核心领域领军人员和团队，引进一批行业龙头企业、领先创新企业、科研院所等，集中力量攻克一批关键核心技术和重大科学问题，形成一批全国乃至全球领先的标志性成果。遴选一批潜力企业建立科技创新企业培育库,全力培育一批</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未来独角兽</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和</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独角兽</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企业。</w:t>
      </w:r>
    </w:p>
    <w:p>
      <w:pPr>
        <w:pStyle w:val="4"/>
        <w:rPr>
          <w:color w:val="000000" w:themeColor="text1"/>
          <w14:textFill>
            <w14:solidFill>
              <w14:schemeClr w14:val="tx1"/>
            </w14:solidFill>
          </w14:textFill>
        </w:rPr>
      </w:pPr>
      <w:bookmarkStart w:id="40" w:name="_Toc89358666"/>
      <w:r>
        <w:rPr>
          <w:color w:val="000000" w:themeColor="text1"/>
          <w14:textFill>
            <w14:solidFill>
              <w14:schemeClr w14:val="tx1"/>
            </w14:solidFill>
          </w14:textFill>
        </w:rPr>
        <w:t>（五）加快提升</w:t>
      </w:r>
      <w:r>
        <w:rPr>
          <w:rFonts w:hint="eastAsia"/>
          <w:color w:val="000000" w:themeColor="text1"/>
          <w14:textFill>
            <w14:solidFill>
              <w14:schemeClr w14:val="tx1"/>
            </w14:solidFill>
          </w14:textFill>
        </w:rPr>
        <w:t>科技</w:t>
      </w:r>
      <w:r>
        <w:rPr>
          <w:color w:val="000000" w:themeColor="text1"/>
          <w14:textFill>
            <w14:solidFill>
              <w14:schemeClr w14:val="tx1"/>
            </w14:solidFill>
          </w14:textFill>
        </w:rPr>
        <w:t>服务业</w:t>
      </w:r>
      <w:bookmarkEnd w:id="40"/>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以创新型产业集群和科技创新企业需求为导向，不断完善园区专业服务网络，加快集聚科学研究、专业技术服务、技术推广、科技信息交流、科技培训、技术咨询、技术孵化、技术市场、知识产权服务、科技评估和科技鉴证等</w:t>
      </w:r>
      <w:r>
        <w:rPr>
          <w:rFonts w:hint="eastAsia" w:ascii="Times New Roman" w:hAnsi="Times New Roman" w:eastAsia="仿宋" w:cs="Times New Roman"/>
          <w:color w:val="000000" w:themeColor="text1"/>
          <w:sz w:val="32"/>
          <w:szCs w:val="32"/>
          <w14:textFill>
            <w14:solidFill>
              <w14:schemeClr w14:val="tx1"/>
            </w14:solidFill>
          </w14:textFill>
        </w:rPr>
        <w:t>科技</w:t>
      </w:r>
      <w:r>
        <w:rPr>
          <w:rFonts w:ascii="Times New Roman" w:hAnsi="Times New Roman" w:eastAsia="仿宋" w:cs="Times New Roman"/>
          <w:color w:val="000000" w:themeColor="text1"/>
          <w:sz w:val="32"/>
          <w:szCs w:val="32"/>
          <w14:textFill>
            <w14:solidFill>
              <w14:schemeClr w14:val="tx1"/>
            </w14:solidFill>
          </w14:textFill>
        </w:rPr>
        <w:t>服务业企业，吸引知名企业设立分支机构，打造产业发展良好的配套环境，构建完善的创新组织网络。依托高技术产业集聚基础，大力发展技术推广服务，协同广州（国际）科技成果转化天河基地，建立企业、高校院所、科技中介机构互动机制，促进科技成果加速转移转化。大力发展知识产权、创业孵化、人力资源、资产评估、上市和并购辅导等服务，满足园区企业发展需求，支撑企业高质量发展。充分发挥广州国家农业科创中心作用，推动农业孵化、直播、电商、交易、科普、博览发展。</w:t>
      </w:r>
    </w:p>
    <w:p>
      <w:pPr>
        <w:pStyle w:val="4"/>
        <w:rPr>
          <w:color w:val="000000" w:themeColor="text1"/>
          <w14:textFill>
            <w14:solidFill>
              <w14:schemeClr w14:val="tx1"/>
            </w14:solidFill>
          </w14:textFill>
        </w:rPr>
      </w:pPr>
      <w:bookmarkStart w:id="41" w:name="_Toc89358667"/>
      <w:r>
        <w:rPr>
          <w:color w:val="000000" w:themeColor="text1"/>
          <w14:textFill>
            <w14:solidFill>
              <w14:schemeClr w14:val="tx1"/>
            </w14:solidFill>
          </w14:textFill>
        </w:rPr>
        <w:t>（六）产业空间布局</w:t>
      </w:r>
      <w:bookmarkEnd w:id="41"/>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利用区位优势，积极</w:t>
      </w:r>
      <w:r>
        <w:rPr>
          <w:rFonts w:ascii="Times New Roman" w:hAnsi="Times New Roman" w:eastAsia="仿宋" w:cs="Times New Roman"/>
          <w:color w:val="000000" w:themeColor="text1"/>
          <w:sz w:val="32"/>
          <w:szCs w:val="32"/>
          <w14:textFill>
            <w14:solidFill>
              <w14:schemeClr w14:val="tx1"/>
            </w14:solidFill>
          </w14:textFill>
        </w:rPr>
        <w:t>融入广州科技创新轴建设，强化与广州三大产业带协同发展，紧密结合天河区</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两轴两带</w:t>
      </w:r>
      <w:r>
        <w:rPr>
          <w:rFonts w:hint="eastAsia" w:ascii="Times New Roman" w:hAnsi="Times New Roman" w:eastAsia="仿宋" w:cs="Times New Roman"/>
          <w:color w:val="000000" w:themeColor="text1"/>
          <w:sz w:val="32"/>
          <w:szCs w:val="32"/>
          <w14:textFill>
            <w14:solidFill>
              <w14:schemeClr w14:val="tx1"/>
            </w14:solidFill>
          </w14:textFill>
        </w:rPr>
        <w:t>多片区”</w:t>
      </w:r>
      <w:r>
        <w:rPr>
          <w:rFonts w:ascii="Times New Roman" w:hAnsi="Times New Roman" w:eastAsia="仿宋" w:cs="Times New Roman"/>
          <w:color w:val="000000" w:themeColor="text1"/>
          <w:sz w:val="32"/>
          <w:szCs w:val="32"/>
          <w14:textFill>
            <w14:solidFill>
              <w14:schemeClr w14:val="tx1"/>
            </w14:solidFill>
          </w14:textFill>
        </w:rPr>
        <w:t>空间发展格局，紧抓人工智能与数字经济引擎，打造</w:t>
      </w:r>
      <w:r>
        <w:rPr>
          <w:rFonts w:hint="eastAsia" w:ascii="Times New Roman" w:hAnsi="Times New Roman" w:eastAsia="仿宋" w:cs="Times New Roman"/>
          <w:color w:val="000000" w:themeColor="text1"/>
          <w:sz w:val="32"/>
          <w:szCs w:val="32"/>
          <w14:textFill>
            <w14:solidFill>
              <w14:schemeClr w14:val="tx1"/>
            </w14:solidFill>
          </w14:textFill>
        </w:rPr>
        <w:t>“两</w:t>
      </w:r>
      <w:r>
        <w:rPr>
          <w:rFonts w:ascii="Times New Roman" w:hAnsi="Times New Roman" w:eastAsia="仿宋" w:cs="Times New Roman"/>
          <w:color w:val="000000" w:themeColor="text1"/>
          <w:sz w:val="32"/>
          <w:szCs w:val="32"/>
          <w14:textFill>
            <w14:solidFill>
              <w14:schemeClr w14:val="tx1"/>
            </w14:solidFill>
          </w14:textFill>
        </w:rPr>
        <w:t>区联动</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产业空间布局。</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b/>
          <w:bCs/>
          <w:color w:val="000000" w:themeColor="text1"/>
          <w:sz w:val="32"/>
          <w:szCs w:val="32"/>
          <w14:textFill>
            <w14:solidFill>
              <w14:schemeClr w14:val="tx1"/>
            </w14:solidFill>
          </w14:textFill>
        </w:rPr>
        <w:t>软件</w:t>
      </w:r>
      <w:r>
        <w:rPr>
          <w:rFonts w:ascii="Times New Roman" w:hAnsi="Times New Roman" w:eastAsia="仿宋" w:cs="Times New Roman"/>
          <w:b/>
          <w:bCs/>
          <w:color w:val="000000" w:themeColor="text1"/>
          <w:sz w:val="32"/>
          <w:szCs w:val="32"/>
          <w14:textFill>
            <w14:solidFill>
              <w14:schemeClr w14:val="tx1"/>
            </w14:solidFill>
          </w14:textFill>
        </w:rPr>
        <w:t>产业发展先导示范区</w:t>
      </w:r>
      <w:r>
        <w:rPr>
          <w:rFonts w:ascii="Times New Roman" w:hAnsi="Times New Roman" w:eastAsia="仿宋" w:cs="Times New Roman"/>
          <w:color w:val="000000" w:themeColor="text1"/>
          <w:sz w:val="32"/>
          <w:szCs w:val="32"/>
          <w14:textFill>
            <w14:solidFill>
              <w14:schemeClr w14:val="tx1"/>
            </w14:solidFill>
          </w14:textFill>
        </w:rPr>
        <w:t>（天河智慧城核心区）：围绕国家级软件产业示范基地定位，充分发挥现有产业基础，以数字经济为核心，围绕智慧城市、人工智能、</w:t>
      </w:r>
      <w:r>
        <w:rPr>
          <w:rFonts w:hint="eastAsia" w:ascii="Times New Roman" w:hAnsi="Times New Roman" w:eastAsia="仿宋" w:cs="Times New Roman"/>
          <w:color w:val="000000" w:themeColor="text1"/>
          <w:sz w:val="32"/>
          <w:szCs w:val="32"/>
          <w14:textFill>
            <w14:solidFill>
              <w14:schemeClr w14:val="tx1"/>
            </w14:solidFill>
          </w14:textFill>
        </w:rPr>
        <w:t>工业互联网、</w:t>
      </w:r>
      <w:r>
        <w:rPr>
          <w:rFonts w:ascii="Times New Roman" w:hAnsi="Times New Roman" w:eastAsia="仿宋" w:cs="Times New Roman"/>
          <w:color w:val="000000" w:themeColor="text1"/>
          <w:sz w:val="32"/>
          <w:szCs w:val="32"/>
          <w14:textFill>
            <w14:solidFill>
              <w14:schemeClr w14:val="tx1"/>
            </w14:solidFill>
          </w14:textFill>
        </w:rPr>
        <w:t>数字文化创意等，依托龙头企业，重点布局基础软件、应用软件、信创、</w:t>
      </w:r>
      <w:r>
        <w:rPr>
          <w:rFonts w:hint="eastAsia" w:ascii="Times New Roman" w:hAnsi="Times New Roman" w:eastAsia="仿宋" w:cs="Times New Roman"/>
          <w:color w:val="000000" w:themeColor="text1"/>
          <w:sz w:val="32"/>
          <w:szCs w:val="32"/>
          <w14:textFill>
            <w14:solidFill>
              <w14:schemeClr w14:val="tx1"/>
            </w14:solidFill>
          </w14:textFill>
        </w:rPr>
        <w:t>动漫</w:t>
      </w:r>
      <w:r>
        <w:rPr>
          <w:rFonts w:ascii="Times New Roman" w:hAnsi="Times New Roman" w:eastAsia="仿宋" w:cs="Times New Roman"/>
          <w:color w:val="000000" w:themeColor="text1"/>
          <w:sz w:val="32"/>
          <w:szCs w:val="32"/>
          <w14:textFill>
            <w14:solidFill>
              <w14:schemeClr w14:val="tx1"/>
            </w14:solidFill>
          </w14:textFill>
        </w:rPr>
        <w:t>游戏</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电竞</w:t>
      </w:r>
      <w:r>
        <w:rPr>
          <w:rFonts w:hint="eastAsia" w:ascii="Times New Roman" w:hAnsi="Times New Roman" w:eastAsia="仿宋" w:cs="Times New Roman"/>
          <w:color w:val="000000" w:themeColor="text1"/>
          <w:sz w:val="32"/>
          <w:szCs w:val="32"/>
          <w14:textFill>
            <w14:solidFill>
              <w14:schemeClr w14:val="tx1"/>
            </w14:solidFill>
          </w14:textFill>
        </w:rPr>
        <w:t>等领域；</w:t>
      </w:r>
      <w:r>
        <w:rPr>
          <w:rFonts w:ascii="Times New Roman" w:hAnsi="Times New Roman" w:eastAsia="仿宋" w:cs="Times New Roman"/>
          <w:color w:val="000000" w:themeColor="text1"/>
          <w:sz w:val="32"/>
          <w:szCs w:val="32"/>
          <w14:textFill>
            <w14:solidFill>
              <w14:schemeClr w14:val="tx1"/>
            </w14:solidFill>
          </w14:textFill>
        </w:rPr>
        <w:t>加快推动智能网联汽车、卫星及应用、智能设备、生物医药等现代都市工业发展，</w:t>
      </w:r>
      <w:r>
        <w:rPr>
          <w:rFonts w:hint="eastAsia" w:ascii="Times New Roman" w:hAnsi="Times New Roman" w:eastAsia="仿宋" w:cs="Times New Roman"/>
          <w:color w:val="000000" w:themeColor="text1"/>
          <w:sz w:val="32"/>
          <w:szCs w:val="32"/>
          <w14:textFill>
            <w14:solidFill>
              <w14:schemeClr w14:val="tx1"/>
            </w14:solidFill>
          </w14:textFill>
        </w:rPr>
        <w:t>加强与软件业融合发展，</w:t>
      </w:r>
      <w:r>
        <w:rPr>
          <w:rFonts w:ascii="Times New Roman" w:hAnsi="Times New Roman" w:eastAsia="仿宋" w:cs="Times New Roman"/>
          <w:color w:val="000000" w:themeColor="text1"/>
          <w:sz w:val="32"/>
          <w:szCs w:val="32"/>
          <w14:textFill>
            <w14:solidFill>
              <w14:schemeClr w14:val="tx1"/>
            </w14:solidFill>
          </w14:textFill>
        </w:rPr>
        <w:t>推进自动驾驶、车联网、地理信息、健康大数据等行业软件研发，助推粤港澳大湾区软件产业先导区建设，辐射带动天河智谷片区产业发展。</w:t>
      </w:r>
    </w:p>
    <w:p>
      <w:pPr>
        <w:pStyle w:val="2"/>
        <w:ind w:firstLine="643"/>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数字技术与产业融合发展</w:t>
      </w:r>
      <w:r>
        <w:rPr>
          <w:rFonts w:hint="eastAsia" w:ascii="Times New Roman" w:hAnsi="Times New Roman" w:eastAsia="仿宋" w:cs="Times New Roman"/>
          <w:b/>
          <w:bCs/>
          <w:color w:val="000000" w:themeColor="text1"/>
          <w:sz w:val="32"/>
          <w:szCs w:val="32"/>
          <w14:textFill>
            <w14:solidFill>
              <w14:schemeClr w14:val="tx1"/>
            </w14:solidFill>
          </w14:textFill>
        </w:rPr>
        <w:t>引领</w:t>
      </w:r>
      <w:r>
        <w:rPr>
          <w:rFonts w:ascii="Times New Roman" w:hAnsi="Times New Roman" w:eastAsia="仿宋" w:cs="Times New Roman"/>
          <w:b/>
          <w:bCs/>
          <w:color w:val="000000" w:themeColor="text1"/>
          <w:sz w:val="32"/>
          <w:szCs w:val="32"/>
          <w14:textFill>
            <w14:solidFill>
              <w14:schemeClr w14:val="tx1"/>
            </w14:solidFill>
          </w14:textFill>
        </w:rPr>
        <w:t>区</w:t>
      </w:r>
      <w:r>
        <w:rPr>
          <w:rFonts w:ascii="Times New Roman" w:hAnsi="Times New Roman" w:eastAsia="仿宋" w:cs="Times New Roman"/>
          <w:color w:val="000000" w:themeColor="text1"/>
          <w:sz w:val="32"/>
          <w:szCs w:val="32"/>
          <w14:textFill>
            <w14:solidFill>
              <w14:schemeClr w14:val="tx1"/>
            </w14:solidFill>
          </w14:textFill>
        </w:rPr>
        <w:t>（智谷片区）：发挥紧邻五山-石牌高教区、科韵路沿线</w:t>
      </w:r>
      <w:r>
        <w:rPr>
          <w:rFonts w:hint="eastAsia" w:ascii="Times New Roman" w:hAnsi="Times New Roman" w:eastAsia="仿宋" w:cs="Times New Roman"/>
          <w:color w:val="000000" w:themeColor="text1"/>
          <w:sz w:val="32"/>
          <w:szCs w:val="32"/>
          <w14:textFill>
            <w14:solidFill>
              <w14:schemeClr w14:val="tx1"/>
            </w14:solidFill>
          </w14:textFill>
        </w:rPr>
        <w:t>、广州国际金融城</w:t>
      </w:r>
      <w:r>
        <w:rPr>
          <w:rFonts w:ascii="Times New Roman" w:hAnsi="Times New Roman" w:eastAsia="仿宋" w:cs="Times New Roman"/>
          <w:color w:val="000000" w:themeColor="text1"/>
          <w:sz w:val="32"/>
          <w:szCs w:val="32"/>
          <w14:textFill>
            <w14:solidFill>
              <w14:schemeClr w14:val="tx1"/>
            </w14:solidFill>
          </w14:textFill>
        </w:rPr>
        <w:t>，以及产业用地资源、高新区政策优势，加强产业联动，积极向产业高端延伸</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大力发展5G、云计算、大数据、人工智能、工业互联网</w:t>
      </w:r>
      <w:r>
        <w:rPr>
          <w:rFonts w:hint="eastAsia" w:ascii="Times New Roman" w:hAnsi="Times New Roman" w:eastAsia="仿宋" w:cs="Times New Roman"/>
          <w:color w:val="000000" w:themeColor="text1"/>
          <w:sz w:val="32"/>
          <w:szCs w:val="32"/>
          <w14:textFill>
            <w14:solidFill>
              <w14:schemeClr w14:val="tx1"/>
            </w14:solidFill>
          </w14:textFill>
        </w:rPr>
        <w:t>、区块链</w:t>
      </w:r>
      <w:r>
        <w:rPr>
          <w:rFonts w:ascii="Times New Roman" w:hAnsi="Times New Roman" w:eastAsia="仿宋" w:cs="Times New Roman"/>
          <w:color w:val="000000" w:themeColor="text1"/>
          <w:sz w:val="32"/>
          <w:szCs w:val="32"/>
          <w14:textFill>
            <w14:solidFill>
              <w14:schemeClr w14:val="tx1"/>
            </w14:solidFill>
          </w14:textFill>
        </w:rPr>
        <w:t>等高端基础技术</w:t>
      </w:r>
      <w:r>
        <w:rPr>
          <w:rFonts w:hint="eastAsia" w:ascii="Times New Roman" w:hAnsi="Times New Roman" w:eastAsia="仿宋" w:cs="Times New Roman"/>
          <w:color w:val="000000" w:themeColor="text1"/>
          <w:sz w:val="32"/>
          <w:szCs w:val="32"/>
          <w14:textFill>
            <w14:solidFill>
              <w14:schemeClr w14:val="tx1"/>
            </w14:solidFill>
          </w14:textFill>
        </w:rPr>
        <w:t>，加快信创产业发展。</w:t>
      </w:r>
      <w:r>
        <w:rPr>
          <w:rFonts w:ascii="Times New Roman" w:hAnsi="Times New Roman" w:eastAsia="仿宋" w:cs="Times New Roman"/>
          <w:color w:val="000000" w:themeColor="text1"/>
          <w:sz w:val="32"/>
          <w:szCs w:val="32"/>
          <w14:textFill>
            <w14:solidFill>
              <w14:schemeClr w14:val="tx1"/>
            </w14:solidFill>
          </w14:textFill>
        </w:rPr>
        <w:t>承接拓展第二产业发展空间，以数字技术赋能第二</w:t>
      </w:r>
      <w:r>
        <w:rPr>
          <w:rFonts w:hint="eastAsia" w:ascii="Times New Roman" w:hAnsi="Times New Roman" w:eastAsia="仿宋" w:cs="Times New Roman"/>
          <w:color w:val="000000" w:themeColor="text1"/>
          <w:sz w:val="32"/>
          <w:szCs w:val="32"/>
          <w14:textFill>
            <w14:solidFill>
              <w14:schemeClr w14:val="tx1"/>
            </w14:solidFill>
          </w14:textFill>
        </w:rPr>
        <w:t>产业</w:t>
      </w:r>
      <w:r>
        <w:rPr>
          <w:rFonts w:ascii="Times New Roman" w:hAnsi="Times New Roman" w:eastAsia="仿宋" w:cs="Times New Roman"/>
          <w:color w:val="000000" w:themeColor="text1"/>
          <w:sz w:val="32"/>
          <w:szCs w:val="32"/>
          <w14:textFill>
            <w14:solidFill>
              <w14:schemeClr w14:val="tx1"/>
            </w14:solidFill>
          </w14:textFill>
        </w:rPr>
        <w:t>发展，布局卫星导航及应用、智能设备、生物医药与健康</w:t>
      </w:r>
      <w:r>
        <w:rPr>
          <w:rFonts w:hint="eastAsia" w:ascii="Times New Roman" w:hAnsi="Times New Roman" w:eastAsia="仿宋" w:cs="Times New Roman"/>
          <w:color w:val="000000" w:themeColor="text1"/>
          <w:sz w:val="32"/>
          <w:szCs w:val="32"/>
          <w14:textFill>
            <w14:solidFill>
              <w14:schemeClr w14:val="tx1"/>
            </w14:solidFill>
          </w14:textFill>
        </w:rPr>
        <w:t>等，</w:t>
      </w:r>
      <w:r>
        <w:rPr>
          <w:rFonts w:ascii="Times New Roman" w:hAnsi="Times New Roman" w:eastAsia="仿宋" w:cs="Times New Roman"/>
          <w:color w:val="000000" w:themeColor="text1"/>
          <w:sz w:val="32"/>
          <w:szCs w:val="32"/>
          <w14:textFill>
            <w14:solidFill>
              <w14:schemeClr w14:val="tx1"/>
            </w14:solidFill>
          </w14:textFill>
        </w:rPr>
        <w:t>以优质的土地空间资源和配套环境，</w:t>
      </w:r>
      <w:r>
        <w:rPr>
          <w:rFonts w:hint="eastAsia" w:ascii="Times New Roman" w:hAnsi="Times New Roman" w:eastAsia="仿宋" w:cs="Times New Roman"/>
          <w:color w:val="000000" w:themeColor="text1"/>
          <w:sz w:val="32"/>
          <w:szCs w:val="32"/>
          <w14:textFill>
            <w14:solidFill>
              <w14:schemeClr w14:val="tx1"/>
            </w14:solidFill>
          </w14:textFill>
        </w:rPr>
        <w:t>吸引</w:t>
      </w:r>
      <w:r>
        <w:rPr>
          <w:rFonts w:ascii="Times New Roman" w:hAnsi="Times New Roman" w:eastAsia="仿宋" w:cs="Times New Roman"/>
          <w:color w:val="000000" w:themeColor="text1"/>
          <w:sz w:val="32"/>
          <w:szCs w:val="32"/>
          <w14:textFill>
            <w14:solidFill>
              <w14:schemeClr w14:val="tx1"/>
            </w14:solidFill>
          </w14:textFill>
        </w:rPr>
        <w:t>能源型、研发型、销售型、结算型工业和建筑业总部</w:t>
      </w:r>
      <w:r>
        <w:rPr>
          <w:rFonts w:hint="eastAsia" w:ascii="Times New Roman" w:hAnsi="Times New Roman" w:eastAsia="仿宋" w:cs="Times New Roman"/>
          <w:color w:val="000000" w:themeColor="text1"/>
          <w:sz w:val="32"/>
          <w:szCs w:val="32"/>
          <w14:textFill>
            <w14:solidFill>
              <w14:schemeClr w14:val="tx1"/>
            </w14:solidFill>
          </w14:textFill>
        </w:rPr>
        <w:t>。结合</w:t>
      </w:r>
      <w:r>
        <w:rPr>
          <w:rFonts w:ascii="Times New Roman" w:hAnsi="Times New Roman" w:eastAsia="仿宋" w:cs="Times New Roman"/>
          <w:color w:val="000000" w:themeColor="text1"/>
          <w:sz w:val="32"/>
          <w:szCs w:val="32"/>
          <w14:textFill>
            <w14:solidFill>
              <w14:schemeClr w14:val="tx1"/>
            </w14:solidFill>
          </w14:textFill>
        </w:rPr>
        <w:t>产业基础，</w:t>
      </w:r>
      <w:r>
        <w:rPr>
          <w:rFonts w:hint="eastAsia" w:ascii="Times New Roman" w:hAnsi="Times New Roman" w:eastAsia="仿宋" w:cs="Times New Roman"/>
          <w:color w:val="000000" w:themeColor="text1"/>
          <w:sz w:val="32"/>
          <w:szCs w:val="32"/>
          <w14:textFill>
            <w14:solidFill>
              <w14:schemeClr w14:val="tx1"/>
            </w14:solidFill>
          </w14:textFill>
        </w:rPr>
        <w:t>大力发展游戏、动漫、电竞、影视、音乐，以及数字创意设计、数字文化旅游、数字文创新媒体等数字内容制作和数字文创融合应用；拓展</w:t>
      </w:r>
      <w:r>
        <w:rPr>
          <w:rFonts w:ascii="Times New Roman" w:hAnsi="Times New Roman" w:eastAsia="仿宋" w:cs="Times New Roman"/>
          <w:color w:val="000000" w:themeColor="text1"/>
          <w:sz w:val="32"/>
          <w:szCs w:val="32"/>
          <w14:textFill>
            <w14:solidFill>
              <w14:schemeClr w14:val="tx1"/>
            </w14:solidFill>
          </w14:textFill>
        </w:rPr>
        <w:t>虚拟现实、增强现实、全息成像、裸眼3D、可穿戴设备等</w:t>
      </w:r>
      <w:r>
        <w:rPr>
          <w:rFonts w:hint="eastAsia" w:ascii="Times New Roman" w:hAnsi="Times New Roman" w:eastAsia="仿宋" w:cs="Times New Roman"/>
          <w:color w:val="000000" w:themeColor="text1"/>
          <w:sz w:val="32"/>
          <w:szCs w:val="32"/>
          <w14:textFill>
            <w14:solidFill>
              <w14:schemeClr w14:val="tx1"/>
            </w14:solidFill>
          </w14:textFill>
        </w:rPr>
        <w:t>数字创意设备，打造数字创意产业软硬件协同发展格局。探索布局</w:t>
      </w:r>
      <w:r>
        <w:rPr>
          <w:rFonts w:ascii="Times New Roman" w:hAnsi="Times New Roman" w:eastAsia="仿宋" w:cs="Times New Roman"/>
          <w:color w:val="000000" w:themeColor="text1"/>
          <w:sz w:val="32"/>
          <w:szCs w:val="32"/>
          <w14:textFill>
            <w14:solidFill>
              <w14:schemeClr w14:val="tx1"/>
            </w14:solidFill>
          </w14:textFill>
        </w:rPr>
        <w:t>未来产业，</w:t>
      </w:r>
      <w:r>
        <w:rPr>
          <w:rFonts w:hint="eastAsia" w:ascii="Times New Roman" w:hAnsi="Times New Roman" w:eastAsia="仿宋" w:cs="Times New Roman"/>
          <w:color w:val="000000" w:themeColor="text1"/>
          <w:sz w:val="32"/>
          <w:szCs w:val="32"/>
          <w14:textFill>
            <w14:solidFill>
              <w14:schemeClr w14:val="tx1"/>
            </w14:solidFill>
          </w14:textFill>
        </w:rPr>
        <w:t>积极引进太赫兹、</w:t>
      </w:r>
      <w:r>
        <w:rPr>
          <w:rFonts w:ascii="Times New Roman" w:hAnsi="Times New Roman" w:eastAsia="仿宋" w:cs="Times New Roman"/>
          <w:color w:val="000000" w:themeColor="text1"/>
          <w:sz w:val="32"/>
          <w:szCs w:val="32"/>
          <w14:textFill>
            <w14:solidFill>
              <w14:schemeClr w14:val="tx1"/>
            </w14:solidFill>
          </w14:textFill>
        </w:rPr>
        <w:t>量子</w:t>
      </w:r>
      <w:r>
        <w:rPr>
          <w:rFonts w:hint="eastAsia" w:ascii="Times New Roman" w:hAnsi="Times New Roman" w:eastAsia="仿宋" w:cs="Times New Roman"/>
          <w:color w:val="000000" w:themeColor="text1"/>
          <w:sz w:val="32"/>
          <w:szCs w:val="32"/>
          <w14:textFill>
            <w14:solidFill>
              <w14:schemeClr w14:val="tx1"/>
            </w14:solidFill>
          </w14:textFill>
        </w:rPr>
        <w:t>科技</w:t>
      </w:r>
      <w:r>
        <w:rPr>
          <w:rFonts w:ascii="Times New Roman" w:hAnsi="Times New Roman" w:eastAsia="仿宋" w:cs="Times New Roman"/>
          <w:color w:val="000000" w:themeColor="text1"/>
          <w:sz w:val="32"/>
          <w:szCs w:val="32"/>
          <w14:textFill>
            <w14:solidFill>
              <w14:schemeClr w14:val="tx1"/>
            </w14:solidFill>
          </w14:textFill>
        </w:rPr>
        <w:t>、前沿材料等前瞻性高技术含量环节。</w:t>
      </w:r>
      <w:r>
        <w:rPr>
          <w:rFonts w:hint="eastAsia" w:ascii="Times New Roman" w:hAnsi="Times New Roman" w:eastAsia="仿宋" w:cs="Times New Roman"/>
          <w:color w:val="000000" w:themeColor="text1"/>
          <w:sz w:val="32"/>
          <w:szCs w:val="32"/>
          <w14:textFill>
            <w14:solidFill>
              <w14:schemeClr w14:val="tx1"/>
            </w14:solidFill>
          </w14:textFill>
        </w:rPr>
        <w:t>培育知识产权、技术推广、技术孵化、检验检测等科技服务业，为天河智慧城产业发展提供良好生态支撑。</w:t>
      </w:r>
    </w:p>
    <w:p>
      <w:pPr>
        <w:widowControl/>
        <w:jc w:val="left"/>
        <w:rPr>
          <w:rFonts w:ascii="Times New Roman" w:hAnsi="Times New Roman" w:eastAsia="黑体" w:cs="Times New Roman"/>
          <w:color w:val="000000" w:themeColor="text1"/>
          <w:sz w:val="20"/>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pStyle w:val="2"/>
        <w:ind w:firstLine="0" w:firstLineChars="0"/>
        <w:jc w:val="center"/>
        <w:rPr>
          <w:rFonts w:ascii="Times New Roman" w:hAnsi="Times New Roman" w:eastAsia="仿宋" w:cs="Times New Roman"/>
          <w:color w:val="000000" w:themeColor="text1"/>
          <w:sz w:val="32"/>
          <w:szCs w:val="32"/>
          <w14:textFill>
            <w14:solidFill>
              <w14:schemeClr w14:val="tx1"/>
            </w14:solidFill>
          </w14:textFill>
        </w:rPr>
      </w:pPr>
      <w:r>
        <w:drawing>
          <wp:inline distT="0" distB="0" distL="114300" distR="114300">
            <wp:extent cx="4383405" cy="3972560"/>
            <wp:effectExtent l="0" t="0" r="5715" b="508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7"/>
                    <a:stretch>
                      <a:fillRect/>
                    </a:stretch>
                  </pic:blipFill>
                  <pic:spPr>
                    <a:xfrm>
                      <a:off x="0" y="0"/>
                      <a:ext cx="4383405" cy="3972560"/>
                    </a:xfrm>
                    <a:prstGeom prst="rect">
                      <a:avLst/>
                    </a:prstGeom>
                    <a:noFill/>
                    <a:ln>
                      <a:noFill/>
                    </a:ln>
                  </pic:spPr>
                </pic:pic>
              </a:graphicData>
            </a:graphic>
          </wp:inline>
        </w:drawing>
      </w:r>
    </w:p>
    <w:p>
      <w:pPr>
        <w:pStyle w:val="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图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图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天河智慧城产业空间布局</w:t>
      </w:r>
    </w:p>
    <w:p>
      <w:pPr>
        <w:rPr>
          <w:rFonts w:ascii="Times New Roman" w:hAnsi="Times New Roman" w:cs="Times New Roman"/>
          <w:color w:val="000000" w:themeColor="text1"/>
          <w14:textFill>
            <w14:solidFill>
              <w14:schemeClr w14:val="tx1"/>
            </w14:solidFill>
          </w14:textFill>
        </w:rPr>
      </w:pPr>
    </w:p>
    <w:p>
      <w:pPr>
        <w:pStyle w:val="3"/>
        <w:ind w:firstLine="640"/>
        <w:rPr>
          <w:color w:val="000000" w:themeColor="text1"/>
          <w14:textFill>
            <w14:solidFill>
              <w14:schemeClr w14:val="tx1"/>
            </w14:solidFill>
          </w14:textFill>
        </w:rPr>
      </w:pPr>
      <w:bookmarkStart w:id="42" w:name="_Toc89358668"/>
      <w:r>
        <w:rPr>
          <w:color w:val="000000" w:themeColor="text1"/>
          <w14:textFill>
            <w14:solidFill>
              <w14:schemeClr w14:val="tx1"/>
            </w14:solidFill>
          </w14:textFill>
        </w:rPr>
        <w:t>六、主要任务</w:t>
      </w:r>
      <w:bookmarkEnd w:id="42"/>
    </w:p>
    <w:p>
      <w:pPr>
        <w:pStyle w:val="4"/>
        <w:rPr>
          <w:color w:val="000000" w:themeColor="text1"/>
          <w14:textFill>
            <w14:solidFill>
              <w14:schemeClr w14:val="tx1"/>
            </w14:solidFill>
          </w14:textFill>
        </w:rPr>
      </w:pPr>
      <w:r>
        <w:fldChar w:fldCharType="begin"/>
      </w:r>
      <w:r>
        <w:instrText xml:space="preserve"> HYPERLINK \l "_Toc30042" </w:instrText>
      </w:r>
      <w:r>
        <w:fldChar w:fldCharType="separate"/>
      </w:r>
      <w:bookmarkStart w:id="43" w:name="_Toc89358669"/>
      <w:r>
        <w:rPr>
          <w:color w:val="000000" w:themeColor="text1"/>
          <w14:textFill>
            <w14:solidFill>
              <w14:schemeClr w14:val="tx1"/>
            </w14:solidFill>
          </w14:textFill>
        </w:rPr>
        <w:t>（一）实施配套环境提升工程，促进产城融合发展</w:t>
      </w:r>
      <w:bookmarkEnd w:id="43"/>
      <w:r>
        <w:rPr>
          <w:color w:val="000000" w:themeColor="text1"/>
          <w14:textFill>
            <w14:solidFill>
              <w14:schemeClr w14:val="tx1"/>
            </w14:solidFill>
          </w14:textFill>
        </w:rPr>
        <w:fldChar w:fldCharType="end"/>
      </w:r>
    </w:p>
    <w:p>
      <w:pPr>
        <w:pStyle w:val="2"/>
        <w:ind w:firstLine="640"/>
        <w:rPr>
          <w:rFonts w:ascii="Times New Roman" w:hAnsi="Times New Roman" w:eastAsia="仿宋" w:cs="Times New Roman"/>
          <w:color w:val="000000" w:themeColor="text1"/>
          <w:sz w:val="32"/>
          <w:szCs w:val="36"/>
          <w14:textFill>
            <w14:solidFill>
              <w14:schemeClr w14:val="tx1"/>
            </w14:solidFill>
          </w14:textFill>
        </w:rPr>
      </w:pPr>
      <w:r>
        <w:rPr>
          <w:rFonts w:ascii="Times New Roman" w:hAnsi="Times New Roman" w:eastAsia="仿宋" w:cs="Times New Roman"/>
          <w:color w:val="000000" w:themeColor="text1"/>
          <w:sz w:val="32"/>
          <w:szCs w:val="36"/>
          <w14:textFill>
            <w14:solidFill>
              <w14:schemeClr w14:val="tx1"/>
            </w14:solidFill>
          </w14:textFill>
        </w:rPr>
        <w:t>以全面提升智慧城配套环境为目标成立各类专项工作组，从医疗、教育等公共服务、交通基础条件以及生活居住环境等方面着手，全力推进智慧城配套环境的优化提升工作，建设三生融合的产城</w:t>
      </w:r>
      <w:r>
        <w:rPr>
          <w:rFonts w:hint="eastAsia" w:ascii="Times New Roman" w:hAnsi="Times New Roman" w:eastAsia="仿宋" w:cs="Times New Roman"/>
          <w:color w:val="000000" w:themeColor="text1"/>
          <w:sz w:val="32"/>
          <w:szCs w:val="36"/>
          <w14:textFill>
            <w14:solidFill>
              <w14:schemeClr w14:val="tx1"/>
            </w14:solidFill>
          </w14:textFill>
        </w:rPr>
        <w:t>深度</w:t>
      </w:r>
      <w:r>
        <w:rPr>
          <w:rFonts w:ascii="Times New Roman" w:hAnsi="Times New Roman" w:eastAsia="仿宋" w:cs="Times New Roman"/>
          <w:color w:val="000000" w:themeColor="text1"/>
          <w:sz w:val="32"/>
          <w:szCs w:val="36"/>
          <w14:textFill>
            <w14:solidFill>
              <w14:schemeClr w14:val="tx1"/>
            </w14:solidFill>
          </w14:textFill>
        </w:rPr>
        <w:t>融合</w:t>
      </w:r>
      <w:r>
        <w:rPr>
          <w:rFonts w:hint="eastAsia" w:ascii="Times New Roman" w:hAnsi="Times New Roman" w:eastAsia="仿宋" w:cs="Times New Roman"/>
          <w:color w:val="000000" w:themeColor="text1"/>
          <w:sz w:val="32"/>
          <w:szCs w:val="36"/>
          <w14:textFill>
            <w14:solidFill>
              <w14:schemeClr w14:val="tx1"/>
            </w14:solidFill>
          </w14:textFill>
        </w:rPr>
        <w:t>发展</w:t>
      </w:r>
      <w:r>
        <w:rPr>
          <w:rFonts w:ascii="Times New Roman" w:hAnsi="Times New Roman" w:eastAsia="仿宋" w:cs="Times New Roman"/>
          <w:color w:val="000000" w:themeColor="text1"/>
          <w:sz w:val="32"/>
          <w:szCs w:val="36"/>
          <w14:textFill>
            <w14:solidFill>
              <w14:schemeClr w14:val="tx1"/>
            </w14:solidFill>
          </w14:textFill>
        </w:rPr>
        <w:t>区。</w:t>
      </w:r>
    </w:p>
    <w:p>
      <w:pPr>
        <w:pStyle w:val="2"/>
        <w:ind w:firstLine="643"/>
        <w:rPr>
          <w:rFonts w:ascii="Times New Roman" w:hAnsi="Times New Roman" w:eastAsia="仿宋" w:cs="Times New Roman"/>
          <w:b/>
          <w:bCs/>
          <w:color w:val="000000" w:themeColor="text1"/>
          <w:sz w:val="32"/>
          <w:szCs w:val="36"/>
          <w14:textFill>
            <w14:solidFill>
              <w14:schemeClr w14:val="tx1"/>
            </w14:solidFill>
          </w14:textFill>
        </w:rPr>
      </w:pPr>
      <w:r>
        <w:rPr>
          <w:rFonts w:ascii="Times New Roman" w:hAnsi="Times New Roman" w:eastAsia="仿宋" w:cs="Times New Roman"/>
          <w:b/>
          <w:bCs/>
          <w:color w:val="000000" w:themeColor="text1"/>
          <w:sz w:val="32"/>
          <w:szCs w:val="36"/>
          <w14:textFill>
            <w14:solidFill>
              <w14:schemeClr w14:val="tx1"/>
            </w14:solidFill>
          </w14:textFill>
        </w:rPr>
        <w:t>1、引进教育医疗资源，增强公共服务水平</w:t>
      </w:r>
    </w:p>
    <w:p>
      <w:pPr>
        <w:pStyle w:val="2"/>
        <w:ind w:firstLine="640"/>
        <w:rPr>
          <w:rFonts w:ascii="Times New Roman" w:hAnsi="Times New Roman" w:eastAsia="仿宋" w:cs="Times New Roman"/>
          <w:color w:val="000000" w:themeColor="text1"/>
          <w:sz w:val="32"/>
          <w:szCs w:val="36"/>
          <w14:textFill>
            <w14:solidFill>
              <w14:schemeClr w14:val="tx1"/>
            </w14:solidFill>
          </w14:textFill>
        </w:rPr>
      </w:pPr>
      <w:r>
        <w:rPr>
          <w:rFonts w:ascii="Times New Roman" w:hAnsi="Times New Roman" w:eastAsia="仿宋" w:cs="Times New Roman"/>
          <w:color w:val="000000" w:themeColor="text1"/>
          <w:sz w:val="32"/>
          <w:szCs w:val="36"/>
          <w14:textFill>
            <w14:solidFill>
              <w14:schemeClr w14:val="tx1"/>
            </w14:solidFill>
          </w14:textFill>
        </w:rPr>
        <w:t>将教育配套作为智慧城吸引人才、留住人才的重要抓手</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加快推进核心区清华附中湾区学校</w:t>
      </w:r>
      <w:r>
        <w:rPr>
          <w:rFonts w:hint="eastAsia" w:ascii="Times New Roman" w:hAnsi="Times New Roman" w:eastAsia="仿宋" w:cs="Times New Roman"/>
          <w:color w:val="000000" w:themeColor="text1"/>
          <w:sz w:val="32"/>
          <w:szCs w:val="36"/>
          <w14:textFill>
            <w14:solidFill>
              <w14:schemeClr w14:val="tx1"/>
            </w14:solidFill>
          </w14:textFill>
        </w:rPr>
        <w:t>（二期）校区</w:t>
      </w:r>
      <w:r>
        <w:rPr>
          <w:rFonts w:ascii="Times New Roman" w:hAnsi="Times New Roman" w:eastAsia="仿宋" w:cs="Times New Roman"/>
          <w:color w:val="000000" w:themeColor="text1"/>
          <w:sz w:val="32"/>
          <w:szCs w:val="36"/>
          <w14:textFill>
            <w14:solidFill>
              <w14:schemeClr w14:val="tx1"/>
            </w14:solidFill>
          </w14:textFill>
        </w:rPr>
        <w:t>的建设工作，引进清华大学附属中学的优质教育资源，改善天河东部教育资源稀缺的状况。在智谷片区启动推进</w:t>
      </w:r>
      <w:r>
        <w:rPr>
          <w:rFonts w:hint="eastAsia" w:ascii="Times New Roman" w:hAnsi="Times New Roman" w:eastAsia="仿宋" w:cs="Times New Roman"/>
          <w:color w:val="000000" w:themeColor="text1"/>
          <w:sz w:val="32"/>
          <w:szCs w:val="36"/>
          <w14:textFill>
            <w14:solidFill>
              <w14:schemeClr w14:val="tx1"/>
            </w14:solidFill>
          </w14:textFill>
        </w:rPr>
        <w:t>悦景路北侧</w:t>
      </w:r>
      <w:r>
        <w:rPr>
          <w:rFonts w:ascii="Times New Roman" w:hAnsi="Times New Roman" w:eastAsia="仿宋" w:cs="Times New Roman"/>
          <w:color w:val="000000" w:themeColor="text1"/>
          <w:sz w:val="32"/>
          <w:szCs w:val="36"/>
          <w14:textFill>
            <w14:solidFill>
              <w14:schemeClr w14:val="tx1"/>
            </w14:solidFill>
          </w14:textFill>
        </w:rPr>
        <w:t>84班十二年一贯制学校、</w:t>
      </w:r>
      <w:r>
        <w:rPr>
          <w:rFonts w:hint="eastAsia" w:ascii="Times New Roman" w:hAnsi="Times New Roman" w:eastAsia="仿宋" w:cs="Times New Roman"/>
          <w:color w:val="000000" w:themeColor="text1"/>
          <w:sz w:val="32"/>
          <w:szCs w:val="36"/>
          <w14:textFill>
            <w14:solidFill>
              <w14:schemeClr w14:val="tx1"/>
            </w14:solidFill>
          </w14:textFill>
        </w:rPr>
        <w:t>健明四路</w:t>
      </w:r>
      <w:r>
        <w:rPr>
          <w:rFonts w:ascii="Times New Roman" w:hAnsi="Times New Roman" w:eastAsia="仿宋" w:cs="Times New Roman"/>
          <w:color w:val="000000" w:themeColor="text1"/>
          <w:sz w:val="32"/>
          <w:szCs w:val="36"/>
          <w14:textFill>
            <w14:solidFill>
              <w14:schemeClr w14:val="tx1"/>
            </w14:solidFill>
          </w14:textFill>
        </w:rPr>
        <w:t>45班九年一贯制学校以及小天鹅艺术中心等教育配套设施建设</w:t>
      </w:r>
      <w:r>
        <w:rPr>
          <w:rFonts w:hint="eastAsia" w:ascii="Times New Roman" w:hAnsi="Times New Roman" w:eastAsia="仿宋" w:cs="Times New Roman"/>
          <w:color w:val="000000" w:themeColor="text1"/>
          <w:sz w:val="32"/>
          <w:szCs w:val="36"/>
          <w14:textFill>
            <w14:solidFill>
              <w14:schemeClr w14:val="tx1"/>
            </w14:solidFill>
          </w14:textFill>
        </w:rPr>
        <w:t>，加快基础教育优质均衡发展</w:t>
      </w:r>
      <w:r>
        <w:rPr>
          <w:rFonts w:ascii="Times New Roman" w:hAnsi="Times New Roman" w:eastAsia="仿宋" w:cs="Times New Roman"/>
          <w:color w:val="000000" w:themeColor="text1"/>
          <w:sz w:val="32"/>
          <w:szCs w:val="36"/>
          <w14:textFill>
            <w14:solidFill>
              <w14:schemeClr w14:val="tx1"/>
            </w14:solidFill>
          </w14:textFill>
        </w:rPr>
        <w:t>。</w:t>
      </w:r>
      <w:r>
        <w:rPr>
          <w:rFonts w:hint="eastAsia" w:ascii="Times New Roman" w:hAnsi="Times New Roman" w:eastAsia="仿宋" w:cs="Times New Roman"/>
          <w:color w:val="000000" w:themeColor="text1"/>
          <w:sz w:val="32"/>
          <w:szCs w:val="36"/>
          <w14:textFill>
            <w14:solidFill>
              <w14:schemeClr w14:val="tx1"/>
            </w14:solidFill>
          </w14:textFill>
        </w:rPr>
        <w:t>积极引入外资建设广州国际妇儿医院，完善智谷高端医疗配套设施，打造国际合作竞争新优势。</w:t>
      </w:r>
      <w:r>
        <w:rPr>
          <w:rFonts w:ascii="Times New Roman" w:hAnsi="Times New Roman" w:eastAsia="仿宋" w:cs="Times New Roman"/>
          <w:color w:val="000000" w:themeColor="text1"/>
          <w:sz w:val="32"/>
          <w:szCs w:val="36"/>
          <w14:textFill>
            <w14:solidFill>
              <w14:schemeClr w14:val="tx1"/>
            </w14:solidFill>
          </w14:textFill>
        </w:rPr>
        <w:t>推进广州市中医医院新址建设工作，</w:t>
      </w:r>
      <w:r>
        <w:rPr>
          <w:rFonts w:hint="eastAsia" w:ascii="Times New Roman" w:hAnsi="Times New Roman" w:eastAsia="仿宋" w:cs="Times New Roman"/>
          <w:color w:val="000000" w:themeColor="text1"/>
          <w:sz w:val="32"/>
          <w:szCs w:val="36"/>
          <w14:textFill>
            <w14:solidFill>
              <w14:schemeClr w14:val="tx1"/>
            </w14:solidFill>
          </w14:textFill>
        </w:rPr>
        <w:t>加快推进天河区第二人民医院和口腔等医学科学中心（研究院）规划建设</w:t>
      </w:r>
      <w:r>
        <w:rPr>
          <w:rFonts w:ascii="Times New Roman" w:hAnsi="Times New Roman" w:eastAsia="仿宋" w:cs="Times New Roman"/>
          <w:color w:val="000000" w:themeColor="text1"/>
          <w:sz w:val="32"/>
          <w:szCs w:val="36"/>
          <w14:textFill>
            <w14:solidFill>
              <w14:schemeClr w14:val="tx1"/>
            </w14:solidFill>
          </w14:textFill>
        </w:rPr>
        <w:t>，全面提升智慧城医疗服务水平</w:t>
      </w:r>
      <w:r>
        <w:rPr>
          <w:rFonts w:hint="eastAsia" w:ascii="Times New Roman" w:hAnsi="Times New Roman" w:eastAsia="仿宋" w:cs="Times New Roman"/>
          <w:color w:val="000000" w:themeColor="text1"/>
          <w:sz w:val="32"/>
          <w:szCs w:val="36"/>
          <w14:textFill>
            <w14:solidFill>
              <w14:schemeClr w14:val="tx1"/>
            </w14:solidFill>
          </w14:textFill>
        </w:rPr>
        <w:t>，解决天河区东北部地区医疗资源缺乏问题</w:t>
      </w:r>
      <w:r>
        <w:rPr>
          <w:rFonts w:ascii="Times New Roman" w:hAnsi="Times New Roman" w:eastAsia="仿宋" w:cs="Times New Roman"/>
          <w:color w:val="000000" w:themeColor="text1"/>
          <w:sz w:val="32"/>
          <w:szCs w:val="36"/>
          <w14:textFill>
            <w14:solidFill>
              <w14:schemeClr w14:val="tx1"/>
            </w14:solidFill>
          </w14:textFill>
        </w:rPr>
        <w:t>。</w:t>
      </w:r>
      <w:r>
        <w:rPr>
          <w:rFonts w:hint="eastAsia" w:ascii="Times New Roman" w:hAnsi="Times New Roman" w:eastAsia="仿宋" w:cs="Times New Roman"/>
          <w:color w:val="000000" w:themeColor="text1"/>
          <w:sz w:val="32"/>
          <w:szCs w:val="36"/>
          <w14:textFill>
            <w14:solidFill>
              <w14:schemeClr w14:val="tx1"/>
            </w14:solidFill>
          </w14:textFill>
        </w:rPr>
        <w:t>高标准补齐基层公共卫生机构短板，逐步推进街道政府办社区卫生服务中心全覆盖，加快社区医院建设试点改革，打造高效便捷的“15分钟医疗圈”</w:t>
      </w:r>
      <w:r>
        <w:rPr>
          <w:rFonts w:ascii="Times New Roman" w:hAnsi="Times New Roman" w:eastAsia="仿宋" w:cs="Times New Roman"/>
          <w:color w:val="000000" w:themeColor="text1"/>
          <w:sz w:val="32"/>
          <w:szCs w:val="36"/>
          <w14:textFill>
            <w14:solidFill>
              <w14:schemeClr w14:val="tx1"/>
            </w14:solidFill>
          </w14:textFill>
        </w:rPr>
        <w:t>。</w:t>
      </w:r>
    </w:p>
    <w:p>
      <w:pPr>
        <w:pStyle w:val="2"/>
        <w:ind w:firstLine="643"/>
        <w:rPr>
          <w:rFonts w:ascii="Times New Roman" w:hAnsi="Times New Roman" w:eastAsia="仿宋" w:cs="Times New Roman"/>
          <w:b/>
          <w:bCs/>
          <w:color w:val="000000" w:themeColor="text1"/>
          <w:sz w:val="32"/>
          <w:szCs w:val="36"/>
          <w14:textFill>
            <w14:solidFill>
              <w14:schemeClr w14:val="tx1"/>
            </w14:solidFill>
          </w14:textFill>
        </w:rPr>
      </w:pPr>
      <w:r>
        <w:rPr>
          <w:rFonts w:ascii="Times New Roman" w:hAnsi="Times New Roman" w:eastAsia="仿宋" w:cs="Times New Roman"/>
          <w:b/>
          <w:bCs/>
          <w:color w:val="000000" w:themeColor="text1"/>
          <w:sz w:val="32"/>
          <w:szCs w:val="36"/>
          <w14:textFill>
            <w14:solidFill>
              <w14:schemeClr w14:val="tx1"/>
            </w14:solidFill>
          </w14:textFill>
        </w:rPr>
        <w:t>2、优化交通基础设施，提升通畅度</w:t>
      </w:r>
      <w:r>
        <w:rPr>
          <w:rFonts w:hint="eastAsia" w:ascii="Times New Roman" w:hAnsi="Times New Roman" w:eastAsia="仿宋" w:cs="Times New Roman"/>
          <w:b/>
          <w:bCs/>
          <w:color w:val="000000" w:themeColor="text1"/>
          <w:sz w:val="32"/>
          <w:szCs w:val="36"/>
          <w14:textFill>
            <w14:solidFill>
              <w14:schemeClr w14:val="tx1"/>
            </w14:solidFill>
          </w14:textFill>
        </w:rPr>
        <w:t>便捷性</w:t>
      </w:r>
    </w:p>
    <w:p>
      <w:pPr>
        <w:pStyle w:val="2"/>
        <w:ind w:firstLine="640"/>
        <w:rPr>
          <w:rFonts w:ascii="Times New Roman" w:hAnsi="Times New Roman" w:eastAsia="仿宋" w:cs="Times New Roman"/>
          <w:color w:val="000000" w:themeColor="text1"/>
          <w:sz w:val="32"/>
          <w:szCs w:val="36"/>
          <w14:textFill>
            <w14:solidFill>
              <w14:schemeClr w14:val="tx1"/>
            </w14:solidFill>
          </w14:textFill>
        </w:rPr>
      </w:pPr>
      <w:r>
        <w:rPr>
          <w:rFonts w:hint="eastAsia" w:ascii="Times New Roman" w:hAnsi="Times New Roman" w:eastAsia="仿宋" w:cs="Times New Roman"/>
          <w:color w:val="000000" w:themeColor="text1"/>
          <w:sz w:val="32"/>
          <w:szCs w:val="36"/>
          <w14:textFill>
            <w14:solidFill>
              <w14:schemeClr w14:val="tx1"/>
            </w14:solidFill>
          </w14:textFill>
        </w:rPr>
        <w:t>加快道路基础设施建设，力争形成“五横三纵”高快速路网络、“四横六纵”内部路网体系，实现快慢交通分离（即过境交通和进出交通分离），提高通达性和便捷性；</w:t>
      </w:r>
      <w:r>
        <w:rPr>
          <w:rFonts w:ascii="Times New Roman" w:hAnsi="Times New Roman" w:eastAsia="仿宋" w:cs="Times New Roman"/>
          <w:color w:val="000000" w:themeColor="text1"/>
          <w:sz w:val="32"/>
          <w:szCs w:val="36"/>
          <w14:textFill>
            <w14:solidFill>
              <w14:schemeClr w14:val="tx1"/>
            </w14:solidFill>
          </w14:textFill>
        </w:rPr>
        <w:t>全力推进</w:t>
      </w:r>
      <w:r>
        <w:rPr>
          <w:rFonts w:hint="eastAsia" w:ascii="Times New Roman" w:hAnsi="Times New Roman" w:eastAsia="仿宋" w:cs="Times New Roman"/>
          <w:color w:val="000000" w:themeColor="text1"/>
          <w:sz w:val="32"/>
          <w:szCs w:val="36"/>
          <w14:textFill>
            <w14:solidFill>
              <w14:schemeClr w14:val="tx1"/>
            </w14:solidFill>
          </w14:textFill>
        </w:rPr>
        <w:t>广汕公路和大观路快速化改造，</w:t>
      </w:r>
      <w:r>
        <w:rPr>
          <w:rFonts w:ascii="Times New Roman" w:hAnsi="Times New Roman" w:eastAsia="仿宋" w:cs="Times New Roman"/>
          <w:color w:val="000000" w:themeColor="text1"/>
          <w:sz w:val="32"/>
          <w:szCs w:val="36"/>
          <w14:textFill>
            <w14:solidFill>
              <w14:schemeClr w14:val="tx1"/>
            </w14:solidFill>
          </w14:textFill>
        </w:rPr>
        <w:t>华观路西段、火炉山隧道、车陂路北延线、黄云路、珠吉路</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悦景路、天坤三路、健明六路等主干路网和黄村大道、奥体南路、大观街、棠德路等次干道路建设</w:t>
      </w:r>
      <w:r>
        <w:rPr>
          <w:rFonts w:hint="eastAsia" w:ascii="Times New Roman" w:hAnsi="Times New Roman" w:eastAsia="仿宋" w:cs="Times New Roman"/>
          <w:color w:val="000000" w:themeColor="text1"/>
          <w:sz w:val="32"/>
          <w:szCs w:val="36"/>
          <w14:textFill>
            <w14:solidFill>
              <w14:schemeClr w14:val="tx1"/>
            </w14:solidFill>
          </w14:textFill>
        </w:rPr>
        <w:t>，围绕软件园、车管所及智创中心站，高标准建设次支路，提升路网密度，强化重大平台互联互通；依托立交节点建设、公交优化、停车改善等提升道路交通组织，缓解交通拥堵问题。完善轨道交通网络，优化公交站点线路，倡导公共交通出行，改善通行体验，努力</w:t>
      </w:r>
      <w:r>
        <w:rPr>
          <w:rFonts w:ascii="Times New Roman" w:hAnsi="Times New Roman" w:eastAsia="仿宋" w:cs="Times New Roman"/>
          <w:color w:val="000000" w:themeColor="text1"/>
          <w:sz w:val="32"/>
          <w:szCs w:val="36"/>
          <w14:textFill>
            <w14:solidFill>
              <w14:schemeClr w14:val="tx1"/>
            </w14:solidFill>
          </w14:textFill>
        </w:rPr>
        <w:t>争取轨道交通10号、29号、30号线在天河智慧城增设站点，推进城轨广佛环线项目建设，</w:t>
      </w:r>
      <w:r>
        <w:rPr>
          <w:rFonts w:hint="eastAsia" w:ascii="Times New Roman" w:hAnsi="Times New Roman" w:eastAsia="仿宋" w:cs="Times New Roman"/>
          <w:color w:val="000000" w:themeColor="text1"/>
          <w:sz w:val="32"/>
          <w:szCs w:val="36"/>
          <w14:textFill>
            <w14:solidFill>
              <w14:schemeClr w14:val="tx1"/>
            </w14:solidFill>
          </w14:textFill>
        </w:rPr>
        <w:t>积极推动广州市将地铁10号线东延线、19号线优先纳入前期研究和建设计划，</w:t>
      </w:r>
      <w:r>
        <w:rPr>
          <w:rFonts w:ascii="Times New Roman" w:hAnsi="Times New Roman" w:eastAsia="仿宋" w:cs="Times New Roman"/>
          <w:color w:val="000000" w:themeColor="text1"/>
          <w:sz w:val="32"/>
          <w:szCs w:val="36"/>
          <w14:textFill>
            <w14:solidFill>
              <w14:schemeClr w14:val="tx1"/>
            </w14:solidFill>
          </w14:textFill>
        </w:rPr>
        <w:t>研究推进</w:t>
      </w:r>
      <w:r>
        <w:rPr>
          <w:rFonts w:hint="eastAsia" w:ascii="Times New Roman" w:hAnsi="Times New Roman" w:eastAsia="仿宋" w:cs="Times New Roman"/>
          <w:color w:val="000000" w:themeColor="text1"/>
          <w:sz w:val="32"/>
          <w:szCs w:val="36"/>
          <w14:textFill>
            <w14:solidFill>
              <w14:schemeClr w14:val="tx1"/>
            </w14:solidFill>
          </w14:textFill>
        </w:rPr>
        <w:t>智慧湖地铁站公交总站和</w:t>
      </w:r>
      <w:r>
        <w:rPr>
          <w:rFonts w:ascii="Times New Roman" w:hAnsi="Times New Roman" w:eastAsia="仿宋" w:cs="Times New Roman"/>
          <w:color w:val="000000" w:themeColor="text1"/>
          <w:sz w:val="32"/>
          <w:szCs w:val="36"/>
          <w14:textFill>
            <w14:solidFill>
              <w14:schemeClr w14:val="tx1"/>
            </w14:solidFill>
          </w14:textFill>
        </w:rPr>
        <w:t>天河政务中心公交总站建设，建设天河政务中心公共停车场。</w:t>
      </w:r>
      <w:r>
        <w:rPr>
          <w:rFonts w:hint="eastAsia" w:ascii="Times New Roman" w:hAnsi="Times New Roman" w:eastAsia="仿宋" w:cs="Times New Roman"/>
          <w:color w:val="000000" w:themeColor="text1"/>
          <w:sz w:val="32"/>
          <w:szCs w:val="36"/>
          <w14:textFill>
            <w14:solidFill>
              <w14:schemeClr w14:val="tx1"/>
            </w14:solidFill>
          </w14:textFill>
        </w:rPr>
        <w:t>大力发展慢性系统，改善慢行环境，优化自行车停车点、调整道路断面、整治畸形路口、打通断头路等方式，为步行、骑行提速。</w:t>
      </w:r>
      <w:r>
        <w:rPr>
          <w:rFonts w:ascii="Times New Roman" w:hAnsi="Times New Roman" w:eastAsia="仿宋" w:cs="Times New Roman"/>
          <w:color w:val="000000" w:themeColor="text1"/>
          <w:sz w:val="32"/>
          <w:szCs w:val="36"/>
          <w14:textFill>
            <w14:solidFill>
              <w14:schemeClr w14:val="tx1"/>
            </w14:solidFill>
          </w14:textFill>
        </w:rPr>
        <w:t>加强智慧城交通管理，</w:t>
      </w:r>
      <w:r>
        <w:rPr>
          <w:rFonts w:hint="eastAsia" w:ascii="Times New Roman" w:hAnsi="Times New Roman" w:eastAsia="仿宋" w:cs="Times New Roman"/>
          <w:color w:val="000000" w:themeColor="text1"/>
          <w:sz w:val="32"/>
          <w:szCs w:val="36"/>
          <w14:textFill>
            <w14:solidFill>
              <w14:schemeClr w14:val="tx1"/>
            </w14:solidFill>
          </w14:textFill>
        </w:rPr>
        <w:t>规范化、清晰化交通标识指引</w:t>
      </w:r>
      <w:r>
        <w:rPr>
          <w:rFonts w:ascii="Times New Roman" w:hAnsi="Times New Roman" w:eastAsia="仿宋" w:cs="Times New Roman"/>
          <w:color w:val="000000" w:themeColor="text1"/>
          <w:sz w:val="32"/>
          <w:szCs w:val="36"/>
          <w14:textFill>
            <w14:solidFill>
              <w14:schemeClr w14:val="tx1"/>
            </w14:solidFill>
          </w14:textFill>
        </w:rPr>
        <w:t>，</w:t>
      </w:r>
      <w:r>
        <w:rPr>
          <w:rFonts w:hint="eastAsia" w:ascii="Times New Roman" w:hAnsi="Times New Roman" w:eastAsia="仿宋" w:cs="Times New Roman"/>
          <w:color w:val="000000" w:themeColor="text1"/>
          <w:sz w:val="32"/>
          <w:szCs w:val="36"/>
          <w14:textFill>
            <w14:solidFill>
              <w14:schemeClr w14:val="tx1"/>
            </w14:solidFill>
          </w14:textFill>
        </w:rPr>
        <w:t>实现路况即时监测和调整，提高科学调度水平，</w:t>
      </w:r>
      <w:r>
        <w:rPr>
          <w:rFonts w:ascii="Times New Roman" w:hAnsi="Times New Roman" w:eastAsia="仿宋" w:cs="Times New Roman"/>
          <w:color w:val="000000" w:themeColor="text1"/>
          <w:sz w:val="32"/>
          <w:szCs w:val="36"/>
          <w14:textFill>
            <w14:solidFill>
              <w14:schemeClr w14:val="tx1"/>
            </w14:solidFill>
          </w14:textFill>
        </w:rPr>
        <w:t>对交通拥堵、停车困难、违章肇事增多以及施工建设路段等造成</w:t>
      </w:r>
      <w:r>
        <w:rPr>
          <w:rFonts w:hint="eastAsia" w:ascii="Times New Roman" w:hAnsi="Times New Roman" w:eastAsia="仿宋" w:cs="Times New Roman"/>
          <w:color w:val="000000" w:themeColor="text1"/>
          <w:sz w:val="32"/>
          <w:szCs w:val="36"/>
          <w14:textFill>
            <w14:solidFill>
              <w14:schemeClr w14:val="tx1"/>
            </w14:solidFill>
          </w14:textFill>
        </w:rPr>
        <w:t>的</w:t>
      </w:r>
      <w:r>
        <w:rPr>
          <w:rFonts w:ascii="Times New Roman" w:hAnsi="Times New Roman" w:eastAsia="仿宋" w:cs="Times New Roman"/>
          <w:color w:val="000000" w:themeColor="text1"/>
          <w:sz w:val="32"/>
          <w:szCs w:val="36"/>
          <w14:textFill>
            <w14:solidFill>
              <w14:schemeClr w14:val="tx1"/>
            </w14:solidFill>
          </w14:textFill>
        </w:rPr>
        <w:t>拥堵问题</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通过优化道路交通秩序</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加强交通管理手段</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提高道路利用率。</w:t>
      </w:r>
    </w:p>
    <w:p>
      <w:pPr>
        <w:pStyle w:val="2"/>
        <w:ind w:firstLine="643"/>
        <w:rPr>
          <w:rFonts w:ascii="Times New Roman" w:hAnsi="Times New Roman" w:eastAsia="仿宋" w:cs="Times New Roman"/>
          <w:b/>
          <w:bCs/>
          <w:color w:val="000000" w:themeColor="text1"/>
          <w:sz w:val="32"/>
          <w:szCs w:val="36"/>
          <w14:textFill>
            <w14:solidFill>
              <w14:schemeClr w14:val="tx1"/>
            </w14:solidFill>
          </w14:textFill>
        </w:rPr>
      </w:pPr>
      <w:r>
        <w:rPr>
          <w:rFonts w:ascii="Times New Roman" w:hAnsi="Times New Roman" w:eastAsia="仿宋" w:cs="Times New Roman"/>
          <w:b/>
          <w:bCs/>
          <w:color w:val="000000" w:themeColor="text1"/>
          <w:sz w:val="32"/>
          <w:szCs w:val="36"/>
          <w14:textFill>
            <w14:solidFill>
              <w14:schemeClr w14:val="tx1"/>
            </w14:solidFill>
          </w14:textFill>
        </w:rPr>
        <w:t>3、加强居住配套建设，提高</w:t>
      </w:r>
      <w:r>
        <w:rPr>
          <w:rFonts w:hint="eastAsia" w:ascii="Times New Roman" w:hAnsi="Times New Roman" w:eastAsia="仿宋" w:cs="Times New Roman"/>
          <w:b/>
          <w:bCs/>
          <w:color w:val="000000" w:themeColor="text1"/>
          <w:sz w:val="32"/>
          <w:szCs w:val="36"/>
          <w14:textFill>
            <w14:solidFill>
              <w14:schemeClr w14:val="tx1"/>
            </w14:solidFill>
          </w14:textFill>
        </w:rPr>
        <w:t>城市功能</w:t>
      </w:r>
      <w:r>
        <w:rPr>
          <w:rFonts w:ascii="Times New Roman" w:hAnsi="Times New Roman" w:eastAsia="仿宋" w:cs="Times New Roman"/>
          <w:b/>
          <w:bCs/>
          <w:color w:val="000000" w:themeColor="text1"/>
          <w:sz w:val="32"/>
          <w:szCs w:val="36"/>
          <w14:textFill>
            <w14:solidFill>
              <w14:schemeClr w14:val="tx1"/>
            </w14:solidFill>
          </w14:textFill>
        </w:rPr>
        <w:t>支撑力</w:t>
      </w:r>
    </w:p>
    <w:p>
      <w:pPr>
        <w:ind w:firstLine="640" w:firstLineChars="200"/>
        <w:rPr>
          <w:rFonts w:ascii="Times New Roman" w:hAnsi="Times New Roman" w:eastAsia="仿宋" w:cs="Times New Roman"/>
          <w:color w:val="000000" w:themeColor="text1"/>
          <w:sz w:val="32"/>
          <w:szCs w:val="36"/>
          <w14:textFill>
            <w14:solidFill>
              <w14:schemeClr w14:val="tx1"/>
            </w14:solidFill>
          </w14:textFill>
        </w:rPr>
      </w:pPr>
      <w:r>
        <w:rPr>
          <w:rFonts w:ascii="Times New Roman" w:hAnsi="Times New Roman" w:eastAsia="仿宋" w:cs="Times New Roman"/>
          <w:color w:val="000000" w:themeColor="text1"/>
          <w:sz w:val="32"/>
          <w:szCs w:val="36"/>
          <w14:textFill>
            <w14:solidFill>
              <w14:schemeClr w14:val="tx1"/>
            </w14:solidFill>
          </w14:textFill>
        </w:rPr>
        <w:t>加快智慧城生活居住配套建设</w:t>
      </w:r>
      <w:r>
        <w:rPr>
          <w:rFonts w:hint="eastAsia" w:ascii="Times New Roman" w:hAnsi="Times New Roman" w:eastAsia="仿宋" w:cs="Times New Roman"/>
          <w:color w:val="000000" w:themeColor="text1"/>
          <w:sz w:val="32"/>
          <w:szCs w:val="36"/>
          <w14:textFill>
            <w14:solidFill>
              <w14:schemeClr w14:val="tx1"/>
            </w14:solidFill>
          </w14:textFill>
        </w:rPr>
        <w:t>，实现产业功能、居住功能与配套服务功能协同平衡。</w:t>
      </w:r>
      <w:r>
        <w:rPr>
          <w:rFonts w:hint="eastAsia" w:ascii="Times New Roman" w:hAnsi="Times New Roman" w:eastAsia="仿宋" w:cs="Times New Roman"/>
          <w:color w:val="000000" w:themeColor="text1"/>
          <w:sz w:val="32"/>
          <w:szCs w:val="36"/>
          <w:shd w:val="clear" w:color="auto" w:fill="FFFFFF"/>
          <w14:textFill>
            <w14:solidFill>
              <w14:schemeClr w14:val="tx1"/>
            </w14:solidFill>
          </w14:textFill>
        </w:rPr>
        <w:t>重点聚焦</w:t>
      </w:r>
      <w:r>
        <w:rPr>
          <w:rFonts w:hint="eastAsia" w:ascii="Times New Roman" w:hAnsi="Times New Roman" w:eastAsia="仿宋" w:cs="Times New Roman"/>
          <w:color w:val="000000" w:themeColor="text1"/>
          <w:sz w:val="32"/>
          <w:szCs w:val="36"/>
          <w14:textFill>
            <w14:solidFill>
              <w14:schemeClr w14:val="tx1"/>
            </w14:solidFill>
          </w14:textFill>
        </w:rPr>
        <w:t>高唐新建区南部地块、育新街南侧储备地块、清华附中南侧储备地块、广汕路门户储备地块</w:t>
      </w:r>
      <w:r>
        <w:rPr>
          <w:rFonts w:ascii="Times New Roman" w:hAnsi="Times New Roman" w:eastAsia="仿宋" w:cs="Times New Roman"/>
          <w:color w:val="000000" w:themeColor="text1"/>
          <w:sz w:val="32"/>
          <w:szCs w:val="36"/>
          <w14:textFill>
            <w14:solidFill>
              <w14:schemeClr w14:val="tx1"/>
            </w14:solidFill>
          </w14:textFill>
        </w:rPr>
        <w:t>的出让和开发建设工作</w:t>
      </w:r>
      <w:r>
        <w:rPr>
          <w:rFonts w:hint="eastAsia" w:ascii="Times New Roman" w:hAnsi="Times New Roman" w:eastAsia="仿宋" w:cs="Times New Roman"/>
          <w:color w:val="000000" w:themeColor="text1"/>
          <w:sz w:val="32"/>
          <w:szCs w:val="36"/>
          <w14:textFill>
            <w14:solidFill>
              <w14:schemeClr w14:val="tx1"/>
            </w14:solidFill>
          </w14:textFill>
        </w:rPr>
        <w:t>，加大增量缓解居住用房和公共服务设施项目供给不足的问题；引导一批具备条件的村集体物业进行公寓化改造，探索引进品牌公寓运营商，增强优质住宿资源供给</w:t>
      </w:r>
      <w:r>
        <w:rPr>
          <w:rFonts w:ascii="Times New Roman" w:hAnsi="Times New Roman" w:eastAsia="仿宋" w:cs="Times New Roman"/>
          <w:color w:val="000000" w:themeColor="text1"/>
          <w:sz w:val="32"/>
          <w:szCs w:val="36"/>
          <w14:textFill>
            <w14:solidFill>
              <w14:schemeClr w14:val="tx1"/>
            </w14:solidFill>
          </w14:textFill>
        </w:rPr>
        <w:t>。</w:t>
      </w:r>
      <w:r>
        <w:rPr>
          <w:rFonts w:hint="eastAsia" w:ascii="Times New Roman" w:hAnsi="Times New Roman" w:eastAsia="仿宋" w:cs="Times New Roman"/>
          <w:color w:val="000000" w:themeColor="text1"/>
          <w:sz w:val="32"/>
          <w:szCs w:val="36"/>
          <w14:textFill>
            <w14:solidFill>
              <w14:schemeClr w14:val="tx1"/>
            </w14:solidFill>
          </w14:textFill>
        </w:rPr>
        <w:t>加快公共服务设施和生活服务设施补短板力度，</w:t>
      </w:r>
      <w:r>
        <w:rPr>
          <w:rFonts w:ascii="Times New Roman" w:hAnsi="Times New Roman" w:eastAsia="仿宋" w:cs="Times New Roman"/>
          <w:color w:val="000000" w:themeColor="text1"/>
          <w:sz w:val="32"/>
          <w:szCs w:val="36"/>
          <w14:textFill>
            <w14:solidFill>
              <w14:schemeClr w14:val="tx1"/>
            </w14:solidFill>
          </w14:textFill>
        </w:rPr>
        <w:t>完善文体、</w:t>
      </w:r>
      <w:r>
        <w:rPr>
          <w:rFonts w:hint="eastAsia" w:ascii="Times New Roman" w:hAnsi="Times New Roman" w:eastAsia="仿宋" w:cs="Times New Roman"/>
          <w:color w:val="000000" w:themeColor="text1"/>
          <w:sz w:val="32"/>
          <w:szCs w:val="36"/>
          <w14:textFill>
            <w14:solidFill>
              <w14:schemeClr w14:val="tx1"/>
            </w14:solidFill>
          </w14:textFill>
        </w:rPr>
        <w:t>娱乐、</w:t>
      </w:r>
      <w:r>
        <w:rPr>
          <w:rFonts w:ascii="Times New Roman" w:hAnsi="Times New Roman" w:eastAsia="仿宋" w:cs="Times New Roman"/>
          <w:color w:val="000000" w:themeColor="text1"/>
          <w:sz w:val="32"/>
          <w:szCs w:val="36"/>
          <w14:textFill>
            <w14:solidFill>
              <w14:schemeClr w14:val="tx1"/>
            </w14:solidFill>
          </w14:textFill>
        </w:rPr>
        <w:t>商业、餐饮、金融、集贸市场、便民店</w:t>
      </w:r>
      <w:r>
        <w:rPr>
          <w:rFonts w:hint="eastAsia" w:ascii="Times New Roman" w:hAnsi="Times New Roman" w:eastAsia="仿宋" w:cs="Times New Roman"/>
          <w:color w:val="000000" w:themeColor="text1"/>
          <w:sz w:val="32"/>
          <w:szCs w:val="36"/>
          <w14:textFill>
            <w14:solidFill>
              <w14:schemeClr w14:val="tx1"/>
            </w14:solidFill>
          </w14:textFill>
        </w:rPr>
        <w:t>、社会保障、社区公共服务</w:t>
      </w:r>
      <w:r>
        <w:rPr>
          <w:rFonts w:ascii="Times New Roman" w:hAnsi="Times New Roman" w:eastAsia="仿宋" w:cs="Times New Roman"/>
          <w:color w:val="000000" w:themeColor="text1"/>
          <w:sz w:val="32"/>
          <w:szCs w:val="36"/>
          <w14:textFill>
            <w14:solidFill>
              <w14:schemeClr w14:val="tx1"/>
            </w14:solidFill>
          </w14:textFill>
        </w:rPr>
        <w:t>等基本社区服务供给，从便利性及供应时长上全面提升基本生活配套水平。优化供水供电、污水处理、垃圾处理等基础配套设施建设，全力提升社区综合管理服务能力。</w:t>
      </w:r>
    </w:p>
    <w:p>
      <w:pPr>
        <w:pStyle w:val="2"/>
        <w:ind w:firstLine="643"/>
        <w:rPr>
          <w:rFonts w:ascii="Times New Roman" w:hAnsi="Times New Roman" w:eastAsia="仿宋" w:cs="Times New Roman"/>
          <w:b/>
          <w:bCs/>
          <w:color w:val="000000" w:themeColor="text1"/>
          <w:sz w:val="32"/>
          <w:szCs w:val="36"/>
          <w14:textFill>
            <w14:solidFill>
              <w14:schemeClr w14:val="tx1"/>
            </w14:solidFill>
          </w14:textFill>
        </w:rPr>
      </w:pPr>
      <w:r>
        <w:rPr>
          <w:rFonts w:ascii="Times New Roman" w:hAnsi="Times New Roman" w:eastAsia="仿宋" w:cs="Times New Roman"/>
          <w:b/>
          <w:bCs/>
          <w:color w:val="000000" w:themeColor="text1"/>
          <w:sz w:val="32"/>
          <w:szCs w:val="36"/>
          <w14:textFill>
            <w14:solidFill>
              <w14:schemeClr w14:val="tx1"/>
            </w14:solidFill>
          </w14:textFill>
        </w:rPr>
        <w:t>4、提升生态环境</w:t>
      </w:r>
      <w:r>
        <w:rPr>
          <w:rFonts w:hint="eastAsia" w:ascii="Times New Roman" w:hAnsi="Times New Roman" w:eastAsia="仿宋" w:cs="Times New Roman"/>
          <w:b/>
          <w:bCs/>
          <w:color w:val="000000" w:themeColor="text1"/>
          <w:sz w:val="32"/>
          <w:szCs w:val="36"/>
          <w14:textFill>
            <w14:solidFill>
              <w14:schemeClr w14:val="tx1"/>
            </w14:solidFill>
          </w14:textFill>
        </w:rPr>
        <w:t>品质</w:t>
      </w:r>
      <w:r>
        <w:rPr>
          <w:rFonts w:ascii="Times New Roman" w:hAnsi="Times New Roman" w:eastAsia="仿宋" w:cs="Times New Roman"/>
          <w:b/>
          <w:bCs/>
          <w:color w:val="000000" w:themeColor="text1"/>
          <w:sz w:val="32"/>
          <w:szCs w:val="36"/>
          <w14:textFill>
            <w14:solidFill>
              <w14:schemeClr w14:val="tx1"/>
            </w14:solidFill>
          </w14:textFill>
        </w:rPr>
        <w:t>，强化绿色低碳发展</w:t>
      </w:r>
    </w:p>
    <w:p>
      <w:pPr>
        <w:pStyle w:val="2"/>
        <w:ind w:firstLine="640"/>
        <w:rPr>
          <w:rFonts w:ascii="Times New Roman" w:hAnsi="Times New Roman" w:eastAsia="仿宋" w:cs="Times New Roman"/>
          <w:b/>
          <w:bCs/>
          <w:color w:val="000000" w:themeColor="text1"/>
          <w:sz w:val="32"/>
          <w:szCs w:val="36"/>
          <w14:textFill>
            <w14:solidFill>
              <w14:schemeClr w14:val="tx1"/>
            </w14:solidFill>
          </w14:textFill>
        </w:rPr>
      </w:pPr>
      <w:r>
        <w:rPr>
          <w:rFonts w:ascii="Times New Roman" w:hAnsi="Times New Roman" w:eastAsia="仿宋" w:cs="Times New Roman"/>
          <w:color w:val="000000" w:themeColor="text1"/>
          <w:sz w:val="32"/>
          <w:szCs w:val="36"/>
          <w14:textFill>
            <w14:solidFill>
              <w14:schemeClr w14:val="tx1"/>
            </w14:solidFill>
          </w14:textFill>
        </w:rPr>
        <w:t>开展火炉山森林公园及各类城市公园、绿道、道路景观及防护绿地规划建设</w:t>
      </w:r>
      <w:r>
        <w:rPr>
          <w:rFonts w:hint="eastAsia" w:ascii="Times New Roman" w:hAnsi="Times New Roman" w:eastAsia="仿宋" w:cs="Times New Roman"/>
          <w:color w:val="000000" w:themeColor="text1"/>
          <w:sz w:val="32"/>
          <w:szCs w:val="36"/>
          <w14:textFill>
            <w14:solidFill>
              <w14:schemeClr w14:val="tx1"/>
            </w14:solidFill>
          </w14:textFill>
        </w:rPr>
        <w:t>，提升居民获得感、幸福感。高标准推动火炉山三大入口整治、火炉山景观道路与林相改造、智慧云道二期建设，提升市民健身休闲体验。</w:t>
      </w:r>
      <w:r>
        <w:rPr>
          <w:rFonts w:ascii="Times New Roman" w:hAnsi="Times New Roman" w:eastAsia="仿宋" w:cs="Times New Roman"/>
          <w:color w:val="000000" w:themeColor="text1"/>
          <w:sz w:val="32"/>
          <w:szCs w:val="36"/>
          <w14:textFill>
            <w14:solidFill>
              <w14:schemeClr w14:val="tx1"/>
            </w14:solidFill>
          </w14:textFill>
        </w:rPr>
        <w:t>重点推动高塘石公园、科韵路门户公园</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广汕路沿线绿带公园、大观路门户公园、华观路中轴公园、文化体育公园等环境景观工程建设，打造四季有景的城市大道。规划建设车陂涌</w:t>
      </w:r>
      <w:r>
        <w:rPr>
          <w:rFonts w:hint="eastAsia" w:ascii="Times New Roman" w:hAnsi="Times New Roman" w:eastAsia="仿宋" w:cs="Times New Roman"/>
          <w:color w:val="000000" w:themeColor="text1"/>
          <w:sz w:val="32"/>
          <w:szCs w:val="36"/>
          <w14:textFill>
            <w14:solidFill>
              <w14:schemeClr w14:val="tx1"/>
            </w14:solidFill>
          </w14:textFill>
        </w:rPr>
        <w:t>北段改造提升</w:t>
      </w:r>
      <w:r>
        <w:rPr>
          <w:rFonts w:ascii="Times New Roman" w:hAnsi="Times New Roman" w:eastAsia="仿宋" w:cs="Times New Roman"/>
          <w:color w:val="000000" w:themeColor="text1"/>
          <w:sz w:val="32"/>
          <w:szCs w:val="36"/>
          <w14:textFill>
            <w14:solidFill>
              <w14:schemeClr w14:val="tx1"/>
            </w14:solidFill>
          </w14:textFill>
        </w:rPr>
        <w:t>、马鞍山</w:t>
      </w:r>
      <w:r>
        <w:rPr>
          <w:rFonts w:hint="eastAsia" w:ascii="Times New Roman" w:hAnsi="Times New Roman" w:eastAsia="仿宋" w:cs="Times New Roman"/>
          <w:color w:val="000000" w:themeColor="text1"/>
          <w:sz w:val="32"/>
          <w:szCs w:val="36"/>
          <w14:textFill>
            <w14:solidFill>
              <w14:schemeClr w14:val="tx1"/>
            </w14:solidFill>
          </w14:textFill>
        </w:rPr>
        <w:t>分片区绿廊</w:t>
      </w:r>
      <w:r>
        <w:rPr>
          <w:rFonts w:ascii="Times New Roman" w:hAnsi="Times New Roman" w:eastAsia="仿宋" w:cs="Times New Roman"/>
          <w:color w:val="000000" w:themeColor="text1"/>
          <w:sz w:val="32"/>
          <w:szCs w:val="36"/>
          <w14:textFill>
            <w14:solidFill>
              <w14:schemeClr w14:val="tx1"/>
            </w14:solidFill>
          </w14:textFill>
        </w:rPr>
        <w:t>、</w:t>
      </w:r>
      <w:r>
        <w:rPr>
          <w:rFonts w:hint="eastAsia" w:ascii="Times New Roman" w:hAnsi="Times New Roman" w:eastAsia="仿宋" w:cs="Times New Roman"/>
          <w:color w:val="000000" w:themeColor="text1"/>
          <w:sz w:val="32"/>
          <w:szCs w:val="36"/>
          <w14:textFill>
            <w14:solidFill>
              <w14:schemeClr w14:val="tx1"/>
            </w14:solidFill>
          </w14:textFill>
        </w:rPr>
        <w:t>广棠分片区绿廊和</w:t>
      </w:r>
      <w:r>
        <w:rPr>
          <w:rFonts w:ascii="Times New Roman" w:hAnsi="Times New Roman" w:eastAsia="仿宋" w:cs="Times New Roman"/>
          <w:color w:val="000000" w:themeColor="text1"/>
          <w:sz w:val="32"/>
          <w:szCs w:val="36"/>
          <w14:textFill>
            <w14:solidFill>
              <w14:schemeClr w14:val="tx1"/>
            </w14:solidFill>
          </w14:textFill>
        </w:rPr>
        <w:t>奥体</w:t>
      </w:r>
      <w:r>
        <w:rPr>
          <w:rFonts w:hint="eastAsia" w:ascii="Times New Roman" w:hAnsi="Times New Roman" w:eastAsia="仿宋" w:cs="Times New Roman"/>
          <w:color w:val="000000" w:themeColor="text1"/>
          <w:sz w:val="32"/>
          <w:szCs w:val="36"/>
          <w14:textFill>
            <w14:solidFill>
              <w14:schemeClr w14:val="tx1"/>
            </w14:solidFill>
          </w14:textFill>
        </w:rPr>
        <w:t>周边分片区绿廊</w:t>
      </w:r>
      <w:r>
        <w:rPr>
          <w:rFonts w:ascii="Times New Roman" w:hAnsi="Times New Roman" w:eastAsia="仿宋" w:cs="Times New Roman"/>
          <w:color w:val="000000" w:themeColor="text1"/>
          <w:sz w:val="32"/>
          <w:szCs w:val="36"/>
          <w14:textFill>
            <w14:solidFill>
              <w14:schemeClr w14:val="tx1"/>
            </w14:solidFill>
          </w14:textFill>
        </w:rPr>
        <w:t>，打造亲水广场、休闲木栈道、登山步道及环山步道等设施。加大河涌整治力度，开展河湖水系连通与两岸碧道景观提升工程，优化提升车波涌、凤庄涌、杨梅河等水系环境，打造可碰触的绿廊水岸。联合区生态环境部门，探索开展低碳园区创建，编制绿色园区创建方案，加强可再生能源利用，推广绿色低碳建筑设计、低碳物流管理。全面推行企业清洁生产，加强能源梯级利用、水资源循环利用、废物交换利用、土地节约集约利用，促进循环经济发展。</w:t>
      </w:r>
    </w:p>
    <w:p>
      <w:pPr>
        <w:pStyle w:val="2"/>
        <w:ind w:firstLine="643"/>
        <w:rPr>
          <w:rFonts w:ascii="Times New Roman" w:hAnsi="Times New Roman" w:eastAsia="仿宋" w:cs="Times New Roman"/>
          <w:b/>
          <w:bCs/>
          <w:color w:val="000000" w:themeColor="text1"/>
          <w:sz w:val="32"/>
          <w:szCs w:val="36"/>
          <w14:textFill>
            <w14:solidFill>
              <w14:schemeClr w14:val="tx1"/>
            </w14:solidFill>
          </w14:textFill>
        </w:rPr>
      </w:pPr>
      <w:r>
        <w:rPr>
          <w:rFonts w:ascii="Times New Roman" w:hAnsi="Times New Roman" w:eastAsia="仿宋" w:cs="Times New Roman"/>
          <w:b/>
          <w:bCs/>
          <w:color w:val="000000" w:themeColor="text1"/>
          <w:sz w:val="32"/>
          <w:szCs w:val="36"/>
          <w14:textFill>
            <w14:solidFill>
              <w14:schemeClr w14:val="tx1"/>
            </w14:solidFill>
          </w14:textFill>
        </w:rPr>
        <w:t>5、</w:t>
      </w:r>
      <w:r>
        <w:rPr>
          <w:rFonts w:hint="eastAsia" w:ascii="Times New Roman" w:hAnsi="Times New Roman" w:eastAsia="仿宋" w:cs="Times New Roman"/>
          <w:b/>
          <w:bCs/>
          <w:color w:val="000000" w:themeColor="text1"/>
          <w:sz w:val="32"/>
          <w:szCs w:val="36"/>
          <w14:textFill>
            <w14:solidFill>
              <w14:schemeClr w14:val="tx1"/>
            </w14:solidFill>
          </w14:textFill>
        </w:rPr>
        <w:t>强化品牌形象宣传</w:t>
      </w:r>
      <w:r>
        <w:rPr>
          <w:rFonts w:ascii="Times New Roman" w:hAnsi="Times New Roman" w:eastAsia="仿宋" w:cs="Times New Roman"/>
          <w:b/>
          <w:bCs/>
          <w:color w:val="000000" w:themeColor="text1"/>
          <w:sz w:val="32"/>
          <w:szCs w:val="36"/>
          <w14:textFill>
            <w14:solidFill>
              <w14:schemeClr w14:val="tx1"/>
            </w14:solidFill>
          </w14:textFill>
        </w:rPr>
        <w:t>，提升</w:t>
      </w:r>
      <w:r>
        <w:rPr>
          <w:rFonts w:hint="eastAsia" w:ascii="Times New Roman" w:hAnsi="Times New Roman" w:eastAsia="仿宋" w:cs="Times New Roman"/>
          <w:b/>
          <w:bCs/>
          <w:color w:val="000000" w:themeColor="text1"/>
          <w:sz w:val="32"/>
          <w:szCs w:val="36"/>
          <w14:textFill>
            <w14:solidFill>
              <w14:schemeClr w14:val="tx1"/>
            </w14:solidFill>
          </w14:textFill>
        </w:rPr>
        <w:t>知名度影响力</w:t>
      </w:r>
    </w:p>
    <w:p>
      <w:pPr>
        <w:pStyle w:val="2"/>
        <w:ind w:firstLine="640"/>
        <w:rPr>
          <w:rFonts w:ascii="Times New Roman" w:hAnsi="Times New Roman" w:eastAsia="仿宋" w:cs="Times New Roman"/>
          <w:color w:val="000000" w:themeColor="text1"/>
          <w:sz w:val="32"/>
          <w:szCs w:val="36"/>
          <w14:textFill>
            <w14:solidFill>
              <w14:schemeClr w14:val="tx1"/>
            </w14:solidFill>
          </w14:textFill>
        </w:rPr>
      </w:pPr>
      <w:r>
        <w:rPr>
          <w:rFonts w:hint="eastAsia" w:ascii="Times New Roman" w:hAnsi="Times New Roman" w:eastAsia="仿宋" w:cs="Times New Roman"/>
          <w:color w:val="000000" w:themeColor="text1"/>
          <w:sz w:val="32"/>
          <w:szCs w:val="36"/>
          <w14:textFill>
            <w14:solidFill>
              <w14:schemeClr w14:val="tx1"/>
            </w14:solidFill>
          </w14:textFill>
        </w:rPr>
        <w:t>坚持产业发展与形象展示并重，深入挖掘“科创活力区”内涵，加大对内对外宣传，进一步全方位提升知名度和影响力。</w:t>
      </w:r>
      <w:r>
        <w:rPr>
          <w:rFonts w:ascii="Times New Roman" w:hAnsi="Times New Roman" w:eastAsia="仿宋" w:cs="Times New Roman"/>
          <w:color w:val="000000" w:themeColor="text1"/>
          <w:sz w:val="32"/>
          <w:szCs w:val="36"/>
          <w14:textFill>
            <w14:solidFill>
              <w14:schemeClr w14:val="tx1"/>
            </w14:solidFill>
          </w14:textFill>
        </w:rPr>
        <w:t>统筹推进智慧城整体标识系统规划建设，增强辨识度</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在珠吉路（东）、大观路（东）、广园路（南）、科韵路（西）、华观路（西）、广汕路（北）、高普路（北）等核心路段入口处建设天河智慧城大门标识，全面完善</w:t>
      </w:r>
      <w:r>
        <w:rPr>
          <w:rFonts w:hint="eastAsia" w:ascii="Times New Roman" w:hAnsi="Times New Roman" w:eastAsia="仿宋" w:cs="Times New Roman"/>
          <w:color w:val="000000" w:themeColor="text1"/>
          <w:sz w:val="32"/>
          <w:szCs w:val="36"/>
          <w14:textFill>
            <w14:solidFill>
              <w14:schemeClr w14:val="tx1"/>
            </w14:solidFill>
          </w14:textFill>
        </w:rPr>
        <w:t>道</w:t>
      </w:r>
      <w:r>
        <w:rPr>
          <w:rFonts w:ascii="Times New Roman" w:hAnsi="Times New Roman" w:eastAsia="仿宋" w:cs="Times New Roman"/>
          <w:color w:val="000000" w:themeColor="text1"/>
          <w:sz w:val="32"/>
          <w:szCs w:val="36"/>
          <w14:textFill>
            <w14:solidFill>
              <w14:schemeClr w14:val="tx1"/>
            </w14:solidFill>
          </w14:textFill>
        </w:rPr>
        <w:t>路指引标识、服务设施标识、形象标识、办公楼内大厅、走廊导示、公共服务设施标识、宣传栏、环境单元牌、功能单元牌等整体标识建设工作。深化</w:t>
      </w:r>
      <w:r>
        <w:rPr>
          <w:rFonts w:hint="eastAsia" w:ascii="Times New Roman" w:hAnsi="Times New Roman" w:eastAsia="仿宋" w:cs="Times New Roman"/>
          <w:color w:val="000000" w:themeColor="text1"/>
          <w:sz w:val="32"/>
          <w:szCs w:val="36"/>
          <w14:textFill>
            <w14:solidFill>
              <w14:schemeClr w14:val="tx1"/>
            </w14:solidFill>
          </w14:textFill>
        </w:rPr>
        <w:t>智慧城</w:t>
      </w:r>
      <w:r>
        <w:rPr>
          <w:rFonts w:ascii="Times New Roman" w:hAnsi="Times New Roman" w:eastAsia="仿宋" w:cs="Times New Roman"/>
          <w:color w:val="000000" w:themeColor="text1"/>
          <w:sz w:val="32"/>
          <w:szCs w:val="36"/>
          <w14:textFill>
            <w14:solidFill>
              <w14:schemeClr w14:val="tx1"/>
            </w14:solidFill>
          </w14:textFill>
        </w:rPr>
        <w:t>整体景观方案，对绿化、外立面装饰、路面铺装、公司招牌等进行统一优化升级，打造智慧特色突出、形象协调融合的整体景观体系。</w:t>
      </w:r>
      <w:r>
        <w:rPr>
          <w:rFonts w:hint="eastAsia" w:ascii="Times New Roman" w:hAnsi="Times New Roman" w:eastAsia="仿宋" w:cs="Times New Roman"/>
          <w:color w:val="000000" w:themeColor="text1"/>
          <w:sz w:val="32"/>
          <w:szCs w:val="36"/>
          <w14:textFill>
            <w14:solidFill>
              <w14:schemeClr w14:val="tx1"/>
            </w14:solidFill>
          </w14:textFill>
        </w:rPr>
        <w:t>利用达沃斯论坛、中国发展高层论坛、广州国际投资年会、中国互联网协会、中国人工智能产业创新联盟等高端平台，以及细分领域研讨交流会、产品展示交易会、论坛、赛事等专业平台，加强智慧城整体形象宣传推广。探索推出形象宣传片、品牌推广语、吉祥物、标志性景观等，提升品牌形象、传播力和影响力。</w:t>
      </w:r>
    </w:p>
    <w:p>
      <w:pPr>
        <w:pStyle w:val="4"/>
        <w:rPr>
          <w:color w:val="000000" w:themeColor="text1"/>
          <w14:textFill>
            <w14:solidFill>
              <w14:schemeClr w14:val="tx1"/>
            </w14:solidFill>
          </w14:textFill>
        </w:rPr>
      </w:pPr>
      <w:r>
        <w:fldChar w:fldCharType="begin"/>
      </w:r>
      <w:r>
        <w:instrText xml:space="preserve"> HYPERLINK \l "_Toc16669" </w:instrText>
      </w:r>
      <w:r>
        <w:fldChar w:fldCharType="separate"/>
      </w:r>
      <w:bookmarkStart w:id="44" w:name="_Toc89358670"/>
      <w:r>
        <w:rPr>
          <w:color w:val="000000" w:themeColor="text1"/>
          <w14:textFill>
            <w14:solidFill>
              <w14:schemeClr w14:val="tx1"/>
            </w14:solidFill>
          </w14:textFill>
        </w:rPr>
        <w:t>（二）实施招商引资强化工程，注入强劲发展动能</w:t>
      </w:r>
      <w:bookmarkEnd w:id="44"/>
      <w:r>
        <w:rPr>
          <w:color w:val="000000" w:themeColor="text1"/>
          <w14:textFill>
            <w14:solidFill>
              <w14:schemeClr w14:val="tx1"/>
            </w14:solidFill>
          </w14:textFill>
        </w:rPr>
        <w:fldChar w:fldCharType="end"/>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在区招商引资和企业服务工作领导小组的指导下，以新一代信息技术、文化创意、</w:t>
      </w:r>
      <w:r>
        <w:rPr>
          <w:rFonts w:ascii="Times New Roman" w:hAnsi="Times New Roman" w:eastAsia="仿宋_GB2312" w:cs="Times New Roman"/>
          <w:color w:val="000000" w:themeColor="text1"/>
          <w:spacing w:val="8"/>
          <w:sz w:val="32"/>
          <w:szCs w:val="32"/>
          <w14:textFill>
            <w14:solidFill>
              <w14:schemeClr w14:val="tx1"/>
            </w14:solidFill>
          </w14:textFill>
        </w:rPr>
        <w:t>人工智能、生物医药等科技型企业、高成长性优质企业</w:t>
      </w:r>
      <w:r>
        <w:rPr>
          <w:rFonts w:ascii="Times New Roman" w:hAnsi="Times New Roman" w:eastAsia="仿宋" w:cs="Times New Roman"/>
          <w:color w:val="000000" w:themeColor="text1"/>
          <w:sz w:val="32"/>
          <w:szCs w:val="32"/>
          <w14:textFill>
            <w14:solidFill>
              <w14:schemeClr w14:val="tx1"/>
            </w14:solidFill>
          </w14:textFill>
        </w:rPr>
        <w:t>为重点，加快推进招商引资</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坚持对外招引和对内</w:t>
      </w:r>
      <w:r>
        <w:rPr>
          <w:rFonts w:hint="eastAsia" w:ascii="Times New Roman" w:hAnsi="Times New Roman" w:eastAsia="仿宋" w:cs="Times New Roman"/>
          <w:color w:val="000000" w:themeColor="text1"/>
          <w:sz w:val="32"/>
          <w:szCs w:val="32"/>
          <w14:textFill>
            <w14:solidFill>
              <w14:schemeClr w14:val="tx1"/>
            </w14:solidFill>
          </w14:textFill>
        </w:rPr>
        <w:t>挖潜</w:t>
      </w:r>
      <w:r>
        <w:rPr>
          <w:rFonts w:ascii="Times New Roman" w:hAnsi="Times New Roman" w:eastAsia="仿宋" w:cs="Times New Roman"/>
          <w:color w:val="000000" w:themeColor="text1"/>
          <w:sz w:val="32"/>
          <w:szCs w:val="32"/>
          <w14:textFill>
            <w14:solidFill>
              <w14:schemeClr w14:val="tx1"/>
            </w14:solidFill>
          </w14:textFill>
        </w:rPr>
        <w:t>并重，对外开展靶向招商、以商引商和补链招商，对内聚焦增资扩产、缺少空间的存量优质企业，</w:t>
      </w:r>
      <w:r>
        <w:rPr>
          <w:rFonts w:hint="eastAsia" w:ascii="Times New Roman" w:hAnsi="Times New Roman" w:eastAsia="仿宋" w:cs="Times New Roman"/>
          <w:color w:val="000000" w:themeColor="text1"/>
          <w:sz w:val="32"/>
          <w:szCs w:val="32"/>
          <w14:textFill>
            <w14:solidFill>
              <w14:schemeClr w14:val="tx1"/>
            </w14:solidFill>
          </w14:textFill>
        </w:rPr>
        <w:t>融入全区“一盘棋”招商引资和企业服务工作格局，</w:t>
      </w:r>
      <w:r>
        <w:rPr>
          <w:rFonts w:ascii="Times New Roman" w:hAnsi="Times New Roman" w:eastAsia="仿宋" w:cs="Times New Roman"/>
          <w:color w:val="000000" w:themeColor="text1"/>
          <w:sz w:val="32"/>
          <w:szCs w:val="32"/>
          <w14:textFill>
            <w14:solidFill>
              <w14:schemeClr w14:val="tx1"/>
            </w14:solidFill>
          </w14:textFill>
        </w:rPr>
        <w:t>按照产业用地与重大项目相结合、即时见效与长远发展相结合的要求，大力优化招商引资项目服务，实现引进储备、落地建设、投产达产的有序衔接。</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hint="eastAsia" w:ascii="Times New Roman" w:hAnsi="Times New Roman" w:eastAsia="仿宋" w:cs="Times New Roman"/>
          <w:b/>
          <w:bCs/>
          <w:color w:val="000000" w:themeColor="text1"/>
          <w:sz w:val="32"/>
          <w:szCs w:val="32"/>
          <w14:textFill>
            <w14:solidFill>
              <w14:schemeClr w14:val="tx1"/>
            </w14:solidFill>
          </w14:textFill>
        </w:rPr>
        <w:t>1、坚持规划先行，统筹指导招商工作</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深入开展产业链研究，围绕“一主两翼两辅”产业体系，以稳链、补链、强链、延链、控链为目标，梳理重点招引产业环节和企业</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加强企业生命周期研究，摸清不同发展阶段的企业在资金、人才、空间等方面的个性化需求，结合招引企业现状，采用有针对性的招商引资方式和措施。建立动态招商引资目标库和项目储备库，分类分级</w:t>
      </w:r>
      <w:r>
        <w:rPr>
          <w:rFonts w:ascii="Times New Roman" w:hAnsi="Times New Roman" w:eastAsia="仿宋" w:cs="Times New Roman"/>
          <w:color w:val="000000" w:themeColor="text1"/>
          <w:sz w:val="32"/>
          <w:szCs w:val="32"/>
          <w14:textFill>
            <w14:solidFill>
              <w14:schemeClr w14:val="tx1"/>
            </w14:solidFill>
          </w14:textFill>
        </w:rPr>
        <w:t>梳理</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形成各年度招商企业目标清单</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以此为基础</w:t>
      </w:r>
      <w:r>
        <w:rPr>
          <w:rFonts w:hint="eastAsia" w:ascii="Times New Roman" w:hAnsi="Times New Roman" w:eastAsia="仿宋" w:cs="Times New Roman"/>
          <w:color w:val="000000" w:themeColor="text1"/>
          <w:sz w:val="32"/>
          <w:szCs w:val="32"/>
          <w14:textFill>
            <w14:solidFill>
              <w14:schemeClr w14:val="tx1"/>
            </w14:solidFill>
          </w14:textFill>
        </w:rPr>
        <w:t>，运用土地招商、载体招商、投资招商等多种方式，</w:t>
      </w:r>
      <w:r>
        <w:rPr>
          <w:rFonts w:ascii="Times New Roman" w:hAnsi="Times New Roman" w:eastAsia="仿宋" w:cs="Times New Roman"/>
          <w:color w:val="000000" w:themeColor="text1"/>
          <w:sz w:val="32"/>
          <w:szCs w:val="32"/>
          <w14:textFill>
            <w14:solidFill>
              <w14:schemeClr w14:val="tx1"/>
            </w14:solidFill>
          </w14:textFill>
        </w:rPr>
        <w:t>开展精准靶向招商。</w:t>
      </w:r>
    </w:p>
    <w:p>
      <w:pPr>
        <w:pStyle w:val="2"/>
        <w:ind w:firstLine="643"/>
        <w:rPr>
          <w:rFonts w:ascii="Times New Roman" w:hAnsi="Times New Roman" w:eastAsia="仿宋" w:cs="Times New Roman"/>
          <w:b/>
          <w:color w:val="000000" w:themeColor="text1"/>
          <w:sz w:val="32"/>
          <w:szCs w:val="32"/>
          <w14:textFill>
            <w14:solidFill>
              <w14:schemeClr w14:val="tx1"/>
            </w14:solidFill>
          </w14:textFill>
        </w:rPr>
      </w:pPr>
      <w:r>
        <w:rPr>
          <w:rFonts w:hint="eastAsia" w:ascii="Times New Roman" w:hAnsi="Times New Roman" w:eastAsia="仿宋" w:cs="Times New Roman"/>
          <w:b/>
          <w:color w:val="000000" w:themeColor="text1"/>
          <w:sz w:val="32"/>
          <w:szCs w:val="32"/>
          <w14:textFill>
            <w14:solidFill>
              <w14:schemeClr w14:val="tx1"/>
            </w14:solidFill>
          </w14:textFill>
        </w:rPr>
        <w:t>2</w:t>
      </w:r>
      <w:r>
        <w:rPr>
          <w:rFonts w:ascii="Times New Roman" w:hAnsi="Times New Roman" w:eastAsia="仿宋" w:cs="Times New Roman"/>
          <w:b/>
          <w:color w:val="000000" w:themeColor="text1"/>
          <w:sz w:val="32"/>
          <w:szCs w:val="32"/>
          <w14:textFill>
            <w14:solidFill>
              <w14:schemeClr w14:val="tx1"/>
            </w14:solidFill>
          </w14:textFill>
        </w:rPr>
        <w:t>、</w:t>
      </w:r>
      <w:r>
        <w:rPr>
          <w:rFonts w:hint="eastAsia" w:ascii="Times New Roman" w:hAnsi="Times New Roman" w:eastAsia="仿宋" w:cs="Times New Roman"/>
          <w:b/>
          <w:color w:val="000000" w:themeColor="text1"/>
          <w:sz w:val="32"/>
          <w:szCs w:val="32"/>
          <w14:textFill>
            <w14:solidFill>
              <w14:schemeClr w14:val="tx1"/>
            </w14:solidFill>
          </w14:textFill>
        </w:rPr>
        <w:t>用好</w:t>
      </w:r>
      <w:r>
        <w:rPr>
          <w:rFonts w:ascii="Times New Roman" w:hAnsi="Times New Roman" w:eastAsia="仿宋" w:cs="Times New Roman"/>
          <w:b/>
          <w:color w:val="000000" w:themeColor="text1"/>
          <w:sz w:val="32"/>
          <w:szCs w:val="32"/>
          <w14:textFill>
            <w14:solidFill>
              <w14:schemeClr w14:val="tx1"/>
            </w14:solidFill>
          </w14:textFill>
        </w:rPr>
        <w:t>楼宇和地块</w:t>
      </w:r>
      <w:r>
        <w:rPr>
          <w:rFonts w:hint="eastAsia" w:ascii="Times New Roman" w:hAnsi="Times New Roman" w:eastAsia="仿宋" w:cs="Times New Roman"/>
          <w:b/>
          <w:color w:val="000000" w:themeColor="text1"/>
          <w:sz w:val="32"/>
          <w:szCs w:val="32"/>
          <w14:textFill>
            <w14:solidFill>
              <w14:schemeClr w14:val="tx1"/>
            </w14:solidFill>
          </w14:textFill>
        </w:rPr>
        <w:t>资源</w:t>
      </w:r>
      <w:r>
        <w:rPr>
          <w:rFonts w:ascii="Times New Roman" w:hAnsi="Times New Roman" w:eastAsia="仿宋" w:cs="Times New Roman"/>
          <w:b/>
          <w:color w:val="000000" w:themeColor="text1"/>
          <w:sz w:val="32"/>
          <w:szCs w:val="32"/>
          <w14:textFill>
            <w14:solidFill>
              <w14:schemeClr w14:val="tx1"/>
            </w14:solidFill>
          </w14:textFill>
        </w:rPr>
        <w:t>，</w:t>
      </w:r>
      <w:r>
        <w:rPr>
          <w:rFonts w:hint="eastAsia" w:ascii="Times New Roman" w:hAnsi="Times New Roman" w:eastAsia="仿宋" w:cs="Times New Roman"/>
          <w:b/>
          <w:color w:val="000000" w:themeColor="text1"/>
          <w:sz w:val="32"/>
          <w:szCs w:val="32"/>
          <w14:textFill>
            <w14:solidFill>
              <w14:schemeClr w14:val="tx1"/>
            </w14:solidFill>
          </w14:textFill>
        </w:rPr>
        <w:t>有效推动精准招商</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用好园区楼宇载体和可出让地块资源，凸显导向性和精准性，加快集聚一批战略性新兴产业的龙头项目和“链主”企业，为不同类型、发展阶段的企业提供差异化空间资源。</w:t>
      </w:r>
      <w:r>
        <w:rPr>
          <w:rFonts w:ascii="Times New Roman" w:hAnsi="Times New Roman" w:eastAsia="仿宋" w:cs="Times New Roman"/>
          <w:color w:val="000000" w:themeColor="text1"/>
          <w:sz w:val="32"/>
          <w:szCs w:val="32"/>
          <w14:textFill>
            <w14:solidFill>
              <w14:schemeClr w14:val="tx1"/>
            </w14:solidFill>
          </w14:textFill>
        </w:rPr>
        <w:t>全面梳理</w:t>
      </w:r>
      <w:r>
        <w:rPr>
          <w:rFonts w:hint="eastAsia" w:ascii="Times New Roman" w:hAnsi="Times New Roman" w:eastAsia="仿宋" w:cs="Times New Roman"/>
          <w:color w:val="000000" w:themeColor="text1"/>
          <w:sz w:val="32"/>
          <w:szCs w:val="32"/>
          <w14:textFill>
            <w14:solidFill>
              <w14:schemeClr w14:val="tx1"/>
            </w14:solidFill>
          </w14:textFill>
        </w:rPr>
        <w:t>园区</w:t>
      </w:r>
      <w:r>
        <w:rPr>
          <w:rFonts w:ascii="Times New Roman" w:hAnsi="Times New Roman" w:eastAsia="仿宋" w:cs="Times New Roman"/>
          <w:color w:val="000000" w:themeColor="text1"/>
          <w:sz w:val="32"/>
          <w:szCs w:val="32"/>
          <w14:textFill>
            <w14:solidFill>
              <w14:schemeClr w14:val="tx1"/>
            </w14:solidFill>
          </w14:textFill>
        </w:rPr>
        <w:t>楼宇</w:t>
      </w:r>
      <w:r>
        <w:rPr>
          <w:rFonts w:hint="eastAsia" w:ascii="Times New Roman" w:hAnsi="Times New Roman" w:eastAsia="仿宋" w:cs="Times New Roman"/>
          <w:color w:val="000000" w:themeColor="text1"/>
          <w:sz w:val="32"/>
          <w:szCs w:val="32"/>
          <w14:textFill>
            <w14:solidFill>
              <w14:schemeClr w14:val="tx1"/>
            </w14:solidFill>
          </w14:textFill>
        </w:rPr>
        <w:t>情况，构建</w:t>
      </w:r>
      <w:r>
        <w:rPr>
          <w:rFonts w:ascii="Times New Roman" w:hAnsi="Times New Roman" w:eastAsia="仿宋" w:cs="Times New Roman"/>
          <w:color w:val="000000" w:themeColor="text1"/>
          <w:sz w:val="32"/>
          <w:szCs w:val="32"/>
          <w14:textFill>
            <w14:solidFill>
              <w14:schemeClr w14:val="tx1"/>
            </w14:solidFill>
          </w14:textFill>
        </w:rPr>
        <w:t>楼宇信息</w:t>
      </w:r>
      <w:r>
        <w:rPr>
          <w:rFonts w:hint="eastAsia" w:ascii="Times New Roman" w:hAnsi="Times New Roman" w:eastAsia="仿宋" w:cs="Times New Roman"/>
          <w:color w:val="000000" w:themeColor="text1"/>
          <w:sz w:val="32"/>
          <w:szCs w:val="32"/>
          <w14:textFill>
            <w14:solidFill>
              <w14:schemeClr w14:val="tx1"/>
            </w14:solidFill>
          </w14:textFill>
        </w:rPr>
        <w:t>平台</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动态更新</w:t>
      </w:r>
      <w:r>
        <w:rPr>
          <w:rFonts w:ascii="Times New Roman" w:hAnsi="Times New Roman" w:eastAsia="仿宋" w:cs="Times New Roman"/>
          <w:color w:val="000000" w:themeColor="text1"/>
          <w:sz w:val="32"/>
          <w:szCs w:val="32"/>
          <w14:textFill>
            <w14:solidFill>
              <w14:schemeClr w14:val="tx1"/>
            </w14:solidFill>
          </w14:textFill>
        </w:rPr>
        <w:t>楼宇地理位置、</w:t>
      </w:r>
      <w:r>
        <w:rPr>
          <w:rFonts w:hint="eastAsia" w:ascii="Times New Roman" w:hAnsi="Times New Roman" w:eastAsia="仿宋" w:cs="Times New Roman"/>
          <w:color w:val="000000" w:themeColor="text1"/>
          <w:sz w:val="32"/>
          <w:szCs w:val="32"/>
          <w14:textFill>
            <w14:solidFill>
              <w14:schemeClr w14:val="tx1"/>
            </w14:solidFill>
          </w14:textFill>
        </w:rPr>
        <w:t>待租</w:t>
      </w:r>
      <w:r>
        <w:rPr>
          <w:rFonts w:ascii="Times New Roman" w:hAnsi="Times New Roman" w:eastAsia="仿宋" w:cs="Times New Roman"/>
          <w:color w:val="000000" w:themeColor="text1"/>
          <w:sz w:val="32"/>
          <w:szCs w:val="32"/>
          <w14:textFill>
            <w14:solidFill>
              <w14:schemeClr w14:val="tx1"/>
            </w14:solidFill>
          </w14:textFill>
        </w:rPr>
        <w:t>面积</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租金等</w:t>
      </w:r>
      <w:r>
        <w:rPr>
          <w:rFonts w:hint="eastAsia" w:ascii="Times New Roman" w:hAnsi="Times New Roman" w:eastAsia="仿宋" w:cs="Times New Roman"/>
          <w:color w:val="000000" w:themeColor="text1"/>
          <w:sz w:val="32"/>
          <w:szCs w:val="32"/>
          <w14:textFill>
            <w14:solidFill>
              <w14:schemeClr w14:val="tx1"/>
            </w14:solidFill>
          </w14:textFill>
        </w:rPr>
        <w:t>关键信息；做好楼宇经济统筹规划，系统性策划楼宇产业定位，指导各楼宇制定招商方向和招商门槛，实现楼宇招商“一盘棋”；研究制</w:t>
      </w:r>
      <w:r>
        <w:rPr>
          <w:rFonts w:ascii="仿宋_GB2312" w:eastAsia="仿宋_GB2312" w:cs="仿宋_GB2312"/>
          <w:sz w:val="32"/>
          <w:szCs w:val="32"/>
        </w:rPr>
        <w:t>定天河智慧城载体招商支持政策措施</w:t>
      </w:r>
      <w:r>
        <w:rPr>
          <w:rFonts w:hint="eastAsia" w:ascii="仿宋_GB2312" w:eastAsia="仿宋_GB2312" w:cs="仿宋_GB2312"/>
          <w:sz w:val="32"/>
          <w:szCs w:val="32"/>
        </w:rPr>
        <w:t>，</w:t>
      </w:r>
      <w:r>
        <w:rPr>
          <w:rFonts w:hint="eastAsia" w:ascii="Times New Roman" w:hAnsi="Times New Roman" w:eastAsia="仿宋" w:cs="Times New Roman"/>
          <w:color w:val="000000" w:themeColor="text1"/>
          <w:sz w:val="32"/>
          <w:szCs w:val="32"/>
          <w14:textFill>
            <w14:solidFill>
              <w14:schemeClr w14:val="tx1"/>
            </w14:solidFill>
          </w14:textFill>
        </w:rPr>
        <w:t>鼓励楼宇投资运营主体加强招商队伍建设，支持引进知名楼宇运营商、专业招商机构，探索整体委托运营、带资投入等合作模式。做好土地收储和出让工作，强调“规划先行”，结合地块基础条件，做好产业定位和招商策划工作，统筹指导各片区招商工作；推行“挂图作战”，绘制土地位置分布“一张图”，加大招商推介力度，加强与全区招商工作协调推进，有序开展以地招商。</w:t>
      </w:r>
    </w:p>
    <w:p>
      <w:pPr>
        <w:pStyle w:val="2"/>
        <w:ind w:firstLine="643"/>
        <w:rPr>
          <w:rFonts w:ascii="Times New Roman" w:hAnsi="Times New Roman" w:eastAsia="仿宋" w:cs="Times New Roman"/>
          <w:b/>
          <w:color w:val="000000" w:themeColor="text1"/>
          <w:sz w:val="32"/>
          <w:szCs w:val="32"/>
          <w14:textFill>
            <w14:solidFill>
              <w14:schemeClr w14:val="tx1"/>
            </w14:solidFill>
          </w14:textFill>
        </w:rPr>
      </w:pPr>
      <w:r>
        <w:rPr>
          <w:rFonts w:hint="eastAsia" w:ascii="Times New Roman" w:hAnsi="Times New Roman" w:eastAsia="仿宋" w:cs="Times New Roman"/>
          <w:b/>
          <w:color w:val="000000" w:themeColor="text1"/>
          <w:sz w:val="32"/>
          <w:szCs w:val="32"/>
          <w14:textFill>
            <w14:solidFill>
              <w14:schemeClr w14:val="tx1"/>
            </w14:solidFill>
          </w14:textFill>
        </w:rPr>
        <w:t>3</w:t>
      </w:r>
      <w:r>
        <w:rPr>
          <w:rFonts w:ascii="Times New Roman" w:hAnsi="Times New Roman" w:eastAsia="仿宋" w:cs="Times New Roman"/>
          <w:b/>
          <w:color w:val="000000" w:themeColor="text1"/>
          <w:sz w:val="32"/>
          <w:szCs w:val="32"/>
          <w14:textFill>
            <w14:solidFill>
              <w14:schemeClr w14:val="tx1"/>
            </w14:solidFill>
          </w14:textFill>
        </w:rPr>
        <w:t>、积极拓宽招商渠道，</w:t>
      </w:r>
      <w:r>
        <w:rPr>
          <w:rFonts w:hint="eastAsia" w:ascii="Times New Roman" w:hAnsi="Times New Roman" w:eastAsia="仿宋" w:cs="Times New Roman"/>
          <w:b/>
          <w:color w:val="000000" w:themeColor="text1"/>
          <w:sz w:val="32"/>
          <w:szCs w:val="32"/>
          <w14:textFill>
            <w14:solidFill>
              <w14:schemeClr w14:val="tx1"/>
            </w14:solidFill>
          </w14:textFill>
        </w:rPr>
        <w:t>创新招商方式</w:t>
      </w:r>
      <w:r>
        <w:rPr>
          <w:rFonts w:ascii="Times New Roman" w:hAnsi="Times New Roman" w:eastAsia="仿宋" w:cs="Times New Roman"/>
          <w:b/>
          <w:color w:val="000000" w:themeColor="text1"/>
          <w:sz w:val="32"/>
          <w:szCs w:val="32"/>
          <w14:textFill>
            <w14:solidFill>
              <w14:schemeClr w14:val="tx1"/>
            </w14:solidFill>
          </w14:textFill>
        </w:rPr>
        <w:t>提升招商效率</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加强与行业重要机构的对接合作，寻求省、市、区相关部门支持，争取将重点机构主导的重大行业会议、高峰论坛、企业家会议等引入天河智慧城，由走出去被动参会招商向引进来主动办会招商转变，形成天河招商引资的强大攻势。</w:t>
      </w:r>
      <w:r>
        <w:rPr>
          <w:rFonts w:hint="eastAsia" w:ascii="Times New Roman" w:hAnsi="Times New Roman" w:eastAsia="仿宋" w:cs="Times New Roman"/>
          <w:color w:val="000000" w:themeColor="text1"/>
          <w:sz w:val="32"/>
          <w:szCs w:val="32"/>
          <w14:textFill>
            <w14:solidFill>
              <w14:schemeClr w14:val="tx1"/>
            </w14:solidFill>
          </w14:textFill>
        </w:rPr>
        <w:t>强化</w:t>
      </w:r>
      <w:r>
        <w:rPr>
          <w:rFonts w:ascii="Times New Roman" w:hAnsi="Times New Roman" w:eastAsia="仿宋" w:cs="Times New Roman"/>
          <w:color w:val="000000" w:themeColor="text1"/>
          <w:sz w:val="32"/>
          <w:szCs w:val="32"/>
          <w14:textFill>
            <w14:solidFill>
              <w14:schemeClr w14:val="tx1"/>
            </w14:solidFill>
          </w14:textFill>
        </w:rPr>
        <w:t>国有企业</w:t>
      </w:r>
      <w:r>
        <w:rPr>
          <w:rFonts w:hint="eastAsia" w:ascii="Times New Roman" w:hAnsi="Times New Roman" w:eastAsia="仿宋" w:cs="Times New Roman"/>
          <w:color w:val="000000" w:themeColor="text1"/>
          <w:sz w:val="32"/>
          <w:szCs w:val="32"/>
          <w14:textFill>
            <w14:solidFill>
              <w14:schemeClr w14:val="tx1"/>
            </w14:solidFill>
          </w14:textFill>
        </w:rPr>
        <w:t>作用</w:t>
      </w:r>
      <w:r>
        <w:rPr>
          <w:rFonts w:ascii="Times New Roman" w:hAnsi="Times New Roman" w:eastAsia="仿宋" w:cs="Times New Roman"/>
          <w:color w:val="000000" w:themeColor="text1"/>
          <w:sz w:val="32"/>
          <w:szCs w:val="32"/>
          <w14:textFill>
            <w14:solidFill>
              <w14:schemeClr w14:val="tx1"/>
            </w14:solidFill>
          </w14:textFill>
        </w:rPr>
        <w:t>，探索</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投资育商</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投资招商</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等灵活招商方式，构建国企发展与招商引资深度融合工作机制。</w:t>
      </w:r>
      <w:r>
        <w:rPr>
          <w:rFonts w:hint="eastAsia" w:ascii="Times New Roman" w:hAnsi="Times New Roman" w:eastAsia="仿宋" w:cs="Times New Roman"/>
          <w:color w:val="000000" w:themeColor="text1"/>
          <w:sz w:val="32"/>
          <w:szCs w:val="32"/>
          <w14:textFill>
            <w14:solidFill>
              <w14:schemeClr w14:val="tx1"/>
            </w14:solidFill>
          </w14:textFill>
        </w:rPr>
        <w:t>积极依托区内网易、佳都、小鹏等龙头企业，聚焦延链、补链，开展产业链招商，加快建设具有竞争力的产业集群。</w:t>
      </w:r>
      <w:r>
        <w:rPr>
          <w:rFonts w:ascii="Times New Roman" w:hAnsi="Times New Roman" w:eastAsia="仿宋" w:cs="Times New Roman"/>
          <w:color w:val="000000" w:themeColor="text1"/>
          <w:sz w:val="32"/>
          <w:szCs w:val="32"/>
          <w14:textFill>
            <w14:solidFill>
              <w14:schemeClr w14:val="tx1"/>
            </w14:solidFill>
          </w14:textFill>
        </w:rPr>
        <w:t>寻找有影响力的企业家、行业专家、外国领事馆商务处和外商协会负责人等作为智慧城</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招商大使</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，负责宣传和推介天河智慧城投资环境、投资政策、重点发展产业和招商引资项目，受托开展重点项目招商工作。</w:t>
      </w:r>
      <w:r>
        <w:rPr>
          <w:rFonts w:hint="eastAsia" w:ascii="Times New Roman" w:hAnsi="Times New Roman" w:eastAsia="仿宋" w:cs="Times New Roman"/>
          <w:color w:val="000000" w:themeColor="text1"/>
          <w:sz w:val="32"/>
          <w:szCs w:val="32"/>
          <w14:textFill>
            <w14:solidFill>
              <w14:schemeClr w14:val="tx1"/>
            </w14:solidFill>
          </w14:textFill>
        </w:rPr>
        <w:t>用好应用场景优势，在金融、贸易、政务、交通等领域开放一批应用场景，定期发布“应用场景机会清单”，为企业提供产品市场化落地空间，吸引智慧城市、人工智能、大数据、区块链等相关领域龙头企业落户。积极挖潜，推动异地注册“四上”企业、重点产业活动单位“本地法人化”发展。制作天河智慧城和天河智谷片区宣传片，切实展现招商政策和平台优势，持续加大招商推介力度。</w:t>
      </w:r>
    </w:p>
    <w:p>
      <w:pPr>
        <w:pStyle w:val="2"/>
        <w:ind w:firstLine="643"/>
        <w:rPr>
          <w:rFonts w:ascii="Times New Roman" w:hAnsi="Times New Roman" w:eastAsia="仿宋" w:cs="Times New Roman"/>
          <w:b/>
          <w:color w:val="000000" w:themeColor="text1"/>
          <w:sz w:val="32"/>
          <w:szCs w:val="32"/>
          <w14:textFill>
            <w14:solidFill>
              <w14:schemeClr w14:val="tx1"/>
            </w14:solidFill>
          </w14:textFill>
        </w:rPr>
      </w:pPr>
      <w:r>
        <w:rPr>
          <w:rFonts w:hint="eastAsia" w:ascii="Times New Roman" w:hAnsi="Times New Roman" w:eastAsia="仿宋" w:cs="Times New Roman"/>
          <w:b/>
          <w:color w:val="000000" w:themeColor="text1"/>
          <w:sz w:val="32"/>
          <w:szCs w:val="32"/>
          <w14:textFill>
            <w14:solidFill>
              <w14:schemeClr w14:val="tx1"/>
            </w14:solidFill>
          </w14:textFill>
        </w:rPr>
        <w:t>4</w:t>
      </w:r>
      <w:r>
        <w:rPr>
          <w:rFonts w:ascii="Times New Roman" w:hAnsi="Times New Roman" w:eastAsia="仿宋" w:cs="Times New Roman"/>
          <w:b/>
          <w:color w:val="000000" w:themeColor="text1"/>
          <w:sz w:val="32"/>
          <w:szCs w:val="32"/>
          <w14:textFill>
            <w14:solidFill>
              <w14:schemeClr w14:val="tx1"/>
            </w14:solidFill>
          </w14:textFill>
        </w:rPr>
        <w:t>、做好项目跟踪服务，</w:t>
      </w:r>
      <w:r>
        <w:rPr>
          <w:rFonts w:hint="eastAsia" w:ascii="Times New Roman" w:hAnsi="Times New Roman" w:eastAsia="仿宋" w:cs="Times New Roman"/>
          <w:b/>
          <w:color w:val="000000" w:themeColor="text1"/>
          <w:sz w:val="32"/>
          <w:szCs w:val="32"/>
          <w14:textFill>
            <w14:solidFill>
              <w14:schemeClr w14:val="tx1"/>
            </w14:solidFill>
          </w14:textFill>
        </w:rPr>
        <w:t>加快项目建设和落地达产</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持续做好招商项目跟踪服务，推动</w:t>
      </w:r>
      <w:r>
        <w:rPr>
          <w:rFonts w:ascii="Times New Roman" w:hAnsi="Times New Roman" w:eastAsia="仿宋" w:cs="Times New Roman"/>
          <w:color w:val="000000" w:themeColor="text1"/>
          <w:sz w:val="32"/>
          <w:szCs w:val="32"/>
          <w14:textFill>
            <w14:solidFill>
              <w14:schemeClr w14:val="tx1"/>
            </w14:solidFill>
          </w14:textFill>
        </w:rPr>
        <w:t>主体部门、配套服务部门、行业监管部门</w:t>
      </w:r>
      <w:r>
        <w:rPr>
          <w:rFonts w:hint="eastAsia" w:ascii="Times New Roman" w:hAnsi="Times New Roman" w:eastAsia="仿宋" w:cs="Times New Roman"/>
          <w:color w:val="000000" w:themeColor="text1"/>
          <w:sz w:val="32"/>
          <w:szCs w:val="32"/>
          <w14:textFill>
            <w14:solidFill>
              <w14:schemeClr w14:val="tx1"/>
            </w14:solidFill>
          </w14:textFill>
        </w:rPr>
        <w:t>等形成合力，</w:t>
      </w:r>
      <w:r>
        <w:rPr>
          <w:rFonts w:ascii="Times New Roman" w:hAnsi="Times New Roman" w:eastAsia="仿宋" w:cs="Times New Roman"/>
          <w:color w:val="000000" w:themeColor="text1"/>
          <w:sz w:val="32"/>
          <w:szCs w:val="32"/>
          <w14:textFill>
            <w14:solidFill>
              <w14:schemeClr w14:val="tx1"/>
            </w14:solidFill>
          </w14:textFill>
        </w:rPr>
        <w:t>对招商签约的项目做好要素保障，</w:t>
      </w:r>
      <w:r>
        <w:rPr>
          <w:rFonts w:hint="eastAsia" w:ascii="Times New Roman" w:hAnsi="Times New Roman" w:eastAsia="仿宋" w:cs="Times New Roman"/>
          <w:color w:val="000000" w:themeColor="text1"/>
          <w:sz w:val="32"/>
          <w:szCs w:val="32"/>
          <w14:textFill>
            <w14:solidFill>
              <w14:schemeClr w14:val="tx1"/>
            </w14:solidFill>
          </w14:textFill>
        </w:rPr>
        <w:t>坚持一线办公、一线协调、一线督促，缩减审批流程，</w:t>
      </w:r>
      <w:r>
        <w:rPr>
          <w:rFonts w:ascii="Times New Roman" w:hAnsi="Times New Roman" w:eastAsia="仿宋" w:cs="Times New Roman"/>
          <w:color w:val="000000" w:themeColor="text1"/>
          <w:sz w:val="32"/>
          <w:szCs w:val="32"/>
          <w14:textFill>
            <w14:solidFill>
              <w14:schemeClr w14:val="tx1"/>
            </w14:solidFill>
          </w14:textFill>
        </w:rPr>
        <w:t>协调解决推进中遇到的问题，加快在建项目建设进度，全面提高项目落地率、开工率、竣工率、见效率</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推进网易总部二期、智能网联汽车产业园（小鹏科技园）</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中国移动南方基地</w:t>
      </w:r>
      <w:r>
        <w:rPr>
          <w:rFonts w:hint="eastAsia" w:ascii="Times New Roman" w:hAnsi="Times New Roman" w:eastAsia="仿宋" w:cs="Times New Roman"/>
          <w:color w:val="000000" w:themeColor="text1"/>
          <w:sz w:val="32"/>
          <w:szCs w:val="32"/>
          <w14:textFill>
            <w14:solidFill>
              <w14:schemeClr w14:val="tx1"/>
            </w14:solidFill>
          </w14:textFill>
        </w:rPr>
        <w:t>二期</w:t>
      </w:r>
      <w:r>
        <w:rPr>
          <w:rFonts w:ascii="Times New Roman" w:hAnsi="Times New Roman" w:eastAsia="仿宋" w:cs="Times New Roman"/>
          <w:color w:val="000000" w:themeColor="text1"/>
          <w:sz w:val="32"/>
          <w:szCs w:val="32"/>
          <w14:textFill>
            <w14:solidFill>
              <w14:schemeClr w14:val="tx1"/>
            </w14:solidFill>
          </w14:textFill>
        </w:rPr>
        <w:t>等</w:t>
      </w:r>
      <w:r>
        <w:rPr>
          <w:rFonts w:hint="eastAsia" w:ascii="Times New Roman" w:hAnsi="Times New Roman" w:eastAsia="仿宋" w:cs="Times New Roman"/>
          <w:color w:val="000000" w:themeColor="text1"/>
          <w:sz w:val="32"/>
          <w:szCs w:val="32"/>
          <w14:textFill>
            <w14:solidFill>
              <w14:schemeClr w14:val="tx1"/>
            </w14:solidFill>
          </w14:textFill>
        </w:rPr>
        <w:t>重点产业</w:t>
      </w:r>
      <w:r>
        <w:rPr>
          <w:rFonts w:ascii="Times New Roman" w:hAnsi="Times New Roman" w:eastAsia="仿宋" w:cs="Times New Roman"/>
          <w:color w:val="000000" w:themeColor="text1"/>
          <w:sz w:val="32"/>
          <w:szCs w:val="32"/>
          <w14:textFill>
            <w14:solidFill>
              <w14:schemeClr w14:val="tx1"/>
            </w14:solidFill>
          </w14:textFill>
        </w:rPr>
        <w:t>项目建设</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力促项目落地达产。</w:t>
      </w:r>
    </w:p>
    <w:p>
      <w:pPr>
        <w:pStyle w:val="4"/>
        <w:rPr>
          <w:color w:val="000000" w:themeColor="text1"/>
          <w14:textFill>
            <w14:solidFill>
              <w14:schemeClr w14:val="tx1"/>
            </w14:solidFill>
          </w14:textFill>
        </w:rPr>
      </w:pPr>
      <w:r>
        <w:fldChar w:fldCharType="begin"/>
      </w:r>
      <w:r>
        <w:instrText xml:space="preserve"> HYPERLINK \l "_Toc16669" </w:instrText>
      </w:r>
      <w:r>
        <w:fldChar w:fldCharType="separate"/>
      </w:r>
      <w:bookmarkStart w:id="45" w:name="_Toc89358671"/>
      <w:r>
        <w:rPr>
          <w:color w:val="000000" w:themeColor="text1"/>
          <w14:textFill>
            <w14:solidFill>
              <w14:schemeClr w14:val="tx1"/>
            </w14:solidFill>
          </w14:textFill>
        </w:rPr>
        <w:t>（三）实施人才引进培育工程，打造湾区人才高地</w:t>
      </w:r>
      <w:bookmarkEnd w:id="45"/>
      <w:r>
        <w:rPr>
          <w:color w:val="000000" w:themeColor="text1"/>
          <w14:textFill>
            <w14:solidFill>
              <w14:schemeClr w14:val="tx1"/>
            </w14:solidFill>
          </w14:textFill>
        </w:rPr>
        <w:fldChar w:fldCharType="end"/>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紧密围绕天河智慧城产业发展需求，</w:t>
      </w:r>
      <w:r>
        <w:rPr>
          <w:rFonts w:hint="eastAsia" w:ascii="Times New Roman" w:hAnsi="Times New Roman" w:eastAsia="仿宋" w:cs="Times New Roman"/>
          <w:color w:val="000000" w:themeColor="text1"/>
          <w:sz w:val="32"/>
          <w:szCs w:val="32"/>
          <w14:textFill>
            <w14:solidFill>
              <w14:schemeClr w14:val="tx1"/>
            </w14:solidFill>
          </w14:textFill>
        </w:rPr>
        <w:t>“量体裁衣”制定人才政策，健全多元化人才投入机制，落实关心关爱人才机制，确保人才引得来、留得住、用得好，形成具有国际竞争力影响力辐射力的人才环境</w:t>
      </w:r>
      <w:r>
        <w:rPr>
          <w:rFonts w:ascii="Times New Roman" w:hAnsi="Times New Roman" w:eastAsia="仿宋" w:cs="Times New Roman"/>
          <w:color w:val="000000" w:themeColor="text1"/>
          <w:sz w:val="32"/>
          <w:szCs w:val="32"/>
          <w14:textFill>
            <w14:solidFill>
              <w14:schemeClr w14:val="tx1"/>
            </w14:solidFill>
          </w14:textFill>
        </w:rPr>
        <w:t>，打造粤港澳大湾区优质人才集聚区。</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1、突出重点，加强优秀人才引进力度</w:t>
      </w:r>
    </w:p>
    <w:p>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强化以全球视野精准引才</w:t>
      </w:r>
      <w:r>
        <w:rPr>
          <w:rFonts w:ascii="Times New Roman" w:hAnsi="Times New Roman" w:eastAsia="仿宋" w:cs="Times New Roman"/>
          <w:color w:val="000000" w:themeColor="text1"/>
          <w:sz w:val="32"/>
          <w:szCs w:val="32"/>
          <w14:textFill>
            <w14:solidFill>
              <w14:schemeClr w14:val="tx1"/>
            </w14:solidFill>
          </w14:textFill>
        </w:rPr>
        <w:t>引智</w:t>
      </w:r>
      <w:r>
        <w:rPr>
          <w:rFonts w:hint="eastAsia" w:ascii="Times New Roman" w:hAnsi="Times New Roman" w:eastAsia="仿宋" w:cs="Times New Roman"/>
          <w:color w:val="000000" w:themeColor="text1"/>
          <w:sz w:val="32"/>
          <w:szCs w:val="32"/>
          <w14:textFill>
            <w14:solidFill>
              <w14:schemeClr w14:val="tx1"/>
            </w14:solidFill>
          </w14:textFill>
        </w:rPr>
        <w:t>，探索完善系统性、前瞻性、突破性的人才政策和创新举措。</w:t>
      </w:r>
      <w:r>
        <w:rPr>
          <w:rFonts w:ascii="Times New Roman" w:hAnsi="Times New Roman" w:eastAsia="仿宋" w:cs="Times New Roman"/>
          <w:color w:val="000000" w:themeColor="text1"/>
          <w:sz w:val="32"/>
          <w:szCs w:val="32"/>
          <w14:textFill>
            <w14:solidFill>
              <w14:schemeClr w14:val="tx1"/>
            </w14:solidFill>
          </w14:textFill>
        </w:rPr>
        <w:t>加强天河智慧城对国际顶级科学家、高层次人才的吸引力，对顶尖人才和团队引进给予</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一事一议</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政策</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支持柔性引才，鼓励企业通过联合攻关、顾问指导等多种形式引进顶级人才。</w:t>
      </w:r>
      <w:r>
        <w:rPr>
          <w:rFonts w:hint="eastAsia" w:ascii="仿宋" w:hAnsi="仿宋" w:eastAsia="仿宋" w:cs="仿宋"/>
          <w:color w:val="000000" w:themeColor="text1"/>
          <w:sz w:val="32"/>
          <w:szCs w:val="32"/>
          <w14:textFill>
            <w14:solidFill>
              <w14:schemeClr w14:val="tx1"/>
            </w14:solidFill>
          </w14:textFill>
        </w:rPr>
        <w:t>针对海内外优秀团队、领军人才等，用好用足各级政府部门科研创新奖励、</w:t>
      </w:r>
      <w:r>
        <w:rPr>
          <w:rFonts w:hint="eastAsia" w:ascii="Times New Roman" w:hAnsi="Times New Roman" w:eastAsia="仿宋" w:cs="Times New Roman"/>
          <w:color w:val="000000" w:themeColor="text1"/>
          <w:sz w:val="32"/>
          <w:szCs w:val="32"/>
          <w14:textFill>
            <w14:solidFill>
              <w14:schemeClr w14:val="tx1"/>
            </w14:solidFill>
          </w14:textFill>
        </w:rPr>
        <w:t>生</w:t>
      </w:r>
      <w:r>
        <w:rPr>
          <w:rFonts w:ascii="Times New Roman" w:hAnsi="Times New Roman" w:eastAsia="仿宋" w:cs="Times New Roman"/>
          <w:color w:val="000000" w:themeColor="text1"/>
          <w:sz w:val="32"/>
          <w:szCs w:val="32"/>
          <w14:textFill>
            <w14:solidFill>
              <w14:schemeClr w14:val="tx1"/>
            </w14:solidFill>
          </w14:textFill>
        </w:rPr>
        <w:t>活津贴、安家补贴、个税减免、</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双创</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扶持等支持政策</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积极争取在海外创业家国民待遇、外籍人才认定、永久居留与长期居留许可等方面取得政策支持。</w:t>
      </w:r>
      <w:r>
        <w:rPr>
          <w:rFonts w:hint="eastAsia" w:ascii="Times New Roman" w:hAnsi="Times New Roman" w:eastAsia="仿宋" w:cs="Times New Roman"/>
          <w:color w:val="000000" w:themeColor="text1"/>
          <w:sz w:val="32"/>
          <w:szCs w:val="32"/>
          <w14:textFill>
            <w14:solidFill>
              <w14:schemeClr w14:val="tx1"/>
            </w14:solidFill>
          </w14:textFill>
        </w:rPr>
        <w:t>加强与港澳及周边城市人才发展互动，提升重大平台聚才效能，形成海纳百川、群英荟萃的全球引才格局。</w:t>
      </w:r>
      <w:r>
        <w:rPr>
          <w:rFonts w:ascii="Times New Roman" w:hAnsi="Times New Roman" w:eastAsia="仿宋" w:cs="Times New Roman"/>
          <w:color w:val="000000" w:themeColor="text1"/>
          <w:sz w:val="32"/>
          <w:szCs w:val="32"/>
          <w14:textFill>
            <w14:solidFill>
              <w14:schemeClr w14:val="tx1"/>
            </w14:solidFill>
          </w14:textFill>
        </w:rPr>
        <w:t>依托粤港澳大湾区（广东）创新创业孵化基地、港澳青年之家总部、港澳青年支援中心等载体，积极吸引优秀港澳青年到天河智慧城创新创业。发挥天河人才港、天河科技园信息产业联合会等行业协会及中介机构的作用，组织天河智慧城内企业联合开展实习招募、校园招聘等品牌性活动，提高天河智慧城对青年人才的吸引力。</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2、产业支撑，多举措加强人才培养工作</w:t>
      </w:r>
    </w:p>
    <w:p>
      <w:pPr>
        <w:spacing w:line="600" w:lineRule="exact"/>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充分发挥科技创新平台体系，围绕产业体系主要方向，大力培育战略科学家，培养高精尖缺一流科技领军人才和创新团队，打造规模宏大的青年科技人才队伍，培育支撑科创高质量发展的工程师队伍，集聚高端引领、自立自强的战略人才力量。</w:t>
      </w:r>
      <w:r>
        <w:rPr>
          <w:rFonts w:ascii="Times New Roman" w:hAnsi="Times New Roman" w:eastAsia="仿宋" w:cs="Times New Roman"/>
          <w:color w:val="000000" w:themeColor="text1"/>
          <w:sz w:val="32"/>
          <w:szCs w:val="32"/>
          <w14:textFill>
            <w14:solidFill>
              <w14:schemeClr w14:val="tx1"/>
            </w14:solidFill>
          </w14:textFill>
        </w:rPr>
        <w:t>依托天河区辖内高校科研院所及</w:t>
      </w:r>
      <w:r>
        <w:rPr>
          <w:rFonts w:hint="eastAsia" w:ascii="Times New Roman" w:hAnsi="Times New Roman" w:eastAsia="仿宋" w:cs="Times New Roman"/>
          <w:color w:val="000000" w:themeColor="text1"/>
          <w:sz w:val="32"/>
          <w:szCs w:val="32"/>
          <w14:textFill>
            <w14:solidFill>
              <w14:schemeClr w14:val="tx1"/>
            </w14:solidFill>
          </w14:textFill>
        </w:rPr>
        <w:t>科创企业</w:t>
      </w:r>
      <w:r>
        <w:rPr>
          <w:rFonts w:ascii="Times New Roman" w:hAnsi="Times New Roman" w:eastAsia="仿宋" w:cs="Times New Roman"/>
          <w:color w:val="000000" w:themeColor="text1"/>
          <w:sz w:val="32"/>
          <w:szCs w:val="32"/>
          <w14:textFill>
            <w14:solidFill>
              <w14:schemeClr w14:val="tx1"/>
            </w14:solidFill>
          </w14:textFill>
        </w:rPr>
        <w:t>集聚的优势，</w:t>
      </w:r>
      <w:r>
        <w:rPr>
          <w:rFonts w:hint="eastAsia" w:ascii="Times New Roman" w:hAnsi="Times New Roman" w:eastAsia="仿宋" w:cs="Times New Roman"/>
          <w:color w:val="000000" w:themeColor="text1"/>
          <w:sz w:val="32"/>
          <w:szCs w:val="32"/>
          <w14:textFill>
            <w14:solidFill>
              <w14:schemeClr w14:val="tx1"/>
            </w14:solidFill>
          </w14:textFill>
        </w:rPr>
        <w:t>大力支持企业承载人才，加强与高校共育人才。</w:t>
      </w:r>
      <w:r>
        <w:rPr>
          <w:rFonts w:ascii="Times New Roman" w:hAnsi="Times New Roman" w:eastAsia="仿宋" w:cs="Times New Roman"/>
          <w:color w:val="000000" w:themeColor="text1"/>
          <w:sz w:val="32"/>
          <w:szCs w:val="32"/>
          <w14:textFill>
            <w14:solidFill>
              <w14:schemeClr w14:val="tx1"/>
            </w14:solidFill>
          </w14:textFill>
        </w:rPr>
        <w:t>积极引导优质企业与高校（科研院所）搭建产教融合平台，注重对贯通基础理论、软件开发、硬件技术等跨界综合性、复合型人才培养。支持天河智慧城企业与高校院所建立校企协同的人才培养和供需对接合作机制，推进</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现代学徒制</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和</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新工科</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人才培养模式，促进企业人才紧缺问题得到有效解决。鼓励企业与有关高等学校、职业学校加强合作，共同开发设置相关专业、课程和教学标准，共同建设教学型基础技能实训设施、岗位专业技能实训基地、开放性公共技能实训基地等。积极引导企业开展高技能人才培养工作，组织企业参加各级创新创业大赛。鼓励企业员工在职接受高等级继续教育，帮助企业对接学习培训师资平台资源。</w:t>
      </w:r>
    </w:p>
    <w:p>
      <w:pPr>
        <w:ind w:firstLine="643" w:firstLineChars="200"/>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3、安居乐业，构建留住人才的良好</w:t>
      </w:r>
      <w:r>
        <w:rPr>
          <w:rFonts w:hint="eastAsia" w:ascii="Times New Roman" w:hAnsi="Times New Roman" w:eastAsia="仿宋" w:cs="Times New Roman"/>
          <w:b/>
          <w:bCs/>
          <w:color w:val="000000" w:themeColor="text1"/>
          <w:sz w:val="32"/>
          <w:szCs w:val="32"/>
          <w14:textFill>
            <w14:solidFill>
              <w14:schemeClr w14:val="tx1"/>
            </w14:solidFill>
          </w14:textFill>
        </w:rPr>
        <w:t>生态</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围绕人才培养、引进、评价、待遇、使用、激励等关键环节先行先试，促进人才链与产业链、创新链等深度融合，构建特色鲜明、优势突出的人才发展体制机制，打造一流创新生态和人才生态。精准</w:t>
      </w:r>
      <w:r>
        <w:rPr>
          <w:rFonts w:ascii="Times New Roman" w:hAnsi="Times New Roman" w:eastAsia="仿宋" w:cs="Times New Roman"/>
          <w:color w:val="000000" w:themeColor="text1"/>
          <w:sz w:val="32"/>
          <w:szCs w:val="32"/>
          <w14:textFill>
            <w14:solidFill>
              <w14:schemeClr w14:val="tx1"/>
            </w14:solidFill>
          </w14:textFill>
        </w:rPr>
        <w:t>把握人才发展需求，建立健全人才安居保障机制。提升人才奖励、支持力度，</w:t>
      </w:r>
      <w:r>
        <w:rPr>
          <w:rFonts w:hint="eastAsia" w:ascii="Times New Roman" w:hAnsi="Times New Roman" w:eastAsia="仿宋" w:cs="Times New Roman"/>
          <w:color w:val="000000" w:themeColor="text1"/>
          <w:sz w:val="32"/>
          <w:szCs w:val="32"/>
          <w14:textFill>
            <w14:solidFill>
              <w14:schemeClr w14:val="tx1"/>
            </w14:solidFill>
          </w14:textFill>
        </w:rPr>
        <w:t>加大</w:t>
      </w:r>
      <w:r>
        <w:rPr>
          <w:rFonts w:ascii="Times New Roman" w:hAnsi="Times New Roman" w:eastAsia="仿宋" w:cs="Times New Roman"/>
          <w:color w:val="000000" w:themeColor="text1"/>
          <w:sz w:val="32"/>
          <w:szCs w:val="32"/>
          <w14:textFill>
            <w14:solidFill>
              <w14:schemeClr w14:val="tx1"/>
            </w14:solidFill>
          </w14:textFill>
        </w:rPr>
        <w:t>人才公寓住房供给，</w:t>
      </w:r>
      <w:r>
        <w:rPr>
          <w:rFonts w:hint="eastAsia" w:ascii="Times New Roman" w:hAnsi="Times New Roman" w:eastAsia="仿宋" w:cs="Times New Roman"/>
          <w:color w:val="000000" w:themeColor="text1"/>
          <w:sz w:val="32"/>
          <w:szCs w:val="32"/>
          <w14:textFill>
            <w14:solidFill>
              <w14:schemeClr w14:val="tx1"/>
            </w14:solidFill>
          </w14:textFill>
        </w:rPr>
        <w:t>优化医疗教育等公共服务配套，推进学前教育普惠健康发展和基础教育优质均衡发展，</w:t>
      </w:r>
      <w:r>
        <w:rPr>
          <w:rFonts w:ascii="Times New Roman" w:hAnsi="Times New Roman" w:eastAsia="仿宋" w:cs="Times New Roman"/>
          <w:color w:val="000000" w:themeColor="text1"/>
          <w:sz w:val="32"/>
          <w:szCs w:val="32"/>
          <w14:textFill>
            <w14:solidFill>
              <w14:schemeClr w14:val="tx1"/>
            </w14:solidFill>
          </w14:textFill>
        </w:rPr>
        <w:t>提高城市精细化管理水平，打造良好生态环境和高品质生活设施，推动建立天河智慧城</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30分钟生活圈</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，实现事业、家庭、健康的有机平衡。</w:t>
      </w:r>
      <w:r>
        <w:rPr>
          <w:rFonts w:hint="eastAsia" w:ascii="Times New Roman" w:hAnsi="Times New Roman" w:eastAsia="仿宋" w:cs="Times New Roman"/>
          <w:color w:val="000000" w:themeColor="text1"/>
          <w:sz w:val="32"/>
          <w:szCs w:val="32"/>
          <w14:textFill>
            <w14:solidFill>
              <w14:schemeClr w14:val="tx1"/>
            </w14:solidFill>
          </w14:textFill>
        </w:rPr>
        <w:t>对标国际一流建设“营智环境”，主动为人才赋能减负。</w:t>
      </w:r>
      <w:r>
        <w:rPr>
          <w:rFonts w:ascii="Times New Roman" w:hAnsi="Times New Roman" w:eastAsia="仿宋" w:cs="Times New Roman"/>
          <w:color w:val="000000" w:themeColor="text1"/>
          <w:sz w:val="32"/>
          <w:szCs w:val="32"/>
          <w14:textFill>
            <w14:solidFill>
              <w14:schemeClr w14:val="tx1"/>
            </w14:solidFill>
          </w14:textFill>
        </w:rPr>
        <w:t>在人才落户、就医、子女教育等民生社会领域加强政策支持，在外籍人才获取公共服务方面加大保障力度。在融资、渠道、资源等方面为企业提供高价值增值服务，降低企业外部成本，提高人才创新效率，打造服务人才的成长平台，</w:t>
      </w:r>
      <w:r>
        <w:rPr>
          <w:rFonts w:hint="eastAsia" w:ascii="Times New Roman" w:hAnsi="Times New Roman" w:eastAsia="仿宋" w:cs="Times New Roman"/>
          <w:color w:val="000000" w:themeColor="text1"/>
          <w:sz w:val="32"/>
          <w:szCs w:val="32"/>
          <w14:textFill>
            <w14:solidFill>
              <w14:schemeClr w14:val="tx1"/>
            </w14:solidFill>
          </w14:textFill>
        </w:rPr>
        <w:t>增强对人才综合吸引力</w:t>
      </w:r>
      <w:r>
        <w:rPr>
          <w:rFonts w:ascii="Times New Roman" w:hAnsi="Times New Roman" w:eastAsia="仿宋" w:cs="Times New Roman"/>
          <w:color w:val="000000" w:themeColor="text1"/>
          <w:sz w:val="32"/>
          <w:szCs w:val="32"/>
          <w14:textFill>
            <w14:solidFill>
              <w14:schemeClr w14:val="tx1"/>
            </w14:solidFill>
          </w14:textFill>
        </w:rPr>
        <w:t>。</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w:t>
            </w:r>
            <w:r>
              <w:rPr>
                <w:rFonts w:hint="eastAsia" w:ascii="Times New Roman" w:hAnsi="Times New Roman" w:eastAsia="仿宋" w:cs="Times New Roman"/>
                <w:b/>
                <w:bCs/>
                <w:color w:val="000000" w:themeColor="text1"/>
                <w:sz w:val="24"/>
                <w:szCs w:val="24"/>
                <w14:textFill>
                  <w14:solidFill>
                    <w14:schemeClr w14:val="tx1"/>
                  </w14:solidFill>
                </w14:textFill>
              </w:rPr>
              <w:t>10</w:t>
            </w:r>
            <w:r>
              <w:rPr>
                <w:rFonts w:ascii="Times New Roman" w:hAnsi="Times New Roman" w:eastAsia="仿宋" w:cs="Times New Roman"/>
                <w:b/>
                <w:bCs/>
                <w:color w:val="000000" w:themeColor="text1"/>
                <w:sz w:val="24"/>
                <w:szCs w:val="24"/>
                <w14:textFill>
                  <w14:solidFill>
                    <w14:schemeClr w14:val="tx1"/>
                  </w14:solidFill>
                </w14:textFill>
              </w:rPr>
              <w:t xml:space="preserve"> 建设园区人才成长公共服务平台</w:t>
            </w:r>
          </w:p>
          <w:p>
            <w:pPr>
              <w:pStyle w:val="2"/>
              <w:ind w:firstLine="480"/>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用</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服务</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的理念为人才施展才华、发挥价值创造条件，建设园区人才成长公共服务平台，建立并完善园区专项服务人才的工作体系。根据企业和企业人才在不同阶段的发展需求，提供培训辅导、交流沙龙、技能竞技、资本投资、协调政府关系、对接市场资源、示范荣誉申报、品牌宣传、政策宣讲等多类型的深度增值服务和解决方案，降低企业外部成本、提高人才创新效率，为企业加快发展和人才施展才华搭建资源和机会平台，构建具有竞争力的园区人才服务机制，用服务留住人才。</w:t>
            </w:r>
          </w:p>
        </w:tc>
      </w:tr>
    </w:tbl>
    <w:p>
      <w:pPr>
        <w:pStyle w:val="4"/>
        <w:rPr>
          <w:color w:val="000000" w:themeColor="text1"/>
          <w14:textFill>
            <w14:solidFill>
              <w14:schemeClr w14:val="tx1"/>
            </w14:solidFill>
          </w14:textFill>
        </w:rPr>
      </w:pPr>
      <w:r>
        <w:fldChar w:fldCharType="begin"/>
      </w:r>
      <w:r>
        <w:instrText xml:space="preserve"> HYPERLINK \l "_Toc18743" </w:instrText>
      </w:r>
      <w:r>
        <w:fldChar w:fldCharType="separate"/>
      </w:r>
      <w:bookmarkStart w:id="46" w:name="_Toc89358672"/>
      <w:r>
        <w:rPr>
          <w:color w:val="000000" w:themeColor="text1"/>
          <w14:textFill>
            <w14:solidFill>
              <w14:schemeClr w14:val="tx1"/>
            </w14:solidFill>
          </w14:textFill>
        </w:rPr>
        <w:t>（四）实施智慧城市引领工程，发挥示范带动作用</w:t>
      </w:r>
      <w:bookmarkEnd w:id="46"/>
      <w:r>
        <w:rPr>
          <w:color w:val="000000" w:themeColor="text1"/>
          <w14:textFill>
            <w14:solidFill>
              <w14:schemeClr w14:val="tx1"/>
            </w14:solidFill>
          </w14:textFill>
        </w:rPr>
        <w:fldChar w:fldCharType="end"/>
      </w:r>
    </w:p>
    <w:p>
      <w:pPr>
        <w:ind w:firstLine="640" w:firstLineChars="200"/>
        <w:rPr>
          <w:rFonts w:ascii="Times New Roman" w:hAnsi="Times New Roman" w:eastAsia="仿宋" w:cs="Times New Roman"/>
          <w:color w:val="000000" w:themeColor="text1"/>
          <w:sz w:val="32"/>
          <w:szCs w:val="36"/>
          <w14:textFill>
            <w14:solidFill>
              <w14:schemeClr w14:val="tx1"/>
            </w14:solidFill>
          </w14:textFill>
        </w:rPr>
      </w:pPr>
      <w:r>
        <w:rPr>
          <w:rFonts w:ascii="Times New Roman" w:hAnsi="Times New Roman" w:eastAsia="仿宋" w:cs="Times New Roman"/>
          <w:color w:val="000000" w:themeColor="text1"/>
          <w:sz w:val="32"/>
          <w:szCs w:val="36"/>
          <w14:textFill>
            <w14:solidFill>
              <w14:schemeClr w14:val="tx1"/>
            </w14:solidFill>
          </w14:textFill>
        </w:rPr>
        <w:t>联合区内企业共同打造智慧城市，推动云计算、大数据、物联网、移动互联网、人工智能等技术与城市场景深度融合，在通信和互联网环境、信息资源共享与开发、产业发展支撑和智慧应用示范创新等方面取得突破，擦亮园区</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智慧</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招牌，支撑粤港澳大湾区新型智慧城市</w:t>
      </w:r>
      <w:r>
        <w:rPr>
          <w:rFonts w:hint="eastAsia" w:ascii="Times New Roman" w:hAnsi="Times New Roman" w:eastAsia="仿宋" w:cs="Times New Roman"/>
          <w:color w:val="000000" w:themeColor="text1"/>
          <w:sz w:val="32"/>
          <w:szCs w:val="36"/>
          <w14:textFill>
            <w14:solidFill>
              <w14:schemeClr w14:val="tx1"/>
            </w14:solidFill>
          </w14:textFill>
        </w:rPr>
        <w:t>试点示范工作推进</w:t>
      </w:r>
      <w:r>
        <w:rPr>
          <w:rFonts w:ascii="Times New Roman" w:hAnsi="Times New Roman" w:eastAsia="仿宋" w:cs="Times New Roman"/>
          <w:color w:val="000000" w:themeColor="text1"/>
          <w:sz w:val="32"/>
          <w:szCs w:val="36"/>
          <w14:textFill>
            <w14:solidFill>
              <w14:schemeClr w14:val="tx1"/>
            </w14:solidFill>
          </w14:textFill>
        </w:rPr>
        <w:t>。</w:t>
      </w:r>
    </w:p>
    <w:p>
      <w:pPr>
        <w:ind w:firstLine="643" w:firstLineChars="200"/>
        <w:rPr>
          <w:rFonts w:ascii="Times New Roman" w:hAnsi="Times New Roman" w:eastAsia="仿宋" w:cs="Times New Roman"/>
          <w:b/>
          <w:bCs/>
          <w:color w:val="000000" w:themeColor="text1"/>
          <w:sz w:val="32"/>
          <w:szCs w:val="36"/>
          <w14:textFill>
            <w14:solidFill>
              <w14:schemeClr w14:val="tx1"/>
            </w14:solidFill>
          </w14:textFill>
        </w:rPr>
      </w:pPr>
      <w:r>
        <w:rPr>
          <w:rFonts w:ascii="Times New Roman" w:hAnsi="Times New Roman" w:eastAsia="仿宋" w:cs="Times New Roman"/>
          <w:b/>
          <w:bCs/>
          <w:color w:val="000000" w:themeColor="text1"/>
          <w:sz w:val="32"/>
          <w:szCs w:val="36"/>
          <w14:textFill>
            <w14:solidFill>
              <w14:schemeClr w14:val="tx1"/>
            </w14:solidFill>
          </w14:textFill>
        </w:rPr>
        <w:t>1、加强智慧信息基础设施建设</w:t>
      </w:r>
    </w:p>
    <w:p>
      <w:pPr>
        <w:ind w:firstLine="640" w:firstLineChars="200"/>
        <w:rPr>
          <w:rFonts w:ascii="Times New Roman" w:hAnsi="Times New Roman" w:eastAsia="仿宋" w:cs="Times New Roman"/>
          <w:color w:val="000000" w:themeColor="text1"/>
          <w:sz w:val="32"/>
          <w:szCs w:val="36"/>
          <w14:textFill>
            <w14:solidFill>
              <w14:schemeClr w14:val="tx1"/>
            </w14:solidFill>
          </w14:textFill>
        </w:rPr>
      </w:pPr>
      <w:r>
        <w:rPr>
          <w:rFonts w:ascii="Times New Roman" w:hAnsi="Times New Roman" w:eastAsia="仿宋" w:cs="Times New Roman"/>
          <w:color w:val="000000" w:themeColor="text1"/>
          <w:sz w:val="32"/>
          <w:szCs w:val="36"/>
          <w14:textFill>
            <w14:solidFill>
              <w14:schemeClr w14:val="tx1"/>
            </w14:solidFill>
          </w14:textFill>
        </w:rPr>
        <w:t>加快推进智慧城智慧信息基础设施建设，借助新基建建设机遇，积极实现区域WiFi全覆盖；进一步推动5G基站建设，构建高质量、全覆盖的5G网络；铺设智慧灯杆，集成交通、安防、市政、照明、通信、环境等设备设施，提供智慧照明、一键报警、信息交互、智慧充电等服务；对公共服务设施实施数字化改造升级，探索实施</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黄埔大道—科韵路—华观路</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智慧应用样板示范路建设。布局新一代基础设施。支持重点企业加快布局5G网络。充分利用天河智慧城新一代通信技术产业优势，规划布局中、小型数据中心和边缘计算数据中心等新型基础设施建设，提升数据感知、数据分析和实时处理能力。支持跨行业、特定行业、特定场景的工业互联网平台建设，实现工业大数据汇聚和挖掘，打造高端工业软件服务体系。</w:t>
      </w:r>
    </w:p>
    <w:p>
      <w:pPr>
        <w:ind w:firstLine="643" w:firstLineChars="200"/>
        <w:rPr>
          <w:rFonts w:ascii="Times New Roman" w:hAnsi="Times New Roman" w:eastAsia="仿宋" w:cs="Times New Roman"/>
          <w:b/>
          <w:bCs/>
          <w:color w:val="000000" w:themeColor="text1"/>
          <w:sz w:val="32"/>
          <w:szCs w:val="36"/>
          <w14:textFill>
            <w14:solidFill>
              <w14:schemeClr w14:val="tx1"/>
            </w14:solidFill>
          </w14:textFill>
        </w:rPr>
      </w:pPr>
      <w:r>
        <w:rPr>
          <w:rFonts w:ascii="Times New Roman" w:hAnsi="Times New Roman" w:eastAsia="仿宋" w:cs="Times New Roman"/>
          <w:b/>
          <w:bCs/>
          <w:color w:val="000000" w:themeColor="text1"/>
          <w:sz w:val="32"/>
          <w:szCs w:val="36"/>
          <w14:textFill>
            <w14:solidFill>
              <w14:schemeClr w14:val="tx1"/>
            </w14:solidFill>
          </w14:textFill>
        </w:rPr>
        <w:t>2、优化智慧政务和项目管理体系</w:t>
      </w:r>
    </w:p>
    <w:p>
      <w:pPr>
        <w:ind w:firstLine="640" w:firstLineChars="200"/>
        <w:rPr>
          <w:rFonts w:ascii="Times New Roman" w:hAnsi="Times New Roman" w:eastAsia="仿宋" w:cs="Times New Roman"/>
          <w:color w:val="000000" w:themeColor="text1"/>
          <w:sz w:val="32"/>
          <w:szCs w:val="36"/>
          <w14:textFill>
            <w14:solidFill>
              <w14:schemeClr w14:val="tx1"/>
            </w14:solidFill>
          </w14:textFill>
        </w:rPr>
      </w:pPr>
      <w:r>
        <w:rPr>
          <w:rFonts w:ascii="Times New Roman" w:hAnsi="Times New Roman" w:eastAsia="仿宋" w:cs="Times New Roman"/>
          <w:color w:val="000000" w:themeColor="text1"/>
          <w:sz w:val="32"/>
          <w:szCs w:val="36"/>
          <w14:textFill>
            <w14:solidFill>
              <w14:schemeClr w14:val="tx1"/>
            </w14:solidFill>
          </w14:textFill>
        </w:rPr>
        <w:t>依托</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数字广东</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智慧广州</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基础，优化天河智慧城政务服务体系，加快政务数据归集、应用、共享和新流程再造，推动电子政务、企业服务、园区服务、人才服务等各类应用系统线上化办理，实现各类依申请类事项网办率100%，实现</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码上办</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掌上办</w:t>
      </w:r>
      <w:r>
        <w:rPr>
          <w:rFonts w:hint="eastAsia" w:ascii="Times New Roman" w:hAnsi="Times New Roman" w:eastAsia="仿宋" w:cs="Times New Roman"/>
          <w:color w:val="000000" w:themeColor="text1"/>
          <w:sz w:val="32"/>
          <w:szCs w:val="36"/>
          <w14:textFill>
            <w14:solidFill>
              <w14:schemeClr w14:val="tx1"/>
            </w14:solidFill>
          </w14:textFill>
        </w:rPr>
        <w:t>”</w:t>
      </w:r>
      <w:r>
        <w:rPr>
          <w:rFonts w:ascii="Times New Roman" w:hAnsi="Times New Roman" w:eastAsia="仿宋" w:cs="Times New Roman"/>
          <w:color w:val="000000" w:themeColor="text1"/>
          <w:sz w:val="32"/>
          <w:szCs w:val="36"/>
          <w14:textFill>
            <w14:solidFill>
              <w14:schemeClr w14:val="tx1"/>
            </w14:solidFill>
          </w14:textFill>
        </w:rPr>
        <w:t>。依托广州市城市信息模型(CIM)平台，掌握项目基本数据信息，整合规划管理、建设管理、市政设施管理、环境监测等需求，实现项目规划、建设、招商、运营各阶段全生命周期智慧化管理和服务，以及园区实时监控、透彻感知、动态预警，提升治理水平。加强数据统计和运行监测，围绕企业核心指标，优化统计工作机制。</w:t>
      </w:r>
    </w:p>
    <w:p>
      <w:pPr>
        <w:pStyle w:val="4"/>
        <w:rPr>
          <w:color w:val="000000" w:themeColor="text1"/>
          <w14:textFill>
            <w14:solidFill>
              <w14:schemeClr w14:val="tx1"/>
            </w14:solidFill>
          </w14:textFill>
        </w:rPr>
      </w:pPr>
      <w:r>
        <w:fldChar w:fldCharType="begin"/>
      </w:r>
      <w:r>
        <w:instrText xml:space="preserve"> HYPERLINK \l "_Toc5938" </w:instrText>
      </w:r>
      <w:r>
        <w:fldChar w:fldCharType="separate"/>
      </w:r>
      <w:bookmarkStart w:id="47" w:name="_Toc89358673"/>
      <w:r>
        <w:rPr>
          <w:color w:val="000000" w:themeColor="text1"/>
          <w14:textFill>
            <w14:solidFill>
              <w14:schemeClr w14:val="tx1"/>
            </w14:solidFill>
          </w14:textFill>
        </w:rPr>
        <w:t>（五）实施服务平台建设工程，完善园区服务体系</w:t>
      </w:r>
      <w:bookmarkEnd w:id="47"/>
      <w:r>
        <w:rPr>
          <w:color w:val="000000" w:themeColor="text1"/>
          <w14:textFill>
            <w14:solidFill>
              <w14:schemeClr w14:val="tx1"/>
            </w14:solidFill>
          </w14:textFill>
        </w:rPr>
        <w:fldChar w:fldCharType="end"/>
      </w:r>
    </w:p>
    <w:p>
      <w:pPr>
        <w:ind w:firstLine="640" w:firstLineChars="200"/>
        <w:rPr>
          <w:rFonts w:ascii="Times New Roman" w:hAnsi="Times New Roman" w:eastAsia="仿宋" w:cs="Times New Roman"/>
          <w:bCs/>
          <w:color w:val="000000" w:themeColor="text1"/>
          <w:sz w:val="32"/>
          <w:szCs w:val="32"/>
          <w14:textFill>
            <w14:solidFill>
              <w14:schemeClr w14:val="tx1"/>
            </w14:solidFill>
          </w14:textFill>
        </w:rPr>
      </w:pPr>
      <w:r>
        <w:rPr>
          <w:rFonts w:ascii="Times New Roman" w:hAnsi="Times New Roman" w:eastAsia="仿宋" w:cs="Times New Roman"/>
          <w:bCs/>
          <w:color w:val="000000" w:themeColor="text1"/>
          <w:sz w:val="32"/>
          <w:szCs w:val="32"/>
          <w14:textFill>
            <w14:solidFill>
              <w14:schemeClr w14:val="tx1"/>
            </w14:solidFill>
          </w14:textFill>
        </w:rPr>
        <w:t>推进园区公共服务体系建设，提供系统、全面、便捷、高效的公共性服务，为园区产业发展提供有力支撑。加大对园区公共服务设施建设的支持力度，积极促进各级、各类扶持政策资金流向园区。不断拓宽服务领域，改进服务形式，全面提升园区的服务水平，增强园区的产业承载、创新活力、资本集聚和人才吸纳能力。</w:t>
      </w:r>
    </w:p>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1、搭建园区公共服务平台，拓宽服务领域</w:t>
      </w:r>
    </w:p>
    <w:p>
      <w:pPr>
        <w:pStyle w:val="2"/>
        <w:ind w:firstLine="64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建立对企服务联络员机制，及时帮助企业解决困难，促进企业间交流合作。鼓励行业组织整合宣传推广、检测认证、技术对接、项目申报、融资贷款、人才培育、法律、财务等企业服务功能，探索建设一站式、智能化园区公共服务信息化平台。鼓励企业及时在平台上发布服务需求，推动平台合作服务机构及时响应，着力解决信息不对称及信任问题，采用线上对接、线下撮合的模式帮助企业对接优质服务。组织科技、产品开发交流活动，为企业在技术攻关、联合竞标等方面的合作牵线搭桥，推动园区内企业跨界融合创新。针对园区内小微企业发展需求，定期组织公共服务与产业政策专场宣讲会。</w:t>
      </w:r>
      <w:r>
        <w:rPr>
          <w:rFonts w:hint="eastAsia" w:ascii="Times New Roman" w:hAnsi="Times New Roman" w:eastAsia="仿宋" w:cs="Times New Roman"/>
          <w:color w:val="000000" w:themeColor="text1"/>
          <w:sz w:val="32"/>
          <w:szCs w:val="32"/>
          <w14:textFill>
            <w14:solidFill>
              <w14:schemeClr w14:val="tx1"/>
            </w14:solidFill>
          </w14:textFill>
        </w:rPr>
        <w:t>积极推进</w:t>
      </w:r>
      <w:r>
        <w:rPr>
          <w:rFonts w:ascii="Times New Roman" w:hAnsi="Times New Roman" w:eastAsia="仿宋" w:cs="Times New Roman"/>
          <w:color w:val="000000" w:themeColor="text1"/>
          <w:sz w:val="32"/>
          <w:szCs w:val="32"/>
          <w14:textFill>
            <w14:solidFill>
              <w14:schemeClr w14:val="tx1"/>
            </w14:solidFill>
          </w14:textFill>
        </w:rPr>
        <w:t>产业地图</w:t>
      </w:r>
      <w:r>
        <w:rPr>
          <w:rFonts w:hint="eastAsia" w:ascii="Times New Roman" w:hAnsi="Times New Roman" w:eastAsia="仿宋" w:cs="Times New Roman"/>
          <w:color w:val="000000" w:themeColor="text1"/>
          <w:sz w:val="32"/>
          <w:szCs w:val="32"/>
          <w14:textFill>
            <w14:solidFill>
              <w14:schemeClr w14:val="tx1"/>
            </w14:solidFill>
          </w14:textFill>
        </w:rPr>
        <w:t>和</w:t>
      </w:r>
      <w:r>
        <w:rPr>
          <w:rFonts w:ascii="Times New Roman" w:hAnsi="Times New Roman" w:eastAsia="仿宋" w:cs="Times New Roman"/>
          <w:color w:val="000000" w:themeColor="text1"/>
          <w:sz w:val="32"/>
          <w:szCs w:val="32"/>
          <w14:textFill>
            <w14:solidFill>
              <w14:schemeClr w14:val="tx1"/>
            </w14:solidFill>
          </w14:textFill>
        </w:rPr>
        <w:t>企业画像</w:t>
      </w:r>
      <w:r>
        <w:rPr>
          <w:rFonts w:hint="eastAsia" w:ascii="Times New Roman" w:hAnsi="Times New Roman" w:eastAsia="仿宋" w:cs="Times New Roman"/>
          <w:color w:val="000000" w:themeColor="text1"/>
          <w:sz w:val="32"/>
          <w:szCs w:val="32"/>
          <w14:textFill>
            <w14:solidFill>
              <w14:schemeClr w14:val="tx1"/>
            </w14:solidFill>
          </w14:textFill>
        </w:rPr>
        <w:t>工作</w:t>
      </w:r>
      <w:r>
        <w:rPr>
          <w:rFonts w:ascii="Times New Roman" w:hAnsi="Times New Roman" w:eastAsia="仿宋" w:cs="Times New Roman"/>
          <w:color w:val="000000" w:themeColor="text1"/>
          <w:sz w:val="32"/>
          <w:szCs w:val="32"/>
          <w14:textFill>
            <w14:solidFill>
              <w14:schemeClr w14:val="tx1"/>
            </w14:solidFill>
          </w14:textFill>
        </w:rPr>
        <w:t>，</w:t>
      </w:r>
      <w:r>
        <w:rPr>
          <w:rFonts w:hint="eastAsia" w:ascii="Times New Roman" w:hAnsi="Times New Roman" w:eastAsia="仿宋" w:cs="Times New Roman"/>
          <w:color w:val="000000" w:themeColor="text1"/>
          <w:sz w:val="32"/>
          <w:szCs w:val="32"/>
          <w14:textFill>
            <w14:solidFill>
              <w14:schemeClr w14:val="tx1"/>
            </w14:solidFill>
          </w14:textFill>
        </w:rPr>
        <w:t>有针对性的对存量企业开展精准服务。</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2"/>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w:t>
            </w:r>
            <w:r>
              <w:rPr>
                <w:rFonts w:hint="eastAsia" w:ascii="Times New Roman" w:hAnsi="Times New Roman" w:eastAsia="仿宋" w:cs="Times New Roman"/>
                <w:b/>
                <w:bCs/>
                <w:color w:val="000000" w:themeColor="text1"/>
                <w:sz w:val="24"/>
                <w:szCs w:val="24"/>
                <w14:textFill>
                  <w14:solidFill>
                    <w14:schemeClr w14:val="tx1"/>
                  </w14:solidFill>
                </w14:textFill>
              </w:rPr>
              <w:t>11</w:t>
            </w:r>
            <w:r>
              <w:rPr>
                <w:rFonts w:ascii="Times New Roman" w:hAnsi="Times New Roman" w:eastAsia="仿宋" w:cs="Times New Roman"/>
                <w:b/>
                <w:bCs/>
                <w:color w:val="000000" w:themeColor="text1"/>
                <w:sz w:val="24"/>
                <w:szCs w:val="24"/>
                <w14:textFill>
                  <w14:solidFill>
                    <w14:schemeClr w14:val="tx1"/>
                  </w14:solidFill>
                </w14:textFill>
              </w:rPr>
              <w:t xml:space="preserve"> 建立对企服务联络员机制，及时响应企业发展需求</w:t>
            </w:r>
          </w:p>
          <w:p>
            <w:pPr>
              <w:pStyle w:val="2"/>
              <w:ind w:firstLine="480"/>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构建亲清新型政商关系，进一步完善政企沟通机制。开展管委会领导干部挂钩联系园区内重点骨干企业，落实</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一企一人</w:t>
            </w:r>
            <w:r>
              <w:rPr>
                <w:rFonts w:hint="eastAsia"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 w:cs="Times New Roman"/>
                <w:color w:val="000000" w:themeColor="text1"/>
                <w:sz w:val="24"/>
                <w:szCs w:val="24"/>
                <w14:textFill>
                  <w14:solidFill>
                    <w14:schemeClr w14:val="tx1"/>
                  </w14:solidFill>
                </w14:textFill>
              </w:rPr>
              <w:t>联络员服务机制。积极向企业宣传各项方针政策，摸排梳理企业诉求清单，切实帮助企业协调解决发展过程中遇到的重大问题和困难。联络员充分依托园区公共服务信息化平台，引导企业及时发布相关需求，并主动向企业推介优质服务机构，及时解决企业需求。联络员对掌握的信息、资源认真筛选，将对企业有用的信息、资源及时传递给企业，保证与企业之间信息、资源的及时互通。各联络员之间加强沟通交流，对不同企业之间的发展诉求进行深度剖析，主动帮助企业对接技术、市场等方面的合作机会，为企业的发展壮大献计献策。</w:t>
            </w:r>
          </w:p>
        </w:tc>
      </w:tr>
    </w:tbl>
    <w:p>
      <w:pPr>
        <w:pStyle w:val="2"/>
        <w:ind w:firstLine="643"/>
        <w:rPr>
          <w:rFonts w:ascii="Times New Roman" w:hAnsi="Times New Roman" w:eastAsia="仿宋" w:cs="Times New Roman"/>
          <w:b/>
          <w:bCs/>
          <w:color w:val="000000" w:themeColor="text1"/>
          <w:sz w:val="32"/>
          <w:szCs w:val="32"/>
          <w14:textFill>
            <w14:solidFill>
              <w14:schemeClr w14:val="tx1"/>
            </w14:solidFill>
          </w14:textFill>
        </w:rPr>
      </w:pPr>
      <w:r>
        <w:rPr>
          <w:rFonts w:ascii="Times New Roman" w:hAnsi="Times New Roman" w:eastAsia="仿宋" w:cs="Times New Roman"/>
          <w:b/>
          <w:bCs/>
          <w:color w:val="000000" w:themeColor="text1"/>
          <w:sz w:val="32"/>
          <w:szCs w:val="32"/>
          <w14:textFill>
            <w14:solidFill>
              <w14:schemeClr w14:val="tx1"/>
            </w14:solidFill>
          </w14:textFill>
        </w:rPr>
        <w:t>2、创新多种服务方式，提升园区公共服务能级</w:t>
      </w:r>
    </w:p>
    <w:p>
      <w:pPr>
        <w:pStyle w:val="2"/>
        <w:ind w:firstLine="640"/>
        <w:rPr>
          <w:rFonts w:ascii="Times New Roman" w:hAnsi="Times New Roman" w:cs="Times New Roman"/>
          <w:color w:val="000000" w:themeColor="text1"/>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对标最高标准，构建一流服务环境，打造市、区公共服务改革先行先试试验田。大力推进工程建设项目审批制度改革，持续对工程建设项目审批各个环节进行全流程优化</w:t>
      </w:r>
      <w:r>
        <w:rPr>
          <w:rFonts w:hint="eastAsia" w:ascii="Times New Roman" w:hAnsi="Times New Roman" w:eastAsia="仿宋" w:cs="Times New Roman"/>
          <w:color w:val="000000" w:themeColor="text1"/>
          <w:sz w:val="32"/>
          <w:szCs w:val="32"/>
          <w14:textFill>
            <w14:solidFill>
              <w14:schemeClr w14:val="tx1"/>
            </w14:solidFill>
          </w14:textFill>
        </w:rPr>
        <w:t>，推动实现“拿地即开工”</w:t>
      </w:r>
      <w:r>
        <w:rPr>
          <w:rFonts w:ascii="Times New Roman" w:hAnsi="Times New Roman" w:eastAsia="仿宋" w:cs="Times New Roman"/>
          <w:color w:val="000000" w:themeColor="text1"/>
          <w:sz w:val="32"/>
          <w:szCs w:val="32"/>
          <w14:textFill>
            <w14:solidFill>
              <w14:schemeClr w14:val="tx1"/>
            </w14:solidFill>
          </w14:textFill>
        </w:rPr>
        <w:t>。依托广州市城市信息模型(CIM)平台，整合政策服务、空间资源、技术合作、公共活动等园区服务资源，提高园区数字化治理服务能力，不断提升园区管理服务效率及企业服务满意度。积极推进园区物流通道、能源设施和生活配套设施超标准配置，打造宜居、宜业、宜游的园区品质设施。排摸园区交通需求，优化接驳公交路线，提升现有公交线路运能，探索接驳车凭卡免费乘车制度，缓解地铁站高峰期的交通压力，解决园区员工出行</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最后一公里</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难题，全面提高园区的承载力和宜居性。提升园区对企对人服务效能，着力优化办事服务效率。</w:t>
      </w:r>
    </w:p>
    <w:p>
      <w:pPr>
        <w:pStyle w:val="3"/>
        <w:ind w:firstLine="640"/>
        <w:rPr>
          <w:color w:val="000000" w:themeColor="text1"/>
          <w14:textFill>
            <w14:solidFill>
              <w14:schemeClr w14:val="tx1"/>
            </w14:solidFill>
          </w14:textFill>
        </w:rPr>
      </w:pPr>
      <w:bookmarkStart w:id="48" w:name="_Toc89358674"/>
      <w:r>
        <w:rPr>
          <w:color w:val="000000" w:themeColor="text1"/>
          <w14:textFill>
            <w14:solidFill>
              <w14:schemeClr w14:val="tx1"/>
            </w14:solidFill>
          </w14:textFill>
        </w:rPr>
        <w:t>七、保障措施</w:t>
      </w:r>
      <w:bookmarkEnd w:id="48"/>
    </w:p>
    <w:p>
      <w:pPr>
        <w:pStyle w:val="4"/>
        <w:numPr>
          <w:ilvl w:val="0"/>
          <w:numId w:val="4"/>
        </w:numPr>
        <w:ind w:firstLineChars="0"/>
        <w:rPr>
          <w:color w:val="000000" w:themeColor="text1"/>
          <w14:textFill>
            <w14:solidFill>
              <w14:schemeClr w14:val="tx1"/>
            </w14:solidFill>
          </w14:textFill>
        </w:rPr>
      </w:pPr>
      <w:bookmarkStart w:id="49" w:name="_Toc89358675"/>
      <w:r>
        <w:rPr>
          <w:color w:val="000000" w:themeColor="text1"/>
          <w14:textFill>
            <w14:solidFill>
              <w14:schemeClr w14:val="tx1"/>
            </w14:solidFill>
          </w14:textFill>
        </w:rPr>
        <w:t>加强组织领导</w:t>
      </w:r>
      <w:bookmarkEnd w:id="49"/>
    </w:p>
    <w:p>
      <w:pPr>
        <w:spacing w:line="360" w:lineRule="auto"/>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建立区委、区领导联系天河智慧城工作机制，高站位推动天河智慧城各项工作落地见效。统筹天河智慧城建设发展领导小组和天河智谷片区开发建设工作领导小组，建立健全工作联动和协调保障机制，定期召开领导小组专题会议，及时协调解决</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十四五</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期间遇到的重大问题。天河智慧城管委会要履行主体责任，加强与省、市、区相关部门的联系对接，推动各项工作任务落实。加强干部队伍建设，加大干部培养培训力度，打造一支懂产业、懂企业、懂人才、懂建设、敢负责、勇担当的服务队伍，切实提高服务能力和水平。</w:t>
      </w:r>
    </w:p>
    <w:p>
      <w:pPr>
        <w:pStyle w:val="4"/>
        <w:numPr>
          <w:ilvl w:val="0"/>
          <w:numId w:val="4"/>
        </w:numPr>
        <w:ind w:firstLineChars="0"/>
        <w:rPr>
          <w:rFonts w:eastAsia="仿宋"/>
          <w:color w:val="000000" w:themeColor="text1"/>
          <w14:textFill>
            <w14:solidFill>
              <w14:schemeClr w14:val="tx1"/>
            </w14:solidFill>
          </w14:textFill>
        </w:rPr>
      </w:pPr>
      <w:bookmarkStart w:id="50" w:name="_Toc89358676"/>
      <w:r>
        <w:rPr>
          <w:rFonts w:hint="eastAsia"/>
          <w:color w:val="000000" w:themeColor="text1"/>
          <w14:textFill>
            <w14:solidFill>
              <w14:schemeClr w14:val="tx1"/>
            </w14:solidFill>
          </w14:textFill>
        </w:rPr>
        <w:t>加大政策支持</w:t>
      </w:r>
      <w:bookmarkEnd w:id="50"/>
    </w:p>
    <w:p>
      <w:pPr>
        <w:pStyle w:val="2"/>
        <w:ind w:firstLine="640"/>
      </w:pPr>
      <w:r>
        <w:rPr>
          <w:rFonts w:hint="eastAsia" w:ascii="Times New Roman" w:hAnsi="Times New Roman" w:eastAsia="仿宋" w:cs="Times New Roman"/>
          <w:color w:val="000000" w:themeColor="text1"/>
          <w:sz w:val="32"/>
          <w:szCs w:val="32"/>
          <w14:textFill>
            <w14:solidFill>
              <w14:schemeClr w14:val="tx1"/>
            </w14:solidFill>
          </w14:textFill>
        </w:rPr>
        <w:t>积极落实国家、省、市各项扶持政策。根据天河智慧城自身特点，结合重点战略、主要任务，围绕企业引育、技术攻关、应用推广、引才用才、市场融资等方面研究制定针对性、前瞻性、突破性的支持政策和创新举措。针对国有企业平台、产业基金平台等各种形式实施招商引资投资入股、出借资金、提供担保等，研究探索管理制度、实施措施和执行程序创新，推动国有资本加大对优势产业的投资布局和对接合作。</w:t>
      </w:r>
    </w:p>
    <w:p>
      <w:pPr>
        <w:pStyle w:val="4"/>
        <w:numPr>
          <w:ilvl w:val="0"/>
          <w:numId w:val="4"/>
        </w:numPr>
        <w:ind w:firstLineChars="0"/>
        <w:rPr>
          <w:color w:val="000000" w:themeColor="text1"/>
          <w14:textFill>
            <w14:solidFill>
              <w14:schemeClr w14:val="tx1"/>
            </w14:solidFill>
          </w14:textFill>
        </w:rPr>
      </w:pPr>
      <w:bookmarkStart w:id="51" w:name="_Toc89358677"/>
      <w:r>
        <w:rPr>
          <w:color w:val="000000" w:themeColor="text1"/>
          <w14:textFill>
            <w14:solidFill>
              <w14:schemeClr w14:val="tx1"/>
            </w14:solidFill>
          </w14:textFill>
        </w:rPr>
        <w:t>优化营商环境</w:t>
      </w:r>
      <w:bookmarkEnd w:id="51"/>
    </w:p>
    <w:p>
      <w:pPr>
        <w:spacing w:line="360" w:lineRule="auto"/>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贯彻落实天河区全面优化营商环境行动方案，以打造</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五个一</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服务优先模式为目标，全面实施政务服务提速工程、项目落地保障工程、企业服务提质工程、营商规则国际化衔接工程、法治护航升级工程。大力推进工程建设项目审批制度改革，全面推行</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一网通办</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服务、</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一件事</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主题套餐服务、</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一门式</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政策兑现、容缺信任审批等改革措施。完善主动服务企业机制，构建</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亲</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清</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政商关系。</w:t>
      </w:r>
    </w:p>
    <w:p>
      <w:pPr>
        <w:pStyle w:val="4"/>
        <w:numPr>
          <w:ilvl w:val="0"/>
          <w:numId w:val="4"/>
        </w:numPr>
        <w:ind w:firstLineChars="0"/>
        <w:rPr>
          <w:color w:val="000000" w:themeColor="text1"/>
          <w14:textFill>
            <w14:solidFill>
              <w14:schemeClr w14:val="tx1"/>
            </w14:solidFill>
          </w14:textFill>
        </w:rPr>
      </w:pPr>
      <w:bookmarkStart w:id="52" w:name="_Toc89358678"/>
      <w:r>
        <w:rPr>
          <w:color w:val="000000" w:themeColor="text1"/>
          <w14:textFill>
            <w14:solidFill>
              <w14:schemeClr w14:val="tx1"/>
            </w14:solidFill>
          </w14:textFill>
        </w:rPr>
        <w:t>强化考核激励</w:t>
      </w:r>
      <w:bookmarkEnd w:id="52"/>
    </w:p>
    <w:p>
      <w:pPr>
        <w:spacing w:line="360" w:lineRule="auto"/>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强化天河智慧城日常统计、监测和综合评价，以重点工作任务落实情况为基础，围绕产业集聚、资源集约、产城融合等重点任务开展考核评价。健全天河智慧城国民经济与社会发展统计体系，围绕省级高新区评价考核重点，将营业收入、年末从业人数、高新技术企业收入、企业内部研发经费支付占营业收入比例等核心指标按照区域范围进行准确核算，全面准确掌握天河智慧城发展情况。优化统计工作机制，切实加强数据统计和运行监测，确保各项工作达到考核要求、走在前列。加强重点工作督查督办，建立定期通报制度，组织开展阶段性评估，科学评价规划实施效果，强化结果运用，针对规划实施过程中存在的问题及时提出解决措施，确保规划目标顺利实现。</w:t>
      </w:r>
    </w:p>
    <w:p>
      <w:pPr>
        <w:pStyle w:val="4"/>
        <w:numPr>
          <w:ilvl w:val="0"/>
          <w:numId w:val="4"/>
        </w:numPr>
        <w:ind w:firstLineChars="0"/>
        <w:rPr>
          <w:color w:val="000000" w:themeColor="text1"/>
          <w14:textFill>
            <w14:solidFill>
              <w14:schemeClr w14:val="tx1"/>
            </w14:solidFill>
          </w14:textFill>
        </w:rPr>
      </w:pPr>
      <w:bookmarkStart w:id="53" w:name="_Toc89358679"/>
      <w:r>
        <w:rPr>
          <w:rFonts w:hint="eastAsia"/>
          <w:color w:val="000000" w:themeColor="text1"/>
          <w14:textFill>
            <w14:solidFill>
              <w14:schemeClr w14:val="tx1"/>
            </w14:solidFill>
          </w14:textFill>
        </w:rPr>
        <w:t>提升</w:t>
      </w:r>
      <w:r>
        <w:rPr>
          <w:color w:val="000000" w:themeColor="text1"/>
          <w14:textFill>
            <w14:solidFill>
              <w14:schemeClr w14:val="tx1"/>
            </w14:solidFill>
          </w14:textFill>
        </w:rPr>
        <w:t>宣传力度</w:t>
      </w:r>
      <w:bookmarkEnd w:id="53"/>
    </w:p>
    <w:p>
      <w:pPr>
        <w:spacing w:line="360" w:lineRule="auto"/>
        <w:ind w:firstLine="640" w:firstLineChars="200"/>
        <w:rPr>
          <w:rFonts w:ascii="Times New Roman" w:hAnsi="Times New Roman" w:eastAsia="仿宋" w:cs="Times New Roman"/>
          <w:color w:val="000000" w:themeColor="text1"/>
          <w:sz w:val="32"/>
          <w:szCs w:val="32"/>
          <w14:textFill>
            <w14:solidFill>
              <w14:schemeClr w14:val="tx1"/>
            </w14:solidFill>
          </w14:textFill>
        </w:rPr>
        <w:sectPr>
          <w:footerReference r:id="rId4" w:type="default"/>
          <w:pgSz w:w="11906" w:h="16838"/>
          <w:pgMar w:top="1440" w:right="1800" w:bottom="1440" w:left="1800" w:header="851" w:footer="992" w:gutter="0"/>
          <w:pgNumType w:fmt="numberInDash" w:start="1"/>
          <w:cols w:space="425" w:num="1"/>
          <w:docGrid w:type="lines" w:linePitch="312" w:charSpace="0"/>
        </w:sectPr>
      </w:pPr>
      <w:r>
        <w:rPr>
          <w:rFonts w:ascii="Times New Roman" w:hAnsi="Times New Roman" w:eastAsia="仿宋" w:cs="Times New Roman"/>
          <w:color w:val="000000" w:themeColor="text1"/>
          <w:sz w:val="32"/>
          <w:szCs w:val="32"/>
          <w14:textFill>
            <w14:solidFill>
              <w14:schemeClr w14:val="tx1"/>
            </w14:solidFill>
          </w14:textFill>
        </w:rPr>
        <w:t>发挥典型示范作用，加强天河智慧城整体形象展示，突出天河智慧城在粤港澳大湾区、广深港澳科技创新走廊节点中的定位作用，总结和宣传天河智慧城的工作亮点及工作成效。充分利用传统媒体、网络数字媒体、移动端媒体等各类资源，持续开展以塑造天河智慧城整体形象为主题的新闻事件和广告宣传，提高天河智慧城的知名度和影响力。加强天河智慧城产业发展条件、环境及政策宣传，塑造天河智慧城高质量发展的良好形象，提升天河智慧城在全国乃至全球的美誉度和吸引力。</w:t>
      </w:r>
    </w:p>
    <w:p>
      <w:pPr>
        <w:pStyle w:val="2"/>
        <w:ind w:firstLine="0" w:firstLineChars="0"/>
        <w:rPr>
          <w:rFonts w:ascii="Times New Roman" w:hAnsi="Times New Roman" w:cs="Times New Roman"/>
          <w:color w:val="000000" w:themeColor="text1"/>
          <w14:textFill>
            <w14:solidFill>
              <w14:schemeClr w14:val="tx1"/>
            </w14:solidFill>
          </w14:textFill>
        </w:rPr>
      </w:pP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3"/>
      </w:pPr>
      <w:r>
        <w:rPr>
          <w:rStyle w:val="22"/>
        </w:rPr>
        <w:footnoteRef/>
      </w:r>
      <w:r>
        <w:t xml:space="preserve"> </w:t>
      </w:r>
      <w:r>
        <w:rPr>
          <w:rFonts w:hint="eastAsia"/>
        </w:rPr>
        <w:t>统计范围为新塘、龙洞、凤凰、五山、元岗、长兴、兴华七条街道。</w:t>
      </w:r>
    </w:p>
  </w:footnote>
  <w:footnote w:id="1">
    <w:p>
      <w:pPr>
        <w:pStyle w:val="13"/>
      </w:pPr>
      <w:r>
        <w:rPr>
          <w:rStyle w:val="22"/>
        </w:rPr>
        <w:footnoteRef/>
      </w:r>
      <w:r>
        <w:t xml:space="preserve"> </w:t>
      </w:r>
      <w:r>
        <w:rPr>
          <w:rFonts w:hint="eastAsia"/>
        </w:rPr>
        <w:t>部分原因为减税降费影响。</w:t>
      </w:r>
    </w:p>
  </w:footnote>
  <w:footnote w:id="2">
    <w:p>
      <w:pPr>
        <w:pStyle w:val="13"/>
      </w:pPr>
      <w:r>
        <w:rPr>
          <w:rStyle w:val="22"/>
        </w:rPr>
        <w:footnoteRef/>
      </w:r>
      <w:r>
        <w:t xml:space="preserve"> </w:t>
      </w:r>
      <w:r>
        <w:rPr>
          <w:rFonts w:hint="eastAsia"/>
        </w:rPr>
        <w:t>由于2017年软件业统计口径调整，与“十三五”原目标值存在差异。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50017"/>
    <w:multiLevelType w:val="singleLevel"/>
    <w:tmpl w:val="A3150017"/>
    <w:lvl w:ilvl="0" w:tentative="0">
      <w:start w:val="2"/>
      <w:numFmt w:val="chineseCounting"/>
      <w:suff w:val="nothing"/>
      <w:lvlText w:val="（%1）"/>
      <w:lvlJc w:val="left"/>
      <w:rPr>
        <w:rFonts w:hint="eastAsia"/>
      </w:rPr>
    </w:lvl>
  </w:abstractNum>
  <w:abstractNum w:abstractNumId="1">
    <w:nsid w:val="DE4EA24F"/>
    <w:multiLevelType w:val="singleLevel"/>
    <w:tmpl w:val="DE4EA24F"/>
    <w:lvl w:ilvl="0" w:tentative="0">
      <w:start w:val="1"/>
      <w:numFmt w:val="chineseCounting"/>
      <w:suff w:val="nothing"/>
      <w:lvlText w:val="（%1）"/>
      <w:lvlJc w:val="left"/>
      <w:pPr>
        <w:ind w:left="0" w:firstLine="420"/>
      </w:pPr>
      <w:rPr>
        <w:rFonts w:hint="eastAsia"/>
      </w:rPr>
    </w:lvl>
  </w:abstractNum>
  <w:abstractNum w:abstractNumId="2">
    <w:nsid w:val="F94856CC"/>
    <w:multiLevelType w:val="singleLevel"/>
    <w:tmpl w:val="F94856CC"/>
    <w:lvl w:ilvl="0" w:tentative="0">
      <w:start w:val="1"/>
      <w:numFmt w:val="chineseCounting"/>
      <w:suff w:val="nothing"/>
      <w:lvlText w:val="（%1）"/>
      <w:lvlJc w:val="left"/>
      <w:pPr>
        <w:ind w:left="0" w:firstLine="420"/>
      </w:pPr>
      <w:rPr>
        <w:rFonts w:hint="eastAsia"/>
      </w:rPr>
    </w:lvl>
  </w:abstractNum>
  <w:abstractNum w:abstractNumId="3">
    <w:nsid w:val="636A18E3"/>
    <w:multiLevelType w:val="singleLevel"/>
    <w:tmpl w:val="636A18E3"/>
    <w:lvl w:ilvl="0" w:tentative="0">
      <w:start w:val="2"/>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4A6044"/>
    <w:rsid w:val="00014946"/>
    <w:rsid w:val="00021A93"/>
    <w:rsid w:val="00042CE2"/>
    <w:rsid w:val="00051655"/>
    <w:rsid w:val="0005411E"/>
    <w:rsid w:val="000723EC"/>
    <w:rsid w:val="000B0CD9"/>
    <w:rsid w:val="000B7673"/>
    <w:rsid w:val="000D3A38"/>
    <w:rsid w:val="000D3B4D"/>
    <w:rsid w:val="000E1D4F"/>
    <w:rsid w:val="0010665E"/>
    <w:rsid w:val="00117469"/>
    <w:rsid w:val="00135211"/>
    <w:rsid w:val="0015615D"/>
    <w:rsid w:val="0016698D"/>
    <w:rsid w:val="00167630"/>
    <w:rsid w:val="0017629A"/>
    <w:rsid w:val="001A6680"/>
    <w:rsid w:val="001C2FC7"/>
    <w:rsid w:val="0020107B"/>
    <w:rsid w:val="0020153B"/>
    <w:rsid w:val="00237D9E"/>
    <w:rsid w:val="0024676B"/>
    <w:rsid w:val="00267A7C"/>
    <w:rsid w:val="002924CD"/>
    <w:rsid w:val="002A1309"/>
    <w:rsid w:val="002D2926"/>
    <w:rsid w:val="002F023A"/>
    <w:rsid w:val="002F2527"/>
    <w:rsid w:val="00311265"/>
    <w:rsid w:val="00331EE4"/>
    <w:rsid w:val="0033645D"/>
    <w:rsid w:val="00336EF9"/>
    <w:rsid w:val="0034369B"/>
    <w:rsid w:val="003609AA"/>
    <w:rsid w:val="00391CB2"/>
    <w:rsid w:val="003A4DCB"/>
    <w:rsid w:val="003A7BBD"/>
    <w:rsid w:val="003D702C"/>
    <w:rsid w:val="003E2891"/>
    <w:rsid w:val="003E6016"/>
    <w:rsid w:val="0041095E"/>
    <w:rsid w:val="00423A45"/>
    <w:rsid w:val="00457468"/>
    <w:rsid w:val="00462C9D"/>
    <w:rsid w:val="0047649E"/>
    <w:rsid w:val="00492034"/>
    <w:rsid w:val="00503508"/>
    <w:rsid w:val="00523E15"/>
    <w:rsid w:val="005241D0"/>
    <w:rsid w:val="005308DC"/>
    <w:rsid w:val="00532402"/>
    <w:rsid w:val="00540E1B"/>
    <w:rsid w:val="00566C09"/>
    <w:rsid w:val="0057155E"/>
    <w:rsid w:val="005A18F4"/>
    <w:rsid w:val="005B2FEC"/>
    <w:rsid w:val="005B7C15"/>
    <w:rsid w:val="005F7AD2"/>
    <w:rsid w:val="00602533"/>
    <w:rsid w:val="00617089"/>
    <w:rsid w:val="00622ACA"/>
    <w:rsid w:val="00630C5E"/>
    <w:rsid w:val="006438DB"/>
    <w:rsid w:val="006456F5"/>
    <w:rsid w:val="00647418"/>
    <w:rsid w:val="0067224E"/>
    <w:rsid w:val="00673BD7"/>
    <w:rsid w:val="006F29B7"/>
    <w:rsid w:val="00721F42"/>
    <w:rsid w:val="0074733E"/>
    <w:rsid w:val="00753BCC"/>
    <w:rsid w:val="007914BA"/>
    <w:rsid w:val="0079326A"/>
    <w:rsid w:val="007B03AF"/>
    <w:rsid w:val="007D3EBC"/>
    <w:rsid w:val="007F679F"/>
    <w:rsid w:val="00817F1B"/>
    <w:rsid w:val="008A34FC"/>
    <w:rsid w:val="008A505C"/>
    <w:rsid w:val="008A7202"/>
    <w:rsid w:val="00915D84"/>
    <w:rsid w:val="00933E48"/>
    <w:rsid w:val="00936A0D"/>
    <w:rsid w:val="0094158F"/>
    <w:rsid w:val="009538E8"/>
    <w:rsid w:val="0096141E"/>
    <w:rsid w:val="0098736C"/>
    <w:rsid w:val="00997E4F"/>
    <w:rsid w:val="00A027B1"/>
    <w:rsid w:val="00A07E24"/>
    <w:rsid w:val="00A168B1"/>
    <w:rsid w:val="00A20C86"/>
    <w:rsid w:val="00A316D3"/>
    <w:rsid w:val="00A800C7"/>
    <w:rsid w:val="00A91569"/>
    <w:rsid w:val="00AC54AB"/>
    <w:rsid w:val="00AC7FF5"/>
    <w:rsid w:val="00AE2CFF"/>
    <w:rsid w:val="00AE7F5F"/>
    <w:rsid w:val="00B04EBA"/>
    <w:rsid w:val="00B12D66"/>
    <w:rsid w:val="00B273DF"/>
    <w:rsid w:val="00B32248"/>
    <w:rsid w:val="00B5761B"/>
    <w:rsid w:val="00BB7335"/>
    <w:rsid w:val="00BD1661"/>
    <w:rsid w:val="00BF501D"/>
    <w:rsid w:val="00C36586"/>
    <w:rsid w:val="00C467F1"/>
    <w:rsid w:val="00C500C4"/>
    <w:rsid w:val="00C56F81"/>
    <w:rsid w:val="00C92E90"/>
    <w:rsid w:val="00C92EE4"/>
    <w:rsid w:val="00CA1949"/>
    <w:rsid w:val="00CC17C7"/>
    <w:rsid w:val="00CD55AB"/>
    <w:rsid w:val="00D74D7E"/>
    <w:rsid w:val="00D86CA1"/>
    <w:rsid w:val="00DB7240"/>
    <w:rsid w:val="00DC5745"/>
    <w:rsid w:val="00DC64A6"/>
    <w:rsid w:val="00E017F2"/>
    <w:rsid w:val="00E110BA"/>
    <w:rsid w:val="00E31AB8"/>
    <w:rsid w:val="00E354B9"/>
    <w:rsid w:val="00E578F3"/>
    <w:rsid w:val="00E6161B"/>
    <w:rsid w:val="00E72089"/>
    <w:rsid w:val="00E756F3"/>
    <w:rsid w:val="00E8637D"/>
    <w:rsid w:val="00E86BF9"/>
    <w:rsid w:val="00E944AB"/>
    <w:rsid w:val="00E9713E"/>
    <w:rsid w:val="00EB0583"/>
    <w:rsid w:val="00EB11DA"/>
    <w:rsid w:val="00EF63E3"/>
    <w:rsid w:val="00EF6CA8"/>
    <w:rsid w:val="00F77230"/>
    <w:rsid w:val="00FA281C"/>
    <w:rsid w:val="00FA5F6B"/>
    <w:rsid w:val="01704C80"/>
    <w:rsid w:val="01BC2D9D"/>
    <w:rsid w:val="02266335"/>
    <w:rsid w:val="023B1DEB"/>
    <w:rsid w:val="024D325F"/>
    <w:rsid w:val="025B0B2A"/>
    <w:rsid w:val="03602507"/>
    <w:rsid w:val="04BB78DB"/>
    <w:rsid w:val="04D5089E"/>
    <w:rsid w:val="05414DB6"/>
    <w:rsid w:val="055960D7"/>
    <w:rsid w:val="063475CA"/>
    <w:rsid w:val="064E120F"/>
    <w:rsid w:val="066E2F19"/>
    <w:rsid w:val="06E3134F"/>
    <w:rsid w:val="06F63290"/>
    <w:rsid w:val="07034C97"/>
    <w:rsid w:val="07466E0B"/>
    <w:rsid w:val="075201A2"/>
    <w:rsid w:val="07D909C0"/>
    <w:rsid w:val="08005DD4"/>
    <w:rsid w:val="0951611B"/>
    <w:rsid w:val="099D03F0"/>
    <w:rsid w:val="09D074F6"/>
    <w:rsid w:val="0A6463DD"/>
    <w:rsid w:val="0A946A61"/>
    <w:rsid w:val="0AC977B7"/>
    <w:rsid w:val="0AD52485"/>
    <w:rsid w:val="0AE31E80"/>
    <w:rsid w:val="0AEE3825"/>
    <w:rsid w:val="0BBF1F69"/>
    <w:rsid w:val="0C2F187F"/>
    <w:rsid w:val="0C3571EA"/>
    <w:rsid w:val="0CBA64CB"/>
    <w:rsid w:val="0CD66D38"/>
    <w:rsid w:val="0D0344E2"/>
    <w:rsid w:val="0D0F5E14"/>
    <w:rsid w:val="0E3B32CB"/>
    <w:rsid w:val="0E7822A2"/>
    <w:rsid w:val="0EAD2FD3"/>
    <w:rsid w:val="0F7E63E3"/>
    <w:rsid w:val="0F8815F3"/>
    <w:rsid w:val="0FE92DAD"/>
    <w:rsid w:val="109C6E7F"/>
    <w:rsid w:val="10D608EC"/>
    <w:rsid w:val="11155A96"/>
    <w:rsid w:val="11380594"/>
    <w:rsid w:val="11866E6C"/>
    <w:rsid w:val="11C30459"/>
    <w:rsid w:val="12090364"/>
    <w:rsid w:val="127F09BC"/>
    <w:rsid w:val="12B65D48"/>
    <w:rsid w:val="139115D4"/>
    <w:rsid w:val="13BA63D9"/>
    <w:rsid w:val="14970E35"/>
    <w:rsid w:val="14BC1C1E"/>
    <w:rsid w:val="14E25FF1"/>
    <w:rsid w:val="155667A6"/>
    <w:rsid w:val="15584242"/>
    <w:rsid w:val="15CB5906"/>
    <w:rsid w:val="163F0E00"/>
    <w:rsid w:val="17FD640E"/>
    <w:rsid w:val="186D6EC4"/>
    <w:rsid w:val="18D800C5"/>
    <w:rsid w:val="19745661"/>
    <w:rsid w:val="19E364B8"/>
    <w:rsid w:val="1A27522B"/>
    <w:rsid w:val="1AEE15EB"/>
    <w:rsid w:val="1B75088F"/>
    <w:rsid w:val="1CC3734C"/>
    <w:rsid w:val="1D865BF7"/>
    <w:rsid w:val="1D922B76"/>
    <w:rsid w:val="1E035C4B"/>
    <w:rsid w:val="1E116C47"/>
    <w:rsid w:val="1E193EB7"/>
    <w:rsid w:val="1E5153D3"/>
    <w:rsid w:val="1FF00478"/>
    <w:rsid w:val="201D6A68"/>
    <w:rsid w:val="20247D50"/>
    <w:rsid w:val="206A64C0"/>
    <w:rsid w:val="209E7AAC"/>
    <w:rsid w:val="20A01AE1"/>
    <w:rsid w:val="21052EA8"/>
    <w:rsid w:val="21205CD2"/>
    <w:rsid w:val="21332394"/>
    <w:rsid w:val="22A80FC8"/>
    <w:rsid w:val="2326637F"/>
    <w:rsid w:val="232C1B8E"/>
    <w:rsid w:val="2345295C"/>
    <w:rsid w:val="236E1F5A"/>
    <w:rsid w:val="24890B0C"/>
    <w:rsid w:val="24C857E4"/>
    <w:rsid w:val="25743EE7"/>
    <w:rsid w:val="25AE209E"/>
    <w:rsid w:val="264A6044"/>
    <w:rsid w:val="26B9035C"/>
    <w:rsid w:val="27526497"/>
    <w:rsid w:val="27892BDF"/>
    <w:rsid w:val="2864642D"/>
    <w:rsid w:val="289E2964"/>
    <w:rsid w:val="28A21A3B"/>
    <w:rsid w:val="294B52AA"/>
    <w:rsid w:val="298528D5"/>
    <w:rsid w:val="298801FE"/>
    <w:rsid w:val="29D4705B"/>
    <w:rsid w:val="29D7224E"/>
    <w:rsid w:val="2A5156E5"/>
    <w:rsid w:val="2B4C4C82"/>
    <w:rsid w:val="2B51334A"/>
    <w:rsid w:val="2BD91BE5"/>
    <w:rsid w:val="2BE00BCF"/>
    <w:rsid w:val="2BE16469"/>
    <w:rsid w:val="2C35390C"/>
    <w:rsid w:val="2D643D68"/>
    <w:rsid w:val="2DE925FA"/>
    <w:rsid w:val="2E3C1694"/>
    <w:rsid w:val="2EDA57D1"/>
    <w:rsid w:val="2F846091"/>
    <w:rsid w:val="2FF94DAF"/>
    <w:rsid w:val="30115D31"/>
    <w:rsid w:val="305D18D3"/>
    <w:rsid w:val="308128EE"/>
    <w:rsid w:val="308651CB"/>
    <w:rsid w:val="316F4DDE"/>
    <w:rsid w:val="31AE2CFC"/>
    <w:rsid w:val="32507323"/>
    <w:rsid w:val="33A25246"/>
    <w:rsid w:val="33D25780"/>
    <w:rsid w:val="346316CA"/>
    <w:rsid w:val="34AA672B"/>
    <w:rsid w:val="359514C5"/>
    <w:rsid w:val="35C7495F"/>
    <w:rsid w:val="360D295D"/>
    <w:rsid w:val="36416BF1"/>
    <w:rsid w:val="370201B0"/>
    <w:rsid w:val="37753671"/>
    <w:rsid w:val="397B02EB"/>
    <w:rsid w:val="39821E9F"/>
    <w:rsid w:val="39881EBE"/>
    <w:rsid w:val="3A024CE7"/>
    <w:rsid w:val="3A1A0043"/>
    <w:rsid w:val="3A28755E"/>
    <w:rsid w:val="3A59505F"/>
    <w:rsid w:val="3AAB1696"/>
    <w:rsid w:val="3ACD42CC"/>
    <w:rsid w:val="3AE23623"/>
    <w:rsid w:val="3B4C7995"/>
    <w:rsid w:val="3B7A0DE1"/>
    <w:rsid w:val="3BF6178D"/>
    <w:rsid w:val="3C173E42"/>
    <w:rsid w:val="3C2C5812"/>
    <w:rsid w:val="3D010DD0"/>
    <w:rsid w:val="3D454DD5"/>
    <w:rsid w:val="3DCD7479"/>
    <w:rsid w:val="3E374B82"/>
    <w:rsid w:val="3E5A747B"/>
    <w:rsid w:val="3F553041"/>
    <w:rsid w:val="3F602511"/>
    <w:rsid w:val="3FA2553E"/>
    <w:rsid w:val="40A200A3"/>
    <w:rsid w:val="40EF6459"/>
    <w:rsid w:val="40FE18C3"/>
    <w:rsid w:val="41646F51"/>
    <w:rsid w:val="4182131A"/>
    <w:rsid w:val="41920022"/>
    <w:rsid w:val="42E52E28"/>
    <w:rsid w:val="42FE648E"/>
    <w:rsid w:val="44070266"/>
    <w:rsid w:val="44537AAE"/>
    <w:rsid w:val="44A53EEC"/>
    <w:rsid w:val="44E134B9"/>
    <w:rsid w:val="44FE5471"/>
    <w:rsid w:val="4519289A"/>
    <w:rsid w:val="461B40E2"/>
    <w:rsid w:val="46335BCA"/>
    <w:rsid w:val="46E0719E"/>
    <w:rsid w:val="48445A16"/>
    <w:rsid w:val="484F0F57"/>
    <w:rsid w:val="49257C90"/>
    <w:rsid w:val="496D151F"/>
    <w:rsid w:val="49BA3560"/>
    <w:rsid w:val="49CA531E"/>
    <w:rsid w:val="49EE1C7C"/>
    <w:rsid w:val="4A1C090D"/>
    <w:rsid w:val="4AC04008"/>
    <w:rsid w:val="4AF00D5A"/>
    <w:rsid w:val="4B97319D"/>
    <w:rsid w:val="4BB269EA"/>
    <w:rsid w:val="4CAE6793"/>
    <w:rsid w:val="4D612BAA"/>
    <w:rsid w:val="4E1C13E8"/>
    <w:rsid w:val="4E9B1E2C"/>
    <w:rsid w:val="4F7D5696"/>
    <w:rsid w:val="4F8D4C1D"/>
    <w:rsid w:val="4FA25CA0"/>
    <w:rsid w:val="4FDD0A75"/>
    <w:rsid w:val="505451E1"/>
    <w:rsid w:val="507B088D"/>
    <w:rsid w:val="509972B9"/>
    <w:rsid w:val="51BB3AB6"/>
    <w:rsid w:val="51FB2FC2"/>
    <w:rsid w:val="520F526D"/>
    <w:rsid w:val="52905476"/>
    <w:rsid w:val="535A2977"/>
    <w:rsid w:val="53683768"/>
    <w:rsid w:val="549A6CE7"/>
    <w:rsid w:val="549B6E20"/>
    <w:rsid w:val="54F621EE"/>
    <w:rsid w:val="554471DB"/>
    <w:rsid w:val="55762440"/>
    <w:rsid w:val="55762C91"/>
    <w:rsid w:val="5694136A"/>
    <w:rsid w:val="56980112"/>
    <w:rsid w:val="569A0B55"/>
    <w:rsid w:val="573C104A"/>
    <w:rsid w:val="579B4AF3"/>
    <w:rsid w:val="580E177C"/>
    <w:rsid w:val="58B416FE"/>
    <w:rsid w:val="58BB45E6"/>
    <w:rsid w:val="58C34FB6"/>
    <w:rsid w:val="58C514C6"/>
    <w:rsid w:val="58DB6736"/>
    <w:rsid w:val="590803E5"/>
    <w:rsid w:val="59275A4F"/>
    <w:rsid w:val="592F0C75"/>
    <w:rsid w:val="595215BA"/>
    <w:rsid w:val="59922F09"/>
    <w:rsid w:val="5A7C5E20"/>
    <w:rsid w:val="5B790369"/>
    <w:rsid w:val="5B7E7A55"/>
    <w:rsid w:val="5B93569D"/>
    <w:rsid w:val="5BEF7B91"/>
    <w:rsid w:val="5C526066"/>
    <w:rsid w:val="5D1E1D3B"/>
    <w:rsid w:val="5D981E66"/>
    <w:rsid w:val="5DD53B52"/>
    <w:rsid w:val="5DFF6809"/>
    <w:rsid w:val="5E264651"/>
    <w:rsid w:val="5F7A416B"/>
    <w:rsid w:val="602669FD"/>
    <w:rsid w:val="60476713"/>
    <w:rsid w:val="60B76A45"/>
    <w:rsid w:val="613E7DED"/>
    <w:rsid w:val="61513E68"/>
    <w:rsid w:val="61785ADD"/>
    <w:rsid w:val="617E4071"/>
    <w:rsid w:val="61A663FA"/>
    <w:rsid w:val="620C45F0"/>
    <w:rsid w:val="623F34C4"/>
    <w:rsid w:val="626F7C97"/>
    <w:rsid w:val="62AA41D8"/>
    <w:rsid w:val="62E6501A"/>
    <w:rsid w:val="631347EE"/>
    <w:rsid w:val="63882948"/>
    <w:rsid w:val="647305F8"/>
    <w:rsid w:val="64797AB0"/>
    <w:rsid w:val="64C54889"/>
    <w:rsid w:val="65454325"/>
    <w:rsid w:val="662E7D50"/>
    <w:rsid w:val="66342625"/>
    <w:rsid w:val="664009F7"/>
    <w:rsid w:val="66CC276C"/>
    <w:rsid w:val="67334AD6"/>
    <w:rsid w:val="68694C3D"/>
    <w:rsid w:val="68D5552C"/>
    <w:rsid w:val="696E44F6"/>
    <w:rsid w:val="69E106B1"/>
    <w:rsid w:val="6A164465"/>
    <w:rsid w:val="6A7228AB"/>
    <w:rsid w:val="6ACF56A0"/>
    <w:rsid w:val="6B370E76"/>
    <w:rsid w:val="6B7F4C84"/>
    <w:rsid w:val="6C54305E"/>
    <w:rsid w:val="6C6E204B"/>
    <w:rsid w:val="6D073693"/>
    <w:rsid w:val="6D2609A0"/>
    <w:rsid w:val="6DB52210"/>
    <w:rsid w:val="6DCF149D"/>
    <w:rsid w:val="6E001B33"/>
    <w:rsid w:val="6E525D05"/>
    <w:rsid w:val="6E60063D"/>
    <w:rsid w:val="6F055C86"/>
    <w:rsid w:val="6F9A6630"/>
    <w:rsid w:val="6FF84884"/>
    <w:rsid w:val="71100618"/>
    <w:rsid w:val="7122571D"/>
    <w:rsid w:val="71CD1F9D"/>
    <w:rsid w:val="71CD3E89"/>
    <w:rsid w:val="728C04BB"/>
    <w:rsid w:val="72BD06D2"/>
    <w:rsid w:val="730C0A8B"/>
    <w:rsid w:val="730C217C"/>
    <w:rsid w:val="731C2995"/>
    <w:rsid w:val="732D705F"/>
    <w:rsid w:val="733C230E"/>
    <w:rsid w:val="73DC5339"/>
    <w:rsid w:val="74055200"/>
    <w:rsid w:val="745D28C7"/>
    <w:rsid w:val="749766D9"/>
    <w:rsid w:val="74B11244"/>
    <w:rsid w:val="74F1153C"/>
    <w:rsid w:val="7562642E"/>
    <w:rsid w:val="75823ECC"/>
    <w:rsid w:val="758E0418"/>
    <w:rsid w:val="77192EDA"/>
    <w:rsid w:val="783B1439"/>
    <w:rsid w:val="783D3071"/>
    <w:rsid w:val="7878752B"/>
    <w:rsid w:val="79613C6E"/>
    <w:rsid w:val="7975356F"/>
    <w:rsid w:val="79B96628"/>
    <w:rsid w:val="7A295ACB"/>
    <w:rsid w:val="7A6B610D"/>
    <w:rsid w:val="7AA46A8F"/>
    <w:rsid w:val="7B154042"/>
    <w:rsid w:val="7B257414"/>
    <w:rsid w:val="7B311F8D"/>
    <w:rsid w:val="7B5E41A4"/>
    <w:rsid w:val="7C07568A"/>
    <w:rsid w:val="7C8964DD"/>
    <w:rsid w:val="7CAC10E6"/>
    <w:rsid w:val="7CF1055F"/>
    <w:rsid w:val="7D114566"/>
    <w:rsid w:val="7D2E1527"/>
    <w:rsid w:val="7D6A2A68"/>
    <w:rsid w:val="7DA0089E"/>
    <w:rsid w:val="7DB1704D"/>
    <w:rsid w:val="7E426251"/>
    <w:rsid w:val="7FA460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next w:val="1"/>
    <w:qFormat/>
    <w:uiPriority w:val="0"/>
    <w:pPr>
      <w:keepNext/>
      <w:keepLines/>
      <w:widowControl w:val="0"/>
      <w:spacing w:line="560" w:lineRule="exact"/>
      <w:ind w:firstLine="880" w:firstLineChars="200"/>
      <w:jc w:val="both"/>
      <w:outlineLvl w:val="0"/>
    </w:pPr>
    <w:rPr>
      <w:rFonts w:ascii="Times New Roman" w:hAnsi="Times New Roman" w:eastAsia="黑体" w:cs="Times New Roman"/>
      <w:bCs/>
      <w:kern w:val="44"/>
      <w:sz w:val="32"/>
      <w:szCs w:val="44"/>
      <w:lang w:val="en-US" w:eastAsia="zh-CN" w:bidi="ar-SA"/>
    </w:rPr>
  </w:style>
  <w:style w:type="paragraph" w:styleId="4">
    <w:name w:val="heading 2"/>
    <w:next w:val="1"/>
    <w:unhideWhenUsed/>
    <w:qFormat/>
    <w:uiPriority w:val="0"/>
    <w:pPr>
      <w:keepNext/>
      <w:keepLines/>
      <w:widowControl w:val="0"/>
      <w:spacing w:line="560" w:lineRule="atLeast"/>
      <w:ind w:firstLine="643" w:firstLineChars="200"/>
      <w:jc w:val="both"/>
      <w:outlineLvl w:val="1"/>
    </w:pPr>
    <w:rPr>
      <w:rFonts w:ascii="Times New Roman" w:hAnsi="Times New Roman" w:eastAsia="楷体" w:cs="Times New Roman"/>
      <w:b/>
      <w:bCs/>
      <w:kern w:val="2"/>
      <w:sz w:val="32"/>
      <w:szCs w:val="32"/>
      <w:lang w:val="en-US" w:eastAsia="zh-CN" w:bidi="ar-SA"/>
    </w:rPr>
  </w:style>
  <w:style w:type="paragraph" w:styleId="5">
    <w:name w:val="heading 3"/>
    <w:next w:val="1"/>
    <w:unhideWhenUsed/>
    <w:qFormat/>
    <w:uiPriority w:val="0"/>
    <w:pPr>
      <w:widowControl w:val="0"/>
      <w:overflowPunct w:val="0"/>
      <w:autoSpaceDE w:val="0"/>
      <w:autoSpaceDN w:val="0"/>
      <w:adjustRightInd w:val="0"/>
      <w:snapToGrid w:val="0"/>
      <w:spacing w:line="560" w:lineRule="exact"/>
      <w:ind w:firstLine="200" w:firstLineChars="200"/>
      <w:textAlignment w:val="baseline"/>
      <w:outlineLvl w:val="2"/>
    </w:pPr>
    <w:rPr>
      <w:rFonts w:ascii="Times New Roman" w:hAnsi="Times New Roman" w:eastAsia="仿宋_GB2312" w:cs="Arial"/>
      <w:b/>
      <w:kern w:val="2"/>
      <w:sz w:val="32"/>
      <w:szCs w:val="30"/>
      <w:lang w:val="en-US" w:eastAsia="zh-CN" w:bidi="ar-SA"/>
    </w:rPr>
  </w:style>
  <w:style w:type="character" w:default="1" w:styleId="18">
    <w:name w:val="Default Paragraph Font"/>
    <w:semiHidden/>
    <w:unhideWhenUsed/>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6">
    <w:name w:val="caption"/>
    <w:basedOn w:val="1"/>
    <w:next w:val="1"/>
    <w:semiHidden/>
    <w:unhideWhenUsed/>
    <w:qFormat/>
    <w:uiPriority w:val="0"/>
    <w:rPr>
      <w:rFonts w:ascii="Arial" w:hAnsi="Arial" w:eastAsia="黑体"/>
      <w:sz w:val="20"/>
    </w:rPr>
  </w:style>
  <w:style w:type="paragraph" w:styleId="7">
    <w:name w:val="annotation text"/>
    <w:basedOn w:val="1"/>
    <w:qFormat/>
    <w:uiPriority w:val="0"/>
    <w:pPr>
      <w:jc w:val="left"/>
    </w:pPr>
  </w:style>
  <w:style w:type="paragraph" w:styleId="8">
    <w:name w:val="toc 3"/>
    <w:basedOn w:val="1"/>
    <w:next w:val="1"/>
    <w:qFormat/>
    <w:uiPriority w:val="39"/>
    <w:pPr>
      <w:ind w:left="840" w:leftChars="400"/>
    </w:pPr>
  </w:style>
  <w:style w:type="paragraph" w:styleId="9">
    <w:name w:val="Balloon Text"/>
    <w:basedOn w:val="1"/>
    <w:link w:val="24"/>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footnote text"/>
    <w:basedOn w:val="1"/>
    <w:unhideWhenUsed/>
    <w:qFormat/>
    <w:uiPriority w:val="99"/>
    <w:pPr>
      <w:snapToGrid w:val="0"/>
      <w:jc w:val="left"/>
    </w:pPr>
    <w:rPr>
      <w:sz w:val="18"/>
      <w:szCs w:val="18"/>
    </w:rPr>
  </w:style>
  <w:style w:type="paragraph" w:styleId="14">
    <w:name w:val="toc 2"/>
    <w:basedOn w:val="1"/>
    <w:next w:val="1"/>
    <w:qFormat/>
    <w:uiPriority w:val="39"/>
    <w:pPr>
      <w:ind w:left="420" w:leftChars="200"/>
    </w:pPr>
  </w:style>
  <w:style w:type="paragraph" w:styleId="15">
    <w:name w:val="Normal (Web)"/>
    <w:basedOn w:val="1"/>
    <w:qFormat/>
    <w:uiPriority w:val="99"/>
    <w:pPr>
      <w:widowControl/>
      <w:spacing w:before="100" w:beforeAutospacing="1" w:after="100" w:afterAutospacing="1" w:line="360" w:lineRule="auto"/>
      <w:jc w:val="left"/>
    </w:pPr>
    <w:rPr>
      <w:rFonts w:ascii="宋体" w:hAnsi="宋体" w:cs="宋体"/>
      <w:kern w:val="0"/>
      <w:sz w:val="24"/>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9">
    <w:name w:val="Strong"/>
    <w:basedOn w:val="18"/>
    <w:qFormat/>
    <w:uiPriority w:val="0"/>
    <w:rPr>
      <w:b/>
    </w:rPr>
  </w:style>
  <w:style w:type="character" w:styleId="20">
    <w:name w:val="Hyperlink"/>
    <w:basedOn w:val="18"/>
    <w:unhideWhenUsed/>
    <w:uiPriority w:val="99"/>
    <w:rPr>
      <w:color w:val="0563C1" w:themeColor="hyperlink"/>
      <w:u w:val="single"/>
      <w14:textFill>
        <w14:solidFill>
          <w14:schemeClr w14:val="hlink"/>
        </w14:solidFill>
      </w14:textFill>
    </w:rPr>
  </w:style>
  <w:style w:type="character" w:styleId="21">
    <w:name w:val="annotation reference"/>
    <w:basedOn w:val="18"/>
    <w:qFormat/>
    <w:uiPriority w:val="99"/>
    <w:rPr>
      <w:sz w:val="21"/>
      <w:szCs w:val="21"/>
    </w:rPr>
  </w:style>
  <w:style w:type="character" w:styleId="22">
    <w:name w:val="footnote reference"/>
    <w:unhideWhenUsed/>
    <w:qFormat/>
    <w:uiPriority w:val="99"/>
    <w:rPr>
      <w:vertAlign w:val="superscript"/>
    </w:rPr>
  </w:style>
  <w:style w:type="character" w:customStyle="1" w:styleId="23">
    <w:name w:val="页眉 字符"/>
    <w:basedOn w:val="18"/>
    <w:link w:val="11"/>
    <w:qFormat/>
    <w:uiPriority w:val="0"/>
    <w:rPr>
      <w:rFonts w:ascii="Calibri" w:hAnsi="Calibri" w:cs="黑体"/>
      <w:kern w:val="2"/>
      <w:sz w:val="18"/>
      <w:szCs w:val="18"/>
    </w:rPr>
  </w:style>
  <w:style w:type="character" w:customStyle="1" w:styleId="24">
    <w:name w:val="批注框文本 字符"/>
    <w:basedOn w:val="18"/>
    <w:link w:val="9"/>
    <w:qFormat/>
    <w:uiPriority w:val="0"/>
    <w:rPr>
      <w:rFonts w:ascii="Calibri" w:hAnsi="Calibri" w:cs="黑体"/>
      <w:kern w:val="2"/>
      <w:sz w:val="18"/>
      <w:szCs w:val="18"/>
    </w:rPr>
  </w:style>
  <w:style w:type="character" w:customStyle="1" w:styleId="25">
    <w:name w:val="font51"/>
    <w:basedOn w:val="18"/>
    <w:qFormat/>
    <w:uiPriority w:val="0"/>
    <w:rPr>
      <w:rFonts w:hint="eastAsia" w:ascii="宋体" w:hAnsi="宋体" w:eastAsia="宋体" w:cs="宋体"/>
      <w:color w:val="000000"/>
      <w:sz w:val="20"/>
      <w:szCs w:val="20"/>
      <w:u w:val="none"/>
    </w:rPr>
  </w:style>
  <w:style w:type="character" w:customStyle="1" w:styleId="26">
    <w:name w:val="font41"/>
    <w:basedOn w:val="18"/>
    <w:qFormat/>
    <w:uiPriority w:val="0"/>
    <w:rPr>
      <w:rFonts w:hint="eastAsia" w:ascii="宋体" w:hAnsi="宋体" w:eastAsia="宋体" w:cs="宋体"/>
      <w:color w:val="000000"/>
      <w:sz w:val="20"/>
      <w:szCs w:val="20"/>
      <w:u w:val="none"/>
    </w:rPr>
  </w:style>
  <w:style w:type="character" w:customStyle="1" w:styleId="27">
    <w:name w:val="font31"/>
    <w:basedOn w:val="1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7864</Words>
  <Characters>44829</Characters>
  <Lines>373</Lines>
  <Paragraphs>105</Paragraphs>
  <TotalTime>1526</TotalTime>
  <ScaleCrop>false</ScaleCrop>
  <LinksUpToDate>false</LinksUpToDate>
  <CharactersWithSpaces>52588</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2021-11-22T05:40:00Z</dcterms:created>
  <dc:creator>Lenovo_PC</dc:creator>
  <cp:lastModifiedBy>昏昏</cp:lastModifiedBy>
  <cp:lastPrinted>2021-11-29T09:02:00Z</cp:lastPrinted>
  <dcterms:modified xsi:type="dcterms:W3CDTF">2022-02-17T06:42:59Z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881A109A9B0C4434A184B6B617F05CB4</vt:lpwstr>
  </property>
</Properties>
</file>