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W w:w="1566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
      <w:tblGrid>
        <w:gridCol w:w="1381"/>
        <w:gridCol w:w="1305"/>
        <w:gridCol w:w="885"/>
        <w:gridCol w:w="4290"/>
        <w:gridCol w:w="1740"/>
        <w:gridCol w:w="570"/>
        <w:gridCol w:w="2100"/>
        <w:gridCol w:w="1020"/>
        <w:gridCol w:w="1095"/>
        <w:gridCol w:w="12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860" w:hRule="atLeast"/>
        </w:trPr>
        <w:tc>
          <w:tcPr>
            <w:tcW w:w="1381"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center"/>
          </w:tcPr>
          <w:p>
            <w:pPr>
              <w:keepNext w:val="0"/>
              <w:keepLines w:val="0"/>
              <w:widowControl/>
              <w:suppressLineNumbers w:val="0"/>
              <w:jc w:val="center"/>
              <w:textAlignment w:val="center"/>
              <w:rPr>
                <w:rFonts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bdr w:val="none" w:color="auto" w:sz="0" w:space="0"/>
                <w:lang w:val="en-US" w:eastAsia="zh-CN" w:bidi="ar"/>
              </w:rPr>
              <w:t>行政相对人名称</w:t>
            </w:r>
          </w:p>
        </w:tc>
        <w:tc>
          <w:tcPr>
            <w:tcW w:w="1305"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bdr w:val="none" w:color="auto" w:sz="0" w:space="0"/>
                <w:lang w:val="en-US" w:eastAsia="zh-CN" w:bidi="ar"/>
              </w:rPr>
              <w:t>行政处罚决定书文号</w:t>
            </w:r>
          </w:p>
        </w:tc>
        <w:tc>
          <w:tcPr>
            <w:tcW w:w="885"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bdr w:val="none" w:color="auto" w:sz="0" w:space="0"/>
                <w:lang w:val="en-US" w:eastAsia="zh-CN" w:bidi="ar"/>
              </w:rPr>
              <w:t>违法行为类型</w:t>
            </w:r>
          </w:p>
        </w:tc>
        <w:tc>
          <w:tcPr>
            <w:tcW w:w="4290"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bookmarkStart w:id="0" w:name="_GoBack"/>
            <w:bookmarkEnd w:id="0"/>
            <w:r>
              <w:rPr>
                <w:rFonts w:hint="eastAsia" w:ascii="仿宋" w:hAnsi="仿宋" w:eastAsia="仿宋" w:cs="仿宋"/>
                <w:b/>
                <w:i w:val="0"/>
                <w:color w:val="000000"/>
                <w:kern w:val="0"/>
                <w:sz w:val="24"/>
                <w:szCs w:val="24"/>
                <w:u w:val="none"/>
                <w:bdr w:val="none" w:color="auto" w:sz="0" w:space="0"/>
                <w:lang w:val="en-US" w:eastAsia="zh-CN" w:bidi="ar"/>
              </w:rPr>
              <w:t>违法事实</w:t>
            </w:r>
          </w:p>
        </w:tc>
        <w:tc>
          <w:tcPr>
            <w:tcW w:w="1740"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bdr w:val="none" w:color="auto" w:sz="0" w:space="0"/>
                <w:lang w:val="en-US" w:eastAsia="zh-CN" w:bidi="ar"/>
              </w:rPr>
              <w:t>处罚依据</w:t>
            </w:r>
          </w:p>
        </w:tc>
        <w:tc>
          <w:tcPr>
            <w:tcW w:w="570"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bdr w:val="none" w:color="auto" w:sz="0" w:space="0"/>
                <w:lang w:val="en-US" w:eastAsia="zh-CN" w:bidi="ar"/>
              </w:rPr>
              <w:t>处罚类别</w:t>
            </w:r>
          </w:p>
        </w:tc>
        <w:tc>
          <w:tcPr>
            <w:tcW w:w="2100"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bdr w:val="none" w:color="auto" w:sz="0" w:space="0"/>
                <w:lang w:val="en-US" w:eastAsia="zh-CN" w:bidi="ar"/>
              </w:rPr>
              <w:t>处罚内容</w:t>
            </w:r>
          </w:p>
        </w:tc>
        <w:tc>
          <w:tcPr>
            <w:tcW w:w="1020"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bdr w:val="none" w:color="auto" w:sz="0" w:space="0"/>
                <w:lang w:val="en-US" w:eastAsia="zh-CN" w:bidi="ar"/>
              </w:rPr>
              <w:t>罚款金额(万元)</w:t>
            </w:r>
          </w:p>
        </w:tc>
        <w:tc>
          <w:tcPr>
            <w:tcW w:w="1095"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bdr w:val="none" w:color="auto" w:sz="0" w:space="0"/>
                <w:lang w:val="en-US" w:eastAsia="zh-CN" w:bidi="ar"/>
              </w:rPr>
              <w:t>处罚决定日期</w:t>
            </w:r>
          </w:p>
        </w:tc>
        <w:tc>
          <w:tcPr>
            <w:tcW w:w="1275"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24"/>
                <w:szCs w:val="24"/>
                <w:u w:val="none"/>
              </w:rPr>
            </w:pPr>
            <w:r>
              <w:rPr>
                <w:rFonts w:hint="eastAsia" w:ascii="仿宋" w:hAnsi="仿宋" w:eastAsia="仿宋" w:cs="仿宋"/>
                <w:b/>
                <w:i w:val="0"/>
                <w:color w:val="000000"/>
                <w:kern w:val="0"/>
                <w:sz w:val="24"/>
                <w:szCs w:val="24"/>
                <w:u w:val="none"/>
                <w:bdr w:val="none" w:color="auto" w:sz="0" w:space="0"/>
                <w:lang w:val="en-US" w:eastAsia="zh-CN" w:bidi="ar"/>
              </w:rPr>
              <w:t>处罚机关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76" w:hRule="atLeast"/>
        </w:trPr>
        <w:tc>
          <w:tcPr>
            <w:tcW w:w="138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广州合生东宇房地产有限公司</w:t>
            </w:r>
          </w:p>
        </w:tc>
        <w:tc>
          <w:tcPr>
            <w:tcW w:w="13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〔2021〕1700115号</w:t>
            </w:r>
          </w:p>
        </w:tc>
        <w:tc>
          <w:tcPr>
            <w:tcW w:w="8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城乡规划管理</w:t>
            </w:r>
          </w:p>
        </w:tc>
        <w:tc>
          <w:tcPr>
            <w:tcW w:w="42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当事人广州合生东宇房地产有限公司于2021年3月期间，未取得建设工程规划许可证，在天河区悦景路11号帝景山庄西区地块进行建设3栋在建状态的框架结构建筑物。分别为1栋地上7层的住宅楼、1幢地上2层的住宅楼和1幢地上1层地下2层的公建配套楼。经测量，上述3幢在建状态建筑物已施工部分建筑总面积为22734平方米。目前上述3幢在建状态建筑物已停工。</w:t>
            </w:r>
          </w:p>
        </w:tc>
        <w:tc>
          <w:tcPr>
            <w:tcW w:w="17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《广州市违法建设查处条例》第三十一条第一项</w:t>
            </w:r>
          </w:p>
        </w:tc>
        <w:tc>
          <w:tcPr>
            <w:tcW w:w="5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罚款</w:t>
            </w:r>
          </w:p>
        </w:tc>
        <w:tc>
          <w:tcPr>
            <w:tcW w:w="21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城乡规划管理&gt;&gt;未取得建设工程规划许可证或者未按照建设工程规划许可证的规定进行建设</w:t>
            </w:r>
          </w:p>
        </w:tc>
        <w:tc>
          <w:tcPr>
            <w:tcW w:w="102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714.88916</w:t>
            </w:r>
          </w:p>
        </w:tc>
        <w:tc>
          <w:tcPr>
            <w:tcW w:w="109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2021/12/23</w:t>
            </w:r>
          </w:p>
        </w:tc>
        <w:tc>
          <w:tcPr>
            <w:tcW w:w="12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841" w:hRule="atLeast"/>
        </w:trPr>
        <w:tc>
          <w:tcPr>
            <w:tcW w:w="138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广州兴瑜宸电子科技有限公司</w:t>
            </w:r>
          </w:p>
        </w:tc>
        <w:tc>
          <w:tcPr>
            <w:tcW w:w="13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〔2021〕0700108号</w:t>
            </w:r>
          </w:p>
        </w:tc>
        <w:tc>
          <w:tcPr>
            <w:tcW w:w="8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环境保护管理</w:t>
            </w:r>
          </w:p>
        </w:tc>
        <w:tc>
          <w:tcPr>
            <w:tcW w:w="42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2021年08月25日 16时17分，广州兴瑜宸电子科技有限公司 在 广州市天河区中山大道中车陂北街路口 进行 夜间施工（使用机械可停）。</w:t>
            </w:r>
          </w:p>
        </w:tc>
        <w:tc>
          <w:tcPr>
            <w:tcW w:w="17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《广东省实施办法》（2018年修正）第三十一条第（九）项</w:t>
            </w:r>
          </w:p>
        </w:tc>
        <w:tc>
          <w:tcPr>
            <w:tcW w:w="5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罚款</w:t>
            </w:r>
          </w:p>
        </w:tc>
        <w:tc>
          <w:tcPr>
            <w:tcW w:w="21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环境保护管理&gt;&gt;夜间施工（使用机械可停）</w:t>
            </w:r>
          </w:p>
        </w:tc>
        <w:tc>
          <w:tcPr>
            <w:tcW w:w="102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0.79</w:t>
            </w:r>
          </w:p>
        </w:tc>
        <w:tc>
          <w:tcPr>
            <w:tcW w:w="109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2021/12/16</w:t>
            </w:r>
          </w:p>
        </w:tc>
        <w:tc>
          <w:tcPr>
            <w:tcW w:w="12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795" w:hRule="atLeast"/>
        </w:trPr>
        <w:tc>
          <w:tcPr>
            <w:tcW w:w="138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广州二运集团有限公司</w:t>
            </w:r>
          </w:p>
        </w:tc>
        <w:tc>
          <w:tcPr>
            <w:tcW w:w="13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〔2021〕1400082号</w:t>
            </w:r>
          </w:p>
        </w:tc>
        <w:tc>
          <w:tcPr>
            <w:tcW w:w="8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42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2021年06月12日 22时35分，广州二运集团有限公司在 冼村复建房猎德大道北往南方向 进行 （带泥污染）车辆未冲洗干净造成污染。</w:t>
            </w:r>
          </w:p>
        </w:tc>
        <w:tc>
          <w:tcPr>
            <w:tcW w:w="17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《广东省环境保护条例》（2018年修改）第七十四条第三款“违反本条例第四十条第二款规定</w:t>
            </w:r>
          </w:p>
        </w:tc>
        <w:tc>
          <w:tcPr>
            <w:tcW w:w="5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罚款</w:t>
            </w:r>
          </w:p>
        </w:tc>
        <w:tc>
          <w:tcPr>
            <w:tcW w:w="21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市容环境卫生管理&gt;&gt;（带泥污染）车辆不符合密闭要求，未冲洗干净造成污染</w:t>
            </w:r>
          </w:p>
        </w:tc>
        <w:tc>
          <w:tcPr>
            <w:tcW w:w="102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w:t>
            </w:r>
          </w:p>
        </w:tc>
        <w:tc>
          <w:tcPr>
            <w:tcW w:w="109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2021/12/14</w:t>
            </w:r>
          </w:p>
        </w:tc>
        <w:tc>
          <w:tcPr>
            <w:tcW w:w="12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广州市天河区城市管理和综合执法局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90" w:hRule="atLeast"/>
        </w:trPr>
        <w:tc>
          <w:tcPr>
            <w:tcW w:w="138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广州市穗恒运输服务有限公司</w:t>
            </w:r>
          </w:p>
        </w:tc>
        <w:tc>
          <w:tcPr>
            <w:tcW w:w="13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穗综天处字 〔2021〕1400084号</w:t>
            </w:r>
          </w:p>
        </w:tc>
        <w:tc>
          <w:tcPr>
            <w:tcW w:w="88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w:t>
            </w:r>
          </w:p>
        </w:tc>
        <w:tc>
          <w:tcPr>
            <w:tcW w:w="42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2021年06月14日01时50分，广州市穗恒运输服务有限公司 在地铁十八号线冼村站 进行（带泥污染）车辆不符合密闭要求，未冲洗干净造成污染。</w:t>
            </w:r>
          </w:p>
        </w:tc>
        <w:tc>
          <w:tcPr>
            <w:tcW w:w="17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广东省环境保护条例》（2018年修改）第七十四条第三款“违反本条例第四十条第二款规定</w:t>
            </w:r>
          </w:p>
        </w:tc>
        <w:tc>
          <w:tcPr>
            <w:tcW w:w="5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罚款</w:t>
            </w:r>
          </w:p>
        </w:tc>
        <w:tc>
          <w:tcPr>
            <w:tcW w:w="210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市容环境卫生管理&gt;&gt;（带泥污染）车辆不符合密闭要求，未冲洗干净造成污染</w:t>
            </w:r>
          </w:p>
        </w:tc>
        <w:tc>
          <w:tcPr>
            <w:tcW w:w="102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w:t>
            </w:r>
          </w:p>
        </w:tc>
        <w:tc>
          <w:tcPr>
            <w:tcW w:w="109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2021/12/08</w:t>
            </w:r>
          </w:p>
        </w:tc>
        <w:tc>
          <w:tcPr>
            <w:tcW w:w="12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default" w:ascii="Arial" w:hAnsi="Arial" w:cs="Arial"/>
                <w:b/>
                <w:i w:val="0"/>
                <w:color w:val="000000"/>
                <w:sz w:val="20"/>
                <w:szCs w:val="20"/>
                <w:u w:val="none"/>
              </w:rPr>
            </w:pPr>
            <w:r>
              <w:rPr>
                <w:rFonts w:hint="default" w:ascii="Arial" w:hAnsi="Arial" w:eastAsia="宋体" w:cs="Arial"/>
                <w:b/>
                <w:i w:val="0"/>
                <w:color w:val="000000"/>
                <w:kern w:val="0"/>
                <w:sz w:val="20"/>
                <w:szCs w:val="20"/>
                <w:u w:val="none"/>
                <w:bdr w:val="none" w:color="auto" w:sz="0" w:space="0"/>
                <w:lang w:val="en-US" w:eastAsia="zh-CN" w:bidi="ar"/>
              </w:rPr>
              <w:t>广州市天河区城市管理和综合执法局</w:t>
            </w:r>
          </w:p>
        </w:tc>
      </w:tr>
    </w:tbl>
    <w:p/>
    <w:sectPr>
      <w:pgSz w:w="16838" w:h="11906" w:orient="landscape"/>
      <w:pgMar w:top="1134" w:right="567" w:bottom="1134" w:left="56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82C4519"/>
    <w:rsid w:val="1BB060FB"/>
    <w:rsid w:val="2CBA1940"/>
    <w:rsid w:val="31511A47"/>
    <w:rsid w:val="760F16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2022-01-01T05:28:59Z</dcterms:created>
  <dc:creator>Administrator</dc:creator>
  <cp:lastModifiedBy>NTKO</cp:lastModifiedBy>
  <dcterms:modified xsi:type="dcterms:W3CDTF">2022-01-01T05:35:23Z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