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黑体" w:hAnsi="黑体" w:eastAsia="黑体" w:cs="黑体"/>
          <w:szCs w:val="32"/>
        </w:rPr>
      </w:pPr>
      <w:bookmarkStart w:id="0" w:name="_Toc10913"/>
      <w:bookmarkStart w:id="1" w:name="_Toc22553_WPSOffice_Level2"/>
    </w:p>
    <w:p>
      <w:pPr>
        <w:rPr>
          <w:rFonts w:ascii="仿宋_GB2312" w:hAnsi="仿宋_GB2312" w:cs="仿宋_GB2312"/>
          <w:szCs w:val="32"/>
        </w:rPr>
      </w:pPr>
    </w:p>
    <w:p>
      <w:pPr>
        <w:rPr>
          <w:rFonts w:ascii="仿宋_GB2312" w:hAnsi="仿宋_GB2312" w:cs="仿宋_GB2312"/>
          <w:szCs w:val="32"/>
        </w:rPr>
      </w:pPr>
    </w:p>
    <w:p>
      <w:pPr>
        <w:rPr>
          <w:rFonts w:ascii="仿宋_GB2312" w:hAnsi="仿宋_GB2312" w:cs="仿宋_GB2312"/>
          <w:szCs w:val="32"/>
        </w:rPr>
      </w:pPr>
    </w:p>
    <w:p>
      <w:pPr>
        <w:rPr>
          <w:rFonts w:ascii="仿宋_GB2312" w:hAnsi="仿宋_GB2312" w:cs="仿宋_GB2312"/>
          <w:szCs w:val="32"/>
        </w:rPr>
      </w:pPr>
    </w:p>
    <w:p>
      <w:pPr>
        <w:jc w:val="center"/>
        <w:rPr>
          <w:rFonts w:hint="eastAsia" w:ascii="方正小标宋_GBK" w:hAnsi="方正小标宋_GBK" w:eastAsia="方正小标宋_GBK" w:cs="方正小标宋_GBK"/>
          <w:bCs/>
          <w:sz w:val="52"/>
          <w:szCs w:val="52"/>
          <w:lang w:eastAsia="zh-CN"/>
        </w:rPr>
      </w:pPr>
      <w:r>
        <w:rPr>
          <w:rFonts w:hint="eastAsia" w:ascii="方正小标宋_GBK" w:hAnsi="方正小标宋_GBK" w:eastAsia="方正小标宋_GBK" w:cs="方正小标宋_GBK"/>
          <w:bCs/>
          <w:sz w:val="52"/>
          <w:szCs w:val="52"/>
        </w:rPr>
        <w:t>天河区</w:t>
      </w:r>
      <w:r>
        <w:rPr>
          <w:rFonts w:hint="eastAsia" w:ascii="方正小标宋_GBK" w:hAnsi="方正小标宋_GBK" w:eastAsia="方正小标宋_GBK" w:cs="方正小标宋_GBK"/>
          <w:bCs/>
          <w:sz w:val="52"/>
          <w:szCs w:val="52"/>
          <w:lang w:eastAsia="zh-CN"/>
        </w:rPr>
        <w:t>政策兑现服务平台</w:t>
      </w:r>
    </w:p>
    <w:p>
      <w:pPr>
        <w:jc w:val="center"/>
        <w:rPr>
          <w:rFonts w:ascii="方正小标宋_GBK" w:hAnsi="方正小标宋_GBK" w:eastAsia="方正小标宋_GBK" w:cs="方正小标宋_GBK"/>
          <w:bCs/>
          <w:sz w:val="52"/>
          <w:szCs w:val="52"/>
        </w:rPr>
      </w:pPr>
      <w:r>
        <w:rPr>
          <w:rFonts w:hint="eastAsia" w:ascii="方正小标宋_GBK" w:hAnsi="方正小标宋_GBK" w:eastAsia="方正小标宋_GBK" w:cs="方正小标宋_GBK"/>
          <w:bCs/>
          <w:sz w:val="52"/>
          <w:szCs w:val="52"/>
        </w:rPr>
        <w:t>操作指南</w:t>
      </w:r>
    </w:p>
    <w:p>
      <w:pPr>
        <w:rPr>
          <w:rFonts w:ascii="仿宋_GB2312" w:hAnsi="仿宋_GB2312" w:cs="仿宋_GB2312"/>
          <w:szCs w:val="32"/>
        </w:rPr>
      </w:pPr>
    </w:p>
    <w:p>
      <w:pPr>
        <w:rPr>
          <w:rFonts w:ascii="仿宋_GB2312" w:hAnsi="仿宋_GB2312" w:cs="仿宋_GB2312"/>
          <w:szCs w:val="32"/>
        </w:rPr>
      </w:pPr>
    </w:p>
    <w:p>
      <w:pPr>
        <w:rPr>
          <w:rFonts w:ascii="方正小标宋_GBK" w:hAnsi="方正小标宋_GBK" w:eastAsia="方正小标宋_GBK" w:cs="方正小标宋_GBK"/>
          <w:bCs/>
          <w:sz w:val="52"/>
          <w:szCs w:val="52"/>
        </w:rPr>
      </w:pPr>
    </w:p>
    <w:p>
      <w:pPr>
        <w:rPr>
          <w:rFonts w:ascii="仿宋_GB2312" w:hAnsi="仿宋_GB2312" w:cs="仿宋_GB2312"/>
          <w:szCs w:val="32"/>
        </w:rPr>
      </w:pPr>
    </w:p>
    <w:p>
      <w:pPr>
        <w:rPr>
          <w:rFonts w:ascii="仿宋_GB2312" w:hAnsi="仿宋_GB2312" w:cs="仿宋_GB2312"/>
          <w:szCs w:val="32"/>
        </w:rPr>
      </w:pPr>
    </w:p>
    <w:p>
      <w:pPr>
        <w:rPr>
          <w:rFonts w:ascii="仿宋_GB2312" w:hAnsi="仿宋_GB2312" w:cs="仿宋_GB2312"/>
          <w:szCs w:val="32"/>
        </w:rPr>
      </w:pPr>
    </w:p>
    <w:p>
      <w:pPr>
        <w:rPr>
          <w:rFonts w:ascii="仿宋_GB2312" w:hAnsi="仿宋_GB2312" w:cs="仿宋_GB2312"/>
          <w:szCs w:val="32"/>
        </w:rPr>
      </w:pPr>
    </w:p>
    <w:p>
      <w:pPr>
        <w:rPr>
          <w:rFonts w:ascii="仿宋_GB2312" w:hAnsi="仿宋_GB2312" w:cs="仿宋_GB2312"/>
          <w:szCs w:val="32"/>
        </w:rPr>
      </w:pPr>
    </w:p>
    <w:p>
      <w:pPr>
        <w:rPr>
          <w:rFonts w:ascii="仿宋_GB2312" w:hAnsi="仿宋_GB2312" w:cs="仿宋_GB2312"/>
          <w:szCs w:val="32"/>
        </w:rPr>
      </w:pPr>
    </w:p>
    <w:p>
      <w:pPr>
        <w:rPr>
          <w:rFonts w:ascii="仿宋_GB2312" w:hAnsi="仿宋_GB2312" w:cs="仿宋_GB2312"/>
          <w:szCs w:val="32"/>
        </w:rPr>
      </w:pPr>
    </w:p>
    <w:p>
      <w:pPr>
        <w:jc w:val="center"/>
        <w:rPr>
          <w:rFonts w:ascii="楷体" w:hAnsi="楷体" w:eastAsia="楷体" w:cs="楷体"/>
          <w:sz w:val="36"/>
          <w:szCs w:val="36"/>
        </w:rPr>
      </w:pPr>
      <w:r>
        <w:rPr>
          <w:rFonts w:hint="eastAsia" w:ascii="楷体" w:hAnsi="楷体" w:eastAsia="楷体" w:cs="楷体"/>
          <w:sz w:val="36"/>
          <w:szCs w:val="36"/>
        </w:rPr>
        <w:t>天河区政务服务数据管理局</w:t>
      </w:r>
      <w:r>
        <w:rPr>
          <w:rFonts w:hint="eastAsia" w:ascii="楷体" w:hAnsi="楷体" w:eastAsia="楷体" w:cs="楷体"/>
          <w:sz w:val="36"/>
          <w:szCs w:val="36"/>
          <w:lang w:eastAsia="zh-CN"/>
        </w:rPr>
        <w:t>应用和数据管理科</w:t>
      </w:r>
    </w:p>
    <w:p>
      <w:pPr>
        <w:rPr>
          <w:rFonts w:hint="eastAsia" w:ascii="方正小标宋_GBK" w:hAnsi="方正小标宋_GBK" w:eastAsia="方正小标宋_GBK" w:cs="方正小标宋_GBK"/>
          <w:kern w:val="2"/>
          <w:sz w:val="36"/>
          <w:szCs w:val="36"/>
          <w:lang w:val="en-US" w:eastAsia="zh-CN" w:bidi="ar-SA"/>
        </w:rPr>
      </w:pPr>
      <w:r>
        <w:rPr>
          <w:rFonts w:hint="default"/>
          <w:lang w:val="en-US" w:eastAsia="zh-CN"/>
        </w:rPr>
        <w:br w:type="page"/>
      </w:r>
    </w:p>
    <w:p>
      <w:pPr>
        <w:pStyle w:val="2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40" w:beforeLines="0" w:after="140" w:afterLines="0" w:line="560" w:lineRule="exact"/>
        <w:ind w:left="0" w:leftChars="0" w:right="0" w:rightChars="0" w:firstLine="0" w:firstLineChars="0"/>
        <w:jc w:val="both"/>
        <w:textAlignment w:val="auto"/>
        <w:outlineLvl w:val="1"/>
        <w:rPr>
          <w:rFonts w:hint="eastAsia" w:ascii="楷体" w:hAnsi="楷体" w:eastAsia="楷体" w:cs="楷体"/>
          <w:b w:val="0"/>
          <w:bCs/>
          <w:lang w:val="en-US" w:eastAsia="zh-CN"/>
        </w:rPr>
      </w:pPr>
      <w:r>
        <w:rPr>
          <w:rFonts w:hint="eastAsia" w:ascii="楷体" w:hAnsi="楷体" w:eastAsia="楷体" w:cs="楷体"/>
          <w:b w:val="0"/>
          <w:bCs/>
          <w:lang w:val="en-US" w:eastAsia="zh-CN"/>
        </w:rPr>
        <w:t>一、</w:t>
      </w:r>
      <w:bookmarkEnd w:id="0"/>
      <w:bookmarkEnd w:id="1"/>
      <w:r>
        <w:rPr>
          <w:rFonts w:hint="eastAsia" w:ascii="楷体" w:hAnsi="楷体" w:eastAsia="楷体" w:cs="楷体"/>
          <w:b w:val="0"/>
          <w:bCs/>
          <w:lang w:val="en-US" w:eastAsia="zh-CN"/>
        </w:rPr>
        <w:t>申报入口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1、点击首页的【兑现申报】进入政策兑现的事项搜索页面。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6690" cy="2252980"/>
            <wp:effectExtent l="0" t="0" r="10160" b="1397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5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2、搜索相应事项，点击【办事指南】查看事项详情，如下图：</w:t>
      </w:r>
    </w:p>
    <w:p>
      <w:pPr>
        <w:bidi w:val="0"/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6690" cy="2604770"/>
            <wp:effectExtent l="0" t="0" r="10160" b="508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0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3、确认符合申报条件可点事项名称后的【立即申办】按钮，如下图：</w:t>
      </w:r>
    </w:p>
    <w:p>
      <w:pPr>
        <w:bidi w:val="0"/>
        <w:jc w:val="center"/>
      </w:pPr>
      <w:r>
        <w:drawing>
          <wp:inline distT="0" distB="0" distL="114300" distR="114300">
            <wp:extent cx="5266690" cy="2259330"/>
            <wp:effectExtent l="0" t="0" r="10160" b="762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5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0" w:leftChars="0" w:right="0" w:rightChars="0" w:firstLine="480" w:firstLineChars="200"/>
        <w:jc w:val="both"/>
        <w:textAlignment w:val="auto"/>
        <w:outlineLvl w:val="9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4、点击【立即申办】按钮后，跳转到统一身份认证平台登录页面，如果已经登录则跳转到申报页面，如下图：</w:t>
      </w:r>
    </w:p>
    <w:p>
      <w:pPr>
        <w:numPr>
          <w:ilvl w:val="0"/>
          <w:numId w:val="0"/>
        </w:numPr>
        <w:bidi w:val="0"/>
        <w:ind w:leftChars="0"/>
        <w:jc w:val="center"/>
      </w:pPr>
      <w:r>
        <w:drawing>
          <wp:inline distT="0" distB="0" distL="114300" distR="114300">
            <wp:extent cx="5264150" cy="1933575"/>
            <wp:effectExtent l="0" t="0" r="12700" b="9525"/>
            <wp:docPr id="22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ind w:leftChars="0"/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5269865" cy="5932170"/>
            <wp:effectExtent l="0" t="0" r="6985" b="11430"/>
            <wp:docPr id="8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593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40" w:beforeLines="0" w:after="140" w:afterLines="0" w:line="560" w:lineRule="exact"/>
        <w:ind w:left="0" w:leftChars="0" w:right="0" w:rightChars="0" w:firstLine="0" w:firstLineChars="0"/>
        <w:jc w:val="both"/>
        <w:textAlignment w:val="auto"/>
        <w:outlineLvl w:val="1"/>
        <w:rPr>
          <w:rFonts w:hint="eastAsia" w:ascii="楷体" w:hAnsi="楷体" w:eastAsia="楷体" w:cs="楷体"/>
          <w:b w:val="0"/>
          <w:bCs/>
          <w:lang w:val="en-US" w:eastAsia="zh-CN"/>
        </w:rPr>
      </w:pPr>
      <w:bookmarkStart w:id="2" w:name="_Toc27945_WPSOffice_Level2"/>
      <w:bookmarkStart w:id="3" w:name="_Toc1453"/>
      <w:r>
        <w:rPr>
          <w:rFonts w:hint="eastAsia" w:ascii="楷体" w:hAnsi="楷体" w:eastAsia="楷体" w:cs="楷体"/>
          <w:b w:val="0"/>
          <w:bCs/>
          <w:lang w:val="en-US" w:eastAsia="zh-CN"/>
        </w:rPr>
        <w:t>二、申报流程</w:t>
      </w:r>
      <w:bookmarkEnd w:id="2"/>
      <w:bookmarkEnd w:id="3"/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260" w:beforeLines="0" w:after="260" w:afterLines="0" w:line="560" w:lineRule="exact"/>
        <w:ind w:right="0" w:rightChars="0" w:firstLine="562" w:firstLineChars="200"/>
        <w:jc w:val="both"/>
        <w:textAlignment w:val="auto"/>
        <w:outlineLvl w:val="2"/>
        <w:rPr>
          <w:rFonts w:hint="eastAsia" w:ascii="仿宋_GB2312" w:hAnsi="仿宋_GB2312" w:eastAsia="仿宋_GB2312" w:cs="仿宋_GB2312"/>
          <w:b/>
          <w:bCs w:val="0"/>
          <w:sz w:val="28"/>
          <w:szCs w:val="28"/>
          <w:lang w:val="en-US" w:eastAsia="zh-CN"/>
        </w:rPr>
      </w:pPr>
      <w:bookmarkStart w:id="4" w:name="_Toc11585"/>
      <w:r>
        <w:rPr>
          <w:rFonts w:hint="eastAsia" w:ascii="仿宋_GB2312" w:hAnsi="仿宋_GB2312" w:eastAsia="仿宋_GB2312" w:cs="仿宋_GB2312"/>
          <w:b/>
          <w:bCs w:val="0"/>
          <w:sz w:val="28"/>
          <w:szCs w:val="28"/>
          <w:lang w:val="en-US" w:eastAsia="zh-CN"/>
        </w:rPr>
        <w:t>1.信息自检</w:t>
      </w:r>
      <w:bookmarkEnd w:id="4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核对并补齐经办人和申请主体信息，无误后点击“保存并下一步”，如下图：</w:t>
      </w:r>
    </w:p>
    <w:p>
      <w:pPr>
        <w:jc w:val="center"/>
        <w:rPr>
          <w:rFonts w:hint="default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0340" cy="5829300"/>
            <wp:effectExtent l="0" t="0" r="16510" b="0"/>
            <wp:docPr id="25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582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260" w:beforeLines="0" w:after="260" w:afterLines="0" w:line="560" w:lineRule="exact"/>
        <w:ind w:left="0" w:leftChars="0" w:right="0" w:rightChars="0" w:firstLine="0" w:firstLineChars="0"/>
        <w:jc w:val="both"/>
        <w:textAlignment w:val="auto"/>
        <w:outlineLvl w:val="2"/>
        <w:rPr>
          <w:rFonts w:hint="default" w:ascii="仿宋_GB2312" w:hAnsi="仿宋_GB2312" w:eastAsia="仿宋_GB2312" w:cs="仿宋_GB2312"/>
          <w:b/>
          <w:bCs w:val="0"/>
          <w:sz w:val="28"/>
          <w:szCs w:val="28"/>
          <w:lang w:val="en-US" w:eastAsia="zh-CN"/>
        </w:rPr>
      </w:pPr>
      <w:bookmarkStart w:id="5" w:name="_Toc30412"/>
      <w:r>
        <w:rPr>
          <w:rFonts w:hint="eastAsia" w:ascii="仿宋_GB2312" w:hAnsi="仿宋_GB2312" w:eastAsia="仿宋_GB2312" w:cs="仿宋_GB2312"/>
          <w:b/>
          <w:bCs w:val="0"/>
          <w:sz w:val="28"/>
          <w:szCs w:val="28"/>
          <w:lang w:val="en-US" w:eastAsia="zh-CN"/>
        </w:rPr>
        <w:t>2.表单填写</w:t>
      </w:r>
      <w:bookmarkEnd w:id="5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填写业务表单信息，填写完可点击“保存并下一步”，此外也可点击“打印表单”进行打印。（此处表单根据部门业务需求进行表单配置，若未反馈，此处为空）</w:t>
      </w:r>
    </w:p>
    <w:p>
      <w:pPr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5265420" cy="4759325"/>
            <wp:effectExtent l="0" t="0" r="11430" b="3175"/>
            <wp:docPr id="27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475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260" w:beforeLines="0" w:after="260" w:afterLines="0" w:line="560" w:lineRule="exact"/>
        <w:ind w:left="0" w:leftChars="0" w:right="0" w:rightChars="0" w:firstLine="0" w:firstLineChars="0"/>
        <w:jc w:val="both"/>
        <w:textAlignment w:val="auto"/>
        <w:outlineLvl w:val="2"/>
        <w:rPr>
          <w:rFonts w:hint="default" w:ascii="仿宋_GB2312" w:hAnsi="仿宋_GB2312" w:eastAsia="仿宋_GB2312" w:cs="仿宋_GB2312"/>
          <w:b/>
          <w:bCs w:val="0"/>
          <w:sz w:val="28"/>
          <w:szCs w:val="28"/>
          <w:lang w:val="en-US" w:eastAsia="zh-CN"/>
        </w:rPr>
      </w:pPr>
      <w:bookmarkStart w:id="6" w:name="_Toc23044"/>
      <w:r>
        <w:rPr>
          <w:rFonts w:hint="eastAsia" w:ascii="仿宋_GB2312" w:hAnsi="仿宋_GB2312" w:eastAsia="仿宋_GB2312" w:cs="仿宋_GB2312"/>
          <w:b/>
          <w:bCs w:val="0"/>
          <w:sz w:val="28"/>
          <w:szCs w:val="28"/>
          <w:lang w:val="en-US" w:eastAsia="zh-CN"/>
        </w:rPr>
        <w:t>3.材料上传</w:t>
      </w:r>
      <w:bookmarkEnd w:id="6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default" w:asciiTheme="minorEastAsia" w:hAnsiTheme="minorEastAsia" w:eastAsiaTheme="minorEastAsia" w:cstheme="minorEastAsia"/>
          <w:sz w:val="24"/>
          <w:szCs w:val="24"/>
          <w:lang w:val="en-US" w:eastAsia="zh-CN"/>
        </w:rPr>
        <w:t>按照材料要求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把电子材料</w:t>
      </w:r>
      <w:r>
        <w:rPr>
          <w:rFonts w:hint="default" w:asciiTheme="minorEastAsia" w:hAnsiTheme="minorEastAsia" w:eastAsiaTheme="minorEastAsia" w:cstheme="minorEastAsia"/>
          <w:sz w:val="24"/>
          <w:szCs w:val="24"/>
          <w:lang w:val="en-US" w:eastAsia="zh-CN"/>
        </w:rPr>
        <w:t>上传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到对应</w:t>
      </w:r>
      <w:r>
        <w:rPr>
          <w:rFonts w:hint="default" w:asciiTheme="minorEastAsia" w:hAnsiTheme="minorEastAsia" w:eastAsiaTheme="minorEastAsia" w:cstheme="minorEastAsia"/>
          <w:sz w:val="24"/>
          <w:szCs w:val="24"/>
          <w:lang w:val="en-US" w:eastAsia="zh-CN"/>
        </w:rPr>
        <w:t>材料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下面，</w:t>
      </w:r>
      <w:r>
        <w:rPr>
          <w:rFonts w:hint="default" w:asciiTheme="minorEastAsia" w:hAnsiTheme="minorEastAsia" w:eastAsiaTheme="minorEastAsia" w:cstheme="minorEastAsia"/>
          <w:sz w:val="24"/>
          <w:szCs w:val="24"/>
          <w:lang w:val="en-US" w:eastAsia="zh-CN"/>
        </w:rPr>
        <w:t>上传完成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后</w:t>
      </w:r>
      <w:r>
        <w:rPr>
          <w:rFonts w:hint="default" w:asciiTheme="minorEastAsia" w:hAnsiTheme="minorEastAsia" w:eastAsiaTheme="minorEastAsia" w:cstheme="minorEastAsia"/>
          <w:sz w:val="24"/>
          <w:szCs w:val="24"/>
          <w:lang w:val="en-US" w:eastAsia="zh-CN"/>
        </w:rPr>
        <w:t>点击“下一步”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，如下图：</w:t>
      </w:r>
    </w:p>
    <w:p>
      <w:pPr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5264150" cy="2451735"/>
            <wp:effectExtent l="0" t="0" r="12700" b="5715"/>
            <wp:docPr id="32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45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en-US" w:eastAsia="zh-CN"/>
        </w:rPr>
      </w:pP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260" w:beforeLines="0" w:after="260" w:afterLines="0" w:line="560" w:lineRule="exact"/>
        <w:ind w:left="0" w:leftChars="0" w:right="0" w:rightChars="0" w:firstLine="0" w:firstLineChars="0"/>
        <w:jc w:val="both"/>
        <w:textAlignment w:val="auto"/>
        <w:outlineLvl w:val="2"/>
        <w:rPr>
          <w:rFonts w:hint="default" w:ascii="仿宋_GB2312" w:hAnsi="仿宋_GB2312" w:eastAsia="仿宋_GB2312" w:cs="仿宋_GB2312"/>
          <w:b/>
          <w:bCs w:val="0"/>
          <w:sz w:val="28"/>
          <w:szCs w:val="28"/>
          <w:lang w:val="en-US" w:eastAsia="zh-CN"/>
        </w:rPr>
      </w:pPr>
      <w:bookmarkStart w:id="7" w:name="_Toc15210"/>
      <w:r>
        <w:rPr>
          <w:rFonts w:hint="eastAsia" w:ascii="仿宋_GB2312" w:hAnsi="仿宋_GB2312" w:cs="仿宋_GB2312"/>
          <w:b/>
          <w:bCs w:val="0"/>
          <w:sz w:val="28"/>
          <w:szCs w:val="28"/>
          <w:lang w:val="en-US" w:eastAsia="zh-CN"/>
        </w:rPr>
        <w:t>4</w:t>
      </w:r>
      <w:r>
        <w:rPr>
          <w:rFonts w:hint="eastAsia" w:ascii="仿宋_GB2312" w:hAnsi="仿宋_GB2312" w:eastAsia="仿宋_GB2312" w:cs="仿宋_GB2312"/>
          <w:b/>
          <w:bCs w:val="0"/>
          <w:sz w:val="28"/>
          <w:szCs w:val="28"/>
          <w:lang w:val="en-US" w:eastAsia="zh-CN"/>
        </w:rPr>
        <w:t>.完成申报</w:t>
      </w:r>
      <w:bookmarkEnd w:id="7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申报完成后提示申报结果，并且可以在线打印回执，如下图：</w:t>
      </w:r>
    </w:p>
    <w:p>
      <w:pPr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5269865" cy="1703070"/>
            <wp:effectExtent l="0" t="0" r="6985" b="11430"/>
            <wp:docPr id="34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70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271770" cy="2517775"/>
            <wp:effectExtent l="0" t="0" r="5080" b="15875"/>
            <wp:docPr id="35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51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outlineLvl w:val="0"/>
        <w:rPr>
          <w:rFonts w:hint="eastAsia" w:ascii="楷体" w:hAnsi="楷体" w:eastAsia="楷体" w:cs="楷体"/>
          <w:b w:val="0"/>
          <w:bCs/>
          <w:kern w:val="2"/>
          <w:sz w:val="32"/>
          <w:szCs w:val="22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bCs/>
          <w:kern w:val="2"/>
          <w:sz w:val="32"/>
          <w:szCs w:val="22"/>
          <w:lang w:val="en-US" w:eastAsia="zh-CN" w:bidi="ar-SA"/>
        </w:rPr>
        <w:t>三、用户帮助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1、若有企业申请的时候会遇到等级的问题，建议企业使用“电子营业执照核验”提升等级。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default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71770" cy="2938780"/>
            <wp:effectExtent l="0" t="0" r="5080" b="1397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93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解决操作：使用“电子营业执照核验”提升等级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9865" cy="2485390"/>
            <wp:effectExtent l="0" t="0" r="6985" b="1016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8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2、</w:t>
      </w:r>
      <w:bookmarkStart w:id="8" w:name="_GoBack"/>
      <w:bookmarkEnd w:id="8"/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若企业咨询省统一身份认证平台账号注册、经办人绑定等操作问题，账号登录界面--立即注册--用户帮助（网址：http://www.gdzwfw.gov.cn/portal/help/index.html）处有问题解答。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</w:pPr>
      <w:r>
        <w:drawing>
          <wp:inline distT="0" distB="0" distL="114300" distR="114300">
            <wp:extent cx="5264150" cy="1598295"/>
            <wp:effectExtent l="0" t="0" r="1270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59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469765" cy="2886075"/>
            <wp:effectExtent l="0" t="0" r="6985" b="9525"/>
            <wp:docPr id="5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69765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</w:pPr>
      <w:r>
        <w:drawing>
          <wp:inline distT="0" distB="0" distL="114300" distR="114300">
            <wp:extent cx="5274310" cy="3215005"/>
            <wp:effectExtent l="0" t="0" r="2540" b="444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1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DB2A952"/>
    <w:multiLevelType w:val="multilevel"/>
    <w:tmpl w:val="6DB2A952"/>
    <w:lvl w:ilvl="0" w:tentative="0">
      <w:start w:val="1"/>
      <w:numFmt w:val="decimal"/>
      <w:pStyle w:val="2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ind w:left="567" w:hanging="567"/>
      </w:pPr>
      <w:rPr>
        <w:rFonts w:hint="default" w:ascii="宋体" w:hAnsi="宋体" w:eastAsia="宋体" w:cs="宋体"/>
      </w:rPr>
    </w:lvl>
    <w:lvl w:ilvl="2" w:tentative="0">
      <w:start w:val="1"/>
      <w:numFmt w:val="decimal"/>
      <w:lvlText w:val="%1.%2.%3."/>
      <w:lvlJc w:val="left"/>
      <w:pPr>
        <w:ind w:left="709" w:hanging="709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850" w:hanging="850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991" w:hanging="991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D662330"/>
    <w:rsid w:val="0B3B23D6"/>
    <w:rsid w:val="2D662330"/>
    <w:rsid w:val="320762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仿宋_GB2312" w:cs="Times New Roman"/>
      <w:kern w:val="2"/>
      <w:sz w:val="32"/>
      <w:szCs w:val="22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numPr>
        <w:ilvl w:val="0"/>
        <w:numId w:val="1"/>
      </w:numPr>
      <w:spacing w:before="140" w:beforeLines="0" w:beforeAutospacing="0" w:after="140" w:afterLines="0" w:afterAutospacing="0" w:line="240" w:lineRule="auto"/>
      <w:ind w:left="0" w:firstLine="0"/>
      <w:outlineLvl w:val="1"/>
    </w:pPr>
    <w:rPr>
      <w:rFonts w:ascii="Arial" w:hAnsi="Arial" w:eastAsia="黑体"/>
      <w:b/>
    </w:rPr>
  </w:style>
  <w:style w:type="paragraph" w:styleId="3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广州天河软件园</Company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Office_11.8.2.8696_F1E327BC-269C-435d-A152-05C5408002CA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2021-05-08T09:59:00Z</dcterms:created>
  <dc:creator>昏昏</dc:creator>
  <cp:lastModifiedBy>昏昏</cp:lastModifiedBy>
  <dcterms:modified xsi:type="dcterms:W3CDTF">2022-04-22T06:38:44Z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2052-11.8.2.8696</vt:lpwstr>
  </property>
</Properties>
</file>