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5"/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比选评分标准</w:t>
      </w:r>
      <w:bookmarkStart w:id="0" w:name="_GoBack"/>
      <w:bookmarkEnd w:id="0"/>
    </w:p>
    <w:tbl>
      <w:tblPr>
        <w:tblStyle w:val="3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5779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5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要求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报价不得低于项目最高限价的60%。否则视为报价无效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凡超出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采购预算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的，一律视为无效投标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价格分采用低价优先法计算，即满足比选文件要求且报价最低的为评审基准价，其价格分为满分（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分）。其他响应人的价格分统一按照下列公式计算：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报价得分=（评审基准价/报价）×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项目团队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成员情况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满足“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有文物保护修缮、保养维护、设计等方面的专家参与，不少于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5人”得10分（基础分）；在此基础上综合考虑专家职称、具体人员结构、课题负责人情况评分，满分15分。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业绩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年具有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文物保护单位修缮、保养维护、设计、施工等相关工作案例的，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每提供一个案例得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分，最高得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服务响应方案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提供服务响应方案贴合性强，完全满足或优于本次采购内容和要求。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针对每一细项评估内容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列出具体可行的实施方法；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项目完成时间少于6个月（包含验收）；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调研方式丰富、考证资料来源可靠、专家参与程度高。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以上每项最高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10分，优秀10-8分、良好7-5分、一般4-0分。合计不超过30分。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售后服务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提供的售后服务方案中有：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如因供应方疏漏造成的文本不符合史实，在成果提交后半年内由供应方负责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免费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eastAsia="zh-CN"/>
              </w:rPr>
              <w:t>修正和打印成果。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服务响应时间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综合比较：优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、良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、一般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分。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合计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</w:rPr>
              <w:t>100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</w:rPr>
    </w:pPr>
    <w:r>
      <w:rPr>
        <w:rFonts w:eastAsia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17617"/>
    <w:multiLevelType w:val="singleLevel"/>
    <w:tmpl w:val="8DD1761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7CC2"/>
    <w:rsid w:val="0785535A"/>
    <w:rsid w:val="0BFC520F"/>
    <w:rsid w:val="19B07B13"/>
    <w:rsid w:val="1AD534C1"/>
    <w:rsid w:val="1AF24D4F"/>
    <w:rsid w:val="1D234D40"/>
    <w:rsid w:val="25367CC2"/>
    <w:rsid w:val="25FE4E18"/>
    <w:rsid w:val="271B4025"/>
    <w:rsid w:val="2AA84CAB"/>
    <w:rsid w:val="35EA4E10"/>
    <w:rsid w:val="3BA124DB"/>
    <w:rsid w:val="3D7C7A34"/>
    <w:rsid w:val="40704718"/>
    <w:rsid w:val="41D77CC2"/>
    <w:rsid w:val="4B9B065A"/>
    <w:rsid w:val="4F74306F"/>
    <w:rsid w:val="65AA6FC0"/>
    <w:rsid w:val="6E2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styleId="5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601-LiuRX</dc:creator>
  <cp:lastModifiedBy>珠吉-潘俊焜</cp:lastModifiedBy>
  <cp:lastPrinted>2022-05-19T02:40:00Z</cp:lastPrinted>
  <dcterms:modified xsi:type="dcterms:W3CDTF">2022-06-23T03:43:01Z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142D64BDA44946159E93062B3211A930</vt:lpwstr>
  </property>
</Properties>
</file>