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黑体" w:cs="Times New Roman"/>
          <w:b/>
          <w:bCs/>
          <w:spacing w:val="2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default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</w:rPr>
        <w:t>附件</w:t>
      </w:r>
      <w:r>
        <w:rPr>
          <w:rStyle w:val="4"/>
          <w:rFonts w:hint="eastAsia" w:ascii="Times New Roman" w:hAnsi="Times New Roman" w:eastAsia="黑体" w:cs="Times New Roman"/>
          <w:b w:val="0"/>
          <w:bCs w:val="0"/>
          <w:spacing w:val="20"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报价文件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致：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天河区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珠吉街道办事处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我方已仔细研究贵单位的天河区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梅隐潘公祠修缮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工程设计比选文件的全部内容，并能够提供符合贵单位需求的天河区</w:t>
      </w:r>
      <w:r>
        <w:rPr>
          <w:rFonts w:ascii="宋体" w:hAnsi="宋体" w:eastAsia="宋体" w:cs="宋体"/>
          <w:sz w:val="24"/>
          <w:szCs w:val="24"/>
        </w:rPr>
        <w:t>登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记保护文物单位-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梅隐潘公祠修缮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工程设计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，以人民币（大写）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元（¥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ab/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 xml:space="preserve"> ）的价格响应报价。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1．我方承诺在响应有效期内不修改、撤销响应文件。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2．如确认我方为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（1）我方承诺在收到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shd w:val="clear" w:color="auto" w:fill="FFFFFF"/>
          <w:lang w:eastAsia="zh-CN"/>
        </w:rPr>
        <w:t>提供服务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通知后，在规定的期限内与贵方签订合同。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（2）我方承诺在合同约定的期限内完成所有事项。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3．我方在此声明，所递交的响应文件及有关资料内容完整、真实和准确，且合法。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响应人（盖单位公章）：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单位地址：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13" w:firstLineChars="2362"/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shd w:val="clear" w:color="auto" w:fill="FFFFFF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40CD0"/>
    <w:rsid w:val="00AD0235"/>
    <w:rsid w:val="20AD3F71"/>
    <w:rsid w:val="28814C8D"/>
    <w:rsid w:val="32CF707F"/>
    <w:rsid w:val="3B5356AB"/>
    <w:rsid w:val="43A40CD0"/>
    <w:rsid w:val="476F218C"/>
    <w:rsid w:val="6B6B472F"/>
    <w:rsid w:val="775E66A5"/>
    <w:rsid w:val="7C47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2021-05-14T01:44:00Z</dcterms:created>
  <dc:creator>601-LiuRX</dc:creator>
  <cp:lastModifiedBy>珠吉-潘俊焜</cp:lastModifiedBy>
  <cp:lastPrinted>2022-05-18T02:40:00Z</cp:lastPrinted>
  <dcterms:modified xsi:type="dcterms:W3CDTF">2022-06-23T03:59:07Z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2C08E2AF9A7E4C24AC25210147F59059</vt:lpwstr>
  </property>
</Properties>
</file>