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附件1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/>
          <w:bCs/>
          <w:sz w:val="36"/>
          <w:szCs w:val="36"/>
        </w:rPr>
      </w:pPr>
      <w:r>
        <w:rPr>
          <w:rFonts w:ascii="方正小标宋_GBK" w:hAnsi="方正小标宋_GBK" w:eastAsia="方正小标宋_GBK"/>
          <w:bCs/>
          <w:sz w:val="36"/>
          <w:szCs w:val="36"/>
        </w:rPr>
        <w:t>综合评分表</w:t>
      </w:r>
    </w:p>
    <w:tbl>
      <w:tblPr>
        <w:tblStyle w:val="3"/>
        <w:tblpPr w:leftFromText="180" w:rightFromText="180" w:vertAnchor="text" w:horzAnchor="page" w:tblpX="1267" w:tblpY="266"/>
        <w:tblOverlap w:val="never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6"/>
        <w:gridCol w:w="1134"/>
        <w:gridCol w:w="709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分项内容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分项分数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商务部分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相关资质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具有城乡规划编制甲级资质得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分，乙级得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分。本小项最高得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。[由于上级主管部门职能调整，国家及各省市受理城乡规划编制资质申报部门尚未明确，因此均暂停受理城乡规划编制资质申报事项，根据自然资办函[2019]2375号文的文件精神，报价单位的资质要求可参考原有规划资质，暂不对城乡规划编制资质有效期限作出要求]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同时具有有效期内的质量管理体系认证证书、环境管理体系认证证书、职业健康安全管理体系，得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分，缺一项扣2分，无则不得分。</w:t>
            </w:r>
          </w:p>
          <w:p>
            <w:pPr>
              <w:widowControl/>
              <w:rPr>
                <w:szCs w:val="21"/>
              </w:rPr>
            </w:pPr>
            <w:r>
              <w:rPr>
                <w:b/>
                <w:bCs/>
                <w:szCs w:val="21"/>
              </w:rPr>
              <w:t>注：需提供有效证明材料的复印件并加盖公章，否则不得分。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技术能力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具有全国城乡规划设计一等奖荣誉，每个得3分；获城乡规划设计国家级二等奖或省级一等奖的，每个得2分；获城乡规划设计国家级三等奖或省级二等奖的，每个得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分，最高得6分。 。</w:t>
            </w:r>
          </w:p>
          <w:p>
            <w:pPr>
              <w:rPr>
                <w:bCs/>
                <w:szCs w:val="21"/>
              </w:rPr>
            </w:pPr>
            <w:r>
              <w:rPr>
                <w:b/>
                <w:bCs/>
                <w:szCs w:val="21"/>
              </w:rPr>
              <w:t>注：需提供有效证明材料的复印件并加盖公章，否则不得分。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人员水平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拟投入本项目的人员：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（1）项目负责人具有高级工程师证书，得10分。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（2）其他技术人员：具有高级工程师或注册规划师证书，每人得5分，本小项最高得15分。</w:t>
            </w:r>
          </w:p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注：提供上述人员</w:t>
            </w:r>
            <w:r>
              <w:rPr>
                <w:rFonts w:hint="eastAsia"/>
                <w:b/>
                <w:szCs w:val="21"/>
              </w:rPr>
              <w:t>2020年至今的任意三个月社保缴纳证明材料、</w:t>
            </w:r>
            <w:r>
              <w:rPr>
                <w:b/>
                <w:szCs w:val="21"/>
              </w:rPr>
              <w:t>有效的职称证或资格证复印件等。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同类项目业绩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近三年承担过市级城市体检类项目，每项得5分，本项最多得5分。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近三年承担过区县级城市体检类项目，每项得</w:t>
            </w:r>
            <w:r>
              <w:rPr>
                <w:szCs w:val="21"/>
              </w:rPr>
              <w:t>2.5</w:t>
            </w:r>
            <w:r>
              <w:rPr>
                <w:rFonts w:hint="eastAsia"/>
                <w:szCs w:val="21"/>
              </w:rPr>
              <w:t>分，本项最多得5分。</w:t>
            </w:r>
          </w:p>
          <w:p>
            <w:pPr>
              <w:adjustRightInd w:val="0"/>
              <w:snapToGri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注：提供中标通知书或服务合同等有效证明资料复印件并加盖公章，否则不得分。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部分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对本项目背景和要求的理解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根据投标人对本项目工作目标、内容和重难点的理解和认识是否准确到位进行综合分析与评审：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理解和认识深刻，分析准确到位，得10分；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理解和认识基本到位，能分析清楚，得8分；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理解和认识一般，得6分；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 理解和认识差，得4分；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5. 未提供，得0分。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</w:t>
            </w:r>
            <w:r>
              <w:rPr>
                <w:szCs w:val="21"/>
              </w:rPr>
              <w:t>方案和保障措施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6136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根据报价单位对本项目技术方案的合理性、先进性进行综合分析与评审：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方案具体明确，有具体技术手段，可操作性强，得1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方案基本具体明确，可操作性一般，得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方案一般，可操作性差，得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 方案差，可操作性差，得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 未提供，得0分。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工作进度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根据报价单位对本项目的组织实施及进度计划进行分析与评审：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项目组织结构和进度安排完整、合理，得10分；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项目组织结构和进度基本完整，得8分；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项目组织结构和进度一般，得6分；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 项目组织结构和进度差，得4分；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 未提供，得0分。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报价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投标报价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6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以最高限价（98.0万元）为基准，投标价格每降低1万元得2分，最多得10分。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报价得分=(最高限价-投标报价）/1万元×2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（分值四舍五入取整数）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87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注：评委按分项的规定分数范围内给各</w:t>
      </w:r>
      <w:r>
        <w:rPr>
          <w:rFonts w:hint="eastAsia" w:ascii="Times New Roman" w:hAnsi="Times New Roman"/>
          <w:sz w:val="24"/>
          <w:szCs w:val="24"/>
        </w:rPr>
        <w:t>报价单位</w:t>
      </w:r>
      <w:r>
        <w:rPr>
          <w:rFonts w:ascii="Times New Roman" w:hAnsi="Times New Roman"/>
          <w:sz w:val="24"/>
          <w:szCs w:val="24"/>
        </w:rPr>
        <w:t>进行打分，并统计总分。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155F"/>
    <w:multiLevelType w:val="multilevel"/>
    <w:tmpl w:val="549115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4E49"/>
    <w:rsid w:val="09F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2022-10-19T02:45:00Z</dcterms:created>
  <dc:creator>hp</dc:creator>
  <cp:lastModifiedBy>hp</cp:lastModifiedBy>
  <dcterms:modified xsi:type="dcterms:W3CDTF">2022-10-19T02:46:16Z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