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both"/>
        <w:rPr>
          <w:rFonts w:ascii="Times New Roman" w:hAnsi="Times New Roman" w:eastAsia="方正小标宋_GBK" w:cs="Times New Roman"/>
          <w:color w:val="000000" w:themeColor="text1"/>
          <w:kern w:val="0"/>
          <w:sz w:val="44"/>
          <w:szCs w:val="44"/>
          <w14:textFill>
            <w14:solidFill>
              <w14:schemeClr w14:val="tx1"/>
            </w14:solidFill>
          </w14:textFill>
        </w:rPr>
      </w:pPr>
      <w:bookmarkStart w:id="85" w:name="_GoBack"/>
      <w:bookmarkEnd w:id="85"/>
    </w:p>
    <w:p>
      <w:pPr>
        <w:rPr>
          <w:rFonts w:ascii="Times New Roman" w:hAnsi="Times New Roman" w:cs="Times New Roman"/>
          <w:b/>
          <w:bCs/>
          <w:color w:val="000000" w:themeColor="text1"/>
          <w:sz w:val="36"/>
          <w:szCs w:val="40"/>
          <w14:textFill>
            <w14:solidFill>
              <w14:schemeClr w14:val="tx1"/>
            </w14:solidFill>
          </w14:textFill>
        </w:rPr>
      </w:pPr>
    </w:p>
    <w:p>
      <w:pPr>
        <w:rPr>
          <w:rFonts w:ascii="Times New Roman" w:hAnsi="Times New Roman" w:cs="Times New Roman"/>
          <w:b/>
          <w:bCs/>
          <w:color w:val="000000" w:themeColor="text1"/>
          <w:sz w:val="36"/>
          <w:szCs w:val="40"/>
          <w14:textFill>
            <w14:solidFill>
              <w14:schemeClr w14:val="tx1"/>
            </w14:solidFill>
          </w14:textFill>
        </w:rPr>
      </w:pPr>
    </w:p>
    <w:p>
      <w:pPr>
        <w:pStyle w:val="5"/>
        <w:ind w:firstLine="720"/>
        <w:rPr>
          <w:rFonts w:ascii="Times New Roman" w:hAnsi="Times New Roman" w:cs="Times New Roman"/>
          <w:b/>
          <w:bCs/>
          <w:color w:val="000000" w:themeColor="text1"/>
          <w:sz w:val="36"/>
          <w:szCs w:val="40"/>
          <w14:textFill>
            <w14:solidFill>
              <w14:schemeClr w14:val="tx1"/>
            </w14:solidFill>
          </w14:textFill>
        </w:rPr>
      </w:pPr>
    </w:p>
    <w:p>
      <w:pPr>
        <w:pStyle w:val="5"/>
        <w:ind w:firstLine="720"/>
        <w:rPr>
          <w:rFonts w:ascii="Times New Roman" w:hAnsi="Times New Roman" w:cs="Times New Roman"/>
          <w:b/>
          <w:bCs/>
          <w:color w:val="000000" w:themeColor="text1"/>
          <w:sz w:val="36"/>
          <w:szCs w:val="40"/>
          <w14:textFill>
            <w14:solidFill>
              <w14:schemeClr w14:val="tx1"/>
            </w14:solidFill>
          </w14:textFill>
        </w:rPr>
      </w:pPr>
    </w:p>
    <w:p>
      <w:pPr>
        <w:pStyle w:val="5"/>
        <w:ind w:firstLine="720"/>
        <w:rPr>
          <w:rFonts w:ascii="Times New Roman" w:hAnsi="Times New Roman" w:cs="Times New Roman"/>
          <w:b/>
          <w:bCs/>
          <w:color w:val="000000" w:themeColor="text1"/>
          <w:sz w:val="36"/>
          <w:szCs w:val="40"/>
          <w14:textFill>
            <w14:solidFill>
              <w14:schemeClr w14:val="tx1"/>
            </w14:solidFill>
          </w14:textFill>
        </w:rPr>
      </w:pPr>
    </w:p>
    <w:p>
      <w:pPr>
        <w:rPr>
          <w:rFonts w:ascii="Times New Roman" w:hAnsi="Times New Roman" w:cs="Times New Roman"/>
          <w:b/>
          <w:bCs/>
          <w:color w:val="000000" w:themeColor="text1"/>
          <w:sz w:val="36"/>
          <w:szCs w:val="40"/>
          <w14:textFill>
            <w14:solidFill>
              <w14:schemeClr w14:val="tx1"/>
            </w14:solidFill>
          </w14:textFill>
        </w:rPr>
      </w:pPr>
    </w:p>
    <w:p>
      <w:pPr>
        <w:pStyle w:val="5"/>
        <w:ind w:firstLine="0" w:firstLineChars="0"/>
        <w:jc w:val="center"/>
        <w:rPr>
          <w:rFonts w:ascii="Times New Roman" w:hAnsi="Times New Roman" w:cs="Times New Roman"/>
          <w:b/>
          <w:bCs/>
          <w:color w:val="000000" w:themeColor="text1"/>
          <w:sz w:val="48"/>
          <w:szCs w:val="52"/>
          <w14:textFill>
            <w14:solidFill>
              <w14:schemeClr w14:val="tx1"/>
            </w14:solidFill>
          </w14:textFill>
        </w:rPr>
      </w:pPr>
      <w:bookmarkStart w:id="0" w:name="_Hlk115341181"/>
      <w:r>
        <w:rPr>
          <w:rFonts w:ascii="Times New Roman" w:hAnsi="Times New Roman" w:cs="Times New Roman"/>
          <w:b/>
          <w:bCs/>
          <w:color w:val="000000" w:themeColor="text1"/>
          <w:sz w:val="48"/>
          <w:szCs w:val="52"/>
          <w14:textFill>
            <w14:solidFill>
              <w14:schemeClr w14:val="tx1"/>
            </w14:solidFill>
          </w14:textFill>
        </w:rPr>
        <w:t>广州市</w:t>
      </w:r>
      <w:bookmarkStart w:id="1" w:name="_Hlk112166851"/>
      <w:r>
        <w:rPr>
          <w:rFonts w:ascii="Times New Roman" w:hAnsi="Times New Roman" w:cs="Times New Roman"/>
          <w:b/>
          <w:bCs/>
          <w:color w:val="000000" w:themeColor="text1"/>
          <w:sz w:val="48"/>
          <w:szCs w:val="52"/>
          <w14:textFill>
            <w14:solidFill>
              <w14:schemeClr w14:val="tx1"/>
            </w14:solidFill>
          </w14:textFill>
        </w:rPr>
        <w:t>天河区现代商贸业</w:t>
      </w:r>
      <w:bookmarkEnd w:id="1"/>
      <w:r>
        <w:rPr>
          <w:rFonts w:ascii="Times New Roman" w:hAnsi="Times New Roman" w:cs="Times New Roman"/>
          <w:b/>
          <w:bCs/>
          <w:color w:val="000000" w:themeColor="text1"/>
          <w:sz w:val="48"/>
          <w:szCs w:val="52"/>
          <w14:textFill>
            <w14:solidFill>
              <w14:schemeClr w14:val="tx1"/>
            </w14:solidFill>
          </w14:textFill>
        </w:rPr>
        <w:t>“十四五”</w:t>
      </w:r>
    </w:p>
    <w:p>
      <w:pPr>
        <w:pStyle w:val="5"/>
        <w:ind w:firstLine="0" w:firstLineChars="0"/>
        <w:jc w:val="center"/>
        <w:rPr>
          <w:rFonts w:ascii="Times New Roman" w:hAnsi="Times New Roman" w:cs="Times New Roman"/>
          <w:b/>
          <w:bCs/>
          <w:color w:val="000000" w:themeColor="text1"/>
          <w:sz w:val="48"/>
          <w:szCs w:val="52"/>
          <w14:textFill>
            <w14:solidFill>
              <w14:schemeClr w14:val="tx1"/>
            </w14:solidFill>
          </w14:textFill>
        </w:rPr>
      </w:pPr>
      <w:r>
        <w:rPr>
          <w:rFonts w:ascii="Times New Roman" w:hAnsi="Times New Roman" w:cs="Times New Roman"/>
          <w:b/>
          <w:bCs/>
          <w:color w:val="000000" w:themeColor="text1"/>
          <w:sz w:val="48"/>
          <w:szCs w:val="52"/>
          <w14:textFill>
            <w14:solidFill>
              <w14:schemeClr w14:val="tx1"/>
            </w14:solidFill>
          </w14:textFill>
        </w:rPr>
        <w:t>发展规划</w:t>
      </w:r>
    </w:p>
    <w:bookmarkEnd w:id="0"/>
    <w:p>
      <w:pPr>
        <w:pStyle w:val="5"/>
        <w:ind w:firstLine="0" w:firstLineChars="0"/>
        <w:jc w:val="center"/>
        <w:rPr>
          <w:rFonts w:ascii="Times New Roman" w:hAnsi="Times New Roman" w:cs="Times New Roman"/>
          <w:b/>
          <w:bCs/>
          <w:color w:val="000000" w:themeColor="text1"/>
          <w:sz w:val="36"/>
          <w:szCs w:val="40"/>
          <w14:textFill>
            <w14:solidFill>
              <w14:schemeClr w14:val="tx1"/>
            </w14:solidFill>
          </w14:textFill>
        </w:rPr>
      </w:pPr>
      <w:r>
        <w:rPr>
          <w:rFonts w:ascii="Times New Roman" w:hAnsi="Times New Roman" w:cs="Times New Roman"/>
          <w:b/>
          <w:bCs/>
          <w:color w:val="000000" w:themeColor="text1"/>
          <w:sz w:val="48"/>
          <w:szCs w:val="52"/>
          <w14:textFill>
            <w14:solidFill>
              <w14:schemeClr w14:val="tx1"/>
            </w14:solidFill>
          </w14:textFill>
        </w:rPr>
        <w:t>（</w:t>
      </w:r>
      <w:r>
        <w:rPr>
          <w:rFonts w:hint="eastAsia" w:ascii="Times New Roman" w:hAnsi="Times New Roman" w:cs="Times New Roman"/>
          <w:b/>
          <w:bCs/>
          <w:color w:val="000000" w:themeColor="text1"/>
          <w:sz w:val="48"/>
          <w:szCs w:val="52"/>
          <w:lang w:eastAsia="zh-CN"/>
          <w14:textFill>
            <w14:solidFill>
              <w14:schemeClr w14:val="tx1"/>
            </w14:solidFill>
          </w14:textFill>
        </w:rPr>
        <w:t>征求意见</w:t>
      </w:r>
      <w:r>
        <w:rPr>
          <w:rFonts w:ascii="Times New Roman" w:hAnsi="Times New Roman" w:cs="Times New Roman"/>
          <w:b/>
          <w:bCs/>
          <w:color w:val="000000" w:themeColor="text1"/>
          <w:sz w:val="48"/>
          <w:szCs w:val="52"/>
          <w14:textFill>
            <w14:solidFill>
              <w14:schemeClr w14:val="tx1"/>
            </w14:solidFill>
          </w14:textFill>
        </w:rPr>
        <w:t>稿）</w:t>
      </w:r>
    </w:p>
    <w:p>
      <w:pPr>
        <w:pStyle w:val="5"/>
        <w:ind w:firstLine="720"/>
        <w:rPr>
          <w:rFonts w:ascii="Times New Roman" w:hAnsi="Times New Roman" w:cs="Times New Roman"/>
          <w:b/>
          <w:bCs/>
          <w:color w:val="000000" w:themeColor="text1"/>
          <w:sz w:val="36"/>
          <w:szCs w:val="40"/>
          <w14:textFill>
            <w14:solidFill>
              <w14:schemeClr w14:val="tx1"/>
            </w14:solidFill>
          </w14:textFill>
        </w:rPr>
      </w:pPr>
    </w:p>
    <w:p>
      <w:pPr>
        <w:pStyle w:val="5"/>
        <w:ind w:firstLine="720"/>
        <w:rPr>
          <w:rFonts w:ascii="Times New Roman" w:hAnsi="Times New Roman" w:cs="Times New Roman"/>
          <w:b/>
          <w:bCs/>
          <w:color w:val="000000" w:themeColor="text1"/>
          <w:sz w:val="36"/>
          <w:szCs w:val="40"/>
          <w14:textFill>
            <w14:solidFill>
              <w14:schemeClr w14:val="tx1"/>
            </w14:solidFill>
          </w14:textFill>
        </w:rPr>
      </w:pPr>
    </w:p>
    <w:p>
      <w:pPr>
        <w:pStyle w:val="5"/>
        <w:ind w:firstLine="720"/>
        <w:rPr>
          <w:rFonts w:ascii="Times New Roman" w:hAnsi="Times New Roman" w:cs="Times New Roman"/>
          <w:b/>
          <w:bCs/>
          <w:color w:val="000000" w:themeColor="text1"/>
          <w:sz w:val="36"/>
          <w:szCs w:val="40"/>
          <w14:textFill>
            <w14:solidFill>
              <w14:schemeClr w14:val="tx1"/>
            </w14:solidFill>
          </w14:textFill>
        </w:rPr>
      </w:pPr>
    </w:p>
    <w:p>
      <w:pPr>
        <w:pStyle w:val="5"/>
        <w:ind w:firstLine="720"/>
        <w:rPr>
          <w:rFonts w:ascii="Times New Roman" w:hAnsi="Times New Roman" w:cs="Times New Roman"/>
          <w:b/>
          <w:bCs/>
          <w:color w:val="000000" w:themeColor="text1"/>
          <w:sz w:val="36"/>
          <w:szCs w:val="40"/>
          <w14:textFill>
            <w14:solidFill>
              <w14:schemeClr w14:val="tx1"/>
            </w14:solidFill>
          </w14:textFill>
        </w:rPr>
      </w:pPr>
    </w:p>
    <w:p>
      <w:pPr>
        <w:pStyle w:val="5"/>
        <w:ind w:firstLine="720"/>
        <w:rPr>
          <w:rFonts w:ascii="Times New Roman" w:hAnsi="Times New Roman" w:cs="Times New Roman"/>
          <w:b/>
          <w:bCs/>
          <w:color w:val="000000" w:themeColor="text1"/>
          <w:sz w:val="36"/>
          <w:szCs w:val="40"/>
          <w14:textFill>
            <w14:solidFill>
              <w14:schemeClr w14:val="tx1"/>
            </w14:solidFill>
          </w14:textFill>
        </w:rPr>
      </w:pPr>
    </w:p>
    <w:p>
      <w:pPr>
        <w:pStyle w:val="5"/>
        <w:ind w:firstLine="720"/>
        <w:rPr>
          <w:rFonts w:ascii="Times New Roman" w:hAnsi="Times New Roman" w:cs="Times New Roman"/>
          <w:b/>
          <w:bCs/>
          <w:color w:val="000000" w:themeColor="text1"/>
          <w:sz w:val="36"/>
          <w:szCs w:val="40"/>
          <w14:textFill>
            <w14:solidFill>
              <w14:schemeClr w14:val="tx1"/>
            </w14:solidFill>
          </w14:textFill>
        </w:rPr>
      </w:pPr>
    </w:p>
    <w:p>
      <w:pPr>
        <w:pStyle w:val="5"/>
        <w:ind w:firstLine="720"/>
        <w:rPr>
          <w:rFonts w:ascii="Times New Roman" w:hAnsi="Times New Roman" w:cs="Times New Roman"/>
          <w:b/>
          <w:bCs/>
          <w:color w:val="000000" w:themeColor="text1"/>
          <w:sz w:val="36"/>
          <w:szCs w:val="40"/>
          <w14:textFill>
            <w14:solidFill>
              <w14:schemeClr w14:val="tx1"/>
            </w14:solidFill>
          </w14:textFill>
        </w:rPr>
      </w:pPr>
    </w:p>
    <w:p>
      <w:pPr>
        <w:pStyle w:val="5"/>
        <w:ind w:firstLine="720"/>
        <w:rPr>
          <w:rFonts w:ascii="Times New Roman" w:hAnsi="Times New Roman" w:cs="Times New Roman"/>
          <w:b/>
          <w:bCs/>
          <w:color w:val="000000" w:themeColor="text1"/>
          <w:sz w:val="36"/>
          <w:szCs w:val="40"/>
          <w14:textFill>
            <w14:solidFill>
              <w14:schemeClr w14:val="tx1"/>
            </w14:solidFill>
          </w14:textFill>
        </w:rPr>
      </w:pPr>
    </w:p>
    <w:p>
      <w:pPr>
        <w:pStyle w:val="5"/>
        <w:ind w:firstLine="720"/>
        <w:rPr>
          <w:rFonts w:ascii="Times New Roman" w:hAnsi="Times New Roman" w:cs="Times New Roman"/>
          <w:b/>
          <w:bCs/>
          <w:color w:val="000000" w:themeColor="text1"/>
          <w:sz w:val="36"/>
          <w:szCs w:val="40"/>
          <w14:textFill>
            <w14:solidFill>
              <w14:schemeClr w14:val="tx1"/>
            </w14:solidFill>
          </w14:textFill>
        </w:rPr>
      </w:pPr>
    </w:p>
    <w:p>
      <w:pPr>
        <w:pStyle w:val="5"/>
        <w:ind w:firstLine="0" w:firstLineChars="0"/>
        <w:jc w:val="center"/>
        <w:rPr>
          <w:rFonts w:ascii="Times New Roman" w:hAnsi="Times New Roman" w:cs="Times New Roman"/>
          <w:b/>
          <w:bCs/>
          <w:color w:val="000000" w:themeColor="text1"/>
          <w:sz w:val="36"/>
          <w:szCs w:val="40"/>
          <w14:textFill>
            <w14:solidFill>
              <w14:schemeClr w14:val="tx1"/>
            </w14:solidFill>
          </w14:textFill>
        </w:rPr>
      </w:pPr>
      <w:r>
        <w:rPr>
          <w:rFonts w:ascii="Times New Roman" w:hAnsi="Times New Roman" w:cs="Times New Roman"/>
          <w:b/>
          <w:bCs/>
          <w:color w:val="000000" w:themeColor="text1"/>
          <w:sz w:val="36"/>
          <w:szCs w:val="40"/>
          <w14:textFill>
            <w14:solidFill>
              <w14:schemeClr w14:val="tx1"/>
            </w14:solidFill>
          </w14:textFill>
        </w:rPr>
        <w:t>2022年</w:t>
      </w:r>
      <w:r>
        <w:rPr>
          <w:rFonts w:hint="eastAsia" w:ascii="Times New Roman" w:hAnsi="Times New Roman" w:cs="Times New Roman"/>
          <w:b/>
          <w:bCs/>
          <w:color w:val="000000" w:themeColor="text1"/>
          <w:sz w:val="36"/>
          <w:szCs w:val="40"/>
          <w:lang w:val="en-US" w:eastAsia="zh-CN"/>
          <w14:textFill>
            <w14:solidFill>
              <w14:schemeClr w14:val="tx1"/>
            </w14:solidFill>
          </w14:textFill>
        </w:rPr>
        <w:t>10</w:t>
      </w:r>
      <w:r>
        <w:rPr>
          <w:rFonts w:ascii="Times New Roman" w:hAnsi="Times New Roman" w:cs="Times New Roman"/>
          <w:b/>
          <w:bCs/>
          <w:color w:val="000000" w:themeColor="text1"/>
          <w:sz w:val="36"/>
          <w:szCs w:val="40"/>
          <w14:textFill>
            <w14:solidFill>
              <w14:schemeClr w14:val="tx1"/>
            </w14:solidFill>
          </w14:textFill>
        </w:rPr>
        <w:t>月</w:t>
      </w:r>
    </w:p>
    <w:p>
      <w:pPr>
        <w:pStyle w:val="5"/>
        <w:ind w:firstLine="0" w:firstLineChars="0"/>
        <w:jc w:val="center"/>
        <w:rPr>
          <w:rFonts w:ascii="Times New Roman" w:hAnsi="Times New Roman" w:cs="Times New Roman"/>
          <w:b/>
          <w:bCs/>
          <w:color w:val="000000" w:themeColor="text1"/>
          <w:sz w:val="36"/>
          <w:szCs w:val="40"/>
          <w14:textFill>
            <w14:solidFill>
              <w14:schemeClr w14:val="tx1"/>
            </w14:solidFill>
          </w14:textFill>
        </w:rPr>
        <w:sectPr>
          <w:footerReference r:id="rId4" w:type="default"/>
          <w:pgSz w:w="11906" w:h="16838"/>
          <w:pgMar w:top="1440" w:right="1800" w:bottom="1440" w:left="1800" w:header="851" w:footer="992" w:gutter="0"/>
          <w:pgNumType w:fmt="upperRoman"/>
          <w:cols w:space="425" w:num="1"/>
          <w:docGrid w:type="lines" w:linePitch="312" w:charSpace="0"/>
        </w:sectPr>
      </w:pPr>
    </w:p>
    <w:p>
      <w:pPr>
        <w:pStyle w:val="5"/>
        <w:ind w:firstLine="0" w:firstLineChars="0"/>
        <w:jc w:val="center"/>
        <w:rPr>
          <w:rFonts w:ascii="黑体" w:hAnsi="黑体" w:eastAsia="黑体" w:cs="Times New Roman"/>
          <w:b/>
          <w:bCs/>
          <w:color w:val="000000" w:themeColor="text1"/>
          <w:sz w:val="36"/>
          <w:szCs w:val="40"/>
          <w14:textFill>
            <w14:solidFill>
              <w14:schemeClr w14:val="tx1"/>
            </w14:solidFill>
          </w14:textFill>
        </w:rPr>
      </w:pPr>
      <w:r>
        <w:rPr>
          <w:rFonts w:ascii="黑体" w:hAnsi="黑体" w:eastAsia="黑体" w:cs="Times New Roman"/>
          <w:b/>
          <w:bCs/>
          <w:color w:val="000000" w:themeColor="text1"/>
          <w:sz w:val="36"/>
          <w:szCs w:val="40"/>
          <w14:textFill>
            <w14:solidFill>
              <w14:schemeClr w14:val="tx1"/>
            </w14:solidFill>
          </w14:textFill>
        </w:rPr>
        <w:t>目录</w:t>
      </w:r>
    </w:p>
    <w:p>
      <w:pPr>
        <w:pStyle w:val="15"/>
        <w:rPr>
          <w:b w:val="0"/>
          <w:bCs w:val="0"/>
        </w:rPr>
      </w:pPr>
      <w:r>
        <w:rPr>
          <w:color w:val="000000" w:themeColor="text1"/>
          <w:sz w:val="36"/>
          <w:szCs w:val="40"/>
          <w14:textFill>
            <w14:solidFill>
              <w14:schemeClr w14:val="tx1"/>
            </w14:solidFill>
          </w14:textFill>
        </w:rPr>
        <w:fldChar w:fldCharType="begin"/>
      </w:r>
      <w:r>
        <w:rPr>
          <w:color w:val="000000" w:themeColor="text1"/>
          <w:sz w:val="36"/>
          <w:szCs w:val="40"/>
          <w14:textFill>
            <w14:solidFill>
              <w14:schemeClr w14:val="tx1"/>
            </w14:solidFill>
          </w14:textFill>
        </w:rPr>
        <w:instrText xml:space="preserve"> TOC \o "1-3" \h \z \u </w:instrText>
      </w:r>
      <w:r>
        <w:rPr>
          <w:color w:val="000000" w:themeColor="text1"/>
          <w:sz w:val="36"/>
          <w:szCs w:val="40"/>
          <w14:textFill>
            <w14:solidFill>
              <w14:schemeClr w14:val="tx1"/>
            </w14:solidFill>
          </w14:textFill>
        </w:rPr>
        <w:fldChar w:fldCharType="separate"/>
      </w:r>
      <w:r>
        <w:fldChar w:fldCharType="begin"/>
      </w:r>
      <w:r>
        <w:instrText xml:space="preserve"> HYPERLINK \l "_Toc115392023" </w:instrText>
      </w:r>
      <w:r>
        <w:fldChar w:fldCharType="separate"/>
      </w:r>
      <w:r>
        <w:rPr>
          <w:rStyle w:val="23"/>
        </w:rPr>
        <w:t>第一章  发展基础与形势</w:t>
      </w:r>
      <w:r>
        <w:tab/>
      </w:r>
      <w:r>
        <w:fldChar w:fldCharType="begin"/>
      </w:r>
      <w:r>
        <w:instrText xml:space="preserve"> PAGEREF _Toc115392023 \h </w:instrText>
      </w:r>
      <w:r>
        <w:fldChar w:fldCharType="separate"/>
      </w:r>
      <w:r>
        <w:t>1</w:t>
      </w:r>
      <w:r>
        <w:fldChar w:fldCharType="end"/>
      </w:r>
      <w: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"_Toc115392024" </w:instrText>
      </w:r>
      <w:r>
        <w:fldChar w:fldCharType="separate"/>
      </w:r>
      <w:r>
        <w:rPr>
          <w:rStyle w:val="23"/>
          <w:rFonts w:ascii="Times New Roman" w:hAnsi="Times New Roman" w:eastAsia="仿宋_GB2312" w:cs="Times New Roman"/>
          <w:sz w:val="24"/>
        </w:rPr>
        <w:t>（一）“十三五”主要发展成效</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_Toc115392024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"_Toc115392025" </w:instrText>
      </w:r>
      <w:r>
        <w:fldChar w:fldCharType="separate"/>
      </w:r>
      <w:r>
        <w:rPr>
          <w:rStyle w:val="23"/>
          <w:rFonts w:ascii="Times New Roman" w:hAnsi="Times New Roman" w:eastAsia="仿宋_GB2312" w:cs="Times New Roman"/>
          <w:sz w:val="24"/>
        </w:rPr>
        <w:t>1、产业竞争力持续保持</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_Toc115392025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"_Toc115392026" </w:instrText>
      </w:r>
      <w:r>
        <w:fldChar w:fldCharType="separate"/>
      </w:r>
      <w:r>
        <w:rPr>
          <w:rStyle w:val="23"/>
          <w:rFonts w:ascii="Times New Roman" w:hAnsi="Times New Roman" w:eastAsia="仿宋_GB2312" w:cs="Times New Roman"/>
          <w:sz w:val="24"/>
        </w:rPr>
        <w:t>2、多细分领域蓬勃发展</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_Toc115392026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"_Toc115392027" </w:instrText>
      </w:r>
      <w:r>
        <w:fldChar w:fldCharType="separate"/>
      </w:r>
      <w:r>
        <w:rPr>
          <w:rStyle w:val="23"/>
          <w:rFonts w:ascii="Times New Roman" w:hAnsi="Times New Roman" w:eastAsia="仿宋_GB2312" w:cs="Times New Roman"/>
          <w:sz w:val="24"/>
        </w:rPr>
        <w:t>3、商圈和载体加速升级</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_Toc115392027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2</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"_Toc115392028" </w:instrText>
      </w:r>
      <w:r>
        <w:fldChar w:fldCharType="separate"/>
      </w:r>
      <w:r>
        <w:rPr>
          <w:rStyle w:val="23"/>
          <w:rFonts w:ascii="Times New Roman" w:hAnsi="Times New Roman" w:eastAsia="仿宋_GB2312" w:cs="Times New Roman"/>
          <w:sz w:val="24"/>
        </w:rPr>
        <w:t>4、新业态新模式不断涌现</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_Toc115392028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2</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"_Toc115392029" </w:instrText>
      </w:r>
      <w:r>
        <w:fldChar w:fldCharType="separate"/>
      </w:r>
      <w:r>
        <w:rPr>
          <w:rStyle w:val="23"/>
          <w:rFonts w:ascii="Times New Roman" w:hAnsi="Times New Roman" w:eastAsia="仿宋_GB2312" w:cs="Times New Roman"/>
          <w:sz w:val="24"/>
        </w:rPr>
        <w:t>5、营商环境持续优化改善</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_Toc115392029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3</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"_Toc115392030" </w:instrText>
      </w:r>
      <w:r>
        <w:fldChar w:fldCharType="separate"/>
      </w:r>
      <w:r>
        <w:rPr>
          <w:rStyle w:val="23"/>
          <w:rFonts w:ascii="Times New Roman" w:hAnsi="Times New Roman" w:eastAsia="仿宋_GB2312" w:cs="Times New Roman"/>
          <w:sz w:val="24"/>
        </w:rPr>
        <w:t>（二）存在的问题与不足</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_Toc115392030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4</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"_Toc115392031" </w:instrText>
      </w:r>
      <w:r>
        <w:fldChar w:fldCharType="separate"/>
      </w:r>
      <w:r>
        <w:rPr>
          <w:rStyle w:val="23"/>
          <w:rFonts w:ascii="Times New Roman" w:hAnsi="Times New Roman" w:eastAsia="仿宋_GB2312" w:cs="Times New Roman"/>
          <w:sz w:val="24"/>
        </w:rPr>
        <w:t>1、产业能级有待进一步提升</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_Toc115392031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4</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"_Toc115392032" </w:instrText>
      </w:r>
      <w:r>
        <w:fldChar w:fldCharType="separate"/>
      </w:r>
      <w:r>
        <w:rPr>
          <w:rStyle w:val="23"/>
          <w:rFonts w:ascii="Times New Roman" w:hAnsi="Times New Roman" w:eastAsia="仿宋_GB2312" w:cs="Times New Roman"/>
          <w:sz w:val="24"/>
        </w:rPr>
        <w:t>2、产业结构有待进一步优化</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_Toc115392032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5</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"_Toc115392033" </w:instrText>
      </w:r>
      <w:r>
        <w:fldChar w:fldCharType="separate"/>
      </w:r>
      <w:r>
        <w:rPr>
          <w:rStyle w:val="23"/>
          <w:rFonts w:ascii="Times New Roman" w:hAnsi="Times New Roman" w:eastAsia="仿宋_GB2312" w:cs="Times New Roman"/>
          <w:sz w:val="24"/>
        </w:rPr>
        <w:t>3、产业布局有待进一步均衡</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_Toc115392033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5</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"_Toc115392034" </w:instrText>
      </w:r>
      <w:r>
        <w:fldChar w:fldCharType="separate"/>
      </w:r>
      <w:r>
        <w:rPr>
          <w:rStyle w:val="23"/>
          <w:rFonts w:ascii="Times New Roman" w:hAnsi="Times New Roman" w:eastAsia="仿宋_GB2312" w:cs="Times New Roman"/>
          <w:sz w:val="24"/>
        </w:rPr>
        <w:t>（三）“十四五”面临的形势</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_Toc115392034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7</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"_Toc115392035" </w:instrText>
      </w:r>
      <w:r>
        <w:fldChar w:fldCharType="separate"/>
      </w:r>
      <w:r>
        <w:rPr>
          <w:rStyle w:val="23"/>
          <w:rFonts w:ascii="Times New Roman" w:hAnsi="Times New Roman" w:eastAsia="仿宋_GB2312" w:cs="Times New Roman"/>
          <w:sz w:val="24"/>
        </w:rPr>
        <w:t>1、国际形势复杂多变</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_Toc115392035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7</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"_Toc115392036" </w:instrText>
      </w:r>
      <w:r>
        <w:fldChar w:fldCharType="separate"/>
      </w:r>
      <w:r>
        <w:rPr>
          <w:rStyle w:val="23"/>
          <w:rFonts w:ascii="Times New Roman" w:hAnsi="Times New Roman" w:eastAsia="仿宋_GB2312" w:cs="Times New Roman"/>
          <w:sz w:val="24"/>
        </w:rPr>
        <w:t>2、“双循环”格局加速铺开</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_Toc115392036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7</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"_Toc115392037" </w:instrText>
      </w:r>
      <w:r>
        <w:fldChar w:fldCharType="separate"/>
      </w:r>
      <w:r>
        <w:rPr>
          <w:rStyle w:val="23"/>
          <w:rFonts w:ascii="Times New Roman" w:hAnsi="Times New Roman" w:eastAsia="仿宋_GB2312" w:cs="Times New Roman"/>
          <w:sz w:val="24"/>
        </w:rPr>
        <w:t>3、稳增长处于突出位置</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_Toc115392037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8</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"_Toc115392038" </w:instrText>
      </w:r>
      <w:r>
        <w:fldChar w:fldCharType="separate"/>
      </w:r>
      <w:r>
        <w:rPr>
          <w:rStyle w:val="23"/>
          <w:rFonts w:ascii="Times New Roman" w:hAnsi="Times New Roman" w:eastAsia="仿宋_GB2312" w:cs="Times New Roman"/>
          <w:sz w:val="24"/>
        </w:rPr>
        <w:t>4、粤港澳大湾区加速建设</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_Toc115392038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8</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"_Toc115392039" </w:instrText>
      </w:r>
      <w:r>
        <w:fldChar w:fldCharType="separate"/>
      </w:r>
      <w:r>
        <w:rPr>
          <w:rStyle w:val="23"/>
          <w:rFonts w:ascii="Times New Roman" w:hAnsi="Times New Roman" w:eastAsia="仿宋_GB2312" w:cs="Times New Roman"/>
          <w:sz w:val="24"/>
        </w:rPr>
        <w:t>5、数字技术快速推广</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_Toc115392039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9</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5"/>
        <w:rPr>
          <w:b w:val="0"/>
          <w:bCs w:val="0"/>
        </w:rPr>
      </w:pPr>
      <w:r>
        <w:fldChar w:fldCharType="begin"/>
      </w:r>
      <w:r>
        <w:instrText xml:space="preserve"> HYPERLINK \l "_Toc115392040" </w:instrText>
      </w:r>
      <w:r>
        <w:fldChar w:fldCharType="separate"/>
      </w:r>
      <w:r>
        <w:rPr>
          <w:rStyle w:val="23"/>
        </w:rPr>
        <w:t>第二章 发展总体要求</w:t>
      </w:r>
      <w:r>
        <w:tab/>
      </w:r>
      <w:r>
        <w:fldChar w:fldCharType="begin"/>
      </w:r>
      <w:r>
        <w:instrText xml:space="preserve"> PAGEREF _Toc115392040 \h </w:instrText>
      </w:r>
      <w:r>
        <w:fldChar w:fldCharType="separate"/>
      </w:r>
      <w:r>
        <w:t>10</w:t>
      </w:r>
      <w:r>
        <w:fldChar w:fldCharType="end"/>
      </w:r>
      <w: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"_Toc115392041" </w:instrText>
      </w:r>
      <w:r>
        <w:fldChar w:fldCharType="separate"/>
      </w:r>
      <w:r>
        <w:rPr>
          <w:rStyle w:val="23"/>
          <w:rFonts w:ascii="Times New Roman" w:hAnsi="Times New Roman" w:eastAsia="仿宋_GB2312" w:cs="Times New Roman"/>
          <w:sz w:val="24"/>
        </w:rPr>
        <w:t>（一）指导思想</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_Toc115392041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10</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"_Toc115392042" </w:instrText>
      </w:r>
      <w:r>
        <w:fldChar w:fldCharType="separate"/>
      </w:r>
      <w:r>
        <w:rPr>
          <w:rStyle w:val="23"/>
          <w:rFonts w:ascii="Times New Roman" w:hAnsi="Times New Roman" w:eastAsia="仿宋_GB2312" w:cs="Times New Roman"/>
          <w:sz w:val="24"/>
        </w:rPr>
        <w:t>（二）发展原则</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_Toc115392042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10</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"_Toc115392043" </w:instrText>
      </w:r>
      <w:r>
        <w:fldChar w:fldCharType="separate"/>
      </w:r>
      <w:r>
        <w:rPr>
          <w:rStyle w:val="23"/>
          <w:rFonts w:ascii="Times New Roman" w:hAnsi="Times New Roman" w:eastAsia="仿宋_GB2312" w:cs="Times New Roman"/>
          <w:sz w:val="24"/>
        </w:rPr>
        <w:t>（三）发展定位</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_Toc115392043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11</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"_Toc115392044" </w:instrText>
      </w:r>
      <w:r>
        <w:fldChar w:fldCharType="separate"/>
      </w:r>
      <w:r>
        <w:rPr>
          <w:rStyle w:val="23"/>
          <w:rFonts w:ascii="Times New Roman" w:hAnsi="Times New Roman" w:eastAsia="仿宋_GB2312" w:cs="Times New Roman"/>
          <w:sz w:val="24"/>
        </w:rPr>
        <w:t>（四）发展目标</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_Toc115392044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13</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5"/>
        <w:rPr>
          <w:b w:val="0"/>
          <w:bCs w:val="0"/>
        </w:rPr>
      </w:pPr>
      <w:r>
        <w:fldChar w:fldCharType="begin"/>
      </w:r>
      <w:r>
        <w:instrText xml:space="preserve"> HYPERLINK \l "_Toc115392045" </w:instrText>
      </w:r>
      <w:r>
        <w:fldChar w:fldCharType="separate"/>
      </w:r>
      <w:r>
        <w:rPr>
          <w:rStyle w:val="23"/>
        </w:rPr>
        <w:t>第三章 持续优化产业结构</w:t>
      </w:r>
      <w:r>
        <w:tab/>
      </w:r>
      <w:r>
        <w:fldChar w:fldCharType="begin"/>
      </w:r>
      <w:r>
        <w:instrText xml:space="preserve"> PAGEREF _Toc115392045 \h </w:instrText>
      </w:r>
      <w:r>
        <w:fldChar w:fldCharType="separate"/>
      </w:r>
      <w:r>
        <w:t>14</w:t>
      </w:r>
      <w:r>
        <w:fldChar w:fldCharType="end"/>
      </w:r>
      <w: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"_Toc115392046" </w:instrText>
      </w:r>
      <w:r>
        <w:fldChar w:fldCharType="separate"/>
      </w:r>
      <w:r>
        <w:rPr>
          <w:rStyle w:val="23"/>
          <w:rFonts w:ascii="Times New Roman" w:hAnsi="Times New Roman" w:eastAsia="仿宋_GB2312" w:cs="Times New Roman"/>
          <w:sz w:val="24"/>
        </w:rPr>
        <w:t>（一）提升</w:t>
      </w:r>
      <w:r>
        <w:rPr>
          <w:rStyle w:val="23"/>
          <w:rFonts w:ascii="Times New Roman" w:hAnsi="Times New Roman" w:eastAsia="仿宋_GB2312" w:cs="Times New Roman"/>
          <w:kern w:val="0"/>
          <w:sz w:val="24"/>
        </w:rPr>
        <w:t>优势领域</w:t>
      </w:r>
      <w:r>
        <w:rPr>
          <w:rStyle w:val="23"/>
          <w:rFonts w:ascii="Times New Roman" w:hAnsi="Times New Roman" w:eastAsia="仿宋_GB2312" w:cs="Times New Roman"/>
          <w:sz w:val="24"/>
        </w:rPr>
        <w:t>质量和能级</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_Toc115392046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14</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"_Toc115392047" </w:instrText>
      </w:r>
      <w:r>
        <w:fldChar w:fldCharType="separate"/>
      </w:r>
      <w:r>
        <w:rPr>
          <w:rStyle w:val="23"/>
          <w:rFonts w:ascii="Times New Roman" w:hAnsi="Times New Roman" w:eastAsia="仿宋_GB2312" w:cs="Times New Roman"/>
          <w:sz w:val="24"/>
        </w:rPr>
        <w:t>1、增强高端和国际消费供给</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_Toc115392047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14</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"_Toc115392048" </w:instrText>
      </w:r>
      <w:r>
        <w:fldChar w:fldCharType="separate"/>
      </w:r>
      <w:r>
        <w:rPr>
          <w:rStyle w:val="23"/>
          <w:rFonts w:ascii="Times New Roman" w:hAnsi="Times New Roman" w:eastAsia="仿宋_GB2312" w:cs="Times New Roman"/>
          <w:sz w:val="24"/>
        </w:rPr>
        <w:t>2、推动住宿业创新产品和服务</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_Toc115392048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15</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"_Toc115392049" </w:instrText>
      </w:r>
      <w:r>
        <w:fldChar w:fldCharType="separate"/>
      </w:r>
      <w:r>
        <w:rPr>
          <w:rStyle w:val="23"/>
          <w:rFonts w:ascii="Times New Roman" w:hAnsi="Times New Roman" w:eastAsia="仿宋_GB2312" w:cs="Times New Roman"/>
          <w:sz w:val="24"/>
        </w:rPr>
        <w:t>3、支持餐饮业不断拓展新内涵</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_Toc115392049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16</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"_Toc115392050" </w:instrText>
      </w:r>
      <w:r>
        <w:fldChar w:fldCharType="separate"/>
      </w:r>
      <w:r>
        <w:rPr>
          <w:rStyle w:val="23"/>
          <w:rFonts w:ascii="Times New Roman" w:hAnsi="Times New Roman" w:eastAsia="仿宋_GB2312" w:cs="Times New Roman"/>
          <w:sz w:val="24"/>
        </w:rPr>
        <w:t>4、提升大宗商品供应链能级和影响力</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_Toc115392050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17</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"_Toc115392051" </w:instrText>
      </w:r>
      <w:r>
        <w:fldChar w:fldCharType="separate"/>
      </w:r>
      <w:r>
        <w:rPr>
          <w:rStyle w:val="23"/>
          <w:rFonts w:ascii="Times New Roman" w:hAnsi="Times New Roman" w:eastAsia="仿宋_GB2312" w:cs="Times New Roman"/>
          <w:sz w:val="24"/>
        </w:rPr>
        <w:t>（二）推动</w:t>
      </w:r>
      <w:r>
        <w:rPr>
          <w:rStyle w:val="23"/>
          <w:rFonts w:ascii="Times New Roman" w:hAnsi="Times New Roman" w:eastAsia="仿宋_GB2312" w:cs="Times New Roman"/>
          <w:kern w:val="0"/>
          <w:sz w:val="24"/>
        </w:rPr>
        <w:t>潜力领域</w:t>
      </w:r>
      <w:r>
        <w:rPr>
          <w:rStyle w:val="23"/>
          <w:rFonts w:ascii="Times New Roman" w:hAnsi="Times New Roman" w:eastAsia="仿宋_GB2312" w:cs="Times New Roman"/>
          <w:sz w:val="24"/>
        </w:rPr>
        <w:t>做大做强</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_Toc115392051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18</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"_Toc115392052" </w:instrText>
      </w:r>
      <w:r>
        <w:fldChar w:fldCharType="separate"/>
      </w:r>
      <w:r>
        <w:rPr>
          <w:rStyle w:val="23"/>
          <w:rFonts w:ascii="Times New Roman" w:hAnsi="Times New Roman" w:eastAsia="仿宋_GB2312" w:cs="Times New Roman"/>
          <w:sz w:val="24"/>
        </w:rPr>
        <w:t>1、力促电子商务特色化突破式发展</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_Toc115392052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18</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"_Toc115392053" </w:instrText>
      </w:r>
      <w:r>
        <w:fldChar w:fldCharType="separate"/>
      </w:r>
      <w:r>
        <w:rPr>
          <w:rStyle w:val="23"/>
          <w:rFonts w:ascii="Times New Roman" w:hAnsi="Times New Roman" w:eastAsia="仿宋_GB2312" w:cs="Times New Roman"/>
          <w:sz w:val="24"/>
        </w:rPr>
        <w:t>2、构建湾区汽车展示销售推广高地</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_Toc115392053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19</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"_Toc115392054" </w:instrText>
      </w:r>
      <w:r>
        <w:fldChar w:fldCharType="separate"/>
      </w:r>
      <w:r>
        <w:rPr>
          <w:rStyle w:val="23"/>
          <w:rFonts w:ascii="Times New Roman" w:hAnsi="Times New Roman" w:eastAsia="仿宋_GB2312" w:cs="Times New Roman"/>
          <w:sz w:val="24"/>
        </w:rPr>
        <w:t>3、培育药品和医疗器械流通增长点</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_Toc115392054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20</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"_Toc115392055" </w:instrText>
      </w:r>
      <w:r>
        <w:fldChar w:fldCharType="separate"/>
      </w:r>
      <w:r>
        <w:rPr>
          <w:rStyle w:val="23"/>
          <w:rFonts w:ascii="Times New Roman" w:hAnsi="Times New Roman" w:eastAsia="仿宋_GB2312" w:cs="Times New Roman"/>
          <w:sz w:val="24"/>
        </w:rPr>
        <w:t>（三）多举措激发</w:t>
      </w:r>
      <w:r>
        <w:rPr>
          <w:rStyle w:val="23"/>
          <w:rFonts w:ascii="Times New Roman" w:hAnsi="Times New Roman" w:eastAsia="仿宋_GB2312" w:cs="Times New Roman"/>
          <w:kern w:val="0"/>
          <w:sz w:val="24"/>
        </w:rPr>
        <w:t>产业提档升级活力</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_Toc115392055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21</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"_Toc115392056" </w:instrText>
      </w:r>
      <w:r>
        <w:fldChar w:fldCharType="separate"/>
      </w:r>
      <w:r>
        <w:rPr>
          <w:rStyle w:val="23"/>
          <w:rFonts w:ascii="Times New Roman" w:hAnsi="Times New Roman" w:eastAsia="仿宋_GB2312" w:cs="Times New Roman"/>
          <w:sz w:val="24"/>
        </w:rPr>
        <w:t>1、提高新产品和品牌孵化能力</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_Toc115392056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21</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"_Toc115392057" </w:instrText>
      </w:r>
      <w:r>
        <w:fldChar w:fldCharType="separate"/>
      </w:r>
      <w:r>
        <w:rPr>
          <w:rStyle w:val="23"/>
          <w:rFonts w:ascii="Times New Roman" w:hAnsi="Times New Roman" w:eastAsia="仿宋_GB2312" w:cs="Times New Roman"/>
          <w:sz w:val="24"/>
        </w:rPr>
        <w:t>2、加快推动批发市场转型升级</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_Toc115392057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22</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"_Toc115392058" </w:instrText>
      </w:r>
      <w:r>
        <w:fldChar w:fldCharType="separate"/>
      </w:r>
      <w:r>
        <w:rPr>
          <w:rStyle w:val="23"/>
          <w:rFonts w:ascii="Times New Roman" w:hAnsi="Times New Roman" w:eastAsia="仿宋_GB2312" w:cs="Times New Roman"/>
          <w:sz w:val="24"/>
        </w:rPr>
        <w:t>3、推动商贸主体数字化连锁化发展</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_Toc115392058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22</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5"/>
        <w:rPr>
          <w:b w:val="0"/>
          <w:bCs w:val="0"/>
        </w:rPr>
      </w:pPr>
      <w:r>
        <w:fldChar w:fldCharType="begin"/>
      </w:r>
      <w:r>
        <w:instrText xml:space="preserve"> HYPERLINK \l "_Toc115392059" </w:instrText>
      </w:r>
      <w:r>
        <w:fldChar w:fldCharType="separate"/>
      </w:r>
      <w:r>
        <w:rPr>
          <w:rStyle w:val="23"/>
        </w:rPr>
        <w:t>第四章 加快推进消费提质扩容</w:t>
      </w:r>
      <w:r>
        <w:tab/>
      </w:r>
      <w:r>
        <w:fldChar w:fldCharType="begin"/>
      </w:r>
      <w:r>
        <w:instrText xml:space="preserve"> PAGEREF _Toc115392059 \h </w:instrText>
      </w:r>
      <w:r>
        <w:fldChar w:fldCharType="separate"/>
      </w:r>
      <w:r>
        <w:t>23</w:t>
      </w:r>
      <w:r>
        <w:fldChar w:fldCharType="end"/>
      </w:r>
      <w: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"_Toc115392060" </w:instrText>
      </w:r>
      <w:r>
        <w:fldChar w:fldCharType="separate"/>
      </w:r>
      <w:r>
        <w:rPr>
          <w:rStyle w:val="23"/>
          <w:rFonts w:ascii="Times New Roman" w:hAnsi="Times New Roman" w:eastAsia="仿宋_GB2312" w:cs="Times New Roman"/>
          <w:sz w:val="24"/>
        </w:rPr>
        <w:t>（一） 大力拓展丰富消费场景</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_Toc115392060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23</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"_Toc115392061" </w:instrText>
      </w:r>
      <w:r>
        <w:fldChar w:fldCharType="separate"/>
      </w:r>
      <w:r>
        <w:rPr>
          <w:rStyle w:val="23"/>
          <w:rFonts w:ascii="Times New Roman" w:hAnsi="Times New Roman" w:eastAsia="仿宋_GB2312" w:cs="Times New Roman"/>
          <w:sz w:val="24"/>
        </w:rPr>
        <w:t>1、做强首店首发经济</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_Toc115392061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23</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"_Toc115392062" </w:instrText>
      </w:r>
      <w:r>
        <w:fldChar w:fldCharType="separate"/>
      </w:r>
      <w:r>
        <w:rPr>
          <w:rStyle w:val="23"/>
          <w:rFonts w:ascii="Times New Roman" w:hAnsi="Times New Roman" w:eastAsia="仿宋_GB2312" w:cs="Times New Roman"/>
          <w:sz w:val="24"/>
        </w:rPr>
        <w:t>2、加强繁荣夜间经济</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_Toc115392062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24</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"_Toc115392063" </w:instrText>
      </w:r>
      <w:r>
        <w:fldChar w:fldCharType="separate"/>
      </w:r>
      <w:r>
        <w:rPr>
          <w:rStyle w:val="23"/>
          <w:rFonts w:ascii="Times New Roman" w:hAnsi="Times New Roman" w:eastAsia="仿宋_GB2312" w:cs="Times New Roman"/>
          <w:sz w:val="24"/>
        </w:rPr>
        <w:t>3、丰富文体消费供给</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_Toc115392063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25</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"_Toc115392064" </w:instrText>
      </w:r>
      <w:r>
        <w:fldChar w:fldCharType="separate"/>
      </w:r>
      <w:r>
        <w:rPr>
          <w:rStyle w:val="23"/>
          <w:rFonts w:ascii="Times New Roman" w:hAnsi="Times New Roman" w:eastAsia="仿宋_GB2312" w:cs="Times New Roman"/>
          <w:sz w:val="24"/>
        </w:rPr>
        <w:t>（二）加速培育新型消费</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_Toc115392064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26</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"_Toc115392065" </w:instrText>
      </w:r>
      <w:r>
        <w:fldChar w:fldCharType="separate"/>
      </w:r>
      <w:r>
        <w:rPr>
          <w:rStyle w:val="23"/>
          <w:rFonts w:ascii="Times New Roman" w:hAnsi="Times New Roman" w:eastAsia="仿宋_GB2312" w:cs="Times New Roman"/>
          <w:sz w:val="24"/>
        </w:rPr>
        <w:t>1、发力时尚与定制消费</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_Toc115392065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26</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"_Toc115392066" </w:instrText>
      </w:r>
      <w:r>
        <w:fldChar w:fldCharType="separate"/>
      </w:r>
      <w:r>
        <w:rPr>
          <w:rStyle w:val="23"/>
          <w:rFonts w:ascii="Times New Roman" w:hAnsi="Times New Roman" w:eastAsia="仿宋_GB2312" w:cs="Times New Roman"/>
          <w:sz w:val="24"/>
        </w:rPr>
        <w:t>2、进一步增强体验消费</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_Toc115392066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27</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"_Toc115392067" </w:instrText>
      </w:r>
      <w:r>
        <w:fldChar w:fldCharType="separate"/>
      </w:r>
      <w:r>
        <w:rPr>
          <w:rStyle w:val="23"/>
          <w:rFonts w:ascii="Times New Roman" w:hAnsi="Times New Roman" w:eastAsia="仿宋_GB2312" w:cs="Times New Roman"/>
          <w:sz w:val="24"/>
        </w:rPr>
        <w:t>3、多维度发展美丽经济</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_Toc115392067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27</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"_Toc115392068" </w:instrText>
      </w:r>
      <w:r>
        <w:fldChar w:fldCharType="separate"/>
      </w:r>
      <w:r>
        <w:rPr>
          <w:rStyle w:val="23"/>
          <w:rFonts w:ascii="Times New Roman" w:hAnsi="Times New Roman" w:eastAsia="仿宋_GB2312" w:cs="Times New Roman"/>
          <w:sz w:val="24"/>
        </w:rPr>
        <w:t>4、提升生活性服务供给品质</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_Toc115392068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28</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5"/>
        <w:rPr>
          <w:b w:val="0"/>
          <w:bCs w:val="0"/>
        </w:rPr>
      </w:pPr>
      <w:r>
        <w:fldChar w:fldCharType="begin"/>
      </w:r>
      <w:r>
        <w:instrText xml:space="preserve"> HYPERLINK \l "_Toc115392069" </w:instrText>
      </w:r>
      <w:r>
        <w:fldChar w:fldCharType="separate"/>
      </w:r>
      <w:r>
        <w:rPr>
          <w:rStyle w:val="23"/>
        </w:rPr>
        <w:t>第五章  建设世界级地标商圈</w:t>
      </w:r>
      <w:r>
        <w:tab/>
      </w:r>
      <w:r>
        <w:fldChar w:fldCharType="begin"/>
      </w:r>
      <w:r>
        <w:instrText xml:space="preserve"> PAGEREF _Toc115392069 \h </w:instrText>
      </w:r>
      <w:r>
        <w:fldChar w:fldCharType="separate"/>
      </w:r>
      <w:r>
        <w:t>29</w:t>
      </w:r>
      <w:r>
        <w:fldChar w:fldCharType="end"/>
      </w:r>
      <w: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"_Toc115392070" </w:instrText>
      </w:r>
      <w:r>
        <w:fldChar w:fldCharType="separate"/>
      </w:r>
      <w:r>
        <w:rPr>
          <w:rStyle w:val="23"/>
          <w:rFonts w:ascii="Times New Roman" w:hAnsi="Times New Roman" w:eastAsia="仿宋_GB2312" w:cs="Times New Roman"/>
          <w:sz w:val="24"/>
        </w:rPr>
        <w:t>（一）推进天河路商圈打造世界顶级商圈</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_Toc115392070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29</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"_Toc115392071" </w:instrText>
      </w:r>
      <w:r>
        <w:fldChar w:fldCharType="separate"/>
      </w:r>
      <w:r>
        <w:rPr>
          <w:rStyle w:val="23"/>
          <w:rFonts w:ascii="Times New Roman" w:hAnsi="Times New Roman" w:eastAsia="仿宋_GB2312" w:cs="Times New Roman"/>
          <w:sz w:val="24"/>
        </w:rPr>
        <w:t>1、促进内生增长，构建国内领先优质商业载体集群</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_Toc115392071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29</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"_Toc115392072" </w:instrText>
      </w:r>
      <w:r>
        <w:fldChar w:fldCharType="separate"/>
      </w:r>
      <w:r>
        <w:rPr>
          <w:rStyle w:val="23"/>
          <w:rFonts w:ascii="Times New Roman" w:hAnsi="Times New Roman" w:eastAsia="仿宋_GB2312" w:cs="Times New Roman"/>
          <w:sz w:val="24"/>
        </w:rPr>
        <w:t>2、加强空间挖潜，激发后街经济潜能增强商业活力</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_Toc115392072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30</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"_Toc115392073" </w:instrText>
      </w:r>
      <w:r>
        <w:fldChar w:fldCharType="separate"/>
      </w:r>
      <w:r>
        <w:rPr>
          <w:rStyle w:val="23"/>
          <w:rFonts w:ascii="Times New Roman" w:hAnsi="Times New Roman" w:eastAsia="仿宋_GB2312" w:cs="Times New Roman"/>
          <w:sz w:val="24"/>
        </w:rPr>
        <w:t>3、提升环境品质，打造优质发展空间优化消费体验</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_Toc115392073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31</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"_Toc115392074" </w:instrText>
      </w:r>
      <w:r>
        <w:fldChar w:fldCharType="separate"/>
      </w:r>
      <w:r>
        <w:rPr>
          <w:rStyle w:val="23"/>
          <w:rFonts w:ascii="Times New Roman" w:hAnsi="Times New Roman" w:eastAsia="仿宋_GB2312" w:cs="Times New Roman"/>
          <w:sz w:val="24"/>
        </w:rPr>
        <w:t>（二）推进珠江新城商圈打造世界级中央活力商圈</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_Toc115392074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32</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"_Toc115392075" </w:instrText>
      </w:r>
      <w:r>
        <w:fldChar w:fldCharType="separate"/>
      </w:r>
      <w:r>
        <w:rPr>
          <w:rStyle w:val="23"/>
          <w:rFonts w:ascii="Times New Roman" w:hAnsi="Times New Roman" w:eastAsia="仿宋_GB2312" w:cs="Times New Roman"/>
          <w:sz w:val="24"/>
        </w:rPr>
        <w:t>1、坚持商品与服务并重，贸易与消费兼顾</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_Toc115392075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32</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"_Toc115392076" </w:instrText>
      </w:r>
      <w:r>
        <w:fldChar w:fldCharType="separate"/>
      </w:r>
      <w:r>
        <w:rPr>
          <w:rStyle w:val="23"/>
          <w:rFonts w:ascii="Times New Roman" w:hAnsi="Times New Roman" w:eastAsia="仿宋_GB2312" w:cs="Times New Roman"/>
          <w:sz w:val="24"/>
        </w:rPr>
        <w:t>2、提升载体运营水平，加快拓展增量空间</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_Toc115392076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33</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"_Toc115392077" </w:instrText>
      </w:r>
      <w:r>
        <w:fldChar w:fldCharType="separate"/>
      </w:r>
      <w:r>
        <w:rPr>
          <w:rStyle w:val="23"/>
          <w:rFonts w:ascii="Times New Roman" w:hAnsi="Times New Roman" w:eastAsia="仿宋_GB2312" w:cs="Times New Roman"/>
          <w:sz w:val="24"/>
        </w:rPr>
        <w:t>3、联动天河路商圈，打造文商旅体融合发展第一圈</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_Toc115392077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33</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"_Toc115392078" </w:instrText>
      </w:r>
      <w:r>
        <w:fldChar w:fldCharType="separate"/>
      </w:r>
      <w:r>
        <w:rPr>
          <w:rStyle w:val="23"/>
          <w:rFonts w:ascii="Times New Roman" w:hAnsi="Times New Roman" w:eastAsia="仿宋_GB2312" w:cs="Times New Roman"/>
          <w:sz w:val="24"/>
        </w:rPr>
        <w:t>（三）推进金融城商圈培育都会级商圈</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_Toc115392078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34</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"_Toc115392079" </w:instrText>
      </w:r>
      <w:r>
        <w:fldChar w:fldCharType="separate"/>
      </w:r>
      <w:r>
        <w:rPr>
          <w:rStyle w:val="23"/>
          <w:rFonts w:ascii="Times New Roman" w:hAnsi="Times New Roman" w:eastAsia="仿宋_GB2312" w:cs="Times New Roman"/>
          <w:sz w:val="24"/>
        </w:rPr>
        <w:t>1、科学谋篇布局，明确四大片区功能</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_Toc115392079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34</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9"/>
        <w:tabs>
          <w:tab w:val="right" w:leader="dot" w:pos="8296"/>
        </w:tabs>
        <w:rPr>
          <w:rFonts w:ascii="Times New Roman" w:hAnsi="Times New Roman" w:eastAsia="仿宋_GB2312" w:cs="Times New Roman"/>
          <w:sz w:val="24"/>
        </w:rPr>
      </w:pPr>
      <w:r>
        <w:fldChar w:fldCharType="begin"/>
      </w:r>
      <w:r>
        <w:instrText xml:space="preserve"> HYPERLINK \l "_Toc115392080" </w:instrText>
      </w:r>
      <w:r>
        <w:fldChar w:fldCharType="separate"/>
      </w:r>
      <w:r>
        <w:rPr>
          <w:rStyle w:val="23"/>
          <w:rFonts w:ascii="Times New Roman" w:hAnsi="Times New Roman" w:eastAsia="仿宋_GB2312" w:cs="Times New Roman"/>
          <w:sz w:val="24"/>
        </w:rPr>
        <w:t>2、用好后发优势，引领数字消费发展</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_Toc115392080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35</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5"/>
        <w:rPr>
          <w:b w:val="0"/>
          <w:bCs w:val="0"/>
        </w:rPr>
      </w:pPr>
      <w:r>
        <w:fldChar w:fldCharType="begin"/>
      </w:r>
      <w:r>
        <w:instrText xml:space="preserve"> HYPERLINK \l "_Toc115392081" </w:instrText>
      </w:r>
      <w:r>
        <w:fldChar w:fldCharType="separate"/>
      </w:r>
      <w:r>
        <w:rPr>
          <w:rStyle w:val="23"/>
        </w:rPr>
        <w:t>第六章  加速优化商业空间布局</w:t>
      </w:r>
      <w:r>
        <w:tab/>
      </w:r>
      <w:r>
        <w:fldChar w:fldCharType="begin"/>
      </w:r>
      <w:r>
        <w:instrText xml:space="preserve"> PAGEREF _Toc115392081 \h </w:instrText>
      </w:r>
      <w:r>
        <w:fldChar w:fldCharType="separate"/>
      </w:r>
      <w:r>
        <w:t>36</w:t>
      </w:r>
      <w:r>
        <w:fldChar w:fldCharType="end"/>
      </w:r>
      <w: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"_Toc115392082" </w:instrText>
      </w:r>
      <w:r>
        <w:fldChar w:fldCharType="separate"/>
      </w:r>
      <w:r>
        <w:rPr>
          <w:rStyle w:val="23"/>
          <w:rFonts w:ascii="Times New Roman" w:hAnsi="Times New Roman" w:eastAsia="仿宋_GB2312" w:cs="Times New Roman"/>
          <w:sz w:val="24"/>
        </w:rPr>
        <w:t>（一）打造“1+1+N”多层次商业空间体系</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_Toc115392082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36</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"_Toc115392083" </w:instrText>
      </w:r>
      <w:r>
        <w:fldChar w:fldCharType="separate"/>
      </w:r>
      <w:r>
        <w:rPr>
          <w:rStyle w:val="23"/>
          <w:rFonts w:ascii="Times New Roman" w:hAnsi="Times New Roman" w:eastAsia="仿宋_GB2312" w:cs="Times New Roman"/>
          <w:sz w:val="24"/>
        </w:rPr>
        <w:t>（二）构建“两轴联动，环状布局”空间发展格局</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_Toc115392083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37</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5"/>
        <w:rPr>
          <w:b w:val="0"/>
          <w:bCs w:val="0"/>
        </w:rPr>
      </w:pPr>
      <w:r>
        <w:fldChar w:fldCharType="begin"/>
      </w:r>
      <w:r>
        <w:instrText xml:space="preserve"> HYPERLINK \l "_Toc115392084" </w:instrText>
      </w:r>
      <w:r>
        <w:fldChar w:fldCharType="separate"/>
      </w:r>
      <w:r>
        <w:rPr>
          <w:rStyle w:val="23"/>
        </w:rPr>
        <w:t>第七章 推动对外贸易创新发展</w:t>
      </w:r>
      <w:r>
        <w:tab/>
      </w:r>
      <w:r>
        <w:fldChar w:fldCharType="begin"/>
      </w:r>
      <w:r>
        <w:instrText xml:space="preserve"> PAGEREF _Toc115392084 \h </w:instrText>
      </w:r>
      <w:r>
        <w:fldChar w:fldCharType="separate"/>
      </w:r>
      <w:r>
        <w:t>38</w:t>
      </w:r>
      <w:r>
        <w:fldChar w:fldCharType="end"/>
      </w:r>
      <w: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"_Toc115392085" </w:instrText>
      </w:r>
      <w:r>
        <w:fldChar w:fldCharType="separate"/>
      </w:r>
      <w:r>
        <w:rPr>
          <w:rStyle w:val="23"/>
          <w:rFonts w:ascii="Times New Roman" w:hAnsi="Times New Roman" w:eastAsia="仿宋_GB2312" w:cs="Times New Roman"/>
          <w:sz w:val="24"/>
        </w:rPr>
        <w:t>（一）调整优化外贸结构，扩大贸易规模</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_Toc115392085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39</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"_Toc115392086" </w:instrText>
      </w:r>
      <w:r>
        <w:fldChar w:fldCharType="separate"/>
      </w:r>
      <w:r>
        <w:rPr>
          <w:rStyle w:val="23"/>
          <w:rFonts w:ascii="Times New Roman" w:hAnsi="Times New Roman" w:eastAsia="仿宋_GB2312" w:cs="Times New Roman"/>
          <w:sz w:val="24"/>
        </w:rPr>
        <w:t>（二）提高综合服务水平，构建良好环境</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_Toc115392086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40</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"_Toc115392087" </w:instrText>
      </w:r>
      <w:r>
        <w:fldChar w:fldCharType="separate"/>
      </w:r>
      <w:r>
        <w:rPr>
          <w:rStyle w:val="23"/>
          <w:rFonts w:ascii="Times New Roman" w:hAnsi="Times New Roman" w:eastAsia="仿宋_GB2312" w:cs="Times New Roman"/>
          <w:sz w:val="24"/>
        </w:rPr>
        <w:t>（三）加强对外合作交流，提升对接效率</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_Toc115392087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40</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5"/>
        <w:rPr>
          <w:b w:val="0"/>
          <w:bCs w:val="0"/>
        </w:rPr>
      </w:pPr>
      <w:r>
        <w:fldChar w:fldCharType="begin"/>
      </w:r>
      <w:r>
        <w:instrText xml:space="preserve"> HYPERLINK \l "_Toc115392088" </w:instrText>
      </w:r>
      <w:r>
        <w:fldChar w:fldCharType="separate"/>
      </w:r>
      <w:r>
        <w:rPr>
          <w:rStyle w:val="23"/>
        </w:rPr>
        <w:t>第八章 大力优化营商环境</w:t>
      </w:r>
      <w:r>
        <w:tab/>
      </w:r>
      <w:r>
        <w:fldChar w:fldCharType="begin"/>
      </w:r>
      <w:r>
        <w:instrText xml:space="preserve"> PAGEREF _Toc115392088 \h </w:instrText>
      </w:r>
      <w:r>
        <w:fldChar w:fldCharType="separate"/>
      </w:r>
      <w:r>
        <w:t>41</w:t>
      </w:r>
      <w:r>
        <w:fldChar w:fldCharType="end"/>
      </w:r>
      <w: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"_Toc115392089" </w:instrText>
      </w:r>
      <w:r>
        <w:fldChar w:fldCharType="separate"/>
      </w:r>
      <w:r>
        <w:rPr>
          <w:rStyle w:val="23"/>
          <w:rFonts w:ascii="Times New Roman" w:hAnsi="Times New Roman" w:eastAsia="仿宋_GB2312" w:cs="Times New Roman"/>
          <w:sz w:val="24"/>
        </w:rPr>
        <w:t>（一）优化服务体系，加强招商引资和企业培育</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_Toc115392089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41</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"_Toc115392090" </w:instrText>
      </w:r>
      <w:r>
        <w:fldChar w:fldCharType="separate"/>
      </w:r>
      <w:r>
        <w:rPr>
          <w:rStyle w:val="23"/>
          <w:rFonts w:ascii="Times New Roman" w:hAnsi="Times New Roman" w:eastAsia="仿宋_GB2312" w:cs="Times New Roman"/>
          <w:sz w:val="24"/>
        </w:rPr>
        <w:t>（二）适应发展需求，建立包容审慎监管机制</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_Toc115392090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42</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"_Toc115392091" </w:instrText>
      </w:r>
      <w:r>
        <w:fldChar w:fldCharType="separate"/>
      </w:r>
      <w:r>
        <w:rPr>
          <w:rStyle w:val="23"/>
          <w:rFonts w:ascii="Times New Roman" w:hAnsi="Times New Roman" w:eastAsia="仿宋_GB2312" w:cs="Times New Roman"/>
          <w:sz w:val="24"/>
        </w:rPr>
        <w:t>（三）完善诚信体系，营造安全放心消费环境</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_Toc115392091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43</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5"/>
        <w:rPr>
          <w:b w:val="0"/>
          <w:bCs w:val="0"/>
        </w:rPr>
      </w:pPr>
      <w:r>
        <w:fldChar w:fldCharType="begin"/>
      </w:r>
      <w:r>
        <w:instrText xml:space="preserve"> HYPERLINK \l "_Toc115392092" </w:instrText>
      </w:r>
      <w:r>
        <w:fldChar w:fldCharType="separate"/>
      </w:r>
      <w:r>
        <w:rPr>
          <w:rStyle w:val="23"/>
        </w:rPr>
        <w:t>第九章 保障措施</w:t>
      </w:r>
      <w:r>
        <w:tab/>
      </w:r>
      <w:r>
        <w:fldChar w:fldCharType="begin"/>
      </w:r>
      <w:r>
        <w:instrText xml:space="preserve"> PAGEREF _Toc115392092 \h </w:instrText>
      </w:r>
      <w:r>
        <w:fldChar w:fldCharType="separate"/>
      </w:r>
      <w:r>
        <w:t>44</w:t>
      </w:r>
      <w:r>
        <w:fldChar w:fldCharType="end"/>
      </w:r>
      <w: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"_Toc115392093" </w:instrText>
      </w:r>
      <w:r>
        <w:fldChar w:fldCharType="separate"/>
      </w:r>
      <w:r>
        <w:rPr>
          <w:rStyle w:val="23"/>
          <w:rFonts w:ascii="Times New Roman" w:hAnsi="Times New Roman" w:eastAsia="仿宋_GB2312" w:cs="Times New Roman"/>
          <w:sz w:val="24"/>
        </w:rPr>
        <w:t>（一）加强组织领导</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_Toc115392093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44</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"_Toc115392094" </w:instrText>
      </w:r>
      <w:r>
        <w:fldChar w:fldCharType="separate"/>
      </w:r>
      <w:r>
        <w:rPr>
          <w:rStyle w:val="23"/>
          <w:rFonts w:ascii="Times New Roman" w:hAnsi="Times New Roman" w:eastAsia="仿宋_GB2312" w:cs="Times New Roman"/>
          <w:sz w:val="24"/>
        </w:rPr>
        <w:t>（二）加大金融支持</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_Toc115392094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44</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"_Toc115392095" </w:instrText>
      </w:r>
      <w:r>
        <w:fldChar w:fldCharType="separate"/>
      </w:r>
      <w:r>
        <w:rPr>
          <w:rStyle w:val="23"/>
          <w:rFonts w:ascii="Times New Roman" w:hAnsi="Times New Roman" w:eastAsia="仿宋_GB2312" w:cs="Times New Roman"/>
          <w:sz w:val="24"/>
        </w:rPr>
        <w:t>（三）优化人才引育</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_Toc115392095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45</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"_Toc115392096" </w:instrText>
      </w:r>
      <w:r>
        <w:fldChar w:fldCharType="separate"/>
      </w:r>
      <w:r>
        <w:rPr>
          <w:rStyle w:val="23"/>
          <w:rFonts w:ascii="Times New Roman" w:hAnsi="Times New Roman" w:eastAsia="仿宋_GB2312" w:cs="Times New Roman"/>
          <w:sz w:val="24"/>
        </w:rPr>
        <w:t>（四）创新用地保障</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_Toc115392096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45</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"_Toc115392097" </w:instrText>
      </w:r>
      <w:r>
        <w:fldChar w:fldCharType="separate"/>
      </w:r>
      <w:r>
        <w:rPr>
          <w:rStyle w:val="23"/>
          <w:rFonts w:ascii="Times New Roman" w:hAnsi="Times New Roman" w:eastAsia="仿宋_GB2312" w:cs="Times New Roman"/>
          <w:sz w:val="24"/>
        </w:rPr>
        <w:t>（五）完善监督机制</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_Toc115392097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46</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17"/>
        <w:tabs>
          <w:tab w:val="right" w:leader="dot" w:pos="8296"/>
        </w:tabs>
        <w:spacing w:before="0"/>
        <w:ind w:firstLine="480"/>
        <w:rPr>
          <w:rFonts w:ascii="Times New Roman" w:hAnsi="Times New Roman" w:eastAsia="仿宋_GB2312" w:cs="Times New Roman"/>
          <w:sz w:val="24"/>
        </w:rPr>
      </w:pPr>
      <w:r>
        <w:fldChar w:fldCharType="begin"/>
      </w:r>
      <w:r>
        <w:instrText xml:space="preserve"> HYPERLINK \l "_Toc115392098" </w:instrText>
      </w:r>
      <w:r>
        <w:fldChar w:fldCharType="separate"/>
      </w:r>
      <w:r>
        <w:rPr>
          <w:rStyle w:val="23"/>
          <w:rFonts w:ascii="Times New Roman" w:hAnsi="Times New Roman" w:eastAsia="仿宋_GB2312" w:cs="Times New Roman"/>
          <w:sz w:val="24"/>
        </w:rPr>
        <w:t>（六）强化宣传推广</w:t>
      </w:r>
      <w:r>
        <w:rPr>
          <w:rFonts w:ascii="Times New Roman" w:hAnsi="Times New Roman" w:eastAsia="仿宋_GB2312" w:cs="Times New Roman"/>
          <w:sz w:val="24"/>
        </w:rPr>
        <w:tab/>
      </w:r>
      <w:r>
        <w:rPr>
          <w:rFonts w:ascii="Times New Roman" w:hAnsi="Times New Roman" w:eastAsia="仿宋_GB2312" w:cs="Times New Roman"/>
          <w:sz w:val="24"/>
        </w:rPr>
        <w:fldChar w:fldCharType="begin"/>
      </w:r>
      <w:r>
        <w:rPr>
          <w:rFonts w:ascii="Times New Roman" w:hAnsi="Times New Roman" w:eastAsia="仿宋_GB2312" w:cs="Times New Roman"/>
          <w:sz w:val="24"/>
        </w:rPr>
        <w:instrText xml:space="preserve"> PAGEREF _Toc115392098 \h </w:instrText>
      </w:r>
      <w:r>
        <w:rPr>
          <w:rFonts w:ascii="Times New Roman" w:hAnsi="Times New Roman" w:eastAsia="仿宋_GB2312" w:cs="Times New Roman"/>
          <w:sz w:val="24"/>
        </w:rPr>
        <w:fldChar w:fldCharType="separate"/>
      </w:r>
      <w:r>
        <w:rPr>
          <w:rFonts w:ascii="Times New Roman" w:hAnsi="Times New Roman" w:eastAsia="仿宋_GB2312" w:cs="Times New Roman"/>
          <w:sz w:val="24"/>
        </w:rPr>
        <w:t>46</w:t>
      </w:r>
      <w:r>
        <w:rPr>
          <w:rFonts w:ascii="Times New Roman" w:hAnsi="Times New Roman" w:eastAsia="仿宋_GB2312" w:cs="Times New Roman"/>
          <w:sz w:val="24"/>
        </w:rPr>
        <w:fldChar w:fldCharType="end"/>
      </w:r>
      <w:r>
        <w:rPr>
          <w:rFonts w:ascii="Times New Roman" w:hAnsi="Times New Roman" w:eastAsia="仿宋_GB2312" w:cs="Times New Roman"/>
          <w:sz w:val="24"/>
        </w:rPr>
        <w:fldChar w:fldCharType="end"/>
      </w:r>
    </w:p>
    <w:p>
      <w:pPr>
        <w:pStyle w:val="5"/>
        <w:ind w:firstLine="0" w:firstLineChars="0"/>
        <w:rPr>
          <w:rFonts w:ascii="Times New Roman" w:hAnsi="Times New Roman" w:cs="Times New Roman"/>
          <w:b/>
          <w:bCs/>
          <w:color w:val="000000" w:themeColor="text1"/>
          <w:sz w:val="36"/>
          <w:szCs w:val="40"/>
          <w14:textFill>
            <w14:solidFill>
              <w14:schemeClr w14:val="tx1"/>
            </w14:solidFill>
          </w14:textFill>
        </w:rPr>
      </w:pPr>
      <w:r>
        <w:rPr>
          <w:rFonts w:ascii="Times New Roman" w:hAnsi="Times New Roman" w:cs="Times New Roman"/>
          <w:b/>
          <w:bCs/>
          <w:color w:val="000000" w:themeColor="text1"/>
          <w:sz w:val="36"/>
          <w:szCs w:val="40"/>
          <w14:textFill>
            <w14:solidFill>
              <w14:schemeClr w14:val="tx1"/>
            </w14:solidFill>
          </w14:textFill>
        </w:rPr>
        <w:fldChar w:fldCharType="end"/>
      </w:r>
    </w:p>
    <w:p>
      <w:pPr>
        <w:pStyle w:val="5"/>
        <w:ind w:firstLine="0" w:firstLineChars="0"/>
        <w:jc w:val="center"/>
        <w:rPr>
          <w:rFonts w:ascii="Times New Roman" w:hAnsi="Times New Roman" w:cs="Times New Roman"/>
          <w:b/>
          <w:bCs/>
          <w:color w:val="000000" w:themeColor="text1"/>
          <w:sz w:val="36"/>
          <w:szCs w:val="40"/>
          <w14:textFill>
            <w14:solidFill>
              <w14:schemeClr w14:val="tx1"/>
            </w14:solidFill>
          </w14:textFill>
        </w:rPr>
        <w:sectPr>
          <w:pgSz w:w="11906" w:h="16838"/>
          <w:pgMar w:top="1440" w:right="1800" w:bottom="1440" w:left="1800" w:header="851" w:footer="992" w:gutter="0"/>
          <w:pgNumType w:fmt="upperRoman"/>
          <w:cols w:space="425" w:num="1"/>
          <w:docGrid w:type="lines" w:linePitch="312" w:charSpace="0"/>
        </w:sectPr>
      </w:pPr>
    </w:p>
    <w:p>
      <w:pPr>
        <w:pStyle w:val="2"/>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2" w:name="_Toc115392023"/>
      <w:r>
        <w:rPr>
          <w:rFonts w:ascii="Times New Roman" w:hAnsi="Times New Roman" w:cs="Times New Roman"/>
        </w:rPr>
        <w:t>第一章  发展基础与形势</w:t>
      </w:r>
      <w:bookmarkEnd w:id="2"/>
    </w:p>
    <w:p>
      <w:pPr>
        <w:pStyle w:val="3"/>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3" w:name="_Toc115392024"/>
      <w:r>
        <w:rPr>
          <w:rFonts w:ascii="Times New Roman" w:hAnsi="Times New Roman" w:cs="Times New Roman"/>
        </w:rPr>
        <w:t>（一）“十三五”主要发展成效</w:t>
      </w:r>
      <w:bookmarkEnd w:id="3"/>
    </w:p>
    <w:p>
      <w:pPr>
        <w:pStyle w:val="4"/>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4" w:name="_Toc115392025"/>
      <w:r>
        <w:rPr>
          <w:rFonts w:ascii="Times New Roman" w:hAnsi="Times New Roman" w:cs="Times New Roman"/>
        </w:rPr>
        <w:t>1、产业竞争力持续保持</w:t>
      </w:r>
      <w:bookmarkEnd w:id="4"/>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现代商贸业是我区经济发展重要支撑，2020年增加值达到709.81亿元，占GDP比重13.4%，“十三五”期间平均复合增速约为6%；实现社会消费品零售总额1781.43亿元，占全市比重为19.3%，位列全市第一；网上零售保持较快增长，限额以上批发和零售业通过公共网络实现的商品零售额160.07亿元，增速达28.4%。商贸企业数量保持快速增长态势，2016-2020年间复合增速超过32%，其中四上企业2584家，实现</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销售额</w:t>
      </w:r>
      <w:r>
        <w:rPr>
          <w:rFonts w:ascii="Times New Roman" w:hAnsi="Times New Roman" w:eastAsia="仿宋_GB2312" w:cs="Times New Roman"/>
          <w:color w:val="000000" w:themeColor="text1"/>
          <w:kern w:val="0"/>
          <w:sz w:val="32"/>
          <w:szCs w:val="32"/>
          <w14:textFill>
            <w14:solidFill>
              <w14:schemeClr w14:val="tx1"/>
            </w14:solidFill>
          </w14:textFill>
        </w:rPr>
        <w:t>超8400亿元。</w:t>
      </w:r>
    </w:p>
    <w:p>
      <w:pPr>
        <w:pStyle w:val="4"/>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5" w:name="_Toc115392026"/>
      <w:r>
        <w:rPr>
          <w:rFonts w:ascii="Times New Roman" w:hAnsi="Times New Roman" w:cs="Times New Roman"/>
        </w:rPr>
        <w:t>2、多细分领域蓬勃发展</w:t>
      </w:r>
      <w:bookmarkEnd w:id="5"/>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大宗商品贸易结构逐步优化，金属、煤炭、建材、棉麻等大宗商品企业销售额近2000亿元，规模和占比持续提升，石油及制品占比“一业独大”的发展格局有所改善。零售商业实力雄厚，天河路商圈和珠江新城商圈范围内集聚了正佳广场、天河城、太古汇、天环广场、K11、天汇广场等商业综合体，周生生、永旺、周大福、尚品宅配、燕塘等重点企业集聚。汽车销售快速增长，2020年实现销售额约450亿元，其中新能源汽车增长迅猛，特斯拉、蔚来、小鹏汽车等典型代表均在我区设立销售公司。高端餐饮和酒店领跑全市，米其林星级餐厅数量占全市3/4，15家酒店上榜大众点评2020年“必住榜”，珠江新城已形成由丽思卡尔顿、四季、瑰丽、W酒店等组成的高端酒店集群，是全市高端酒店最为密集的区域集聚。此外，医药及医疗器械销售、电子商务等领域发展动能不断积蓄。</w:t>
      </w:r>
    </w:p>
    <w:p>
      <w:pPr>
        <w:pStyle w:val="4"/>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6" w:name="_Toc115392027"/>
      <w:r>
        <w:rPr>
          <w:rFonts w:ascii="Times New Roman" w:hAnsi="Times New Roman" w:cs="Times New Roman"/>
        </w:rPr>
        <w:t>3、商圈和载体加速升级</w:t>
      </w:r>
      <w:bookmarkEnd w:id="6"/>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天河路商圈是“华南第一商圈”，2012年全面启动升级改造，在“十三五”期间商圈业态不断优化、环境品质有效提升，正佳广场、太古汇、天河城3家进入全国购物中心销售额top25，新地标性商业载体天环广场开业，持续引领全市商业发展。珠江新城商圈南临珠江，范围内广东省博物馆、广州大剧院、广州图书馆、海心沙等地标性文化体育设施汇聚，天汇广场、K11、天德广场等各具特色的商业载体相继开业，将联合天河路商圈共同打造世界级地标商圈、国内文商旅体融合发展第一圈。金融城商圈加快培育，美林天地、居然之家、罗浮宫家居广州艺术中心等载体落地，逐步构建起家居生活商业集聚地。此外，漫广场、万科云城等一批商业载体的开业为补足</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东北部</w:t>
      </w:r>
      <w:r>
        <w:rPr>
          <w:rFonts w:ascii="Times New Roman" w:hAnsi="Times New Roman" w:eastAsia="仿宋_GB2312" w:cs="Times New Roman"/>
          <w:color w:val="000000" w:themeColor="text1"/>
          <w:kern w:val="0"/>
          <w:sz w:val="32"/>
          <w:szCs w:val="32"/>
          <w14:textFill>
            <w14:solidFill>
              <w14:schemeClr w14:val="tx1"/>
            </w14:solidFill>
          </w14:textFill>
        </w:rPr>
        <w:t>商业短板，优化商业空间布局打下了良好基础。2020年共有10家载体上榜大众点评 “必逛榜”，在广州市占比超50%。</w:t>
      </w:r>
    </w:p>
    <w:p>
      <w:pPr>
        <w:pStyle w:val="4"/>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7" w:name="_Toc115392028"/>
      <w:r>
        <w:rPr>
          <w:rFonts w:ascii="Times New Roman" w:hAnsi="Times New Roman" w:cs="Times New Roman"/>
        </w:rPr>
        <w:t>4、新业态新模式不断涌现</w:t>
      </w:r>
      <w:bookmarkEnd w:id="7"/>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“首店经济”持续增强，</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天河</w:t>
      </w:r>
      <w:r>
        <w:rPr>
          <w:rFonts w:ascii="Times New Roman" w:hAnsi="Times New Roman" w:eastAsia="仿宋_GB2312" w:cs="Times New Roman"/>
          <w:color w:val="000000" w:themeColor="text1"/>
          <w:kern w:val="0"/>
          <w:sz w:val="32"/>
          <w:szCs w:val="32"/>
          <w14:textFill>
            <w14:solidFill>
              <w14:schemeClr w14:val="tx1"/>
            </w14:solidFill>
          </w14:textFill>
        </w:rPr>
        <w:t>已成为品牌入驻广州和华南的首选，其中天河路商圈2020年新增广州首店56家，包括TOPTOY全球首店、STELLALUNA、NIKE RISE概念店等全国首店，进一步带动消费提质升级。文商旅融合创新业态不断推陈出新，正佳广场“三馆一街”、演艺剧场、VR体验游戏等项目相继推出；K11带来“博物馆零售”全新商业模式，将艺术人文与商业购物进行创新结合；太古汇方所书店影响力逐步扩展至全国，成为从广州走出去的知名文化品牌；天德广场已成为市内地标性夜经济集聚区。服务消费大幅扩容，天河体育中心每年举办多项大型体育赛事，在高端楼宇举办的广州国际垂直马拉松比赛已成为特色品牌，还有横渡珠江、广州国际龙舟邀请赛等，有效拉动体育消费发展；“美丽经济”推动医美、美妆、美容等细分领域发展，珠江新城已形成医美机构集聚雏形；广州大剧院、海心沙、奥体、红线女艺术中心、GNZ48星梦剧院、广州中央车站展演中心等组成的文化载体群推出了丰富的演艺活动，文化消费潜力巨大。</w:t>
      </w:r>
    </w:p>
    <w:p>
      <w:pPr>
        <w:pStyle w:val="4"/>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8" w:name="_Toc115392029"/>
      <w:r>
        <w:rPr>
          <w:rFonts w:ascii="Times New Roman" w:hAnsi="Times New Roman" w:cs="Times New Roman"/>
        </w:rPr>
        <w:t>5、营商环境持续优化改善</w:t>
      </w:r>
      <w:bookmarkEnd w:id="8"/>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积极构建商圈发展良好环境，充分发挥天河路商圈发展工作联席会议、天河路商圈管委会作用，定期召开商圈会议，对重点任务进行督办；办好广州国际购物节、美食节等活动，组织商户开展各类促销活动，增强商圈营销氛围。建立常态化企业服务机制，落实重点企业服务，区委、区政府</w:t>
      </w:r>
      <w:r>
        <w:rPr>
          <w:rFonts w:hint="eastAsia" w:ascii="Times New Roman" w:hAnsi="Times New Roman" w:eastAsia="仿宋_GB2312" w:cs="Times New Roman"/>
          <w:color w:val="000000" w:themeColor="text1"/>
          <w:kern w:val="0"/>
          <w:sz w:val="32"/>
          <w:szCs w:val="32"/>
          <w14:textFill>
            <w14:solidFill>
              <w14:schemeClr w14:val="tx1"/>
            </w14:solidFill>
          </w14:textFill>
        </w:rPr>
        <w:t>、人大、政协</w:t>
      </w:r>
      <w:r>
        <w:rPr>
          <w:rFonts w:ascii="Times New Roman" w:hAnsi="Times New Roman" w:eastAsia="仿宋_GB2312" w:cs="Times New Roman"/>
          <w:color w:val="000000" w:themeColor="text1"/>
          <w:kern w:val="0"/>
          <w:sz w:val="32"/>
          <w:szCs w:val="32"/>
          <w14:textFill>
            <w14:solidFill>
              <w14:schemeClr w14:val="tx1"/>
            </w14:solidFill>
          </w14:textFill>
        </w:rPr>
        <w:t>领导带队集中对接走访、上门拜访，协调解决企业发展诉求，全力支持商贸企业复工复产；强化重点商贸项目全过程跟踪服务，确保续建项目抓紧复工、新建项目赶紧动工、待建项目尽早开工；以政府购买第三方专业服务的方式委托专业机构运营国家文化出口基地，为文化贸易企业提供专业化服务。优化商贸业扶持政策，在《广州市天河区推动经济高质量发展的若干政策意见》中，对商贸企业、商业载体、电子商务、直播电商、服务贸易、批发市场转型升级、天河路商圈改造提升等给予针对性扶持政策。完善市区联动、部门协作的工作机制，制定专业批发市场转型疏解扶持政策和工作指引，推进专业批发市场整治提升。</w:t>
      </w:r>
    </w:p>
    <w:p>
      <w:pPr>
        <w:pStyle w:val="3"/>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9" w:name="_Toc115392030"/>
      <w:r>
        <w:rPr>
          <w:rFonts w:ascii="Times New Roman" w:hAnsi="Times New Roman" w:cs="Times New Roman"/>
        </w:rPr>
        <w:t>（二）存在的问题与不足</w:t>
      </w:r>
      <w:bookmarkEnd w:id="9"/>
    </w:p>
    <w:p>
      <w:pPr>
        <w:pStyle w:val="4"/>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color w:val="000000"/>
          <w:kern w:val="0"/>
        </w:rPr>
      </w:pPr>
      <w:bookmarkStart w:id="10" w:name="_Toc115392031"/>
      <w:r>
        <w:rPr>
          <w:rFonts w:ascii="Times New Roman" w:hAnsi="Times New Roman" w:cs="Times New Roman"/>
        </w:rPr>
        <w:t>1、产业能级有待进一步提升</w:t>
      </w:r>
      <w:bookmarkEnd w:id="10"/>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整体能级方面，2020年天河实现社会消费品零售总额1781亿元，同期北京朝阳区为3222亿元，深圳福田区为2046亿元，与先进地区存在规模差距；同时，天河商贸业在广州全市的龙头地位未能进一步巩固，社会消费品零售总额在广州市占比由2015年的21.1%下降至2020年的19.3%。企业能级方面，区内多为区域级分、子公司，缺少决策中枢型商贸企业和能够掌控供应链的贸易型总部；缺乏有全国布局能力的零售业和住宿餐饮业龙头企业，未有企业入选“2020年中国连锁Top100”，仅九毛九入选“2020年度餐饮企业100强”；缺乏具有强大运营能力的国内外头部商业地产运营商，商业载体尚未进入国内第一梯队，未有购物中心入选“2020全国购物中心销售额排行榜TOP50”前十，未有市场入选“中国商品市场综合百强”。</w:t>
      </w:r>
    </w:p>
    <w:p>
      <w:pPr>
        <w:pStyle w:val="6"/>
        <w:keepNext/>
        <w:pageBreakBefore w:val="0"/>
        <w:kinsoku/>
        <w:wordWrap/>
        <w:overflowPunct/>
        <w:topLinePunct w:val="0"/>
        <w:autoSpaceDE/>
        <w:autoSpaceDN/>
        <w:bidi w:val="0"/>
        <w:adjustRightInd/>
        <w:snapToGrid/>
        <w:spacing w:beforeAutospacing="0" w:afterAutospacing="0" w:line="560" w:lineRule="exact"/>
        <w:textAlignment w:val="auto"/>
      </w:pPr>
      <w:r>
        <w:t xml:space="preserve">表 </w:t>
      </w:r>
      <w:r>
        <w:fldChar w:fldCharType="begin"/>
      </w:r>
      <w:r>
        <w:instrText xml:space="preserve"> SEQ 表 \* ARABIC </w:instrText>
      </w:r>
      <w:r>
        <w:fldChar w:fldCharType="separate"/>
      </w:r>
      <w:r>
        <w:t>1</w:t>
      </w:r>
      <w:r>
        <w:fldChar w:fldCharType="end"/>
      </w:r>
      <w:r>
        <w:t xml:space="preserve"> </w:t>
      </w:r>
      <w:r>
        <w:rPr>
          <w:rFonts w:hint="eastAsia"/>
        </w:rPr>
        <w:t>主要消费中心城市核心区</w:t>
      </w:r>
      <w:r>
        <w:t>2020年商贸业能级对比</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4"/>
        <w:gridCol w:w="2088"/>
        <w:gridCol w:w="1838"/>
        <w:gridCol w:w="2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b/>
                <w:bCs/>
                <w:color w:val="000000" w:themeColor="text1"/>
                <w:kern w:val="0"/>
                <w:sz w:val="24"/>
                <w14:textFill>
                  <w14:solidFill>
                    <w14:schemeClr w14:val="tx1"/>
                  </w14:solidFill>
                </w14:textFill>
              </w:rPr>
            </w:pPr>
            <w:r>
              <w:rPr>
                <w:rFonts w:ascii="Times New Roman" w:hAnsi="Times New Roman" w:eastAsia="仿宋_GB2312" w:cs="Times New Roman"/>
                <w:b/>
                <w:bCs/>
                <w:color w:val="000000" w:themeColor="text1"/>
                <w:kern w:val="0"/>
                <w:sz w:val="24"/>
                <w14:textFill>
                  <w14:solidFill>
                    <w14:schemeClr w14:val="tx1"/>
                  </w14:solidFill>
                </w14:textFill>
              </w:rPr>
              <w:t>区域</w:t>
            </w:r>
          </w:p>
        </w:tc>
        <w:tc>
          <w:tcPr>
            <w:tcW w:w="208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b/>
                <w:bCs/>
                <w:color w:val="000000" w:themeColor="text1"/>
                <w:kern w:val="0"/>
                <w:sz w:val="24"/>
                <w14:textFill>
                  <w14:solidFill>
                    <w14:schemeClr w14:val="tx1"/>
                  </w14:solidFill>
                </w14:textFill>
              </w:rPr>
            </w:pPr>
            <w:r>
              <w:rPr>
                <w:rFonts w:ascii="Times New Roman" w:hAnsi="Times New Roman" w:eastAsia="仿宋_GB2312" w:cs="Times New Roman"/>
                <w:b/>
                <w:bCs/>
                <w:color w:val="000000" w:themeColor="text1"/>
                <w:kern w:val="0"/>
                <w:sz w:val="24"/>
                <w14:textFill>
                  <w14:solidFill>
                    <w14:schemeClr w14:val="tx1"/>
                  </w14:solidFill>
                </w14:textFill>
              </w:rPr>
              <w:t>社会消费品零售总额（亿元）</w:t>
            </w:r>
          </w:p>
        </w:tc>
        <w:tc>
          <w:tcPr>
            <w:tcW w:w="183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b/>
                <w:bCs/>
                <w:color w:val="000000" w:themeColor="text1"/>
                <w:kern w:val="0"/>
                <w:sz w:val="24"/>
                <w14:textFill>
                  <w14:solidFill>
                    <w14:schemeClr w14:val="tx1"/>
                  </w14:solidFill>
                </w14:textFill>
              </w:rPr>
            </w:pPr>
            <w:r>
              <w:rPr>
                <w:rFonts w:ascii="Times New Roman" w:hAnsi="Times New Roman" w:eastAsia="仿宋_GB2312" w:cs="Times New Roman"/>
                <w:b/>
                <w:bCs/>
                <w:color w:val="000000" w:themeColor="text1"/>
                <w:kern w:val="0"/>
                <w:sz w:val="24"/>
                <w14:textFill>
                  <w14:solidFill>
                    <w14:schemeClr w14:val="tx1"/>
                  </w14:solidFill>
                </w14:textFill>
              </w:rPr>
              <w:t>商贸业增加值</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b/>
                <w:bCs/>
                <w:color w:val="000000" w:themeColor="text1"/>
                <w:kern w:val="0"/>
                <w:sz w:val="24"/>
                <w14:textFill>
                  <w14:solidFill>
                    <w14:schemeClr w14:val="tx1"/>
                  </w14:solidFill>
                </w14:textFill>
              </w:rPr>
            </w:pPr>
            <w:r>
              <w:rPr>
                <w:rFonts w:ascii="Times New Roman" w:hAnsi="Times New Roman" w:eastAsia="仿宋_GB2312" w:cs="Times New Roman"/>
                <w:b/>
                <w:bCs/>
                <w:color w:val="000000" w:themeColor="text1"/>
                <w:kern w:val="0"/>
                <w:sz w:val="24"/>
                <w14:textFill>
                  <w14:solidFill>
                    <w14:schemeClr w14:val="tx1"/>
                  </w14:solidFill>
                </w14:textFill>
              </w:rPr>
              <w:t>（亿元）</w:t>
            </w:r>
          </w:p>
        </w:tc>
        <w:tc>
          <w:tcPr>
            <w:tcW w:w="260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b/>
                <w:bCs/>
                <w:color w:val="000000" w:themeColor="text1"/>
                <w:kern w:val="0"/>
                <w:sz w:val="24"/>
                <w14:textFill>
                  <w14:solidFill>
                    <w14:schemeClr w14:val="tx1"/>
                  </w14:solidFill>
                </w14:textFill>
              </w:rPr>
            </w:pPr>
            <w:r>
              <w:rPr>
                <w:rFonts w:ascii="Times New Roman" w:hAnsi="Times New Roman" w:eastAsia="仿宋_GB2312" w:cs="Times New Roman"/>
                <w:b/>
                <w:bCs/>
                <w:color w:val="000000" w:themeColor="text1"/>
                <w:kern w:val="0"/>
                <w:sz w:val="24"/>
                <w14:textFill>
                  <w14:solidFill>
                    <w14:schemeClr w14:val="tx1"/>
                  </w14:solidFill>
                </w14:textFill>
              </w:rPr>
              <w:t>重点商业载体销售额（亿元）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天河区</w:t>
            </w:r>
          </w:p>
        </w:tc>
        <w:tc>
          <w:tcPr>
            <w:tcW w:w="208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1781</w:t>
            </w:r>
          </w:p>
        </w:tc>
        <w:tc>
          <w:tcPr>
            <w:tcW w:w="183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710</w:t>
            </w:r>
          </w:p>
        </w:tc>
        <w:tc>
          <w:tcPr>
            <w:tcW w:w="260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正佳（80）</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太古汇（80）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朝阳区</w:t>
            </w:r>
          </w:p>
        </w:tc>
        <w:tc>
          <w:tcPr>
            <w:tcW w:w="208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3222</w:t>
            </w:r>
          </w:p>
        </w:tc>
        <w:tc>
          <w:tcPr>
            <w:tcW w:w="183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1085</w:t>
            </w:r>
          </w:p>
        </w:tc>
        <w:tc>
          <w:tcPr>
            <w:tcW w:w="260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SKP（175）</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国贸商城（160）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静安区</w:t>
            </w:r>
          </w:p>
        </w:tc>
        <w:tc>
          <w:tcPr>
            <w:tcW w:w="208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1367</w:t>
            </w:r>
          </w:p>
        </w:tc>
        <w:tc>
          <w:tcPr>
            <w:tcW w:w="183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454</w:t>
            </w:r>
          </w:p>
        </w:tc>
        <w:tc>
          <w:tcPr>
            <w:tcW w:w="260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恒隆广场（100）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福田区</w:t>
            </w:r>
          </w:p>
        </w:tc>
        <w:tc>
          <w:tcPr>
            <w:tcW w:w="208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2046</w:t>
            </w:r>
          </w:p>
        </w:tc>
        <w:tc>
          <w:tcPr>
            <w:tcW w:w="183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551</w:t>
            </w:r>
          </w:p>
        </w:tc>
        <w:tc>
          <w:tcPr>
            <w:tcW w:w="260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印力中心（35）</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Coco park（20-30）</w:t>
            </w:r>
          </w:p>
        </w:tc>
      </w:tr>
    </w:tbl>
    <w:p>
      <w:pPr>
        <w:pStyle w:val="4"/>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11" w:name="_Toc115392032"/>
      <w:r>
        <w:rPr>
          <w:rFonts w:ascii="Times New Roman" w:hAnsi="Times New Roman" w:cs="Times New Roman"/>
        </w:rPr>
        <w:t>2、产业结构有待进一步优化</w:t>
      </w:r>
      <w:bookmarkEnd w:id="11"/>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天河作为中心城区，批发零售业长期过于依赖工业品类，仅石油及制品、金属材料两类限上销售额合计占全区限上商品销售额超过一半，与居民生活密切相关的金银珠宝（2.6%）、通讯器材（0.8%）、化妆品（0.6%）等高附加值品类占比较低。住宿业产品与服务缺乏创新，特色新业态新模式发展不足，容易受会展的周期性人流影响，主动抗风险能力较低。天河聚集了大量高端餐饮和以粤菜为主的特色餐饮品牌，但缺乏总部位于天河，且能走出去的连锁品牌总部。实体商业同质化问题凸显，商贸实体企业尤其是百货商场、大型商超等传统业态利润空间进一步压缩，转型升级进展较慢，特色消费供给能力不足，对全球一线品牌的吸引力不强，与上海静安区、北京朝阳区等地相比有较大差距。数字化转型升级亟待提速，大部分传统商贸企业数据应用能力不强，在互联网时代下竞争力较低，在疫情持续冲击下，抗风险能力较弱</w:t>
      </w:r>
      <w:r>
        <w:rPr>
          <w:rStyle w:val="34"/>
          <w:rFonts w:hint="default" w:ascii="Times New Roman" w:hAnsi="Times New Roman" w:cs="Times New Roman"/>
        </w:rPr>
        <w:t>。</w:t>
      </w:r>
    </w:p>
    <w:p>
      <w:pPr>
        <w:pStyle w:val="4"/>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12" w:name="_Toc115392033"/>
      <w:r>
        <w:rPr>
          <w:rFonts w:ascii="Times New Roman" w:hAnsi="Times New Roman" w:cs="Times New Roman"/>
        </w:rPr>
        <w:t>3、产业布局有待进一步均衡</w:t>
      </w:r>
      <w:bookmarkEnd w:id="12"/>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Style w:val="34"/>
          <w:rFonts w:hint="default" w:ascii="Times New Roman" w:hAnsi="Times New Roman" w:cs="Times New Roman"/>
        </w:rPr>
      </w:pPr>
      <w:r>
        <w:rPr>
          <w:rFonts w:ascii="Times New Roman" w:hAnsi="Times New Roman" w:eastAsia="仿宋_GB2312" w:cs="Times New Roman"/>
          <w:color w:val="000000"/>
          <w:kern w:val="0"/>
          <w:sz w:val="32"/>
          <w:szCs w:val="32"/>
        </w:rPr>
        <w:t>部分细分领域产业分散发展，车陂、元岗、黄村、龙洞、长兴、前进等街道汽车或汽车零部件，前进、新塘、黄村等街道化工批发都有一定集聚，但总体较为分散发展，区域协同、上下游有机融合的产业发展局面尚未有效形成。部分老旧批发市场基础设施严重落后，升级改造难度较大，难以吸引到优质企业和人才，不足以支撑产业的高质量发展。商业空间布局不平衡，绝大多数购物中心、酒店宾馆、批发市场都位于广深城际铁路以南，以北片区，仅西部片区的地铁6号线沿岸有部分布局。东北部大量区域缺乏现代商业布局，智慧城核心区、智谷片区、金融城片区等重大平台内产业和商业配比</w:t>
      </w:r>
      <w:r>
        <w:rPr>
          <w:rFonts w:hint="eastAsia" w:ascii="Times New Roman" w:hAnsi="Times New Roman" w:eastAsia="仿宋_GB2312" w:cs="Times New Roman"/>
          <w:color w:val="000000"/>
          <w:kern w:val="0"/>
          <w:sz w:val="32"/>
          <w:szCs w:val="32"/>
        </w:rPr>
        <w:t>不匹配</w:t>
      </w:r>
      <w:r>
        <w:rPr>
          <w:rFonts w:ascii="Times New Roman" w:hAnsi="Times New Roman" w:eastAsia="仿宋_GB2312" w:cs="Times New Roman"/>
          <w:color w:val="000000"/>
          <w:kern w:val="0"/>
          <w:sz w:val="32"/>
          <w:szCs w:val="32"/>
        </w:rPr>
        <w:t>，在产城融合、职住平衡、多层次商业体系布局方面还有待优化。</w:t>
      </w:r>
      <w:r>
        <w:rPr>
          <w:rStyle w:val="34"/>
          <w:rFonts w:hint="default" w:ascii="Times New Roman" w:hAnsi="Times New Roman" w:cs="Times New Roman"/>
        </w:rPr>
        <w:t>部分社区商业发展不足，商业业态较为单一，体验性消费业态偏少。核心商圈对其他区县、其他城市的辐射带动能力有限，各大商贸载体尚未突破地理空间限制形成有机整体。</w:t>
      </w:r>
    </w:p>
    <w:p>
      <w:pPr>
        <w:keepNext/>
        <w:pageBreakBefore w:val="0"/>
        <w:kinsoku/>
        <w:wordWrap/>
        <w:overflowPunct/>
        <w:topLinePunct w:val="0"/>
        <w:autoSpaceDE/>
        <w:autoSpaceDN/>
        <w:bidi w:val="0"/>
        <w:adjustRightInd/>
        <w:snapToGrid/>
        <w:spacing w:beforeAutospacing="0" w:afterAutospacing="0" w:line="560" w:lineRule="exact"/>
        <w:jc w:val="center"/>
        <w:textAlignment w:val="auto"/>
      </w:pPr>
    </w:p>
    <w:p>
      <w:pPr>
        <w:keepNext/>
        <w:pageBreakBefore w:val="0"/>
        <w:kinsoku/>
        <w:wordWrap/>
        <w:overflowPunct/>
        <w:topLinePunct w:val="0"/>
        <w:autoSpaceDE/>
        <w:autoSpaceDN/>
        <w:bidi w:val="0"/>
        <w:adjustRightInd/>
        <w:snapToGrid/>
        <w:spacing w:beforeAutospacing="0" w:afterAutospacing="0" w:line="560" w:lineRule="exact"/>
        <w:jc w:val="center"/>
        <w:textAlignment w:val="auto"/>
      </w:pPr>
    </w:p>
    <w:p>
      <w:pPr>
        <w:keepNext/>
        <w:pageBreakBefore w:val="0"/>
        <w:kinsoku/>
        <w:wordWrap/>
        <w:overflowPunct/>
        <w:topLinePunct w:val="0"/>
        <w:autoSpaceDE/>
        <w:autoSpaceDN/>
        <w:bidi w:val="0"/>
        <w:adjustRightInd/>
        <w:snapToGrid/>
        <w:spacing w:beforeAutospacing="0" w:afterAutospacing="0" w:line="560" w:lineRule="exact"/>
        <w:jc w:val="center"/>
        <w:textAlignment w:val="auto"/>
      </w:pPr>
    </w:p>
    <w:p>
      <w:pPr>
        <w:keepNext/>
        <w:pageBreakBefore w:val="0"/>
        <w:kinsoku/>
        <w:wordWrap/>
        <w:overflowPunct/>
        <w:topLinePunct w:val="0"/>
        <w:autoSpaceDE/>
        <w:autoSpaceDN/>
        <w:bidi w:val="0"/>
        <w:adjustRightInd/>
        <w:snapToGrid/>
        <w:spacing w:beforeAutospacing="0" w:afterAutospacing="0" w:line="560" w:lineRule="exact"/>
        <w:jc w:val="center"/>
        <w:textAlignment w:val="auto"/>
      </w:pPr>
    </w:p>
    <w:p>
      <w:pPr>
        <w:keepNext/>
        <w:pageBreakBefore w:val="0"/>
        <w:kinsoku/>
        <w:wordWrap/>
        <w:overflowPunct/>
        <w:topLinePunct w:val="0"/>
        <w:autoSpaceDE/>
        <w:autoSpaceDN/>
        <w:bidi w:val="0"/>
        <w:adjustRightInd/>
        <w:snapToGrid/>
        <w:spacing w:beforeAutospacing="0" w:afterAutospacing="0" w:line="560" w:lineRule="exact"/>
        <w:jc w:val="center"/>
        <w:textAlignment w:val="auto"/>
      </w:pPr>
    </w:p>
    <w:p>
      <w:pPr>
        <w:keepNext/>
        <w:pageBreakBefore w:val="0"/>
        <w:kinsoku/>
        <w:wordWrap/>
        <w:overflowPunct/>
        <w:topLinePunct w:val="0"/>
        <w:autoSpaceDE/>
        <w:autoSpaceDN/>
        <w:bidi w:val="0"/>
        <w:adjustRightInd/>
        <w:snapToGrid/>
        <w:spacing w:beforeAutospacing="0" w:afterAutospacing="0" w:line="560" w:lineRule="exact"/>
        <w:jc w:val="center"/>
        <w:textAlignment w:val="auto"/>
      </w:pPr>
    </w:p>
    <w:p>
      <w:pPr>
        <w:keepNext/>
        <w:pageBreakBefore w:val="0"/>
        <w:kinsoku/>
        <w:wordWrap/>
        <w:overflowPunct/>
        <w:topLinePunct w:val="0"/>
        <w:autoSpaceDE/>
        <w:autoSpaceDN/>
        <w:bidi w:val="0"/>
        <w:adjustRightInd/>
        <w:snapToGrid/>
        <w:spacing w:beforeAutospacing="0" w:afterAutospacing="0" w:line="560" w:lineRule="exact"/>
        <w:jc w:val="center"/>
        <w:textAlignment w:val="auto"/>
      </w:pPr>
    </w:p>
    <w:p>
      <w:pPr>
        <w:keepNext/>
        <w:pageBreakBefore w:val="0"/>
        <w:kinsoku/>
        <w:wordWrap/>
        <w:overflowPunct/>
        <w:topLinePunct w:val="0"/>
        <w:autoSpaceDE/>
        <w:autoSpaceDN/>
        <w:bidi w:val="0"/>
        <w:adjustRightInd/>
        <w:snapToGrid/>
        <w:spacing w:beforeAutospacing="0" w:afterAutospacing="0" w:line="560" w:lineRule="exact"/>
        <w:jc w:val="center"/>
        <w:textAlignment w:val="auto"/>
      </w:pPr>
    </w:p>
    <w:p>
      <w:pPr>
        <w:keepNext/>
        <w:pageBreakBefore w:val="0"/>
        <w:kinsoku/>
        <w:wordWrap/>
        <w:overflowPunct/>
        <w:topLinePunct w:val="0"/>
        <w:autoSpaceDE/>
        <w:autoSpaceDN/>
        <w:bidi w:val="0"/>
        <w:adjustRightInd/>
        <w:snapToGrid/>
        <w:spacing w:beforeAutospacing="0" w:afterAutospacing="0" w:line="560" w:lineRule="exact"/>
        <w:jc w:val="center"/>
        <w:textAlignment w:val="auto"/>
      </w:pPr>
    </w:p>
    <w:p>
      <w:pPr>
        <w:keepNext/>
        <w:pageBreakBefore w:val="0"/>
        <w:kinsoku/>
        <w:wordWrap/>
        <w:overflowPunct/>
        <w:topLinePunct w:val="0"/>
        <w:autoSpaceDE/>
        <w:autoSpaceDN/>
        <w:bidi w:val="0"/>
        <w:adjustRightInd/>
        <w:snapToGrid/>
        <w:spacing w:beforeAutospacing="0" w:afterAutospacing="0" w:line="560" w:lineRule="exact"/>
        <w:jc w:val="center"/>
        <w:textAlignment w:val="auto"/>
      </w:pPr>
    </w:p>
    <w:p>
      <w:pPr>
        <w:keepNext/>
        <w:pageBreakBefore w:val="0"/>
        <w:kinsoku/>
        <w:wordWrap/>
        <w:overflowPunct/>
        <w:topLinePunct w:val="0"/>
        <w:autoSpaceDE/>
        <w:autoSpaceDN/>
        <w:bidi w:val="0"/>
        <w:adjustRightInd/>
        <w:snapToGrid/>
        <w:spacing w:beforeAutospacing="0" w:afterAutospacing="0" w:line="560" w:lineRule="exact"/>
        <w:jc w:val="center"/>
        <w:textAlignment w:val="auto"/>
      </w:pPr>
      <w:r>
        <w:drawing>
          <wp:anchor distT="0" distB="0" distL="0" distR="0" simplePos="0" relativeHeight="251658240" behindDoc="0" locked="0" layoutInCell="1" allowOverlap="1">
            <wp:simplePos x="0" y="0"/>
            <wp:positionH relativeFrom="column">
              <wp:posOffset>789305</wp:posOffset>
            </wp:positionH>
            <wp:positionV relativeFrom="paragraph">
              <wp:posOffset>-3639820</wp:posOffset>
            </wp:positionV>
            <wp:extent cx="3686810" cy="3921760"/>
            <wp:effectExtent l="0" t="0" r="8890" b="254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709355" cy="3945628"/>
                    </a:xfrm>
                    <a:prstGeom prst="rect">
                      <a:avLst/>
                    </a:prstGeom>
                    <a:noFill/>
                  </pic:spPr>
                </pic:pic>
              </a:graphicData>
            </a:graphic>
          </wp:anchor>
        </w:drawing>
      </w:r>
    </w:p>
    <w:p>
      <w:pPr>
        <w:pStyle w:val="6"/>
        <w:pageBreakBefore w:val="0"/>
        <w:kinsoku/>
        <w:wordWrap/>
        <w:overflowPunct/>
        <w:topLinePunct w:val="0"/>
        <w:autoSpaceDE/>
        <w:autoSpaceDN/>
        <w:bidi w:val="0"/>
        <w:adjustRightInd/>
        <w:snapToGrid/>
        <w:spacing w:beforeAutospacing="0" w:afterAutospacing="0" w:line="560" w:lineRule="exact"/>
        <w:jc w:val="center"/>
        <w:textAlignment w:val="auto"/>
        <w:rPr>
          <w:rFonts w:ascii="Times New Roman" w:hAnsi="Times New Roman" w:cs="Times New Roman"/>
        </w:rPr>
      </w:pPr>
      <w:r>
        <w:t xml:space="preserve">图 </w:t>
      </w:r>
      <w:r>
        <w:fldChar w:fldCharType="begin"/>
      </w:r>
      <w:r>
        <w:instrText xml:space="preserve"> SEQ 图 \* ARABIC </w:instrText>
      </w:r>
      <w:r>
        <w:fldChar w:fldCharType="separate"/>
      </w:r>
      <w:r>
        <w:t>1</w:t>
      </w:r>
      <w:r>
        <w:fldChar w:fldCharType="end"/>
      </w:r>
      <w:r>
        <w:t xml:space="preserve"> </w:t>
      </w:r>
      <w:r>
        <w:rPr>
          <w:rFonts w:hint="eastAsia"/>
        </w:rPr>
        <w:t>天河区商业资源分布情况</w:t>
      </w:r>
    </w:p>
    <w:p>
      <w:pPr>
        <w:pStyle w:val="3"/>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13" w:name="_Toc115392034"/>
      <w:r>
        <w:rPr>
          <w:rFonts w:ascii="Times New Roman" w:hAnsi="Times New Roman" w:cs="Times New Roman"/>
        </w:rPr>
        <w:t>（三）“十四五”面临的形势</w:t>
      </w:r>
      <w:bookmarkEnd w:id="13"/>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14" w:name="_Toc115392035"/>
      <w:r>
        <w:rPr>
          <w:rFonts w:ascii="Times New Roman" w:hAnsi="Times New Roman" w:cs="Times New Roman"/>
        </w:rPr>
        <w:t>1、国际形势复杂多变</w:t>
      </w:r>
      <w:bookmarkEnd w:id="14"/>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cs="Times New Roman"/>
          <w:b/>
          <w:bCs/>
        </w:rPr>
      </w:pPr>
      <w:r>
        <w:rPr>
          <w:rFonts w:hint="eastAsia" w:ascii="Times New Roman" w:hAnsi="Times New Roman" w:eastAsia="仿宋_GB2312" w:cs="Times New Roman"/>
          <w:color w:val="222222"/>
          <w:sz w:val="32"/>
          <w:szCs w:val="32"/>
          <w:shd w:val="clear" w:color="auto" w:fill="FFFFFF"/>
        </w:rPr>
        <w:t>当今世界正经历百年未有之大变局，世界多极化、经济全球化处于深刻变化之中。</w:t>
      </w:r>
      <w:r>
        <w:rPr>
          <w:rFonts w:hint="eastAsia" w:ascii="Times New Roman" w:hAnsi="Times New Roman" w:eastAsia="仿宋_GB2312" w:cs="Times New Roman"/>
          <w:sz w:val="32"/>
          <w:szCs w:val="32"/>
        </w:rPr>
        <w:t>全球经济和贸易增长疲软态势仍然存在，经济全球化遭遇逆流，国际上单边主义和贸易保护主义加剧，中美贸易摩擦具有长期性和复杂性。新冠肺炎疫情影响广泛深远，对世界经济供给侧和需求端产生了前所未有的双向冲击，全球产业链供应链运行受阻，贸易和投资活动持续低迷。但同时，</w:t>
      </w:r>
      <w:r>
        <w:rPr>
          <w:rFonts w:ascii="Times New Roman" w:hAnsi="Times New Roman" w:eastAsia="仿宋_GB2312" w:cs="Times New Roman"/>
          <w:sz w:val="32"/>
          <w:szCs w:val="32"/>
        </w:rPr>
        <w:t>疫情暴发以来，</w:t>
      </w:r>
      <w:r>
        <w:rPr>
          <w:rFonts w:hint="eastAsia" w:ascii="Times New Roman" w:hAnsi="Times New Roman" w:eastAsia="仿宋_GB2312" w:cs="Times New Roman"/>
          <w:sz w:val="32"/>
          <w:szCs w:val="32"/>
        </w:rPr>
        <w:t>我国推动的</w:t>
      </w:r>
      <w:r>
        <w:rPr>
          <w:rFonts w:ascii="Times New Roman" w:hAnsi="Times New Roman" w:eastAsia="仿宋_GB2312" w:cs="Times New Roman"/>
          <w:sz w:val="32"/>
          <w:szCs w:val="32"/>
        </w:rPr>
        <w:t>共建“一带一路”逆势前行，在深化政策沟通、加快设施联通、推动贸易畅通、促进资金融通、增进民心相通中不断为各国共同发展创造机遇、提供动力</w:t>
      </w:r>
      <w:r>
        <w:rPr>
          <w:rFonts w:hint="eastAsia" w:ascii="Times New Roman" w:hAnsi="Times New Roman" w:eastAsia="仿宋_GB2312" w:cs="Times New Roman"/>
          <w:sz w:val="32"/>
          <w:szCs w:val="32"/>
        </w:rPr>
        <w:t>，不断</w:t>
      </w:r>
      <w:r>
        <w:rPr>
          <w:rFonts w:ascii="Times New Roman" w:hAnsi="Times New Roman" w:eastAsia="仿宋_GB2312" w:cs="Times New Roman"/>
          <w:sz w:val="32"/>
          <w:szCs w:val="32"/>
        </w:rPr>
        <w:t>推动贸易和投资自由化</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便利化</w:t>
      </w:r>
      <w:r>
        <w:rPr>
          <w:rFonts w:hint="eastAsia" w:ascii="Times New Roman" w:hAnsi="Times New Roman" w:eastAsia="仿宋_GB2312" w:cs="Times New Roman"/>
          <w:sz w:val="32"/>
          <w:szCs w:val="32"/>
        </w:rPr>
        <w:t>，“一带一路”将中国对外开放发展与世界联动发展相融合，通过寻找各方利益契合点和发展最大公约数，为促进全球互联互通做</w:t>
      </w:r>
      <w:r>
        <w:rPr>
          <w:rFonts w:hint="eastAsia" w:ascii="Times New Roman" w:hAnsi="Times New Roman" w:eastAsia="仿宋_GB2312" w:cs="Times New Roman"/>
          <w:sz w:val="32"/>
          <w:szCs w:val="32"/>
          <w:lang w:eastAsia="zh-CN"/>
        </w:rPr>
        <w:t>贡献</w:t>
      </w:r>
      <w:r>
        <w:rPr>
          <w:rFonts w:ascii="Times New Roman" w:hAnsi="Times New Roman" w:eastAsia="仿宋_GB2312" w:cs="Times New Roman"/>
          <w:sz w:val="32"/>
          <w:szCs w:val="32"/>
        </w:rPr>
        <w:t>。</w:t>
      </w:r>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15" w:name="_Toc115392036"/>
      <w:r>
        <w:rPr>
          <w:rFonts w:ascii="Times New Roman" w:hAnsi="Times New Roman" w:cs="Times New Roman"/>
        </w:rPr>
        <w:t>2、“双循环”格局加速铺开</w:t>
      </w:r>
      <w:bookmarkEnd w:id="15"/>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cs="Times New Roman"/>
          <w:color w:val="222222"/>
          <w:sz w:val="30"/>
          <w:szCs w:val="30"/>
          <w:shd w:val="clear" w:color="auto" w:fill="FFFFFF"/>
        </w:rPr>
      </w:pPr>
      <w:r>
        <w:rPr>
          <w:rFonts w:ascii="Times New Roman" w:hAnsi="Times New Roman" w:eastAsia="仿宋_GB2312" w:cs="Times New Roman"/>
          <w:sz w:val="32"/>
          <w:szCs w:val="32"/>
        </w:rPr>
        <w:t>我国已成为全球第二大商品消费市场，2020年</w:t>
      </w:r>
      <w:r>
        <w:rPr>
          <w:rFonts w:hint="eastAsia" w:ascii="Times New Roman" w:hAnsi="Times New Roman" w:eastAsia="仿宋_GB2312" w:cs="Times New Roman"/>
          <w:sz w:val="32"/>
          <w:szCs w:val="32"/>
        </w:rPr>
        <w:t>国内消费稳步复苏，对外贸易再创新高</w:t>
      </w:r>
      <w:r>
        <w:rPr>
          <w:rFonts w:ascii="Times New Roman" w:hAnsi="Times New Roman" w:eastAsia="仿宋_GB2312" w:cs="Times New Roman"/>
          <w:sz w:val="32"/>
          <w:szCs w:val="32"/>
        </w:rPr>
        <w:t>，全国社会消费品零售总额突破39万亿元，消费仍然是经济稳定运行的“压舱石”。我国消费市场快速发展，不仅改善了中国人民的生活，而且为世界各国提供了更多发展机遇。新形势下，我国提出“加快形成以国内大循环为主体、国内国际双循环相互促进”的发展战略，要求“全面促进消费”、“ 不断提升供给体系对国内需求的适配性”、“ 着力培育经济发展新动能”</w:t>
      </w:r>
      <w:r>
        <w:rPr>
          <w:rFonts w:ascii="Times New Roman" w:hAnsi="Times New Roman" w:cs="Times New Roman"/>
          <w:color w:val="222222"/>
          <w:sz w:val="30"/>
          <w:szCs w:val="30"/>
          <w:shd w:val="clear" w:color="auto" w:fill="FFFFFF"/>
        </w:rPr>
        <w:t>，</w:t>
      </w:r>
      <w:r>
        <w:rPr>
          <w:rFonts w:ascii="Times New Roman" w:hAnsi="Times New Roman" w:eastAsia="仿宋_GB2312" w:cs="Times New Roman"/>
          <w:sz w:val="32"/>
          <w:szCs w:val="32"/>
        </w:rPr>
        <w:t>为商贸业发展提供了坚实的政策支撑。随着人民生活水平不断提高，对消费的需求更加注重商品和服务的品质，更加注重消费环境和体验，消费更趋品质化、多元化。国家深入开展国际消费中心城市培育创建，陆续出台相关促消费的政策措施，推动流通创新发展、促进商业繁荣。此外，国家坚持发展壮大民营企业，大力破解发展难题，为民营经济营造更好的发展环境，也是天河加快培育本土商贸龙头企业、打造行业品牌、扩大商贸影响力的利好因素。</w:t>
      </w:r>
    </w:p>
    <w:p>
      <w:pPr>
        <w:pStyle w:val="4"/>
        <w:pageBreakBefore w:val="0"/>
        <w:numPr>
          <w:ilvl w:val="0"/>
          <w:numId w:val="0"/>
        </w:numPr>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16" w:name="_Toc115392037"/>
      <w:r>
        <w:rPr>
          <w:rFonts w:hint="eastAsia" w:ascii="Times New Roman" w:hAnsi="Times New Roman" w:cs="Times New Roman"/>
        </w:rPr>
        <w:t>3、</w:t>
      </w:r>
      <w:r>
        <w:rPr>
          <w:rFonts w:ascii="Times New Roman" w:hAnsi="Times New Roman" w:cs="Times New Roman"/>
        </w:rPr>
        <w:t>稳增长处于突出位置</w:t>
      </w:r>
      <w:bookmarkEnd w:id="16"/>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近年来，百年变局和世纪疫情相互交织，外部环境更趋复杂严峻和不确定。同时，我国经济发展面临需求收缩、供给冲击、预期转弱三重压力。在此背景下，我国宏观经济始终坚持稳字当头、稳中求进。稳增长是在当前动荡的大环境下的主线思路，在大环境没有明显改善的情况下，稳增长思路将会继续贯彻下去。作为我国经济增长的第一动力，2020年，最终消费支出对经济增长的贡献率高达54.3%，消费是最终需求，是畅通经济大循环的关键环节和重要引擎，对经济具有持久拉动力；活跃商贸业，才能扩大消费，增强消费对经济平稳增长的驱动作用，做到“稳”中有“增”、以“增”促“稳”。</w:t>
      </w:r>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17" w:name="_Toc115392038"/>
      <w:r>
        <w:rPr>
          <w:rFonts w:ascii="Times New Roman" w:hAnsi="Times New Roman" w:cs="Times New Roman"/>
        </w:rPr>
        <w:t>4、粤港澳大湾区加速建设</w:t>
      </w:r>
      <w:bookmarkEnd w:id="17"/>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粤港澳大湾区建设加快推进，</w:t>
      </w:r>
      <w:r>
        <w:rPr>
          <w:rFonts w:ascii="Times New Roman" w:hAnsi="Times New Roman" w:eastAsia="仿宋_GB2312" w:cs="Times New Roman"/>
          <w:color w:val="000000"/>
          <w:sz w:val="32"/>
          <w:szCs w:val="32"/>
        </w:rPr>
        <w:t>加强了区域内城市产业分工和资源共享，促进广州与周边城市实现发展动能的更优配置以及商贸业的互联互通。</w:t>
      </w:r>
      <w:r>
        <w:rPr>
          <w:rFonts w:ascii="Times New Roman" w:hAnsi="Times New Roman" w:eastAsia="仿宋_GB2312" w:cs="Times New Roman"/>
          <w:sz w:val="32"/>
          <w:szCs w:val="32"/>
        </w:rPr>
        <w:t>《粤港澳大湾区发展规划纲要》对广州提出了“全面增强国际商贸中心功能”的要求，这意味着，国际商贸中心功能的全面增强和提升、商贸业的现代化转型升级，是广州充分融入和支撑大湾区发展，发挥其国家中心城市作用的必然要求。天河是广州市商贸业龙头，</w:t>
      </w:r>
      <w:r>
        <w:rPr>
          <w:rFonts w:ascii="Times New Roman" w:hAnsi="Times New Roman" w:eastAsia="仿宋_GB2312" w:cs="Times New Roman"/>
          <w:color w:val="000000" w:themeColor="text1"/>
          <w:kern w:val="0"/>
          <w:sz w:val="32"/>
          <w:szCs w:val="32"/>
          <w14:textFill>
            <w14:solidFill>
              <w14:schemeClr w14:val="tx1"/>
            </w14:solidFill>
          </w14:textFill>
        </w:rPr>
        <w:t>社会消费品零售总额占全市20%左右，拥有天河路、珠江新城两大商圈，同时集聚了</w:t>
      </w:r>
      <w:r>
        <w:rPr>
          <w:rFonts w:ascii="Times New Roman" w:hAnsi="Times New Roman" w:eastAsia="仿宋_GB2312" w:cs="Times New Roman"/>
          <w:sz w:val="32"/>
          <w:szCs w:val="32"/>
        </w:rPr>
        <w:t>太古汇、正佳广场、天河城等全市主要高端购物中心；天河区明确高质量发展方式对国际商贸中心功能内涵的要求，及时准确地识别现代服务业发展的新动态新趋势以拓展发展增量，引导传统商贸业升级转型以优化提升存量，对于支撑广州市完成更高层次战略目标具有现实意义，助力广州打造消费中心城市。</w:t>
      </w:r>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18" w:name="_Toc115392039"/>
      <w:r>
        <w:rPr>
          <w:rFonts w:ascii="Times New Roman" w:hAnsi="Times New Roman" w:cs="Times New Roman"/>
        </w:rPr>
        <w:t>5、数字技术快速推广</w:t>
      </w:r>
      <w:bookmarkEnd w:id="18"/>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当前，新一轮科技革命和产业变革席卷全球，人类全面进入数字经济时代。大数据、云计算、物联网、移动互联网、人工智能、区块链等数字技术的快速突破和广泛应用，将推动商贸业产品及模式创新，实现快速发展。传统商贸业是天河区商贸业的基底，虽然规模集聚的马太效应仍在发挥作用，但在产业加速迭代的今天，仅依靠规模的叠加难以推动天河区商贸业的“蝶变”，</w:t>
      </w:r>
      <w:r>
        <w:rPr>
          <w:rFonts w:hint="eastAsia" w:ascii="Times New Roman" w:hAnsi="Times New Roman" w:eastAsia="仿宋_GB2312" w:cs="Times New Roman"/>
          <w:sz w:val="32"/>
          <w:szCs w:val="32"/>
        </w:rPr>
        <w:t>且</w:t>
      </w:r>
      <w:r>
        <w:rPr>
          <w:rFonts w:ascii="Times New Roman" w:hAnsi="Times New Roman" w:eastAsia="仿宋_GB2312" w:cs="Times New Roman"/>
          <w:sz w:val="32"/>
          <w:szCs w:val="32"/>
        </w:rPr>
        <w:t>传统产业的增长动能和辐射作用正在不断减弱。依托天河在新一代信息技术、人工智能领域的产业基础，联合天河高校和各大科研院所，寻找布局人工智能、大数据、区块链等数字经济前沿领域，推动数字新技术研发创新，促进数字技术与商贸业交叉融合和创新，以数字技术驱动产业创新，从而实现对粤港澳大湾区产业引领。</w:t>
      </w:r>
    </w:p>
    <w:p>
      <w:pPr>
        <w:pStyle w:val="2"/>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19" w:name="_Toc115392040"/>
      <w:r>
        <w:rPr>
          <w:rFonts w:ascii="Times New Roman" w:hAnsi="Times New Roman" w:cs="Times New Roman"/>
        </w:rPr>
        <w:t>第二章 发展总体要求</w:t>
      </w:r>
      <w:bookmarkEnd w:id="19"/>
    </w:p>
    <w:p>
      <w:pPr>
        <w:pStyle w:val="3"/>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20" w:name="_Toc115392041"/>
      <w:r>
        <w:rPr>
          <w:rFonts w:ascii="Times New Roman" w:hAnsi="Times New Roman" w:cs="Times New Roman"/>
        </w:rPr>
        <w:t>（一）指导思想</w:t>
      </w:r>
      <w:bookmarkEnd w:id="20"/>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以习近平新时代中国特色社会主义思想为指导，学习贯彻党的十九大和十九届历次全会及中央经济工作会议精神，深入贯彻习近平总书记视察广东重要讲话精神以及对广州提出的实现老城市新活力、“四个出新出彩”的重要指示精神，立足新发展阶段，坚定不移贯彻新发展理念，服务构建新发展格局，以推动高质量发展为主题，以深化供给侧结构性改革为主线，以改革创新为根本动力，以满足人民日益增长的美好生活需要为根本目的，牢牢把握扩大内需战略基点，促进消费提质扩容，提升资源配置能力，全面推动产业转型升级，坚持商品消费与服务消费融合、国际市场与国内市场融合、线上与线下融合、时尚与传统融合，打造国际消费中心城市建设核心承载区，为广州实现老城市新活力、“四个出新出彩”作出更大贡献。</w:t>
      </w:r>
    </w:p>
    <w:p>
      <w:pPr>
        <w:pStyle w:val="3"/>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21" w:name="_Toc115392042"/>
      <w:r>
        <w:rPr>
          <w:rFonts w:ascii="Times New Roman" w:hAnsi="Times New Roman" w:cs="Times New Roman"/>
        </w:rPr>
        <w:t>（二）发展原则</w:t>
      </w:r>
      <w:bookmarkEnd w:id="21"/>
    </w:p>
    <w:p>
      <w:pPr>
        <w:pageBreakBefore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b/>
          <w:bCs/>
          <w:sz w:val="32"/>
          <w:szCs w:val="32"/>
        </w:rPr>
        <w:t>——开放协同，高端引领</w:t>
      </w:r>
      <w:r>
        <w:rPr>
          <w:rFonts w:ascii="Times New Roman" w:hAnsi="Times New Roman" w:eastAsia="仿宋_GB2312" w:cs="Times New Roman"/>
          <w:sz w:val="32"/>
          <w:szCs w:val="32"/>
        </w:rPr>
        <w:t>。统筹利用国内国际两个市场、两种资源，主动谋划融入共建“一带一路”、粤港澳大湾区、区域全面经济伙伴关系协定（RCEP）等发展战略，更好联通内外、对接产销，推进更高水平开放型经济发展。巩固发展优势，强化使命担当，做大做强天河路-珠江新城世界级地标商圈，建设世界级城市中轴，打造国际消费中心城市核心承载区，着力形成更高能级、更高浓度、更高混合度的全球城市核心高端消费功能集聚区。</w:t>
      </w:r>
    </w:p>
    <w:p>
      <w:pPr>
        <w:pageBreakBefore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b/>
          <w:bCs/>
          <w:sz w:val="32"/>
          <w:szCs w:val="32"/>
        </w:rPr>
        <w:t>——创新发展，提质升级</w:t>
      </w:r>
      <w:r>
        <w:rPr>
          <w:rFonts w:ascii="Times New Roman" w:hAnsi="Times New Roman" w:eastAsia="仿宋_GB2312" w:cs="Times New Roman"/>
          <w:sz w:val="32"/>
          <w:szCs w:val="32"/>
        </w:rPr>
        <w:t>。以数字化变革为动力，充分结合大数据、物联网、人工智能、5G、AR/VR/MR等数字技术，促进传统商业智能化、场景化、电商化转型升级。加快推动商贸业国际化、体验化、融合化发展，链接全球商贸业资源，云集国际知名品牌和优质市场主体；融入文化、科技、创意体验，加快推动产品及模式创新；促进商贸业与文化旅游、体育、健康、新一代信息技术等产业融合发展，不断丰富商贸业内涵。</w:t>
      </w:r>
    </w:p>
    <w:p>
      <w:pPr>
        <w:pageBreakBefore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b/>
          <w:bCs/>
          <w:sz w:val="32"/>
          <w:szCs w:val="32"/>
        </w:rPr>
        <w:t>——以人为本，均衡发展</w:t>
      </w:r>
      <w:r>
        <w:rPr>
          <w:rFonts w:ascii="Times New Roman" w:hAnsi="Times New Roman" w:eastAsia="仿宋_GB2312" w:cs="Times New Roman"/>
          <w:sz w:val="32"/>
          <w:szCs w:val="32"/>
        </w:rPr>
        <w:t>。坚持以人民为中心，把人民对美好生活的向往作为奋斗目标，不断增强优质商品和服务供给，更好更快满足人民日益增长的美好生活需要，增强人民的获得感、幸福感。加快促进商贸业布局均衡化，以服务生产、生活为目标，围绕产业发展和人民生活需要，持续优化商业配套，助力打造宜商、宜业、宜居、宜游的中央活力区。</w:t>
      </w:r>
    </w:p>
    <w:p>
      <w:pPr>
        <w:pStyle w:val="3"/>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22" w:name="_Toc115392043"/>
      <w:r>
        <w:rPr>
          <w:rFonts w:ascii="Times New Roman" w:hAnsi="Times New Roman" w:cs="Times New Roman"/>
        </w:rPr>
        <w:t>（三）发展定位</w:t>
      </w:r>
      <w:bookmarkEnd w:id="22"/>
    </w:p>
    <w:p>
      <w:pPr>
        <w:pStyle w:val="5"/>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立足区位优势和产业基础，围绕商贸业提质升级主线，对标最好最优，全面提升国际知名度、业态丰富度、消费繁荣度、区域发展引领度、营商环境舒适度，着力打造广州国际消费中心城市核心承载区、国内中心城区商贸业提质升级示范区、“双循环”新发展格局下资源配置枢纽。</w:t>
      </w:r>
    </w:p>
    <w:p>
      <w:pPr>
        <w:pageBreakBefore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b/>
          <w:bCs/>
          <w:sz w:val="32"/>
          <w:szCs w:val="32"/>
        </w:rPr>
        <w:t>广州国际消费中心城市核心承载区</w:t>
      </w:r>
      <w:r>
        <w:rPr>
          <w:rFonts w:ascii="Times New Roman" w:hAnsi="Times New Roman" w:eastAsia="仿宋_GB2312" w:cs="Times New Roman"/>
          <w:sz w:val="32"/>
          <w:szCs w:val="32"/>
        </w:rPr>
        <w:t>。充分发挥广州经济第一区优势，做大做强天河路-珠江新城世界级地标商圈，提升中轴商业连贯性及整体景观性，打造时尚消费地标集聚地。加快珠江新城、金融城及周边商业消费功能区建设，沿珠江前航道积极拓展优质商业增量。推动首店经济、夜间经济、直播经济、时尚定制发展，加快培育新型消费，加强品牌培育，发挥现代化城市形象和传统岭南文化的集聚窗口作用，促进文商旅深度融合，增强商品和服务高质量供给，成为商品、服务、品牌输出地。</w:t>
      </w:r>
    </w:p>
    <w:p>
      <w:pPr>
        <w:pageBreakBefore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b/>
          <w:bCs/>
          <w:sz w:val="32"/>
          <w:szCs w:val="32"/>
        </w:rPr>
        <w:t>国内中心城区商贸业提质升级示范区</w:t>
      </w:r>
      <w:r>
        <w:rPr>
          <w:rFonts w:ascii="Times New Roman" w:hAnsi="Times New Roman" w:eastAsia="仿宋_GB2312" w:cs="Times New Roman"/>
          <w:sz w:val="32"/>
          <w:szCs w:val="32"/>
        </w:rPr>
        <w:t>。以招商引资和企业培育、集聚发展、科技赋能等为手段，促进产业结构优化和企业能级提升。以总部经济和营商环境优势，加大力度引进和培育国内外高能级商业投资商和运营商、中高端消费品牌企业、供应链企业、品牌连锁企业等；积极推动优质细分领域集群发展，最大化资源利用效率，集中力量集成要素促进产业成链成群；加强数字技术赋能，全面提升商贸主体信息化水平，加快推动线上服务、线下体验深度融合，以线上化、电商化转型积极拓展市场空间。</w:t>
      </w:r>
    </w:p>
    <w:p>
      <w:pPr>
        <w:pageBreakBefore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b/>
          <w:bCs/>
          <w:sz w:val="32"/>
          <w:szCs w:val="32"/>
        </w:rPr>
        <w:t>“双循环”新发展格局下资源配置枢纽</w:t>
      </w:r>
      <w:r>
        <w:rPr>
          <w:rFonts w:ascii="Times New Roman" w:hAnsi="Times New Roman" w:eastAsia="仿宋_GB2312" w:cs="Times New Roman"/>
          <w:sz w:val="32"/>
          <w:szCs w:val="32"/>
        </w:rPr>
        <w:t>。以天河路-珠江新城商圈为引领，协同金融城—黄埔湾、广州塔—琶洲商圈等，联合打造珠江世界级消费服务业发展带、全球高端功能引领地、国际文化旅游消费中心地；加强粤港澳合作，引进先进理念、模式、运营团队，促进商贸业国际化高质量发展；加强对内循环和外循环的链接作用，以“一带一路”、RCEP为契机，优化进出口商品结构，推动服务贸易出口，对内引进优质全球商品和服务，对外输出本土品牌和服务，成为链接内外循环的枢纽支点。</w:t>
      </w:r>
    </w:p>
    <w:p>
      <w:pPr>
        <w:pStyle w:val="3"/>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23" w:name="_Toc115392044"/>
      <w:r>
        <w:rPr>
          <w:rFonts w:ascii="Times New Roman" w:hAnsi="Times New Roman" w:cs="Times New Roman"/>
        </w:rPr>
        <w:t>（四）发展目标</w:t>
      </w:r>
      <w:bookmarkEnd w:id="23"/>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以产业提质升级、消费扩容提质、企业活力迸发为目标，到“十四五”期末，商贸业产业结构优化成效显现，产业集聚和辐射带动能力全面增强，新业态新模式引领作用不断凸显，资源配置能力显著提升，商业空间布局逐步优化，成为</w:t>
      </w:r>
      <w:r>
        <w:rPr>
          <w:rFonts w:hint="eastAsia" w:ascii="Times New Roman" w:hAnsi="Times New Roman" w:eastAsia="仿宋_GB2312" w:cs="Times New Roman"/>
          <w:color w:val="000000" w:themeColor="text1"/>
          <w:kern w:val="0"/>
          <w:sz w:val="32"/>
          <w:szCs w:val="32"/>
          <w14:textFill>
            <w14:solidFill>
              <w14:schemeClr w14:val="tx1"/>
            </w14:solidFill>
          </w14:textFill>
        </w:rPr>
        <w:t>建设</w:t>
      </w:r>
      <w:r>
        <w:rPr>
          <w:rFonts w:ascii="Times New Roman" w:hAnsi="Times New Roman" w:eastAsia="仿宋_GB2312" w:cs="Times New Roman"/>
          <w:color w:val="000000" w:themeColor="text1"/>
          <w:kern w:val="0"/>
          <w:sz w:val="32"/>
          <w:szCs w:val="32"/>
          <w14:textFill>
            <w14:solidFill>
              <w14:schemeClr w14:val="tx1"/>
            </w14:solidFill>
          </w14:textFill>
        </w:rPr>
        <w:t>广州国际消费中心城市</w:t>
      </w:r>
      <w:r>
        <w:rPr>
          <w:rFonts w:hint="eastAsia" w:ascii="Times New Roman" w:hAnsi="Times New Roman" w:eastAsia="仿宋_GB2312" w:cs="Times New Roman"/>
          <w:color w:val="000000" w:themeColor="text1"/>
          <w:kern w:val="0"/>
          <w:sz w:val="32"/>
          <w:szCs w:val="32"/>
          <w14:textFill>
            <w14:solidFill>
              <w14:schemeClr w14:val="tx1"/>
            </w14:solidFill>
          </w14:textFill>
        </w:rPr>
        <w:t>和全面增强广州</w:t>
      </w:r>
      <w:r>
        <w:rPr>
          <w:rFonts w:ascii="Times New Roman" w:hAnsi="Times New Roman" w:eastAsia="仿宋_GB2312" w:cs="Times New Roman"/>
          <w:sz w:val="32"/>
          <w:szCs w:val="32"/>
        </w:rPr>
        <w:t>国际商贸中心功能</w:t>
      </w:r>
      <w:r>
        <w:rPr>
          <w:rFonts w:ascii="Times New Roman" w:hAnsi="Times New Roman" w:eastAsia="仿宋_GB2312" w:cs="Times New Roman"/>
          <w:color w:val="000000" w:themeColor="text1"/>
          <w:kern w:val="0"/>
          <w:sz w:val="32"/>
          <w:szCs w:val="32"/>
          <w14:textFill>
            <w14:solidFill>
              <w14:schemeClr w14:val="tx1"/>
            </w14:solidFill>
          </w14:textFill>
        </w:rPr>
        <w:t>的核心力量。</w:t>
      </w:r>
    </w:p>
    <w:p>
      <w:pPr>
        <w:pageBreakBefore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消费规模不断提升</w:t>
      </w:r>
      <w:r>
        <w:rPr>
          <w:rFonts w:ascii="Times New Roman" w:hAnsi="Times New Roman" w:eastAsia="仿宋_GB2312" w:cs="Times New Roman"/>
          <w:color w:val="000000" w:themeColor="text1"/>
          <w:kern w:val="0"/>
          <w:sz w:val="32"/>
          <w:szCs w:val="32"/>
          <w14:textFill>
            <w14:solidFill>
              <w14:schemeClr w14:val="tx1"/>
            </w14:solidFill>
          </w14:textFill>
        </w:rPr>
        <w:t>。到2025年，商贸业增加值占地区生产总值比重达15%，通过网络销售商品零售额年均增长达15%以上，商品销售总额突破15000亿元，社会消费品零售</w:t>
      </w:r>
      <w:r>
        <w:rPr>
          <w:rFonts w:hint="eastAsia" w:ascii="Times New Roman" w:hAnsi="Times New Roman" w:eastAsia="仿宋_GB2312" w:cs="Times New Roman"/>
          <w:color w:val="000000" w:themeColor="text1"/>
          <w:kern w:val="0"/>
          <w:sz w:val="32"/>
          <w:szCs w:val="32"/>
          <w14:textFill>
            <w14:solidFill>
              <w14:schemeClr w14:val="tx1"/>
            </w14:solidFill>
          </w14:textFill>
        </w:rPr>
        <w:t>总</w:t>
      </w:r>
      <w:r>
        <w:rPr>
          <w:rFonts w:ascii="Times New Roman" w:hAnsi="Times New Roman" w:eastAsia="仿宋_GB2312" w:cs="Times New Roman"/>
          <w:color w:val="000000" w:themeColor="text1"/>
          <w:kern w:val="0"/>
          <w:sz w:val="32"/>
          <w:szCs w:val="32"/>
          <w14:textFill>
            <w14:solidFill>
              <w14:schemeClr w14:val="tx1"/>
            </w14:solidFill>
          </w14:textFill>
        </w:rPr>
        <w:t>额达到2500亿元，世界级地标商圈、文商旅体融合发展第一圈建设成效显著，增强对国内外游客、商务人士、留学生等各类人群的吸引力，稳步提升消费客群人数和消费支出。</w:t>
      </w:r>
    </w:p>
    <w:p>
      <w:pPr>
        <w:pageBreakBefore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商业布局不断优化</w:t>
      </w:r>
      <w:r>
        <w:rPr>
          <w:rFonts w:ascii="Times New Roman" w:hAnsi="Times New Roman" w:eastAsia="仿宋_GB2312" w:cs="Times New Roman"/>
          <w:color w:val="000000" w:themeColor="text1"/>
          <w:kern w:val="0"/>
          <w:sz w:val="32"/>
          <w:szCs w:val="32"/>
          <w14:textFill>
            <w14:solidFill>
              <w14:schemeClr w14:val="tx1"/>
            </w14:solidFill>
          </w14:textFill>
        </w:rPr>
        <w:t xml:space="preserve">。培育销售额超过十亿元的商贸载体10家左右，积极推进新增大型购物中心，区内商业网点空间布局更加合理，“都会级-区域级-社区级”综合商业体系进一步完善。加快建设智慧商圈，培育一批夜间文化和旅游消费集聚区、文商旅体融合发展示范性项目。 </w:t>
      </w:r>
    </w:p>
    <w:p>
      <w:pPr>
        <w:pageBreakBefore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市场主体能级提升</w:t>
      </w:r>
      <w:r>
        <w:rPr>
          <w:rFonts w:ascii="Times New Roman" w:hAnsi="Times New Roman" w:eastAsia="仿宋_GB2312" w:cs="Times New Roman"/>
          <w:color w:val="000000" w:themeColor="text1"/>
          <w:kern w:val="0"/>
          <w:sz w:val="32"/>
          <w:szCs w:val="32"/>
          <w14:textFill>
            <w14:solidFill>
              <w14:schemeClr w14:val="tx1"/>
            </w14:solidFill>
          </w14:textFill>
        </w:rPr>
        <w:t>。围绕百货、大宗商品、汽车销售、电子商务、医药流通、高端酒店餐饮等细分领域，大力引进高能级龙头企业和项目，新增商贸业总部型企业或项目10个以上；积极挖掘存量潜力，引培并重，新增销售额百亿级企业10家左右，培育一批在大湾区和全国具有引领性和示范性的品牌企业。</w:t>
      </w:r>
    </w:p>
    <w:p>
      <w:pPr>
        <w:pageBreakBefore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营商环境持续改善</w:t>
      </w:r>
      <w:r>
        <w:rPr>
          <w:rFonts w:ascii="Times New Roman" w:hAnsi="Times New Roman" w:eastAsia="仿宋_GB2312" w:cs="Times New Roman"/>
          <w:color w:val="000000" w:themeColor="text1"/>
          <w:kern w:val="0"/>
          <w:sz w:val="32"/>
          <w:szCs w:val="32"/>
          <w14:textFill>
            <w14:solidFill>
              <w14:schemeClr w14:val="tx1"/>
            </w14:solidFill>
          </w14:textFill>
        </w:rPr>
        <w:t>。积极推动现代化国际化营商环境出新出彩，构建近悦远来的营商环境。加强政策支持，积极举办和培育品牌活动，搭建行业沟通和异业联盟合作渠道；强化空间规划引领，加强重大商业项目和商圈改造用地保障；建立开放包容审慎执法机制，激励新业态、新模式发展，在优化监管的前提下，进一步放宽准入和资质审批条件；不断完善商务诚信体系和消费信用环境。</w:t>
      </w:r>
    </w:p>
    <w:p>
      <w:pPr>
        <w:pStyle w:val="2"/>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24" w:name="_Toc115392045"/>
      <w:r>
        <w:rPr>
          <w:rFonts w:ascii="Times New Roman" w:hAnsi="Times New Roman" w:cs="Times New Roman"/>
        </w:rPr>
        <w:t>第三章 持续优化产业结构</w:t>
      </w:r>
      <w:bookmarkEnd w:id="24"/>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cs="Times New Roman"/>
          <w:color w:val="000000" w:themeColor="text1"/>
          <w:kern w:val="0"/>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全面推动商贸业产业结构优化调整，</w:t>
      </w:r>
      <w:r>
        <w:fldChar w:fldCharType="begin"/>
      </w:r>
      <w:r>
        <w:instrText xml:space="preserve"> HYPERLINK "http://www.baidu.com/link?url=qoFuNN8HECZpM3JGqOBxtuHdOfuD7eNpQED4u8x2HlGXdcOuCSrO3GG1Cjo3bjowb8mDN2pIImJJV1ob-c1n7K" \t "_blank" </w:instrText>
      </w:r>
      <w:r>
        <w:fldChar w:fldCharType="separate"/>
      </w:r>
      <w:r>
        <w:rPr>
          <w:rFonts w:ascii="Times New Roman" w:hAnsi="Times New Roman" w:eastAsia="仿宋_GB2312" w:cs="Times New Roman"/>
          <w:color w:val="000000" w:themeColor="text1"/>
          <w:kern w:val="0"/>
          <w:sz w:val="32"/>
          <w:szCs w:val="32"/>
          <w14:textFill>
            <w14:solidFill>
              <w14:schemeClr w14:val="tx1"/>
            </w14:solidFill>
          </w14:textFill>
        </w:rPr>
        <w:t>提高商贸业发展质量和效益</w:t>
      </w:r>
      <w:r>
        <w:rPr>
          <w:rFonts w:ascii="Times New Roman" w:hAnsi="Times New Roman" w:eastAsia="仿宋_GB2312" w:cs="Times New Roman"/>
          <w:color w:val="000000" w:themeColor="text1"/>
          <w:kern w:val="0"/>
          <w:sz w:val="32"/>
          <w:szCs w:val="32"/>
          <w14:textFill>
            <w14:solidFill>
              <w14:schemeClr w14:val="tx1"/>
            </w14:solidFill>
          </w14:textFill>
        </w:rPr>
        <w:fldChar w:fldCharType="end"/>
      </w:r>
      <w:r>
        <w:rPr>
          <w:rFonts w:ascii="Times New Roman" w:hAnsi="Times New Roman" w:eastAsia="仿宋_GB2312" w:cs="Times New Roman"/>
          <w:color w:val="000000" w:themeColor="text1"/>
          <w:kern w:val="0"/>
          <w:sz w:val="32"/>
          <w:szCs w:val="32"/>
          <w14:textFill>
            <w14:solidFill>
              <w14:schemeClr w14:val="tx1"/>
            </w14:solidFill>
          </w14:textFill>
        </w:rPr>
        <w:t>。以数字化、国际化、高端化为核心，推动零售、住宿业、餐饮业、大宗商品供应链等领域提升质量和能级，进一步巩固和强化传统优势；以电子商务、汽车销售、</w:t>
      </w:r>
      <w:r>
        <w:rPr>
          <w:rFonts w:hint="eastAsia" w:ascii="Times New Roman" w:hAnsi="Times New Roman" w:eastAsia="仿宋_GB2312" w:cs="Times New Roman"/>
          <w:color w:val="000000" w:themeColor="text1"/>
          <w:kern w:val="0"/>
          <w:sz w:val="32"/>
          <w:szCs w:val="32"/>
          <w14:textFill>
            <w14:solidFill>
              <w14:schemeClr w14:val="tx1"/>
            </w14:solidFill>
          </w14:textFill>
        </w:rPr>
        <w:t>药品</w:t>
      </w:r>
      <w:r>
        <w:rPr>
          <w:rFonts w:ascii="Times New Roman" w:hAnsi="Times New Roman" w:eastAsia="仿宋_GB2312" w:cs="Times New Roman"/>
          <w:color w:val="000000" w:themeColor="text1"/>
          <w:kern w:val="0"/>
          <w:sz w:val="32"/>
          <w:szCs w:val="32"/>
          <w14:textFill>
            <w14:solidFill>
              <w14:schemeClr w14:val="tx1"/>
            </w14:solidFill>
          </w14:textFill>
        </w:rPr>
        <w:t>与医疗器械为突破口，推动潜力领域做大做强；通过推动商贸主体内部孵化能力提升、传统市场特色化改造、传统商贸企业数字化升级等措施，进一步促进商贸业提档升级。</w:t>
      </w:r>
    </w:p>
    <w:p>
      <w:pPr>
        <w:pStyle w:val="3"/>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25" w:name="_Toc115392046"/>
      <w:r>
        <w:rPr>
          <w:rFonts w:ascii="Times New Roman" w:hAnsi="Times New Roman" w:cs="Times New Roman"/>
        </w:rPr>
        <w:t>（一）提升</w:t>
      </w:r>
      <w:r>
        <w:rPr>
          <w:rFonts w:ascii="Times New Roman" w:hAnsi="Times New Roman" w:cs="Times New Roman"/>
          <w:color w:val="000000" w:themeColor="text1"/>
          <w:kern w:val="0"/>
          <w14:textFill>
            <w14:solidFill>
              <w14:schemeClr w14:val="tx1"/>
            </w14:solidFill>
          </w14:textFill>
        </w:rPr>
        <w:t>优势领域</w:t>
      </w:r>
      <w:r>
        <w:rPr>
          <w:rFonts w:ascii="Times New Roman" w:hAnsi="Times New Roman" w:cs="Times New Roman"/>
        </w:rPr>
        <w:t>质量和能级</w:t>
      </w:r>
      <w:bookmarkEnd w:id="25"/>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26" w:name="_Toc115392047"/>
      <w:r>
        <w:rPr>
          <w:rFonts w:ascii="Times New Roman" w:hAnsi="Times New Roman" w:cs="Times New Roman"/>
        </w:rPr>
        <w:t>1、增强高端和国际消费供给</w:t>
      </w:r>
      <w:bookmarkEnd w:id="26"/>
    </w:p>
    <w:p>
      <w:pPr>
        <w:pageBreakBefore w:val="0"/>
        <w:widowControl/>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加快汇聚全球高端消费资源</w:t>
      </w:r>
      <w:r>
        <w:rPr>
          <w:rFonts w:hint="eastAsia" w:ascii="Times New Roman" w:hAnsi="Times New Roman" w:eastAsia="仿宋_GB2312" w:cs="Times New Roman"/>
          <w:b/>
          <w:bCs/>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依托珠江新城、天河路、金融城等重点商圈和正佳广场、太古汇等核心综合载体，支持全球消费品牌在区内设立旗舰店、全场景体验中心、服务中心等，</w:t>
      </w:r>
      <w:r>
        <w:rPr>
          <w:rFonts w:ascii="Times New Roman" w:hAnsi="Times New Roman" w:eastAsia="仿宋_GB2312" w:cs="Times New Roman"/>
          <w:color w:val="000000" w:themeColor="text1"/>
          <w:sz w:val="32"/>
          <w:szCs w:val="32"/>
          <w:lang w:bidi="ar"/>
          <w14:textFill>
            <w14:solidFill>
              <w14:schemeClr w14:val="tx1"/>
            </w14:solidFill>
          </w14:textFill>
        </w:rPr>
        <w:t>围绕</w:t>
      </w:r>
      <w:r>
        <w:rPr>
          <w:rFonts w:ascii="Times New Roman" w:hAnsi="Times New Roman" w:eastAsia="仿宋_GB2312" w:cs="Times New Roman"/>
          <w:color w:val="000000" w:themeColor="text1"/>
          <w:sz w:val="32"/>
          <w:szCs w:val="32"/>
          <w14:textFill>
            <w14:solidFill>
              <w14:schemeClr w14:val="tx1"/>
            </w14:solidFill>
          </w14:textFill>
        </w:rPr>
        <w:t>国际一二线品牌、海外小众高端品牌、国内潮牌和知名品牌等，构建品牌汇集、品质高端、品位独特的优质商品供给体系</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主动承接香港国际一线品牌外溢，吸引顶级奢侈品品牌和国际一线品牌落地，打造华南高端消费地标，推动高端消费回流</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支持商业运营机构担当海外优质品牌捕手，迎合消费者差异化和个性化的消费需求，引进</w:t>
      </w:r>
      <w:r>
        <w:rPr>
          <w:rFonts w:ascii="Times New Roman" w:hAnsi="Times New Roman" w:eastAsia="仿宋_GB2312" w:cs="Times New Roman"/>
          <w:color w:val="000000" w:themeColor="text1"/>
          <w:sz w:val="32"/>
          <w:szCs w:val="32"/>
          <w14:textFill>
            <w14:solidFill>
              <w14:schemeClr w14:val="tx1"/>
            </w14:solidFill>
          </w14:textFill>
        </w:rPr>
        <w:t>海外小众高端品牌，设立</w:t>
      </w:r>
      <w:r>
        <w:rPr>
          <w:rFonts w:ascii="Times New Roman" w:hAnsi="Times New Roman" w:eastAsia="仿宋_GB2312" w:cs="Times New Roman"/>
          <w:color w:val="000000" w:themeColor="text1"/>
          <w:kern w:val="0"/>
          <w:sz w:val="32"/>
          <w:szCs w:val="32"/>
          <w14:textFill>
            <w14:solidFill>
              <w14:schemeClr w14:val="tx1"/>
            </w14:solidFill>
          </w14:textFill>
        </w:rPr>
        <w:t>沙龙、全球概念店和形象旗舰店等全新体验门店。</w:t>
      </w:r>
      <w:r>
        <w:rPr>
          <w:rFonts w:hint="eastAsia" w:ascii="Times New Roman" w:hAnsi="Times New Roman" w:eastAsia="仿宋_GB2312" w:cs="Times New Roman"/>
          <w:b/>
          <w:bCs/>
          <w:color w:val="000000" w:themeColor="text1"/>
          <w:kern w:val="0"/>
          <w:sz w:val="32"/>
          <w:szCs w:val="32"/>
          <w14:textFill>
            <w14:solidFill>
              <w14:schemeClr w14:val="tx1"/>
            </w14:solidFill>
          </w14:textFill>
        </w:rPr>
        <w:t>提升国际消费氛围。</w:t>
      </w:r>
      <w:r>
        <w:rPr>
          <w:rFonts w:ascii="Times New Roman" w:hAnsi="Times New Roman" w:eastAsia="仿宋_GB2312" w:cs="Times New Roman"/>
          <w:color w:val="000000" w:themeColor="text1"/>
          <w:kern w:val="0"/>
          <w:sz w:val="32"/>
          <w:szCs w:val="32"/>
          <w14:textFill>
            <w14:solidFill>
              <w14:schemeClr w14:val="tx1"/>
            </w14:solidFill>
          </w14:textFill>
        </w:rPr>
        <w:t>充分发挥领事馆、国际组织、跨国公司集聚优势，积极打造具有国际影响力的消费场景、消费环境，探索打造具有不同国别、地区特色的消费场所和风情夜市；积极推动免税新业态发展，探索在天河路商圈、珠江新城商圈创建离境退税示范街区，开展</w:t>
      </w:r>
      <w:r>
        <w:rPr>
          <w:rFonts w:hint="eastAsia" w:ascii="Times New Roman" w:hAnsi="Times New Roman" w:eastAsia="仿宋_GB2312" w:cs="Times New Roman"/>
          <w:color w:val="000000" w:themeColor="text1"/>
          <w:kern w:val="0"/>
          <w:sz w:val="32"/>
          <w:szCs w:val="32"/>
          <w14:textFill>
            <w14:solidFill>
              <w14:schemeClr w14:val="tx1"/>
            </w14:solidFill>
          </w14:textFill>
        </w:rPr>
        <w:t>离境退税</w:t>
      </w:r>
      <w:r>
        <w:rPr>
          <w:rFonts w:ascii="Times New Roman" w:hAnsi="Times New Roman" w:eastAsia="仿宋_GB2312" w:cs="Times New Roman"/>
          <w:color w:val="000000" w:themeColor="text1"/>
          <w:kern w:val="0"/>
          <w:sz w:val="32"/>
          <w:szCs w:val="32"/>
          <w14:textFill>
            <w14:solidFill>
              <w14:schemeClr w14:val="tx1"/>
            </w14:solidFill>
          </w14:textFill>
        </w:rPr>
        <w:t>“即买即退”试点，探索“电子退税”政策试点。</w:t>
      </w:r>
      <w:r>
        <w:rPr>
          <w:rFonts w:hint="eastAsia" w:ascii="Times New Roman" w:hAnsi="Times New Roman" w:eastAsia="仿宋_GB2312" w:cs="Times New Roman"/>
          <w:b/>
          <w:bCs/>
          <w:color w:val="000000" w:themeColor="text1"/>
          <w:kern w:val="0"/>
          <w:sz w:val="32"/>
          <w:szCs w:val="32"/>
          <w14:textFill>
            <w14:solidFill>
              <w14:schemeClr w14:val="tx1"/>
            </w14:solidFill>
          </w14:textFill>
        </w:rPr>
        <w:t>集聚</w:t>
      </w:r>
      <w:r>
        <w:rPr>
          <w:rFonts w:ascii="Times New Roman" w:hAnsi="Times New Roman" w:eastAsia="仿宋_GB2312" w:cs="Times New Roman"/>
          <w:b/>
          <w:bCs/>
          <w:color w:val="000000" w:themeColor="text1"/>
          <w:kern w:val="0"/>
          <w:sz w:val="32"/>
          <w:szCs w:val="32"/>
          <w14:textFill>
            <w14:solidFill>
              <w14:schemeClr w14:val="tx1"/>
            </w14:solidFill>
          </w14:textFill>
        </w:rPr>
        <w:t>国内老字号、国潮品牌</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支持老字号与新兴品牌、商圈重点载体、文化机构、知名IP等开展跨界合作，推出跨界联名产品；联动大湾区及粤东西北城市战略性新兴产业集群，积极引进国潮“新广货”品牌，助力打响“湾区制造”品牌。强化宣传推广，全力打造消费升级新高地，不断强化集聚辐射和吸引带动能力，引领消费潮流风尚。</w:t>
      </w:r>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27" w:name="_Toc115392048"/>
      <w:r>
        <w:rPr>
          <w:rFonts w:ascii="Times New Roman" w:hAnsi="Times New Roman" w:cs="Times New Roman"/>
        </w:rPr>
        <w:t>2、推动住宿业创新产品和服务</w:t>
      </w:r>
      <w:bookmarkEnd w:id="27"/>
    </w:p>
    <w:p>
      <w:pPr>
        <w:pStyle w:val="18"/>
        <w:pageBreakBefore w:val="0"/>
        <w:kinsoku/>
        <w:wordWrap/>
        <w:overflowPunct/>
        <w:topLinePunct w:val="0"/>
        <w:autoSpaceDE/>
        <w:autoSpaceDN/>
        <w:bidi w:val="0"/>
        <w:adjustRightInd/>
        <w:snapToGrid/>
        <w:spacing w:before="0" w:beforeAutospacing="0" w:after="0" w:afterAutospacing="0" w:line="560" w:lineRule="exact"/>
        <w:ind w:firstLine="643" w:firstLineChars="200"/>
        <w:jc w:val="both"/>
        <w:textAlignment w:val="auto"/>
        <w:rPr>
          <w:rFonts w:ascii="Times New Roman" w:hAnsi="Times New Roman" w:cs="Times New Roman"/>
        </w:rPr>
      </w:pPr>
      <w:r>
        <w:rPr>
          <w:rFonts w:ascii="Times New Roman" w:hAnsi="Times New Roman" w:eastAsia="仿宋_GB2312" w:cs="Times New Roman"/>
          <w:b/>
          <w:bCs/>
          <w:sz w:val="32"/>
          <w:szCs w:val="32"/>
        </w:rPr>
        <w:t>打造</w:t>
      </w:r>
      <w:r>
        <w:rPr>
          <w:rFonts w:hint="eastAsia" w:ascii="Times New Roman" w:hAnsi="Times New Roman" w:eastAsia="仿宋_GB2312" w:cs="Times New Roman"/>
          <w:b/>
          <w:bCs/>
          <w:sz w:val="32"/>
          <w:szCs w:val="32"/>
        </w:rPr>
        <w:t>广州市</w:t>
      </w:r>
      <w:r>
        <w:rPr>
          <w:rFonts w:ascii="Times New Roman" w:hAnsi="Times New Roman" w:eastAsia="仿宋_GB2312" w:cs="Times New Roman"/>
          <w:b/>
          <w:bCs/>
          <w:sz w:val="32"/>
          <w:szCs w:val="32"/>
        </w:rPr>
        <w:t>高端酒店集聚区</w:t>
      </w:r>
      <w:r>
        <w:rPr>
          <w:rFonts w:hint="eastAsia" w:ascii="Times New Roman" w:hAnsi="Times New Roman" w:eastAsia="仿宋_GB2312" w:cs="Times New Roman"/>
          <w:b/>
          <w:bCs/>
          <w:sz w:val="32"/>
          <w:szCs w:val="32"/>
        </w:rPr>
        <w:t>。</w:t>
      </w:r>
      <w:r>
        <w:rPr>
          <w:rFonts w:hint="eastAsia" w:ascii="Times New Roman" w:hAnsi="Times New Roman" w:eastAsia="仿宋_GB2312" w:cs="Times New Roman"/>
          <w:sz w:val="32"/>
          <w:szCs w:val="32"/>
        </w:rPr>
        <w:t>用好区位优势，</w:t>
      </w:r>
      <w:r>
        <w:rPr>
          <w:rFonts w:ascii="Times New Roman" w:hAnsi="Times New Roman" w:eastAsia="仿宋_GB2312" w:cs="Times New Roman"/>
          <w:sz w:val="32"/>
          <w:szCs w:val="32"/>
        </w:rPr>
        <w:t>依托珠江新城商圈丽思卡尔顿、四季、瑰丽等和天河路商圈</w:t>
      </w:r>
      <w:r>
        <w:rPr>
          <w:rFonts w:hint="eastAsia" w:ascii="Times New Roman" w:hAnsi="Times New Roman" w:eastAsia="仿宋_GB2312" w:cs="Times New Roman"/>
          <w:sz w:val="32"/>
          <w:szCs w:val="32"/>
        </w:rPr>
        <w:t>文华东方</w:t>
      </w:r>
      <w:r>
        <w:rPr>
          <w:rFonts w:ascii="Times New Roman" w:hAnsi="Times New Roman" w:eastAsia="仿宋_GB2312" w:cs="Times New Roman"/>
          <w:sz w:val="32"/>
          <w:szCs w:val="32"/>
        </w:rPr>
        <w:t>等</w:t>
      </w:r>
      <w:r>
        <w:rPr>
          <w:rFonts w:hint="eastAsia" w:ascii="Times New Roman" w:hAnsi="Times New Roman" w:eastAsia="仿宋_GB2312" w:cs="Times New Roman"/>
          <w:sz w:val="32"/>
          <w:szCs w:val="32"/>
        </w:rPr>
        <w:t>存量高端酒店，大力推动英迪格酒店华南首店落地运营，积极在金融城片区</w:t>
      </w:r>
      <w:r>
        <w:rPr>
          <w:rFonts w:ascii="Times New Roman" w:hAnsi="Times New Roman" w:eastAsia="仿宋_GB2312" w:cs="Times New Roman"/>
          <w:sz w:val="32"/>
          <w:szCs w:val="32"/>
        </w:rPr>
        <w:t>引进国内外高端酒店品牌，进一步</w:t>
      </w:r>
      <w:r>
        <w:rPr>
          <w:rFonts w:hint="eastAsia" w:ascii="Times New Roman" w:hAnsi="Times New Roman" w:eastAsia="仿宋_GB2312" w:cs="Times New Roman"/>
          <w:sz w:val="32"/>
          <w:szCs w:val="32"/>
        </w:rPr>
        <w:t>推动高端</w:t>
      </w:r>
      <w:r>
        <w:rPr>
          <w:rFonts w:ascii="Times New Roman" w:hAnsi="Times New Roman" w:eastAsia="仿宋_GB2312" w:cs="Times New Roman"/>
          <w:sz w:val="32"/>
          <w:szCs w:val="32"/>
        </w:rPr>
        <w:t>酒店</w:t>
      </w:r>
      <w:r>
        <w:rPr>
          <w:rFonts w:hint="eastAsia" w:ascii="Times New Roman" w:hAnsi="Times New Roman" w:eastAsia="仿宋_GB2312" w:cs="Times New Roman"/>
          <w:sz w:val="32"/>
          <w:szCs w:val="32"/>
        </w:rPr>
        <w:t>集聚</w:t>
      </w:r>
      <w:r>
        <w:rPr>
          <w:rFonts w:ascii="Times New Roman" w:hAnsi="Times New Roman" w:eastAsia="仿宋_GB2312" w:cs="Times New Roman"/>
          <w:sz w:val="32"/>
          <w:szCs w:val="32"/>
        </w:rPr>
        <w:t>发展。</w:t>
      </w:r>
      <w:r>
        <w:rPr>
          <w:rFonts w:ascii="Times New Roman" w:hAnsi="Times New Roman" w:eastAsia="仿宋_GB2312" w:cs="Times New Roman"/>
          <w:b/>
          <w:bCs/>
          <w:sz w:val="32"/>
          <w:szCs w:val="32"/>
        </w:rPr>
        <w:t>大力发展经济型酒店</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按照存量转化和集约发展原则，加快品牌培育、引进，加强资源整合，促进经济型酒店品牌化、连锁化、集团化发展。积极推动国有中小型住宿企业改制，鼓励和支持</w:t>
      </w:r>
      <w:r>
        <w:rPr>
          <w:rFonts w:hint="eastAsia" w:ascii="Times New Roman" w:hAnsi="Times New Roman" w:eastAsia="仿宋_GB2312" w:cs="Times New Roman"/>
          <w:sz w:val="32"/>
          <w:szCs w:val="32"/>
        </w:rPr>
        <w:t>社会</w:t>
      </w:r>
      <w:r>
        <w:rPr>
          <w:rFonts w:ascii="Times New Roman" w:hAnsi="Times New Roman" w:eastAsia="仿宋_GB2312" w:cs="Times New Roman"/>
          <w:sz w:val="32"/>
          <w:szCs w:val="32"/>
        </w:rPr>
        <w:t>资本参与国有中小型住宿企业改革，实现投资主体多元化。</w:t>
      </w:r>
      <w:r>
        <w:rPr>
          <w:rFonts w:ascii="Times New Roman" w:hAnsi="Times New Roman" w:eastAsia="仿宋_GB2312" w:cs="Times New Roman"/>
          <w:b/>
          <w:bCs/>
          <w:sz w:val="32"/>
          <w:szCs w:val="32"/>
        </w:rPr>
        <w:t>鼓励创新住宿产品和服务内容</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应用新理念、新技术、新设计进行改造提升，向场景化、体验式转型</w:t>
      </w:r>
      <w:r>
        <w:rPr>
          <w:rFonts w:hint="eastAsia" w:ascii="Times New Roman" w:hAnsi="Times New Roman" w:eastAsia="仿宋_GB2312" w:cs="Times New Roman"/>
          <w:sz w:val="32"/>
          <w:szCs w:val="32"/>
        </w:rPr>
        <w:t>，推出亲子房、星空房等创意化房型，探索与广东博物馆、广州图书馆等联动，增加酒店文物、书籍、文创产品等文化元素</w:t>
      </w:r>
      <w:r>
        <w:rPr>
          <w:rFonts w:ascii="Times New Roman" w:hAnsi="Times New Roman" w:eastAsia="仿宋_GB2312" w:cs="Times New Roman"/>
          <w:sz w:val="32"/>
          <w:szCs w:val="32"/>
        </w:rPr>
        <w:t>。</w:t>
      </w:r>
      <w:r>
        <w:rPr>
          <w:rFonts w:ascii="Times New Roman" w:hAnsi="Times New Roman" w:eastAsia="仿宋_GB2312" w:cs="Times New Roman"/>
          <w:b/>
          <w:bCs/>
          <w:sz w:val="32"/>
          <w:szCs w:val="32"/>
        </w:rPr>
        <w:t>创新发展“住宿+”</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推动住宿主体运营创新，从最核心的住宿及过夜市场延伸到休闲、娱乐、社交等领域，培育一批电竞酒店、电影酒店、健身酒店、剧本杀酒店等非标准住宿业</w:t>
      </w:r>
      <w:r>
        <w:rPr>
          <w:rFonts w:hint="eastAsia"/>
        </w:rPr>
        <w:t xml:space="preserve"> </w:t>
      </w:r>
      <w:r>
        <w:rPr>
          <w:rFonts w:hint="eastAsia" w:ascii="Times New Roman" w:hAnsi="Times New Roman" w:eastAsia="仿宋_GB2312" w:cs="Times New Roman"/>
          <w:sz w:val="32"/>
          <w:szCs w:val="32"/>
        </w:rPr>
        <w:t>多元化新业态</w:t>
      </w:r>
      <w:r>
        <w:rPr>
          <w:rFonts w:ascii="Times New Roman" w:hAnsi="Times New Roman" w:eastAsia="仿宋_GB2312" w:cs="Times New Roman"/>
          <w:sz w:val="32"/>
          <w:szCs w:val="32"/>
        </w:rPr>
        <w:t>。紧抓直播风口，</w:t>
      </w:r>
      <w:r>
        <w:rPr>
          <w:rFonts w:hint="eastAsia" w:ascii="Times New Roman" w:hAnsi="Times New Roman" w:eastAsia="仿宋_GB2312" w:cs="Times New Roman"/>
          <w:sz w:val="32"/>
          <w:szCs w:val="32"/>
        </w:rPr>
        <w:t>加强</w:t>
      </w:r>
      <w:r>
        <w:rPr>
          <w:rFonts w:ascii="Times New Roman" w:hAnsi="Times New Roman" w:eastAsia="仿宋_GB2312" w:cs="Times New Roman"/>
          <w:sz w:val="32"/>
          <w:szCs w:val="32"/>
        </w:rPr>
        <w:t xml:space="preserve">酒店宾馆宣传的广度和深度，提升住宿业主体的声量和曝光率，积极种草，打造一批住宿业“网红店”。 </w:t>
      </w:r>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28" w:name="_Toc115392049"/>
      <w:r>
        <w:rPr>
          <w:rFonts w:ascii="Times New Roman" w:hAnsi="Times New Roman" w:cs="Times New Roman"/>
        </w:rPr>
        <w:t>3、</w:t>
      </w:r>
      <w:r>
        <w:rPr>
          <w:rFonts w:hint="eastAsia" w:ascii="Times New Roman" w:hAnsi="Times New Roman" w:cs="Times New Roman"/>
        </w:rPr>
        <w:t>支持</w:t>
      </w:r>
      <w:r>
        <w:rPr>
          <w:rFonts w:ascii="Times New Roman" w:hAnsi="Times New Roman" w:cs="Times New Roman"/>
        </w:rPr>
        <w:t>餐饮业</w:t>
      </w:r>
      <w:r>
        <w:rPr>
          <w:rFonts w:hint="eastAsia" w:ascii="Times New Roman" w:hAnsi="Times New Roman" w:cs="Times New Roman"/>
        </w:rPr>
        <w:t>不断拓展新内涵</w:t>
      </w:r>
      <w:bookmarkEnd w:id="28"/>
    </w:p>
    <w:p>
      <w:pPr>
        <w:pStyle w:val="18"/>
        <w:pageBreakBefore w:val="0"/>
        <w:kinsoku/>
        <w:wordWrap/>
        <w:overflowPunct/>
        <w:topLinePunct w:val="0"/>
        <w:autoSpaceDE/>
        <w:autoSpaceDN/>
        <w:bidi w:val="0"/>
        <w:adjustRightInd/>
        <w:snapToGrid/>
        <w:spacing w:before="0" w:beforeAutospacing="0" w:after="0" w:afterAutospacing="0" w:line="560" w:lineRule="exact"/>
        <w:ind w:firstLine="643"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b/>
          <w:sz w:val="32"/>
          <w:szCs w:val="32"/>
        </w:rPr>
        <w:t>打造餐饮集聚区。</w:t>
      </w:r>
      <w:r>
        <w:rPr>
          <w:rFonts w:ascii="Times New Roman" w:hAnsi="Times New Roman" w:eastAsia="仿宋_GB2312" w:cs="Times New Roman"/>
          <w:sz w:val="32"/>
          <w:szCs w:val="32"/>
        </w:rPr>
        <w:t>依托御宝轩、丽轩、宋、悦景轩等米其林星级或黑珍珠钻级餐厅，在珠江新城打造高端餐饮集聚区。加快推进马场高质量改造，引入国内外头部企业建设全业态高端大型商业综合体，联动太阳新天地转型升级，共同集聚中高端餐饮业态发展。依托天河南一路、天河南二路、体育西横街等具有良好餐饮业发展基础的后街，打造“美食后街”。依托六运小区现有咖啡店、茶馆、西餐店等网红店，</w:t>
      </w:r>
      <w:r>
        <w:rPr>
          <w:rFonts w:hint="eastAsia" w:ascii="Times New Roman" w:hAnsi="Times New Roman" w:eastAsia="仿宋_GB2312" w:cs="Times New Roman"/>
          <w:sz w:val="32"/>
          <w:szCs w:val="32"/>
        </w:rPr>
        <w:t>依托</w:t>
      </w:r>
      <w:r>
        <w:rPr>
          <w:rFonts w:ascii="Times New Roman" w:hAnsi="Times New Roman" w:eastAsia="仿宋_GB2312" w:cs="Times New Roman"/>
          <w:sz w:val="32"/>
          <w:szCs w:val="32"/>
        </w:rPr>
        <w:t>专业运营机构，打造“网红街区”。</w:t>
      </w:r>
      <w:r>
        <w:rPr>
          <w:rFonts w:ascii="Times New Roman" w:hAnsi="Times New Roman" w:eastAsia="仿宋_GB2312" w:cs="Times New Roman"/>
          <w:b/>
          <w:sz w:val="32"/>
          <w:szCs w:val="32"/>
        </w:rPr>
        <w:t>增强天河餐饮文化内涵。</w:t>
      </w:r>
      <w:r>
        <w:rPr>
          <w:rFonts w:ascii="Times New Roman" w:hAnsi="Times New Roman" w:eastAsia="仿宋_GB2312" w:cs="Times New Roman"/>
          <w:sz w:val="32"/>
          <w:szCs w:val="32"/>
        </w:rPr>
        <w:t>以广州建设世界美食之都为契机，大力支持餐饮企业增强门店和品牌文化内涵、科技体验；加大“名菜、名店、名人、名厨”培养和引进，适时多次举办专项、专题及综合性美食节，讲好广州美食故事，打造“食在广州”美食情怀。大力开展饭店优质服务示范企业创建活动，培育一批品牌饭店企业、优秀企业家，扩大品牌示范和带动效应。助力“食在广州，食得放心”活动，支持品牌饭店企业做强餐饮服务、婚庆服务、会议服务，</w:t>
      </w:r>
      <w:r>
        <w:rPr>
          <w:rFonts w:hint="eastAsia" w:ascii="Times New Roman" w:hAnsi="Times New Roman" w:eastAsia="仿宋_GB2312" w:cs="Times New Roman"/>
          <w:sz w:val="32"/>
          <w:szCs w:val="32"/>
        </w:rPr>
        <w:t>支持打造</w:t>
      </w:r>
      <w:r>
        <w:rPr>
          <w:rFonts w:ascii="Times New Roman" w:hAnsi="Times New Roman" w:eastAsia="仿宋_GB2312" w:cs="Times New Roman"/>
          <w:sz w:val="32"/>
          <w:szCs w:val="32"/>
        </w:rPr>
        <w:t>饭店专用产品基地、优质原辅材料基地，进一步擦亮“食在广州，食得放心”城市名片。</w:t>
      </w:r>
      <w:r>
        <w:rPr>
          <w:rFonts w:ascii="Times New Roman" w:hAnsi="Times New Roman" w:eastAsia="仿宋_GB2312" w:cs="Times New Roman"/>
          <w:b/>
          <w:sz w:val="32"/>
          <w:szCs w:val="32"/>
        </w:rPr>
        <w:t>探索切入发展预制菜领域。</w:t>
      </w:r>
      <w:r>
        <w:rPr>
          <w:rFonts w:ascii="Times New Roman" w:hAnsi="Times New Roman" w:eastAsia="仿宋_GB2312" w:cs="Times New Roman"/>
          <w:sz w:val="32"/>
          <w:szCs w:val="32"/>
        </w:rPr>
        <w:t>依托区内华南农大、省农科院、华南植物园等科研院所，</w:t>
      </w:r>
      <w:r>
        <w:rPr>
          <w:rFonts w:hint="eastAsia" w:ascii="Times New Roman" w:hAnsi="Times New Roman" w:eastAsia="仿宋_GB2312" w:cs="Times New Roman"/>
          <w:sz w:val="32"/>
          <w:szCs w:val="32"/>
        </w:rPr>
        <w:t>探索</w:t>
      </w:r>
      <w:r>
        <w:rPr>
          <w:rFonts w:ascii="Times New Roman" w:hAnsi="Times New Roman" w:eastAsia="仿宋_GB2312" w:cs="Times New Roman"/>
          <w:sz w:val="32"/>
          <w:szCs w:val="32"/>
        </w:rPr>
        <w:t>建设预制菜联合研发平台</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构建预制菜质量安全监管规范体系，招引和培育一批预制菜产品研发、除菌、冷链等关键技术的卡位企业，打造预制菜研学高地。鼓励九毛九、摩打餐饮等龙头餐饮企业，内部孵化组建独立部门，</w:t>
      </w:r>
      <w:r>
        <w:rPr>
          <w:rFonts w:hint="eastAsia" w:ascii="Times New Roman" w:hAnsi="Times New Roman" w:eastAsia="仿宋_GB2312" w:cs="Times New Roman"/>
          <w:sz w:val="32"/>
          <w:szCs w:val="32"/>
        </w:rPr>
        <w:t>加强明星菜品的预制化发展。鼓励各大载体、超市、餐饮门店等开设预制菜专区，加强预制菜体验、展示、销售。</w:t>
      </w:r>
      <w:r>
        <w:rPr>
          <w:rFonts w:ascii="Times New Roman" w:hAnsi="Times New Roman" w:eastAsia="仿宋_GB2312" w:cs="Times New Roman"/>
          <w:sz w:val="32"/>
          <w:szCs w:val="32"/>
        </w:rPr>
        <w:t>充分利用中心城区需求优势，</w:t>
      </w:r>
      <w:r>
        <w:rPr>
          <w:rFonts w:hint="eastAsia" w:ascii="Times New Roman" w:hAnsi="Times New Roman" w:eastAsia="仿宋_GB2312" w:cs="Times New Roman"/>
          <w:sz w:val="32"/>
          <w:szCs w:val="32"/>
        </w:rPr>
        <w:t>支持在</w:t>
      </w:r>
      <w:r>
        <w:rPr>
          <w:rFonts w:ascii="Times New Roman" w:hAnsi="Times New Roman" w:eastAsia="仿宋_GB2312" w:cs="Times New Roman"/>
          <w:sz w:val="32"/>
          <w:szCs w:val="32"/>
        </w:rPr>
        <w:t>老旧低效楼宇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住宅集中区</w:t>
      </w:r>
      <w:r>
        <w:rPr>
          <w:rFonts w:hint="eastAsia" w:ascii="Times New Roman" w:hAnsi="Times New Roman" w:eastAsia="仿宋_GB2312" w:cs="Times New Roman"/>
          <w:sz w:val="32"/>
          <w:szCs w:val="32"/>
        </w:rPr>
        <w:t>等地</w:t>
      </w:r>
      <w:r>
        <w:rPr>
          <w:rFonts w:ascii="Times New Roman" w:hAnsi="Times New Roman" w:eastAsia="仿宋_GB2312" w:cs="Times New Roman"/>
          <w:sz w:val="32"/>
          <w:szCs w:val="32"/>
        </w:rPr>
        <w:t>新建小型终端配送冷链仓库。</w:t>
      </w:r>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29" w:name="_Toc115392050"/>
      <w:r>
        <w:rPr>
          <w:rFonts w:ascii="Times New Roman" w:hAnsi="Times New Roman" w:cs="Times New Roman"/>
        </w:rPr>
        <w:t>4、提升大宗商品供应链能级和影响力</w:t>
      </w:r>
      <w:bookmarkEnd w:id="29"/>
    </w:p>
    <w:p>
      <w:pPr>
        <w:pageBreakBefore w:val="0"/>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Times New Roman" w:hAnsi="Times New Roman" w:eastAsia="仿宋_GB2312" w:cs="Times New Roman"/>
          <w:color w:val="000000" w:themeColor="text1"/>
          <w:kern w:val="0"/>
          <w:sz w:val="32"/>
          <w:szCs w:val="32"/>
          <w14:textFill>
            <w14:solidFill>
              <w14:schemeClr w14:val="tx1"/>
            </w14:solidFill>
          </w14:textFill>
        </w:rPr>
      </w:pPr>
      <w:r>
        <w:rPr>
          <w:rFonts w:hint="eastAsia" w:ascii="Times New Roman" w:hAnsi="Times New Roman" w:eastAsia="仿宋_GB2312" w:cs="Times New Roman"/>
          <w:b/>
          <w:bCs/>
          <w:color w:val="000000" w:themeColor="text1"/>
          <w:kern w:val="0"/>
          <w:sz w:val="32"/>
          <w:szCs w:val="32"/>
          <w14:textFill>
            <w14:solidFill>
              <w14:schemeClr w14:val="tx1"/>
            </w14:solidFill>
          </w14:textFill>
        </w:rPr>
        <w:t>积极引进高能级大宗商品企业。</w:t>
      </w:r>
      <w:r>
        <w:rPr>
          <w:rFonts w:ascii="Times New Roman" w:hAnsi="Times New Roman" w:eastAsia="仿宋_GB2312" w:cs="Times New Roman"/>
          <w:color w:val="000000" w:themeColor="text1"/>
          <w:kern w:val="0"/>
          <w:sz w:val="32"/>
          <w:szCs w:val="32"/>
          <w14:textFill>
            <w14:solidFill>
              <w14:schemeClr w14:val="tx1"/>
            </w14:solidFill>
          </w14:textFill>
        </w:rPr>
        <w:t>紧抓广州制造业立市、</w:t>
      </w:r>
      <w:r>
        <w:rPr>
          <w:rFonts w:hint="eastAsia" w:ascii="Times New Roman" w:hAnsi="Times New Roman" w:eastAsia="仿宋_GB2312" w:cs="Times New Roman"/>
          <w:color w:val="000000" w:themeColor="text1"/>
          <w:kern w:val="0"/>
          <w:sz w:val="32"/>
          <w:szCs w:val="32"/>
          <w14:textFill>
            <w14:solidFill>
              <w14:schemeClr w14:val="tx1"/>
            </w14:solidFill>
          </w14:textFill>
        </w:rPr>
        <w:t>天河</w:t>
      </w:r>
      <w:r>
        <w:rPr>
          <w:rFonts w:ascii="Times New Roman" w:hAnsi="Times New Roman" w:eastAsia="仿宋_GB2312" w:cs="Times New Roman"/>
          <w:color w:val="000000" w:themeColor="text1"/>
          <w:kern w:val="0"/>
          <w:sz w:val="32"/>
          <w:szCs w:val="32"/>
          <w14:textFill>
            <w14:solidFill>
              <w14:schemeClr w14:val="tx1"/>
            </w14:solidFill>
          </w14:textFill>
        </w:rPr>
        <w:t>CBD“四个出新出彩”和金融城粤港澳大湾区金融合作示范区等机遇，</w:t>
      </w:r>
      <w:r>
        <w:rPr>
          <w:rFonts w:hint="eastAsia" w:ascii="Times New Roman" w:hAnsi="Times New Roman" w:eastAsia="仿宋_GB2312" w:cs="Times New Roman"/>
          <w:color w:val="000000" w:themeColor="text1"/>
          <w:kern w:val="0"/>
          <w:sz w:val="32"/>
          <w:szCs w:val="32"/>
          <w14:textFill>
            <w14:solidFill>
              <w14:schemeClr w14:val="tx1"/>
            </w14:solidFill>
          </w14:textFill>
        </w:rPr>
        <w:t>积极对接</w:t>
      </w:r>
      <w:r>
        <w:rPr>
          <w:rFonts w:ascii="Times New Roman" w:hAnsi="Times New Roman" w:eastAsia="仿宋_GB2312" w:cs="Times New Roman"/>
          <w:color w:val="000000" w:themeColor="text1"/>
          <w:kern w:val="0"/>
          <w:sz w:val="32"/>
          <w:szCs w:val="32"/>
          <w14:textFill>
            <w14:solidFill>
              <w14:schemeClr w14:val="tx1"/>
            </w14:solidFill>
          </w14:textFill>
        </w:rPr>
        <w:t>原材料和工业品贸易广阔市场，加强引进供应链总部企业、央企总部及其二级机构，增强天河在大宗商品市场的竞争力和话语权。在油品、金属、</w:t>
      </w:r>
      <w:r>
        <w:rPr>
          <w:rFonts w:hint="eastAsia" w:ascii="Times New Roman" w:hAnsi="Times New Roman" w:eastAsia="仿宋_GB2312" w:cs="Times New Roman"/>
          <w:color w:val="000000" w:themeColor="text1"/>
          <w:kern w:val="0"/>
          <w:sz w:val="32"/>
          <w:szCs w:val="32"/>
          <w14:textFill>
            <w14:solidFill>
              <w14:schemeClr w14:val="tx1"/>
            </w14:solidFill>
          </w14:textFill>
        </w:rPr>
        <w:t>化工</w:t>
      </w:r>
      <w:r>
        <w:rPr>
          <w:rFonts w:ascii="Times New Roman" w:hAnsi="Times New Roman" w:eastAsia="仿宋_GB2312" w:cs="Times New Roman"/>
          <w:color w:val="000000" w:themeColor="text1"/>
          <w:kern w:val="0"/>
          <w:sz w:val="32"/>
          <w:szCs w:val="32"/>
          <w14:textFill>
            <w14:solidFill>
              <w14:schemeClr w14:val="tx1"/>
            </w14:solidFill>
          </w14:textFill>
        </w:rPr>
        <w:t>等优势领域引进一批具有核心竞争力的大宗商品贸易总部“链主”企业</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依托广州期货交易所建设，围绕期货产品链和交易链实施靶向招商，积极吸引拥有大宗知名品牌产品国内总分销权、总代理权的企业落户</w:t>
      </w:r>
      <w:r>
        <w:rPr>
          <w:rFonts w:hint="eastAsia" w:ascii="Times New Roman" w:hAnsi="Times New Roman" w:eastAsia="仿宋_GB2312" w:cs="Times New Roman"/>
          <w:color w:val="000000" w:themeColor="text1"/>
          <w:kern w:val="0"/>
          <w:sz w:val="32"/>
          <w:szCs w:val="32"/>
          <w14:textFill>
            <w14:solidFill>
              <w14:schemeClr w14:val="tx1"/>
            </w14:solidFill>
          </w14:textFill>
        </w:rPr>
        <w:t>；探索出台扶持政策，对符合条件大宗商品企业，按其营业收入</w:t>
      </w:r>
      <w:r>
        <w:rPr>
          <w:rFonts w:ascii="Times New Roman" w:hAnsi="Times New Roman" w:eastAsia="仿宋_GB2312" w:cs="Times New Roman"/>
          <w:color w:val="000000" w:themeColor="text1"/>
          <w:kern w:val="0"/>
          <w:sz w:val="32"/>
          <w:szCs w:val="32"/>
          <w14:textFill>
            <w14:solidFill>
              <w14:schemeClr w14:val="tx1"/>
            </w14:solidFill>
          </w14:textFill>
        </w:rPr>
        <w:t>给予</w:t>
      </w:r>
      <w:r>
        <w:rPr>
          <w:rFonts w:hint="eastAsia" w:ascii="Times New Roman" w:hAnsi="Times New Roman" w:eastAsia="仿宋_GB2312" w:cs="Times New Roman"/>
          <w:color w:val="000000" w:themeColor="text1"/>
          <w:kern w:val="0"/>
          <w:sz w:val="32"/>
          <w:szCs w:val="32"/>
          <w14:textFill>
            <w14:solidFill>
              <w14:schemeClr w14:val="tx1"/>
            </w14:solidFill>
          </w14:textFill>
        </w:rPr>
        <w:t>一定比例的</w:t>
      </w:r>
      <w:r>
        <w:rPr>
          <w:rFonts w:ascii="Times New Roman" w:hAnsi="Times New Roman" w:eastAsia="仿宋_GB2312" w:cs="Times New Roman"/>
          <w:color w:val="000000" w:themeColor="text1"/>
          <w:kern w:val="0"/>
          <w:sz w:val="32"/>
          <w:szCs w:val="32"/>
          <w14:textFill>
            <w14:solidFill>
              <w14:schemeClr w14:val="tx1"/>
            </w14:solidFill>
          </w14:textFill>
        </w:rPr>
        <w:t>资金扶持。</w:t>
      </w:r>
      <w:r>
        <w:rPr>
          <w:rFonts w:ascii="Times New Roman" w:hAnsi="Times New Roman" w:eastAsia="仿宋_GB2312" w:cs="Times New Roman"/>
          <w:b/>
          <w:bCs/>
          <w:color w:val="000000" w:themeColor="text1"/>
          <w:kern w:val="0"/>
          <w:sz w:val="32"/>
          <w:szCs w:val="32"/>
          <w14:textFill>
            <w14:solidFill>
              <w14:schemeClr w14:val="tx1"/>
            </w14:solidFill>
          </w14:textFill>
        </w:rPr>
        <w:t>鼓励大宗商品企业延链、补链</w:t>
      </w:r>
      <w:r>
        <w:rPr>
          <w:rFonts w:hint="eastAsia" w:ascii="Times New Roman" w:hAnsi="Times New Roman" w:eastAsia="仿宋_GB2312" w:cs="Times New Roman"/>
          <w:color w:val="000000" w:themeColor="text1"/>
          <w:kern w:val="0"/>
          <w:sz w:val="32"/>
          <w:szCs w:val="32"/>
          <w14:textFill>
            <w14:solidFill>
              <w14:schemeClr w14:val="tx1"/>
            </w14:solidFill>
          </w14:textFill>
        </w:rPr>
        <w:t>。支持大宗商品企业</w:t>
      </w:r>
      <w:r>
        <w:rPr>
          <w:rFonts w:ascii="Times New Roman" w:hAnsi="Times New Roman" w:eastAsia="仿宋_GB2312" w:cs="Times New Roman"/>
          <w:color w:val="000000" w:themeColor="text1"/>
          <w:kern w:val="0"/>
          <w:sz w:val="32"/>
          <w:szCs w:val="32"/>
          <w14:textFill>
            <w14:solidFill>
              <w14:schemeClr w14:val="tx1"/>
            </w14:solidFill>
          </w14:textFill>
        </w:rPr>
        <w:t>向供应链金融、物流增值服务等环节延伸，积极拓展新产品和新市场；支持企业开展投资和并购业务，</w:t>
      </w:r>
      <w:r>
        <w:rPr>
          <w:rFonts w:hint="eastAsia" w:ascii="Times New Roman" w:hAnsi="Times New Roman" w:eastAsia="仿宋_GB2312" w:cs="Times New Roman"/>
          <w:color w:val="000000" w:themeColor="text1"/>
          <w:kern w:val="0"/>
          <w:sz w:val="32"/>
          <w:szCs w:val="32"/>
          <w14:textFill>
            <w14:solidFill>
              <w14:schemeClr w14:val="tx1"/>
            </w14:solidFill>
          </w14:textFill>
        </w:rPr>
        <w:t>向产业上下游延伸，</w:t>
      </w:r>
      <w:r>
        <w:rPr>
          <w:rFonts w:ascii="Times New Roman" w:hAnsi="Times New Roman" w:eastAsia="仿宋_GB2312" w:cs="Times New Roman"/>
          <w:color w:val="000000" w:themeColor="text1"/>
          <w:kern w:val="0"/>
          <w:sz w:val="32"/>
          <w:szCs w:val="32"/>
          <w14:textFill>
            <w14:solidFill>
              <w14:schemeClr w14:val="tx1"/>
            </w14:solidFill>
          </w14:textFill>
        </w:rPr>
        <w:t>增强对生产、物流、港口等实体供应链把控能力；鼓励大宗商品企业电商化发展，探索打造具有影响力的大宗商品现货电商交易平台。</w:t>
      </w:r>
    </w:p>
    <w:p>
      <w:pPr>
        <w:pStyle w:val="3"/>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30" w:name="_Toc115392051"/>
      <w:r>
        <w:rPr>
          <w:rFonts w:ascii="Times New Roman" w:hAnsi="Times New Roman" w:cs="Times New Roman"/>
        </w:rPr>
        <w:t>（二）推动</w:t>
      </w:r>
      <w:r>
        <w:rPr>
          <w:rFonts w:ascii="Times New Roman" w:hAnsi="Times New Roman" w:cs="Times New Roman"/>
          <w:color w:val="000000" w:themeColor="text1"/>
          <w:kern w:val="0"/>
          <w14:textFill>
            <w14:solidFill>
              <w14:schemeClr w14:val="tx1"/>
            </w14:solidFill>
          </w14:textFill>
        </w:rPr>
        <w:t>潜力领域</w:t>
      </w:r>
      <w:r>
        <w:rPr>
          <w:rFonts w:ascii="Times New Roman" w:hAnsi="Times New Roman" w:cs="Times New Roman"/>
        </w:rPr>
        <w:t>做大做强</w:t>
      </w:r>
      <w:bookmarkEnd w:id="30"/>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31" w:name="_Toc115392052"/>
      <w:r>
        <w:rPr>
          <w:rFonts w:ascii="Times New Roman" w:hAnsi="Times New Roman" w:cs="Times New Roman"/>
        </w:rPr>
        <w:t>1、</w:t>
      </w:r>
      <w:r>
        <w:rPr>
          <w:rFonts w:hint="eastAsia" w:ascii="Times New Roman" w:hAnsi="Times New Roman" w:cs="Times New Roman"/>
        </w:rPr>
        <w:t>力促电子商务特色化突破式发展</w:t>
      </w:r>
      <w:bookmarkEnd w:id="31"/>
    </w:p>
    <w:p>
      <w:pPr>
        <w:pageBreakBefore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cs="Times New Roman"/>
        </w:rPr>
      </w:pPr>
      <w:r>
        <w:rPr>
          <w:rFonts w:ascii="Times New Roman" w:hAnsi="Times New Roman" w:eastAsia="仿宋_GB2312" w:cs="Times New Roman"/>
          <w:b/>
          <w:bCs/>
          <w:color w:val="000000" w:themeColor="text1"/>
          <w:kern w:val="0"/>
          <w:sz w:val="32"/>
          <w:szCs w:val="32"/>
          <w14:textFill>
            <w14:solidFill>
              <w14:schemeClr w14:val="tx1"/>
            </w14:solidFill>
          </w14:textFill>
        </w:rPr>
        <w:t>积极引育综合型平台电商。</w:t>
      </w:r>
      <w:r>
        <w:rPr>
          <w:rFonts w:ascii="Times New Roman" w:hAnsi="Times New Roman" w:eastAsia="仿宋_GB2312" w:cs="Times New Roman"/>
          <w:color w:val="000000" w:themeColor="text1"/>
          <w:kern w:val="0"/>
          <w:sz w:val="32"/>
          <w:szCs w:val="32"/>
          <w14:textFill>
            <w14:solidFill>
              <w14:schemeClr w14:val="tx1"/>
            </w14:solidFill>
          </w14:textFill>
        </w:rPr>
        <w:t>坚持外部引进与本土培育并重，抢抓电子商务新业态、新模式蓬勃发展机遇，及时跟踪电商龙头企业最新发展动态，大力招引天猫、京东、拼多多、抖音、快手等龙头企业来天河设立生鲜、跨境、团购、社交电商等领域的新业务区域总部。支持洋葱、云货优选等已落户平台型、综合型电商发展，加强针对性扶持，提升发展能级，打造一批有影响力的平台型电商企业。</w:t>
      </w:r>
      <w:r>
        <w:rPr>
          <w:rFonts w:hint="eastAsia" w:ascii="Times New Roman" w:hAnsi="Times New Roman" w:eastAsia="仿宋_GB2312" w:cs="Times New Roman"/>
          <w:b/>
          <w:bCs/>
          <w:color w:val="000000" w:themeColor="text1"/>
          <w:kern w:val="0"/>
          <w:sz w:val="32"/>
          <w:szCs w:val="32"/>
          <w14:textFill>
            <w14:solidFill>
              <w14:schemeClr w14:val="tx1"/>
            </w14:solidFill>
          </w14:textFill>
        </w:rPr>
        <w:t>双管齐下，打造“天河特色”电商产业体系</w:t>
      </w:r>
      <w:r>
        <w:rPr>
          <w:rFonts w:ascii="Times New Roman" w:hAnsi="Times New Roman" w:eastAsia="仿宋_GB2312" w:cs="Times New Roman"/>
          <w:b/>
          <w:bCs/>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坚持强化核心优势主支撑与培育产业发展新动能相结合，立足自身基础，</w:t>
      </w:r>
      <w:r>
        <w:rPr>
          <w:rFonts w:hint="eastAsia" w:ascii="Times New Roman" w:hAnsi="Times New Roman" w:eastAsia="仿宋_GB2312" w:cs="Times New Roman"/>
          <w:color w:val="000000" w:themeColor="text1"/>
          <w:kern w:val="0"/>
          <w:sz w:val="32"/>
          <w:szCs w:val="32"/>
          <w14:textFill>
            <w14:solidFill>
              <w14:schemeClr w14:val="tx1"/>
            </w14:solidFill>
          </w14:textFill>
        </w:rPr>
        <w:t>支持</w:t>
      </w:r>
      <w:r>
        <w:rPr>
          <w:rFonts w:ascii="Times New Roman" w:hAnsi="Times New Roman" w:eastAsia="仿宋_GB2312" w:cs="Times New Roman"/>
          <w:color w:val="000000" w:themeColor="text1"/>
          <w:kern w:val="0"/>
          <w:sz w:val="32"/>
          <w:szCs w:val="32"/>
          <w14:textFill>
            <w14:solidFill>
              <w14:schemeClr w14:val="tx1"/>
            </w14:solidFill>
          </w14:textFill>
        </w:rPr>
        <w:t>零售</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工业B2B</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医药</w:t>
      </w:r>
      <w:r>
        <w:rPr>
          <w:rFonts w:hint="eastAsia" w:ascii="Times New Roman" w:hAnsi="Times New Roman" w:eastAsia="仿宋_GB2312" w:cs="Times New Roman"/>
          <w:color w:val="000000" w:themeColor="text1"/>
          <w:kern w:val="0"/>
          <w:sz w:val="32"/>
          <w:szCs w:val="32"/>
          <w14:textFill>
            <w14:solidFill>
              <w14:schemeClr w14:val="tx1"/>
            </w14:solidFill>
          </w14:textFill>
        </w:rPr>
        <w:t>流通等</w:t>
      </w:r>
      <w:r>
        <w:rPr>
          <w:rFonts w:ascii="Times New Roman" w:hAnsi="Times New Roman" w:eastAsia="仿宋_GB2312" w:cs="Times New Roman"/>
          <w:color w:val="000000" w:themeColor="text1"/>
          <w:kern w:val="0"/>
          <w:sz w:val="32"/>
          <w:szCs w:val="32"/>
          <w14:textFill>
            <w14:solidFill>
              <w14:schemeClr w14:val="tx1"/>
            </w14:solidFill>
          </w14:textFill>
        </w:rPr>
        <w:t>传统线下优势领域“线上化、电商化”发展。</w:t>
      </w:r>
      <w:r>
        <w:rPr>
          <w:rFonts w:hint="eastAsia" w:ascii="Times New Roman" w:hAnsi="Times New Roman" w:eastAsia="仿宋_GB2312" w:cs="Times New Roman"/>
          <w:color w:val="000000" w:themeColor="text1"/>
          <w:kern w:val="0"/>
          <w:sz w:val="32"/>
          <w:szCs w:val="32"/>
          <w14:textFill>
            <w14:solidFill>
              <w14:schemeClr w14:val="tx1"/>
            </w14:solidFill>
          </w14:textFill>
        </w:rPr>
        <w:t>发挥软件业和高端专业服务业优势，抓住数字经济发展机遇，依托酷狗、网易云音乐、要出发等基础，大力发展数字内容电商、服务电商、社交电商等垂直领域，形成在数字商品和服务类商品领域的发展特色</w:t>
      </w:r>
      <w:r>
        <w:rPr>
          <w:rFonts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b/>
          <w:bCs/>
          <w:color w:val="000000" w:themeColor="text1"/>
          <w:kern w:val="0"/>
          <w:sz w:val="32"/>
          <w:szCs w:val="32"/>
          <w14:textFill>
            <w14:solidFill>
              <w14:schemeClr w14:val="tx1"/>
            </w14:solidFill>
          </w14:textFill>
        </w:rPr>
        <w:t>加强电商集聚</w:t>
      </w:r>
      <w:r>
        <w:rPr>
          <w:rFonts w:hint="eastAsia" w:ascii="Times New Roman" w:hAnsi="Times New Roman" w:eastAsia="仿宋_GB2312" w:cs="Times New Roman"/>
          <w:b/>
          <w:bCs/>
          <w:color w:val="000000" w:themeColor="text1"/>
          <w:kern w:val="0"/>
          <w:sz w:val="32"/>
          <w:szCs w:val="32"/>
          <w14:textFill>
            <w14:solidFill>
              <w14:schemeClr w14:val="tx1"/>
            </w14:solidFill>
          </w14:textFill>
        </w:rPr>
        <w:t>发展</w:t>
      </w:r>
      <w:r>
        <w:rPr>
          <w:rFonts w:ascii="Times New Roman" w:hAnsi="Times New Roman" w:eastAsia="仿宋_GB2312" w:cs="Times New Roman"/>
          <w:b/>
          <w:bCs/>
          <w:color w:val="000000" w:themeColor="text1"/>
          <w:kern w:val="0"/>
          <w:sz w:val="32"/>
          <w:szCs w:val="32"/>
          <w14:textFill>
            <w14:solidFill>
              <w14:schemeClr w14:val="tx1"/>
            </w14:solidFill>
          </w14:textFill>
        </w:rPr>
        <w:t>。</w:t>
      </w:r>
      <w:r>
        <w:rPr>
          <w:rFonts w:hint="eastAsia" w:ascii="Times New Roman" w:hAnsi="Times New Roman" w:eastAsia="仿宋_GB2312" w:cs="Times New Roman"/>
          <w:color w:val="000000" w:themeColor="text1"/>
          <w:kern w:val="0"/>
          <w:sz w:val="32"/>
          <w:szCs w:val="32"/>
          <w14:textFill>
            <w14:solidFill>
              <w14:schemeClr w14:val="tx1"/>
            </w14:solidFill>
          </w14:textFill>
        </w:rPr>
        <w:t>探索</w:t>
      </w:r>
      <w:r>
        <w:rPr>
          <w:rFonts w:ascii="Times New Roman" w:hAnsi="Times New Roman" w:eastAsia="仿宋_GB2312" w:cs="Times New Roman"/>
          <w:color w:val="000000" w:themeColor="text1"/>
          <w:kern w:val="0"/>
          <w:sz w:val="32"/>
          <w:szCs w:val="32"/>
          <w14:textFill>
            <w14:solidFill>
              <w14:schemeClr w14:val="tx1"/>
            </w14:solidFill>
          </w14:textFill>
        </w:rPr>
        <w:t>在</w:t>
      </w:r>
      <w:r>
        <w:rPr>
          <w:rFonts w:hint="eastAsia" w:ascii="Times New Roman" w:hAnsi="Times New Roman" w:eastAsia="仿宋_GB2312" w:cs="Times New Roman"/>
          <w:color w:val="000000" w:themeColor="text1"/>
          <w:kern w:val="0"/>
          <w:sz w:val="32"/>
          <w:szCs w:val="32"/>
          <w14:textFill>
            <w14:solidFill>
              <w14:schemeClr w14:val="tx1"/>
            </w14:solidFill>
          </w14:textFill>
        </w:rPr>
        <w:t>天河</w:t>
      </w:r>
      <w:r>
        <w:rPr>
          <w:rFonts w:ascii="Times New Roman" w:hAnsi="Times New Roman" w:eastAsia="仿宋_GB2312" w:cs="Times New Roman"/>
          <w:color w:val="000000" w:themeColor="text1"/>
          <w:kern w:val="0"/>
          <w:sz w:val="32"/>
          <w:szCs w:val="32"/>
          <w14:textFill>
            <w14:solidFill>
              <w14:schemeClr w14:val="tx1"/>
            </w14:solidFill>
          </w14:textFill>
        </w:rPr>
        <w:t>智谷片区选址打造电商专业楼宇或产业园，在为电商企业提供发展空间的同时，凸显天河区着力推动电商产业发展的政策导向，打响产业发展名片，增强对电商企业的吸引力。</w:t>
      </w:r>
      <w:r>
        <w:rPr>
          <w:rFonts w:hint="eastAsia" w:ascii="Times New Roman" w:hAnsi="Times New Roman" w:eastAsia="仿宋_GB2312" w:cs="Times New Roman"/>
          <w:color w:val="000000" w:themeColor="text1"/>
          <w:kern w:val="0"/>
          <w:sz w:val="32"/>
          <w:szCs w:val="32"/>
          <w14:textFill>
            <w14:solidFill>
              <w14:schemeClr w14:val="tx1"/>
            </w14:solidFill>
          </w14:textFill>
        </w:rPr>
        <w:t>研究出台针对电子商务产业园的扶持政策，从企业入驻、房租补贴、销售奖励、人才引育等各方面给予支持，着力培育电子商务产业。</w:t>
      </w:r>
      <w:r>
        <w:rPr>
          <w:rFonts w:ascii="Times New Roman" w:hAnsi="Times New Roman" w:eastAsia="仿宋_GB2312" w:cs="Times New Roman"/>
          <w:color w:val="000000" w:themeColor="text1"/>
          <w:kern w:val="0"/>
          <w:sz w:val="32"/>
          <w:szCs w:val="32"/>
          <w14:textFill>
            <w14:solidFill>
              <w14:schemeClr w14:val="tx1"/>
            </w14:solidFill>
          </w14:textFill>
        </w:rPr>
        <w:t>加强应用场景支持，鼓励开展电商新技术、新业态、新模式的落地实验和应用推广，支持在区内商业载体开展电商黑科技尝鲜体验、电商新业态快闪体验等。</w:t>
      </w:r>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32" w:name="_Toc115392053"/>
      <w:r>
        <w:rPr>
          <w:rFonts w:ascii="Times New Roman" w:hAnsi="Times New Roman" w:cs="Times New Roman"/>
        </w:rPr>
        <w:t>2、</w:t>
      </w:r>
      <w:r>
        <w:rPr>
          <w:rFonts w:hint="eastAsia" w:ascii="Times New Roman" w:hAnsi="Times New Roman" w:cs="Times New Roman"/>
        </w:rPr>
        <w:t>构建湾区</w:t>
      </w:r>
      <w:r>
        <w:rPr>
          <w:rFonts w:ascii="Times New Roman" w:hAnsi="Times New Roman" w:cs="Times New Roman"/>
        </w:rPr>
        <w:t>汽车</w:t>
      </w:r>
      <w:r>
        <w:rPr>
          <w:rFonts w:hint="eastAsia" w:ascii="Times New Roman" w:hAnsi="Times New Roman" w:cs="Times New Roman"/>
        </w:rPr>
        <w:t>展示销售推广</w:t>
      </w:r>
      <w:r>
        <w:rPr>
          <w:rFonts w:ascii="Times New Roman" w:hAnsi="Times New Roman" w:cs="Times New Roman"/>
        </w:rPr>
        <w:t>高地</w:t>
      </w:r>
      <w:bookmarkEnd w:id="32"/>
    </w:p>
    <w:p>
      <w:pPr>
        <w:pageBreakBefore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hint="eastAsia" w:ascii="Times New Roman" w:hAnsi="Times New Roman" w:eastAsia="仿宋_GB2312" w:cs="Times New Roman"/>
          <w:b/>
          <w:bCs/>
          <w:color w:val="000000" w:themeColor="text1"/>
          <w:kern w:val="0"/>
          <w:sz w:val="32"/>
          <w:szCs w:val="32"/>
          <w14:textFill>
            <w14:solidFill>
              <w14:schemeClr w14:val="tx1"/>
            </w14:solidFill>
          </w14:textFill>
        </w:rPr>
        <w:t>加强</w:t>
      </w:r>
      <w:r>
        <w:rPr>
          <w:rFonts w:ascii="Times New Roman" w:hAnsi="Times New Roman" w:eastAsia="仿宋_GB2312" w:cs="Times New Roman"/>
          <w:b/>
          <w:bCs/>
          <w:color w:val="000000" w:themeColor="text1"/>
          <w:kern w:val="0"/>
          <w:sz w:val="32"/>
          <w:szCs w:val="32"/>
          <w14:textFill>
            <w14:solidFill>
              <w14:schemeClr w14:val="tx1"/>
            </w14:solidFill>
          </w14:textFill>
        </w:rPr>
        <w:t>汽车产品</w:t>
      </w:r>
      <w:r>
        <w:rPr>
          <w:rFonts w:hint="eastAsia" w:ascii="Times New Roman" w:hAnsi="Times New Roman" w:eastAsia="仿宋_GB2312" w:cs="Times New Roman"/>
          <w:b/>
          <w:bCs/>
          <w:color w:val="000000" w:themeColor="text1"/>
          <w:kern w:val="0"/>
          <w:sz w:val="32"/>
          <w:szCs w:val="32"/>
          <w14:textFill>
            <w14:solidFill>
              <w14:schemeClr w14:val="tx1"/>
            </w14:solidFill>
          </w14:textFill>
        </w:rPr>
        <w:t>展示推广</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鼓励正佳广场</w:t>
      </w:r>
      <w:r>
        <w:rPr>
          <w:rFonts w:hint="eastAsia" w:ascii="Times New Roman" w:hAnsi="Times New Roman" w:eastAsia="仿宋_GB2312" w:cs="Times New Roman"/>
          <w:color w:val="000000" w:themeColor="text1"/>
          <w:kern w:val="0"/>
          <w:sz w:val="32"/>
          <w:szCs w:val="32"/>
          <w14:textFill>
            <w14:solidFill>
              <w14:schemeClr w14:val="tx1"/>
            </w14:solidFill>
          </w14:textFill>
        </w:rPr>
        <w:t>、太古汇、天环广场、高德置地、美林天地</w:t>
      </w:r>
      <w:r>
        <w:rPr>
          <w:rFonts w:ascii="Times New Roman" w:hAnsi="Times New Roman" w:eastAsia="仿宋_GB2312" w:cs="Times New Roman"/>
          <w:color w:val="000000" w:themeColor="text1"/>
          <w:kern w:val="0"/>
          <w:sz w:val="32"/>
          <w:szCs w:val="32"/>
          <w14:textFill>
            <w14:solidFill>
              <w14:schemeClr w14:val="tx1"/>
            </w14:solidFill>
          </w14:textFill>
        </w:rPr>
        <w:t>等商业载体积极引进新能源</w:t>
      </w:r>
      <w:r>
        <w:rPr>
          <w:rFonts w:hint="eastAsia" w:ascii="Times New Roman" w:hAnsi="Times New Roman" w:eastAsia="仿宋_GB2312" w:cs="Times New Roman"/>
          <w:color w:val="000000" w:themeColor="text1"/>
          <w:kern w:val="0"/>
          <w:sz w:val="32"/>
          <w:szCs w:val="32"/>
          <w14:textFill>
            <w14:solidFill>
              <w14:schemeClr w14:val="tx1"/>
            </w14:solidFill>
          </w14:textFill>
        </w:rPr>
        <w:t>及</w:t>
      </w:r>
      <w:r>
        <w:rPr>
          <w:rFonts w:ascii="Times New Roman" w:hAnsi="Times New Roman" w:eastAsia="仿宋_GB2312" w:cs="Times New Roman"/>
          <w:color w:val="000000" w:themeColor="text1"/>
          <w:kern w:val="0"/>
          <w:sz w:val="32"/>
          <w:szCs w:val="32"/>
          <w14:textFill>
            <w14:solidFill>
              <w14:schemeClr w14:val="tx1"/>
            </w14:solidFill>
          </w14:textFill>
        </w:rPr>
        <w:t>高端汽车品牌</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设置临时展示位或常驻体验店</w:t>
      </w:r>
      <w:r>
        <w:rPr>
          <w:rFonts w:hint="eastAsia" w:ascii="Times New Roman" w:hAnsi="Times New Roman" w:eastAsia="仿宋_GB2312" w:cs="Times New Roman"/>
          <w:color w:val="000000" w:themeColor="text1"/>
          <w:kern w:val="0"/>
          <w:sz w:val="32"/>
          <w:szCs w:val="32"/>
          <w14:textFill>
            <w14:solidFill>
              <w14:schemeClr w14:val="tx1"/>
            </w14:solidFill>
          </w14:textFill>
        </w:rPr>
        <w:t>；借助</w:t>
      </w:r>
      <w:r>
        <w:rPr>
          <w:rFonts w:ascii="Times New Roman" w:hAnsi="Times New Roman" w:eastAsia="仿宋_GB2312" w:cs="Times New Roman"/>
          <w:sz w:val="32"/>
          <w:szCs w:val="32"/>
        </w:rPr>
        <w:t>城市中轴</w:t>
      </w:r>
      <w:r>
        <w:rPr>
          <w:rFonts w:hint="eastAsia" w:ascii="Times New Roman" w:hAnsi="Times New Roman" w:eastAsia="仿宋_GB2312" w:cs="Times New Roman"/>
          <w:sz w:val="32"/>
          <w:szCs w:val="32"/>
        </w:rPr>
        <w:t>，</w:t>
      </w:r>
      <w:r>
        <w:rPr>
          <w:rFonts w:hint="eastAsia" w:ascii="Times New Roman" w:hAnsi="Times New Roman" w:eastAsia="仿宋_GB2312" w:cs="Times New Roman"/>
          <w:color w:val="000000" w:themeColor="text1"/>
          <w:kern w:val="0"/>
          <w:sz w:val="32"/>
          <w:szCs w:val="32"/>
          <w14:textFill>
            <w14:solidFill>
              <w14:schemeClr w14:val="tx1"/>
            </w14:solidFill>
          </w14:textFill>
        </w:rPr>
        <w:t>在海心沙、花城汇选址打造临时性汽车展示中心，联动广州车展等，举办时尚、高端车型首发活动</w:t>
      </w:r>
      <w:r>
        <w:rPr>
          <w:rFonts w:ascii="Times New Roman" w:hAnsi="Times New Roman" w:eastAsia="仿宋_GB2312" w:cs="Times New Roman"/>
          <w:color w:val="000000" w:themeColor="text1"/>
          <w:kern w:val="0"/>
          <w:sz w:val="32"/>
          <w:szCs w:val="32"/>
          <w14:textFill>
            <w14:solidFill>
              <w14:schemeClr w14:val="tx1"/>
            </w14:solidFill>
          </w14:textFill>
        </w:rPr>
        <w:t>；</w:t>
      </w:r>
      <w:r>
        <w:rPr>
          <w:rFonts w:hint="eastAsia" w:ascii="Times New Roman" w:hAnsi="Times New Roman" w:eastAsia="仿宋_GB2312" w:cs="Times New Roman"/>
          <w:color w:val="000000" w:themeColor="text1"/>
          <w:kern w:val="0"/>
          <w:sz w:val="32"/>
          <w:szCs w:val="32"/>
          <w14:textFill>
            <w14:solidFill>
              <w14:schemeClr w14:val="tx1"/>
            </w14:solidFill>
          </w14:textFill>
        </w:rPr>
        <w:t>支持在</w:t>
      </w:r>
      <w:r>
        <w:rPr>
          <w:rFonts w:ascii="Times New Roman" w:hAnsi="Times New Roman" w:eastAsia="仿宋_GB2312" w:cs="Times New Roman"/>
          <w:color w:val="000000" w:themeColor="text1"/>
          <w:kern w:val="0"/>
          <w:sz w:val="32"/>
          <w:szCs w:val="32"/>
          <w14:textFill>
            <w14:solidFill>
              <w14:schemeClr w14:val="tx1"/>
            </w14:solidFill>
          </w14:textFill>
        </w:rPr>
        <w:t>珠江新城、天河路等商圈在户外人流密集区设置多车辆、多品牌大型商业展出，并加强展出与游戏、潮玩、美妆等结合，</w:t>
      </w:r>
      <w:r>
        <w:rPr>
          <w:rFonts w:hint="eastAsia" w:ascii="Times New Roman" w:hAnsi="Times New Roman" w:eastAsia="仿宋_GB2312" w:cs="Times New Roman"/>
          <w:color w:val="000000" w:themeColor="text1"/>
          <w:kern w:val="0"/>
          <w:sz w:val="32"/>
          <w:szCs w:val="32"/>
          <w14:textFill>
            <w14:solidFill>
              <w14:schemeClr w14:val="tx1"/>
            </w14:solidFill>
          </w14:textFill>
        </w:rPr>
        <w:t>加强</w:t>
      </w:r>
      <w:r>
        <w:rPr>
          <w:rFonts w:ascii="Times New Roman" w:hAnsi="Times New Roman" w:eastAsia="仿宋_GB2312" w:cs="Times New Roman"/>
          <w:color w:val="000000" w:themeColor="text1"/>
          <w:kern w:val="0"/>
          <w:sz w:val="32"/>
          <w:szCs w:val="32"/>
          <w14:textFill>
            <w14:solidFill>
              <w14:schemeClr w14:val="tx1"/>
            </w14:solidFill>
          </w14:textFill>
        </w:rPr>
        <w:t>汽车文化、艺术文化、潮流文化、餐饮文化、娱乐文化相互渗透，创造多元体验场景，提升汽车品牌与商圈人气</w:t>
      </w:r>
      <w:r>
        <w:rPr>
          <w:rFonts w:hint="eastAsia" w:ascii="Times New Roman" w:hAnsi="Times New Roman" w:eastAsia="仿宋_GB2312" w:cs="Times New Roman"/>
          <w:color w:val="000000" w:themeColor="text1"/>
          <w:kern w:val="0"/>
          <w:sz w:val="32"/>
          <w:szCs w:val="32"/>
          <w14:textFill>
            <w14:solidFill>
              <w14:schemeClr w14:val="tx1"/>
            </w14:solidFill>
          </w14:textFill>
        </w:rPr>
        <w:t>；积极推动区内充换电桩、加氢站、新能源汽车专用车位等设施建设，加快构建绿色交通基础设施网络</w:t>
      </w:r>
      <w:r>
        <w:rPr>
          <w:rFonts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b/>
          <w:bCs/>
          <w:color w:val="000000" w:themeColor="text1"/>
          <w:kern w:val="0"/>
          <w:sz w:val="32"/>
          <w:szCs w:val="32"/>
          <w14:textFill>
            <w14:solidFill>
              <w14:schemeClr w14:val="tx1"/>
            </w14:solidFill>
          </w14:textFill>
        </w:rPr>
        <w:t>推动汽车销售商家</w:t>
      </w:r>
      <w:r>
        <w:rPr>
          <w:rFonts w:hint="eastAsia" w:ascii="Times New Roman" w:hAnsi="Times New Roman" w:eastAsia="仿宋_GB2312" w:cs="Times New Roman"/>
          <w:b/>
          <w:bCs/>
          <w:color w:val="000000" w:themeColor="text1"/>
          <w:kern w:val="0"/>
          <w:sz w:val="32"/>
          <w:szCs w:val="32"/>
          <w14:textFill>
            <w14:solidFill>
              <w14:schemeClr w14:val="tx1"/>
            </w14:solidFill>
          </w14:textFill>
        </w:rPr>
        <w:t>与相关主体联动。</w:t>
      </w:r>
      <w:r>
        <w:rPr>
          <w:rFonts w:hint="eastAsia" w:ascii="Times New Roman" w:hAnsi="Times New Roman" w:eastAsia="仿宋_GB2312" w:cs="Times New Roman"/>
          <w:color w:val="000000" w:themeColor="text1"/>
          <w:kern w:val="0"/>
          <w:sz w:val="32"/>
          <w:szCs w:val="32"/>
          <w14:textFill>
            <w14:solidFill>
              <w14:schemeClr w14:val="tx1"/>
            </w14:solidFill>
          </w14:textFill>
        </w:rPr>
        <w:t>支持汽车销售企业</w:t>
      </w:r>
      <w:r>
        <w:rPr>
          <w:rFonts w:ascii="Times New Roman" w:hAnsi="Times New Roman" w:eastAsia="仿宋_GB2312" w:cs="Times New Roman"/>
          <w:color w:val="000000" w:themeColor="text1"/>
          <w:kern w:val="0"/>
          <w:sz w:val="32"/>
          <w:szCs w:val="32"/>
          <w14:textFill>
            <w14:solidFill>
              <w14:schemeClr w14:val="tx1"/>
            </w14:solidFill>
          </w14:textFill>
        </w:rPr>
        <w:t>与商圈、商业载体、大型企业等主体联动，共同举办飞盘、露营、亲子、足球等活动，建立联络沟通机制，定期推广优秀活动合作案例。</w:t>
      </w:r>
      <w:r>
        <w:rPr>
          <w:rFonts w:ascii="Times New Roman" w:hAnsi="Times New Roman" w:eastAsia="仿宋_GB2312" w:cs="Times New Roman"/>
          <w:b/>
          <w:bCs/>
          <w:color w:val="000000" w:themeColor="text1"/>
          <w:kern w:val="0"/>
          <w:sz w:val="32"/>
          <w:szCs w:val="32"/>
          <w14:textFill>
            <w14:solidFill>
              <w14:schemeClr w14:val="tx1"/>
            </w14:solidFill>
          </w14:textFill>
        </w:rPr>
        <w:t>推动汽车</w:t>
      </w:r>
      <w:r>
        <w:rPr>
          <w:rFonts w:hint="eastAsia" w:ascii="Times New Roman" w:hAnsi="Times New Roman" w:eastAsia="仿宋_GB2312" w:cs="Times New Roman"/>
          <w:b/>
          <w:bCs/>
          <w:color w:val="000000" w:themeColor="text1"/>
          <w:kern w:val="0"/>
          <w:sz w:val="32"/>
          <w:szCs w:val="32"/>
          <w14:textFill>
            <w14:solidFill>
              <w14:schemeClr w14:val="tx1"/>
            </w14:solidFill>
          </w14:textFill>
        </w:rPr>
        <w:t>销售</w:t>
      </w:r>
      <w:r>
        <w:rPr>
          <w:rFonts w:ascii="Times New Roman" w:hAnsi="Times New Roman" w:eastAsia="仿宋_GB2312" w:cs="Times New Roman"/>
          <w:b/>
          <w:bCs/>
          <w:color w:val="000000" w:themeColor="text1"/>
          <w:kern w:val="0"/>
          <w:sz w:val="32"/>
          <w:szCs w:val="32"/>
          <w14:textFill>
            <w14:solidFill>
              <w14:schemeClr w14:val="tx1"/>
            </w14:solidFill>
          </w14:textFill>
        </w:rPr>
        <w:t>集聚</w:t>
      </w:r>
      <w:r>
        <w:rPr>
          <w:rFonts w:hint="eastAsia" w:ascii="Times New Roman" w:hAnsi="Times New Roman" w:eastAsia="仿宋_GB2312" w:cs="Times New Roman"/>
          <w:b/>
          <w:bCs/>
          <w:color w:val="000000" w:themeColor="text1"/>
          <w:kern w:val="0"/>
          <w:sz w:val="32"/>
          <w:szCs w:val="32"/>
          <w14:textFill>
            <w14:solidFill>
              <w14:schemeClr w14:val="tx1"/>
            </w14:solidFill>
          </w14:textFill>
        </w:rPr>
        <w:t>发展</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抓住广东省建设县域汽车综合卖场机遇，</w:t>
      </w:r>
      <w:r>
        <w:rPr>
          <w:rFonts w:hint="eastAsia" w:ascii="Times New Roman" w:hAnsi="Times New Roman" w:eastAsia="仿宋_GB2312" w:cs="Times New Roman"/>
          <w:color w:val="000000" w:themeColor="text1"/>
          <w:kern w:val="0"/>
          <w:sz w:val="32"/>
          <w:szCs w:val="32"/>
          <w14:textFill>
            <w14:solidFill>
              <w14:schemeClr w14:val="tx1"/>
            </w14:solidFill>
          </w14:textFill>
        </w:rPr>
        <w:t>在高德置地</w:t>
      </w:r>
      <w:r>
        <w:rPr>
          <w:rFonts w:ascii="Times New Roman" w:hAnsi="Times New Roman" w:eastAsia="仿宋_GB2312" w:cs="Times New Roman"/>
          <w:color w:val="000000" w:themeColor="text1"/>
          <w:kern w:val="0"/>
          <w:sz w:val="32"/>
          <w:szCs w:val="32"/>
          <w14:textFill>
            <w14:solidFill>
              <w14:schemeClr w14:val="tx1"/>
            </w14:solidFill>
          </w14:textFill>
        </w:rPr>
        <w:t>打造微型汽车集聚地</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探索在奥体</w:t>
      </w:r>
      <w:r>
        <w:rPr>
          <w:rFonts w:hint="eastAsia" w:ascii="Times New Roman" w:hAnsi="Times New Roman" w:eastAsia="仿宋_GB2312" w:cs="Times New Roman"/>
          <w:color w:val="000000" w:themeColor="text1"/>
          <w:kern w:val="0"/>
          <w:sz w:val="32"/>
          <w:szCs w:val="32"/>
          <w14:textFill>
            <w14:solidFill>
              <w14:schemeClr w14:val="tx1"/>
            </w14:solidFill>
          </w14:textFill>
        </w:rPr>
        <w:t>中心周边及</w:t>
      </w:r>
      <w:r>
        <w:rPr>
          <w:rFonts w:ascii="Times New Roman" w:hAnsi="Times New Roman" w:eastAsia="仿宋_GB2312" w:cs="Times New Roman"/>
          <w:color w:val="000000" w:themeColor="text1"/>
          <w:kern w:val="0"/>
          <w:sz w:val="32"/>
          <w:szCs w:val="32"/>
          <w14:textFill>
            <w14:solidFill>
              <w14:schemeClr w14:val="tx1"/>
            </w14:solidFill>
          </w14:textFill>
        </w:rPr>
        <w:t>优托邦打造新能源汽车集中展示、服务区，搭建汽车社群，创建汽车媒体矩阵，通过精准的用户画像，为消费者推荐专业的品车、选车、买车、用车、养车一站式体验；</w:t>
      </w:r>
      <w:r>
        <w:rPr>
          <w:rFonts w:hint="eastAsia" w:ascii="Times New Roman" w:hAnsi="Times New Roman" w:eastAsia="仿宋_GB2312" w:cs="Times New Roman"/>
          <w:color w:val="000000" w:themeColor="text1"/>
          <w:kern w:val="0"/>
          <w:sz w:val="32"/>
          <w:szCs w:val="32"/>
          <w14:textFill>
            <w14:solidFill>
              <w14:schemeClr w14:val="tx1"/>
            </w14:solidFill>
          </w14:textFill>
        </w:rPr>
        <w:t>谋划整合广汕路沿线资源，探索</w:t>
      </w:r>
      <w:r>
        <w:rPr>
          <w:rFonts w:ascii="Times New Roman" w:hAnsi="Times New Roman" w:eastAsia="仿宋_GB2312" w:cs="Times New Roman"/>
          <w:color w:val="000000" w:themeColor="text1"/>
          <w:kern w:val="0"/>
          <w:sz w:val="32"/>
          <w:szCs w:val="32"/>
          <w14:textFill>
            <w14:solidFill>
              <w14:schemeClr w14:val="tx1"/>
            </w14:solidFill>
          </w14:textFill>
        </w:rPr>
        <w:t>旧批发市场或城中村改造</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打造汽车</w:t>
      </w:r>
      <w:r>
        <w:rPr>
          <w:rFonts w:hint="eastAsia" w:ascii="Times New Roman" w:hAnsi="Times New Roman" w:eastAsia="仿宋_GB2312" w:cs="Times New Roman"/>
          <w:color w:val="000000" w:themeColor="text1"/>
          <w:kern w:val="0"/>
          <w:sz w:val="32"/>
          <w:szCs w:val="32"/>
          <w14:textFill>
            <w14:solidFill>
              <w14:schemeClr w14:val="tx1"/>
            </w14:solidFill>
          </w14:textFill>
        </w:rPr>
        <w:t>4</w:t>
      </w:r>
      <w:r>
        <w:rPr>
          <w:rFonts w:ascii="Times New Roman" w:hAnsi="Times New Roman" w:eastAsia="仿宋_GB2312" w:cs="Times New Roman"/>
          <w:color w:val="000000" w:themeColor="text1"/>
          <w:kern w:val="0"/>
          <w:sz w:val="32"/>
          <w:szCs w:val="32"/>
          <w14:textFill>
            <w14:solidFill>
              <w14:schemeClr w14:val="tx1"/>
            </w14:solidFill>
          </w14:textFill>
        </w:rPr>
        <w:t>S</w:t>
      </w:r>
      <w:r>
        <w:rPr>
          <w:rFonts w:hint="eastAsia" w:ascii="Times New Roman" w:hAnsi="Times New Roman" w:eastAsia="仿宋_GB2312" w:cs="Times New Roman"/>
          <w:color w:val="000000" w:themeColor="text1"/>
          <w:kern w:val="0"/>
          <w:sz w:val="32"/>
          <w:szCs w:val="32"/>
          <w14:textFill>
            <w14:solidFill>
              <w14:schemeClr w14:val="tx1"/>
            </w14:solidFill>
          </w14:textFill>
        </w:rPr>
        <w:t>店、</w:t>
      </w:r>
      <w:r>
        <w:rPr>
          <w:rFonts w:ascii="Times New Roman" w:hAnsi="Times New Roman" w:eastAsia="仿宋_GB2312" w:cs="Times New Roman"/>
          <w:color w:val="000000" w:themeColor="text1"/>
          <w:kern w:val="0"/>
          <w:sz w:val="32"/>
          <w:szCs w:val="32"/>
          <w14:textFill>
            <w14:solidFill>
              <w14:schemeClr w14:val="tx1"/>
            </w14:solidFill>
          </w14:textFill>
        </w:rPr>
        <w:t>维修</w:t>
      </w:r>
      <w:r>
        <w:rPr>
          <w:rFonts w:hint="eastAsia" w:ascii="Times New Roman" w:hAnsi="Times New Roman" w:eastAsia="仿宋_GB2312" w:cs="Times New Roman"/>
          <w:color w:val="000000" w:themeColor="text1"/>
          <w:kern w:val="0"/>
          <w:sz w:val="32"/>
          <w:szCs w:val="32"/>
          <w14:textFill>
            <w14:solidFill>
              <w14:schemeClr w14:val="tx1"/>
            </w14:solidFill>
          </w14:textFill>
        </w:rPr>
        <w:t>中心</w:t>
      </w:r>
      <w:r>
        <w:rPr>
          <w:rFonts w:ascii="Times New Roman" w:hAnsi="Times New Roman" w:eastAsia="仿宋_GB2312" w:cs="Times New Roman"/>
          <w:color w:val="000000" w:themeColor="text1"/>
          <w:kern w:val="0"/>
          <w:sz w:val="32"/>
          <w:szCs w:val="32"/>
          <w14:textFill>
            <w14:solidFill>
              <w14:schemeClr w14:val="tx1"/>
            </w14:solidFill>
          </w14:textFill>
        </w:rPr>
        <w:t>集聚区</w:t>
      </w:r>
      <w:r>
        <w:rPr>
          <w:rFonts w:hint="eastAsia" w:ascii="Times New Roman" w:hAnsi="Times New Roman" w:eastAsia="仿宋_GB2312" w:cs="Times New Roman"/>
          <w:color w:val="000000" w:themeColor="text1"/>
          <w:kern w:val="0"/>
          <w:sz w:val="32"/>
          <w:szCs w:val="32"/>
          <w14:textFill>
            <w14:solidFill>
              <w14:schemeClr w14:val="tx1"/>
            </w14:solidFill>
          </w14:textFill>
        </w:rPr>
        <w:t>，形成规模化发展</w:t>
      </w:r>
      <w:r>
        <w:rPr>
          <w:rFonts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b/>
          <w:bCs/>
          <w:color w:val="000000" w:themeColor="text1"/>
          <w:kern w:val="0"/>
          <w:sz w:val="32"/>
          <w:szCs w:val="32"/>
          <w14:textFill>
            <w14:solidFill>
              <w14:schemeClr w14:val="tx1"/>
            </w14:solidFill>
          </w14:textFill>
        </w:rPr>
        <w:t>推动建立汽车主题综合体</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鼓励专业商业地产商参与，</w:t>
      </w:r>
      <w:r>
        <w:rPr>
          <w:rFonts w:hint="eastAsia" w:ascii="Times New Roman" w:hAnsi="Times New Roman" w:eastAsia="仿宋_GB2312" w:cs="Times New Roman"/>
          <w:color w:val="000000" w:themeColor="text1"/>
          <w:kern w:val="0"/>
          <w:sz w:val="32"/>
          <w:szCs w:val="32"/>
          <w14:textFill>
            <w14:solidFill>
              <w14:schemeClr w14:val="tx1"/>
            </w14:solidFill>
          </w14:textFill>
        </w:rPr>
        <w:t>选址合适地块，</w:t>
      </w:r>
      <w:r>
        <w:rPr>
          <w:rFonts w:ascii="Times New Roman" w:hAnsi="Times New Roman" w:eastAsia="仿宋_GB2312" w:cs="Times New Roman"/>
          <w:color w:val="000000" w:themeColor="text1"/>
          <w:kern w:val="0"/>
          <w:sz w:val="32"/>
          <w:szCs w:val="32"/>
          <w14:textFill>
            <w14:solidFill>
              <w14:schemeClr w14:val="tx1"/>
            </w14:solidFill>
          </w14:textFill>
        </w:rPr>
        <w:t>打造标杆汽车主题综合体，围绕车与出行未来趋势的前瞻性判断，以消费需求为核心，提供一站式全方位、全链条汽车销售+商业零售及服务，</w:t>
      </w:r>
      <w:r>
        <w:rPr>
          <w:rFonts w:hint="eastAsia" w:ascii="Times New Roman" w:hAnsi="Times New Roman" w:eastAsia="仿宋_GB2312" w:cs="Times New Roman"/>
          <w:color w:val="000000" w:themeColor="text1"/>
          <w:kern w:val="0"/>
          <w:sz w:val="32"/>
          <w:szCs w:val="32"/>
          <w14:textFill>
            <w14:solidFill>
              <w14:schemeClr w14:val="tx1"/>
            </w14:solidFill>
          </w14:textFill>
        </w:rPr>
        <w:t>实现</w:t>
      </w:r>
      <w:r>
        <w:rPr>
          <w:rFonts w:ascii="Times New Roman" w:hAnsi="Times New Roman" w:eastAsia="仿宋_GB2312" w:cs="Times New Roman"/>
          <w:color w:val="000000" w:themeColor="text1"/>
          <w:kern w:val="0"/>
          <w:sz w:val="32"/>
          <w:szCs w:val="32"/>
          <w14:textFill>
            <w14:solidFill>
              <w14:schemeClr w14:val="tx1"/>
            </w14:solidFill>
          </w14:textFill>
        </w:rPr>
        <w:t>汽车产业生态、服务生态、会员生态与商业多业态融合。</w:t>
      </w:r>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33" w:name="_Toc115392054"/>
      <w:r>
        <w:rPr>
          <w:rFonts w:ascii="Times New Roman" w:hAnsi="Times New Roman" w:cs="Times New Roman"/>
        </w:rPr>
        <w:t>3、</w:t>
      </w:r>
      <w:r>
        <w:rPr>
          <w:rFonts w:hint="eastAsia" w:ascii="Times New Roman" w:hAnsi="Times New Roman" w:cs="Times New Roman"/>
        </w:rPr>
        <w:t>培育药品</w:t>
      </w:r>
      <w:r>
        <w:rPr>
          <w:rFonts w:ascii="Times New Roman" w:hAnsi="Times New Roman" w:cs="Times New Roman"/>
        </w:rPr>
        <w:t>和医疗器械流通</w:t>
      </w:r>
      <w:r>
        <w:rPr>
          <w:rFonts w:hint="eastAsia" w:ascii="Times New Roman" w:hAnsi="Times New Roman" w:cs="Times New Roman"/>
        </w:rPr>
        <w:t>增长点</w:t>
      </w:r>
      <w:bookmarkEnd w:id="33"/>
    </w:p>
    <w:p>
      <w:pPr>
        <w:pageBreakBefore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支持医药零售终端多元化发展</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积极探索</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药+便利店</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模式，</w:t>
      </w:r>
      <w:r>
        <w:rPr>
          <w:rFonts w:hint="eastAsia" w:ascii="Times New Roman" w:hAnsi="Times New Roman" w:eastAsia="仿宋_GB2312" w:cs="Times New Roman"/>
          <w:color w:val="000000" w:themeColor="text1"/>
          <w:kern w:val="0"/>
          <w:sz w:val="32"/>
          <w:szCs w:val="32"/>
          <w14:textFill>
            <w14:solidFill>
              <w14:schemeClr w14:val="tx1"/>
            </w14:solidFill>
          </w14:textFill>
        </w:rPr>
        <w:t>拓展保健食品、功能饮料、药妆、日化用品等领域，</w:t>
      </w:r>
      <w:r>
        <w:rPr>
          <w:rFonts w:ascii="Times New Roman" w:hAnsi="Times New Roman" w:eastAsia="仿宋_GB2312" w:cs="Times New Roman"/>
          <w:color w:val="000000" w:themeColor="text1"/>
          <w:kern w:val="0"/>
          <w:sz w:val="32"/>
          <w:szCs w:val="32"/>
          <w14:textFill>
            <w14:solidFill>
              <w14:schemeClr w14:val="tx1"/>
            </w14:solidFill>
          </w14:textFill>
        </w:rPr>
        <w:t>全方位满足周边社区需求，提高非药产品销售占比。</w:t>
      </w:r>
      <w:r>
        <w:rPr>
          <w:rFonts w:hint="eastAsia" w:ascii="Times New Roman" w:hAnsi="Times New Roman" w:eastAsia="仿宋_GB2312" w:cs="Times New Roman"/>
          <w:color w:val="000000" w:themeColor="text1"/>
          <w:kern w:val="0"/>
          <w:sz w:val="32"/>
          <w:szCs w:val="32"/>
          <w14:textFill>
            <w14:solidFill>
              <w14:schemeClr w14:val="tx1"/>
            </w14:solidFill>
          </w14:textFill>
        </w:rPr>
        <w:t>鼓励企业延伸产业链条，探索由零售转为综合健康服务商，积极推出中药养生特色产品和服务。</w:t>
      </w:r>
      <w:r>
        <w:rPr>
          <w:rFonts w:hint="eastAsia" w:ascii="Times New Roman" w:hAnsi="Times New Roman" w:eastAsia="仿宋_GB2312" w:cs="Times New Roman"/>
          <w:b/>
          <w:bCs/>
          <w:color w:val="000000" w:themeColor="text1"/>
          <w:kern w:val="0"/>
          <w:sz w:val="32"/>
          <w:szCs w:val="32"/>
          <w14:textFill>
            <w14:solidFill>
              <w14:schemeClr w14:val="tx1"/>
            </w14:solidFill>
          </w14:textFill>
        </w:rPr>
        <w:t>积极布局新业态新模式。</w:t>
      </w:r>
      <w:r>
        <w:rPr>
          <w:rFonts w:hint="eastAsia" w:ascii="Times New Roman" w:hAnsi="Times New Roman" w:eastAsia="仿宋_GB2312" w:cs="Times New Roman"/>
          <w:color w:val="000000" w:themeColor="text1"/>
          <w:kern w:val="0"/>
          <w:sz w:val="32"/>
          <w:szCs w:val="32"/>
          <w14:textFill>
            <w14:solidFill>
              <w14:schemeClr w14:val="tx1"/>
            </w14:solidFill>
          </w14:textFill>
        </w:rPr>
        <w:t>借助“双通道”、处方外流机遇，</w:t>
      </w:r>
      <w:r>
        <w:rPr>
          <w:rFonts w:ascii="Times New Roman" w:hAnsi="Times New Roman" w:eastAsia="仿宋_GB2312" w:cs="Times New Roman"/>
          <w:color w:val="000000" w:themeColor="text1"/>
          <w:kern w:val="0"/>
          <w:sz w:val="32"/>
          <w:szCs w:val="32"/>
          <w14:textFill>
            <w14:solidFill>
              <w14:schemeClr w14:val="tx1"/>
            </w14:solidFill>
          </w14:textFill>
        </w:rPr>
        <w:t>鼓励医药连锁品牌以院边店为依托，积极布局DTP专业药房</w:t>
      </w:r>
      <w:r>
        <w:rPr>
          <w:rStyle w:val="25"/>
          <w:rFonts w:ascii="Times New Roman" w:hAnsi="Times New Roman" w:eastAsia="仿宋_GB2312" w:cs="Times New Roman"/>
          <w:color w:val="000000" w:themeColor="text1"/>
          <w:kern w:val="0"/>
          <w:sz w:val="32"/>
          <w:szCs w:val="32"/>
          <w14:textFill>
            <w14:solidFill>
              <w14:schemeClr w14:val="tx1"/>
            </w14:solidFill>
          </w14:textFill>
        </w:rPr>
        <w:footnoteReference w:id="0"/>
      </w:r>
      <w:r>
        <w:rPr>
          <w:rFonts w:ascii="Times New Roman" w:hAnsi="Times New Roman" w:eastAsia="仿宋_GB2312" w:cs="Times New Roman"/>
          <w:color w:val="000000" w:themeColor="text1"/>
          <w:kern w:val="0"/>
          <w:sz w:val="32"/>
          <w:szCs w:val="32"/>
          <w14:textFill>
            <w14:solidFill>
              <w14:schemeClr w14:val="tx1"/>
            </w14:solidFill>
          </w14:textFill>
        </w:rPr>
        <w:t>、“双通道”医保定点药房；积极布局电子处方业务，对接各级政府及医院处方流转平台，加快处方流转平台合作，实现从医生到门店到患者的药品流转循环，逐步建立门诊患者集群，形成医院处方流转闭环。</w:t>
      </w:r>
      <w:r>
        <w:rPr>
          <w:rFonts w:hint="eastAsia" w:ascii="Times New Roman" w:hAnsi="Times New Roman" w:eastAsia="仿宋_GB2312" w:cs="Times New Roman"/>
          <w:b/>
          <w:bCs/>
          <w:color w:val="000000" w:themeColor="text1"/>
          <w:kern w:val="0"/>
          <w:sz w:val="32"/>
          <w:szCs w:val="32"/>
          <w14:textFill>
            <w14:solidFill>
              <w14:schemeClr w14:val="tx1"/>
            </w14:solidFill>
          </w14:textFill>
        </w:rPr>
        <w:t>大力</w:t>
      </w:r>
      <w:r>
        <w:rPr>
          <w:rFonts w:ascii="Times New Roman" w:hAnsi="Times New Roman" w:eastAsia="仿宋_GB2312" w:cs="Times New Roman"/>
          <w:b/>
          <w:bCs/>
          <w:color w:val="000000" w:themeColor="text1"/>
          <w:kern w:val="0"/>
          <w:sz w:val="32"/>
          <w:szCs w:val="32"/>
          <w14:textFill>
            <w14:solidFill>
              <w14:schemeClr w14:val="tx1"/>
            </w14:solidFill>
          </w14:textFill>
        </w:rPr>
        <w:t>支持</w:t>
      </w:r>
      <w:r>
        <w:rPr>
          <w:rFonts w:hint="eastAsia" w:ascii="Times New Roman" w:hAnsi="Times New Roman" w:eastAsia="仿宋_GB2312" w:cs="Times New Roman"/>
          <w:b/>
          <w:bCs/>
          <w:color w:val="000000" w:themeColor="text1"/>
          <w:kern w:val="0"/>
          <w:sz w:val="32"/>
          <w:szCs w:val="32"/>
          <w14:textFill>
            <w14:solidFill>
              <w14:schemeClr w14:val="tx1"/>
            </w14:solidFill>
          </w14:textFill>
        </w:rPr>
        <w:t>医药电商发展</w:t>
      </w:r>
      <w:r>
        <w:rPr>
          <w:rFonts w:hint="eastAsia" w:ascii="Times New Roman" w:hAnsi="Times New Roman" w:eastAsia="仿宋_GB2312" w:cs="Times New Roman"/>
          <w:color w:val="000000" w:themeColor="text1"/>
          <w:kern w:val="0"/>
          <w:sz w:val="32"/>
          <w:szCs w:val="32"/>
          <w14:textFill>
            <w14:solidFill>
              <w14:schemeClr w14:val="tx1"/>
            </w14:solidFill>
          </w14:textFill>
        </w:rPr>
        <w:t>。支持区内医药流通企业、软件企业等联合搭建医药企业数字化升级服务平台，便利医药企业开拓电商业务，降低成本；支持国药控股广东恒兴、广东融泰等发展医药</w:t>
      </w:r>
      <w:r>
        <w:rPr>
          <w:rFonts w:ascii="Times New Roman" w:hAnsi="Times New Roman" w:eastAsia="仿宋_GB2312" w:cs="Times New Roman"/>
          <w:color w:val="000000" w:themeColor="text1"/>
          <w:kern w:val="0"/>
          <w:sz w:val="32"/>
          <w:szCs w:val="32"/>
          <w14:textFill>
            <w14:solidFill>
              <w14:schemeClr w14:val="tx1"/>
            </w14:solidFill>
          </w14:textFill>
        </w:rPr>
        <w:t>B2B</w:t>
      </w:r>
      <w:r>
        <w:rPr>
          <w:rFonts w:hint="eastAsia" w:ascii="Times New Roman" w:hAnsi="Times New Roman" w:eastAsia="仿宋_GB2312" w:cs="Times New Roman"/>
          <w:color w:val="000000" w:themeColor="text1"/>
          <w:kern w:val="0"/>
          <w:sz w:val="32"/>
          <w:szCs w:val="32"/>
          <w14:textFill>
            <w14:solidFill>
              <w14:schemeClr w14:val="tx1"/>
            </w14:solidFill>
          </w14:textFill>
        </w:rPr>
        <w:t>业务；抓住国家拟“禁止第三方平台直接参与药品网售”的契机，推动广东融泰等做大药品</w:t>
      </w:r>
      <w:r>
        <w:rPr>
          <w:rFonts w:ascii="Times New Roman" w:hAnsi="Times New Roman" w:eastAsia="仿宋_GB2312" w:cs="Times New Roman"/>
          <w:color w:val="000000" w:themeColor="text1"/>
          <w:kern w:val="0"/>
          <w:sz w:val="32"/>
          <w:szCs w:val="32"/>
          <w14:textFill>
            <w14:solidFill>
              <w14:schemeClr w14:val="tx1"/>
            </w14:solidFill>
          </w14:textFill>
        </w:rPr>
        <w:t>B2C</w:t>
      </w:r>
      <w:r>
        <w:rPr>
          <w:rFonts w:hint="eastAsia" w:ascii="Times New Roman" w:hAnsi="Times New Roman" w:eastAsia="仿宋_GB2312" w:cs="Times New Roman"/>
          <w:color w:val="000000" w:themeColor="text1"/>
          <w:kern w:val="0"/>
          <w:sz w:val="32"/>
          <w:szCs w:val="32"/>
          <w14:textFill>
            <w14:solidFill>
              <w14:schemeClr w14:val="tx1"/>
            </w14:solidFill>
          </w14:textFill>
        </w:rPr>
        <w:t>业务</w:t>
      </w:r>
      <w:r>
        <w:rPr>
          <w:rFonts w:ascii="Times New Roman" w:hAnsi="Times New Roman" w:eastAsia="仿宋_GB2312" w:cs="Times New Roman"/>
          <w:color w:val="000000" w:themeColor="text1"/>
          <w:kern w:val="0"/>
          <w:sz w:val="32"/>
          <w:szCs w:val="32"/>
          <w14:textFill>
            <w14:solidFill>
              <w14:schemeClr w14:val="tx1"/>
            </w14:solidFill>
          </w14:textFill>
        </w:rPr>
        <w:t>。</w:t>
      </w:r>
    </w:p>
    <w:p>
      <w:pPr>
        <w:pStyle w:val="3"/>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34" w:name="_Toc115392055"/>
      <w:r>
        <w:rPr>
          <w:rFonts w:ascii="Times New Roman" w:hAnsi="Times New Roman" w:cs="Times New Roman"/>
        </w:rPr>
        <w:t>（三）多举措激发</w:t>
      </w:r>
      <w:r>
        <w:rPr>
          <w:rFonts w:ascii="Times New Roman" w:hAnsi="Times New Roman" w:cs="Times New Roman"/>
          <w:color w:val="000000" w:themeColor="text1"/>
          <w:kern w:val="0"/>
          <w14:textFill>
            <w14:solidFill>
              <w14:schemeClr w14:val="tx1"/>
            </w14:solidFill>
          </w14:textFill>
        </w:rPr>
        <w:t>产业提档升级活力</w:t>
      </w:r>
      <w:bookmarkEnd w:id="34"/>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35" w:name="_Toc115392056"/>
      <w:r>
        <w:rPr>
          <w:rFonts w:ascii="Times New Roman" w:hAnsi="Times New Roman" w:cs="Times New Roman"/>
        </w:rPr>
        <w:t>1、提高</w:t>
      </w:r>
      <w:r>
        <w:rPr>
          <w:rFonts w:hint="eastAsia" w:ascii="Times New Roman" w:hAnsi="Times New Roman" w:cs="Times New Roman"/>
        </w:rPr>
        <w:t>新产品和品牌</w:t>
      </w:r>
      <w:r>
        <w:rPr>
          <w:rFonts w:ascii="Times New Roman" w:hAnsi="Times New Roman" w:cs="Times New Roman"/>
        </w:rPr>
        <w:t>孵化能力</w:t>
      </w:r>
      <w:bookmarkEnd w:id="35"/>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cs="Times New Roman"/>
        </w:rPr>
      </w:pPr>
      <w:r>
        <w:rPr>
          <w:rFonts w:ascii="Times New Roman" w:hAnsi="Times New Roman" w:eastAsia="仿宋_GB2312" w:cs="Times New Roman"/>
          <w:color w:val="000000" w:themeColor="text1"/>
          <w:kern w:val="0"/>
          <w:sz w:val="32"/>
          <w:szCs w:val="32"/>
          <w14:textFill>
            <w14:solidFill>
              <w14:schemeClr w14:val="tx1"/>
            </w14:solidFill>
          </w14:textFill>
        </w:rPr>
        <w:t>加大对老字号的支持力度，</w:t>
      </w:r>
      <w:r>
        <w:rPr>
          <w:rFonts w:hint="eastAsia" w:ascii="Times New Roman" w:hAnsi="Times New Roman" w:eastAsia="仿宋_GB2312" w:cs="Times New Roman"/>
          <w:color w:val="000000" w:themeColor="text1"/>
          <w:kern w:val="0"/>
          <w:sz w:val="32"/>
          <w:szCs w:val="32"/>
          <w14:textFill>
            <w14:solidFill>
              <w14:schemeClr w14:val="tx1"/>
            </w14:solidFill>
          </w14:textFill>
        </w:rPr>
        <w:t>实施老字号“振兴行动”，</w:t>
      </w:r>
      <w:r>
        <w:rPr>
          <w:rFonts w:ascii="Times New Roman" w:hAnsi="Times New Roman" w:eastAsia="仿宋_GB2312" w:cs="Times New Roman"/>
          <w:color w:val="000000" w:themeColor="text1"/>
          <w:kern w:val="0"/>
          <w:sz w:val="32"/>
          <w:szCs w:val="32"/>
          <w14:textFill>
            <w14:solidFill>
              <w14:schemeClr w14:val="tx1"/>
            </w14:solidFill>
          </w14:textFill>
        </w:rPr>
        <w:t>推动</w:t>
      </w:r>
      <w:r>
        <w:rPr>
          <w:rFonts w:hint="eastAsia" w:ascii="Times New Roman" w:hAnsi="Times New Roman" w:eastAsia="仿宋_GB2312" w:cs="Times New Roman"/>
          <w:color w:val="000000" w:themeColor="text1"/>
          <w:kern w:val="0"/>
          <w:sz w:val="32"/>
          <w:szCs w:val="32"/>
          <w14:textFill>
            <w14:solidFill>
              <w14:schemeClr w14:val="tx1"/>
            </w14:solidFill>
          </w14:textFill>
        </w:rPr>
        <w:t>鹰金钱、风行牛奶、二天堂等</w:t>
      </w:r>
      <w:r>
        <w:rPr>
          <w:rFonts w:ascii="Times New Roman" w:hAnsi="Times New Roman" w:eastAsia="仿宋_GB2312" w:cs="Times New Roman"/>
          <w:color w:val="000000" w:themeColor="text1"/>
          <w:kern w:val="0"/>
          <w:sz w:val="32"/>
          <w:szCs w:val="32"/>
          <w14:textFill>
            <w14:solidFill>
              <w14:schemeClr w14:val="tx1"/>
            </w14:solidFill>
          </w14:textFill>
        </w:rPr>
        <w:t>老字号企业入驻主流电商平台设立“广东老字号”“广</w:t>
      </w:r>
      <w:r>
        <w:rPr>
          <w:rFonts w:hint="eastAsia" w:ascii="Times New Roman" w:hAnsi="Times New Roman" w:eastAsia="仿宋_GB2312" w:cs="Times New Roman"/>
          <w:color w:val="000000" w:themeColor="text1"/>
          <w:kern w:val="0"/>
          <w:sz w:val="32"/>
          <w:szCs w:val="32"/>
          <w14:textFill>
            <w14:solidFill>
              <w14:schemeClr w14:val="tx1"/>
            </w14:solidFill>
          </w14:textFill>
        </w:rPr>
        <w:t>州</w:t>
      </w:r>
      <w:r>
        <w:rPr>
          <w:rFonts w:ascii="Times New Roman" w:hAnsi="Times New Roman" w:eastAsia="仿宋_GB2312" w:cs="Times New Roman"/>
          <w:color w:val="000000" w:themeColor="text1"/>
          <w:kern w:val="0"/>
          <w:sz w:val="32"/>
          <w:szCs w:val="32"/>
          <w14:textFill>
            <w14:solidFill>
              <w14:schemeClr w14:val="tx1"/>
            </w14:solidFill>
          </w14:textFill>
        </w:rPr>
        <w:t>老字号”官方旗舰店，扩大国内市场覆盖面；</w:t>
      </w:r>
      <w:r>
        <w:rPr>
          <w:rFonts w:hint="eastAsia" w:ascii="Times New Roman" w:hAnsi="Times New Roman" w:eastAsia="仿宋_GB2312" w:cs="Times New Roman"/>
          <w:color w:val="000000" w:themeColor="text1"/>
          <w:kern w:val="0"/>
          <w:sz w:val="32"/>
          <w:szCs w:val="32"/>
          <w14:textFill>
            <w14:solidFill>
              <w14:schemeClr w14:val="tx1"/>
            </w14:solidFill>
          </w14:textFill>
        </w:rPr>
        <w:t>支持老字号通过跨境电商、广交会、免税店等渠道，积极拓展国际市场</w:t>
      </w:r>
      <w:r>
        <w:rPr>
          <w:rFonts w:ascii="Times New Roman" w:hAnsi="Times New Roman" w:eastAsia="仿宋_GB2312" w:cs="Times New Roman"/>
          <w:color w:val="000000" w:themeColor="text1"/>
          <w:kern w:val="0"/>
          <w:sz w:val="32"/>
          <w:szCs w:val="32"/>
          <w14:textFill>
            <w14:solidFill>
              <w14:schemeClr w14:val="tx1"/>
            </w14:solidFill>
          </w14:textFill>
        </w:rPr>
        <w:t>。</w:t>
      </w:r>
      <w:r>
        <w:rPr>
          <w:rFonts w:hint="eastAsia" w:ascii="Times New Roman" w:hAnsi="Times New Roman" w:eastAsia="仿宋_GB2312" w:cs="Times New Roman"/>
          <w:color w:val="000000" w:themeColor="text1"/>
          <w:kern w:val="0"/>
          <w:sz w:val="32"/>
          <w:szCs w:val="32"/>
          <w14:textFill>
            <w14:solidFill>
              <w14:schemeClr w14:val="tx1"/>
            </w14:solidFill>
          </w14:textFill>
        </w:rPr>
        <w:t>加强</w:t>
      </w:r>
      <w:r>
        <w:rPr>
          <w:rFonts w:ascii="Times New Roman" w:hAnsi="Times New Roman" w:eastAsia="仿宋_GB2312" w:cs="Times New Roman"/>
          <w:color w:val="000000" w:themeColor="text1"/>
          <w:kern w:val="0"/>
          <w:sz w:val="32"/>
          <w:szCs w:val="32"/>
          <w14:textFill>
            <w14:solidFill>
              <w14:schemeClr w14:val="tx1"/>
            </w14:solidFill>
          </w14:textFill>
        </w:rPr>
        <w:t>自主品牌、原创品牌</w:t>
      </w:r>
      <w:r>
        <w:rPr>
          <w:rFonts w:hint="eastAsia" w:ascii="Times New Roman" w:hAnsi="Times New Roman" w:eastAsia="仿宋_GB2312" w:cs="Times New Roman"/>
          <w:color w:val="000000" w:themeColor="text1"/>
          <w:kern w:val="0"/>
          <w:sz w:val="32"/>
          <w:szCs w:val="32"/>
          <w14:textFill>
            <w14:solidFill>
              <w14:schemeClr w14:val="tx1"/>
            </w14:solidFill>
          </w14:textFill>
        </w:rPr>
        <w:t>孵化，支持各类外贸加工企业、大型商业连锁企业等利用自身基础，结合天河区产业优势，在区内建立新品研发中心、新品牌孵化中心，</w:t>
      </w:r>
      <w:r>
        <w:rPr>
          <w:rFonts w:ascii="Times New Roman" w:hAnsi="Times New Roman" w:eastAsia="仿宋_GB2312" w:cs="Times New Roman"/>
          <w:color w:val="000000" w:themeColor="text1"/>
          <w:sz w:val="32"/>
          <w:szCs w:val="32"/>
          <w14:textFill>
            <w14:solidFill>
              <w14:schemeClr w14:val="tx1"/>
            </w14:solidFill>
          </w14:textFill>
        </w:rPr>
        <w:t>加大内部裂变和创新</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在消费电子、时尚服饰、黄金珠宝、钟表眼镜、国潮新品、美颜美妆、饮料食品等细分领域</w:t>
      </w:r>
      <w:r>
        <w:rPr>
          <w:rFonts w:ascii="Times New Roman" w:hAnsi="Times New Roman" w:eastAsia="仿宋_GB2312" w:cs="Times New Roman"/>
          <w:color w:val="000000" w:themeColor="text1"/>
          <w:sz w:val="32"/>
          <w:szCs w:val="32"/>
          <w14:textFill>
            <w14:solidFill>
              <w14:schemeClr w14:val="tx1"/>
            </w14:solidFill>
          </w14:textFill>
        </w:rPr>
        <w:t>孵化一批新品牌、发展一批新品类、开设一批新门店</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鼓励社会资本与专业孵化机构联动，打造餐饮、零售</w:t>
      </w:r>
      <w:r>
        <w:rPr>
          <w:rFonts w:hint="eastAsia" w:ascii="Times New Roman" w:hAnsi="Times New Roman" w:eastAsia="仿宋_GB2312" w:cs="Times New Roman"/>
          <w:color w:val="000000" w:themeColor="text1"/>
          <w:sz w:val="32"/>
          <w:szCs w:val="32"/>
          <w14:textFill>
            <w14:solidFill>
              <w14:schemeClr w14:val="tx1"/>
            </w14:solidFill>
          </w14:textFill>
        </w:rPr>
        <w:t>等领域</w:t>
      </w:r>
      <w:r>
        <w:rPr>
          <w:rFonts w:ascii="Times New Roman" w:hAnsi="Times New Roman" w:eastAsia="仿宋_GB2312" w:cs="Times New Roman"/>
          <w:color w:val="000000" w:themeColor="text1"/>
          <w:sz w:val="32"/>
          <w:szCs w:val="32"/>
          <w14:textFill>
            <w14:solidFill>
              <w14:schemeClr w14:val="tx1"/>
            </w14:solidFill>
          </w14:textFill>
        </w:rPr>
        <w:t>创业孵化器，为创业者提供品类定位、单店模型、产品研发、渠道拓展、加盟连锁、供应链整合等一系列深度全程扶持孵化，</w:t>
      </w:r>
      <w:r>
        <w:rPr>
          <w:rFonts w:ascii="Times New Roman" w:hAnsi="Times New Roman" w:eastAsia="仿宋_GB2312" w:cs="Times New Roman"/>
          <w:color w:val="000000" w:themeColor="text1"/>
          <w:kern w:val="0"/>
          <w:sz w:val="32"/>
          <w:szCs w:val="32"/>
          <w14:textFill>
            <w14:solidFill>
              <w14:schemeClr w14:val="tx1"/>
            </w14:solidFill>
          </w14:textFill>
        </w:rPr>
        <w:t>加快孵化传统品牌、特色小店、原创潮牌等本土潜力品牌。</w:t>
      </w:r>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36" w:name="_Toc115392057"/>
      <w:r>
        <w:rPr>
          <w:rFonts w:ascii="Times New Roman" w:hAnsi="Times New Roman" w:cs="Times New Roman"/>
        </w:rPr>
        <w:t>2、</w:t>
      </w:r>
      <w:r>
        <w:rPr>
          <w:rFonts w:hint="eastAsia" w:ascii="Times New Roman" w:hAnsi="Times New Roman" w:cs="Times New Roman"/>
        </w:rPr>
        <w:t>加快推动</w:t>
      </w:r>
      <w:r>
        <w:rPr>
          <w:rFonts w:ascii="Times New Roman" w:hAnsi="Times New Roman" w:cs="Times New Roman"/>
        </w:rPr>
        <w:t>批发市场</w:t>
      </w:r>
      <w:r>
        <w:rPr>
          <w:rFonts w:hint="eastAsia" w:ascii="Times New Roman" w:hAnsi="Times New Roman" w:cs="Times New Roman"/>
        </w:rPr>
        <w:t>转型升级</w:t>
      </w:r>
      <w:bookmarkEnd w:id="36"/>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Style w:val="34"/>
          <w:rFonts w:hint="default" w:ascii="Times New Roman" w:hAnsi="Times New Roman" w:cs="Times New Roman"/>
        </w:rPr>
      </w:pPr>
      <w:r>
        <w:rPr>
          <w:rStyle w:val="34"/>
          <w:rFonts w:hint="default" w:ascii="Times New Roman" w:hAnsi="Times New Roman" w:cs="Times New Roman"/>
        </w:rPr>
        <w:t>抓住广州入选首批全国商品市场优化升级专项行动试点城市契机，加快推进天河批发市场品牌化、专业化、数字化、规范化发展。分类别制定区内批发市场整治提升“一场一策”方案，不断提升天河批发市场发展质量。引导传统批发市场由个体零散经营转变为品牌化、集约化经营模式，并积极向研发、设计、展会、出口等产业链环节延伸；支持批发市场硬件设施提升改造；推动沙河服装批发市场积极创新，实现向展贸、展示、体验、电商为主的现代经营模式转型升级；支持百脑汇、颐高数码广场等石牌地区IT电脑批发市场转营为以科技产品体验为主，融合零售、餐饮、娱乐、酒店等多种业态的“体验式主题潮流区”。</w:t>
      </w:r>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37" w:name="_Toc115392058"/>
      <w:r>
        <w:rPr>
          <w:rFonts w:ascii="Times New Roman" w:hAnsi="Times New Roman" w:cs="Times New Roman"/>
        </w:rPr>
        <w:t>3、推动</w:t>
      </w:r>
      <w:r>
        <w:rPr>
          <w:rFonts w:hint="eastAsia" w:ascii="Times New Roman" w:hAnsi="Times New Roman" w:cs="Times New Roman"/>
        </w:rPr>
        <w:t>商贸主体</w:t>
      </w:r>
      <w:r>
        <w:rPr>
          <w:rFonts w:ascii="Times New Roman" w:hAnsi="Times New Roman" w:cs="Times New Roman"/>
        </w:rPr>
        <w:t>数字化</w:t>
      </w:r>
      <w:r>
        <w:rPr>
          <w:rFonts w:hint="eastAsia" w:ascii="Times New Roman" w:hAnsi="Times New Roman" w:cs="Times New Roman"/>
        </w:rPr>
        <w:t>连锁化发展</w:t>
      </w:r>
      <w:bookmarkEnd w:id="37"/>
    </w:p>
    <w:p>
      <w:pPr>
        <w:pageBreakBefore w:val="0"/>
        <w:widowControl/>
        <w:kinsoku/>
        <w:wordWrap/>
        <w:overflowPunct/>
        <w:topLinePunct w:val="0"/>
        <w:autoSpaceDE/>
        <w:autoSpaceDN/>
        <w:bidi w:val="0"/>
        <w:adjustRightInd/>
        <w:snapToGrid/>
        <w:spacing w:beforeAutospacing="0" w:afterAutospacing="0" w:line="560" w:lineRule="exact"/>
        <w:ind w:firstLine="640" w:firstLineChars="200"/>
        <w:textAlignment w:val="auto"/>
        <w:rPr>
          <w:rStyle w:val="34"/>
          <w:rFonts w:hint="default" w:ascii="Times New Roman" w:hAnsi="Times New Roman" w:cs="Times New Roman"/>
          <w:color w:val="000000" w:themeColor="text1"/>
          <w14:textFill>
            <w14:solidFill>
              <w14:schemeClr w14:val="tx1"/>
            </w14:solidFill>
          </w14:textFill>
        </w:rPr>
      </w:pPr>
      <w:r>
        <w:rPr>
          <w:rStyle w:val="34"/>
          <w:rFonts w:hint="default" w:ascii="Times New Roman" w:hAnsi="Times New Roman" w:cs="Times New Roman"/>
          <w:color w:val="000000" w:themeColor="text1"/>
          <w14:textFill>
            <w14:solidFill>
              <w14:schemeClr w14:val="tx1"/>
            </w14:solidFill>
          </w14:textFill>
        </w:rPr>
        <w:t>推动珠江新城、天河路商圈进行数字化升级，实现会员共享、积分通兑等便捷服务项目；以前沿科技为切入点，在特定区域开通无人驾驶观光线路，投放导引智能机器人，打造全息投影沉浸体验区等，全面提升商圈科技体验感。引导商业载体智能化、综合化转型，融会贯通数据获取、数据治理、数据分析、数据应用等多环节，打造以消费者体验为中心的数据驱动新零售。推动零售企业运用大数据、人工智能、互联网等数字技术，全方位重塑战略思维、再造业务流程、调整组织架构，创新商业模式，构建以数据处理为核心要素的价值创造体系，实现与客户、供应商、合作伙伴的紧密连接。鼓励办公楼宇、住宅小区、社区商圈等加快布局配套智慧超市、智慧商店、智慧书店、智慧药房，优化自提柜、云柜等新业态服务，发展无接触交易服务，满足“宅经济”、“云生活”等新消费需求。推动实体商场、超市、便利店等数字化改造和线上线下协同，发展仓储会员店、“门店到家”服务等新业态。</w:t>
      </w:r>
      <w:r>
        <w:rPr>
          <w:rStyle w:val="34"/>
          <w:rFonts w:hint="default" w:ascii="Times New Roman" w:hAnsi="Times New Roman" w:cs="Times New Roman"/>
        </w:rPr>
        <w:t>积极推动跨国连锁企业、中国连锁100强等大型知名连锁企业在天河设立总部或区域总部；引导品牌连锁企业到社区设立超市、便利店、餐饮等商业网点；支持连锁企业做大做强，鼓励总部设在天河的连锁企业拓展域外市场。</w:t>
      </w:r>
    </w:p>
    <w:p>
      <w:pPr>
        <w:pStyle w:val="2"/>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38" w:name="_Toc115392059"/>
      <w:r>
        <w:rPr>
          <w:rFonts w:ascii="Times New Roman" w:hAnsi="Times New Roman" w:cs="Times New Roman"/>
        </w:rPr>
        <w:t>第四章 加快推进消费提质扩容</w:t>
      </w:r>
      <w:bookmarkEnd w:id="38"/>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加快文商旅体融合发展，以首店经济、夜间经济、文体经济为突破口，全面提升消费供给质量，丰富消费供给领域。加快推动以时尚定制、沉浸体验等新业态新模式引领的新型消费，进一步释放消费潜力，补齐消费短板</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积极推动医美、生活性服务业等领域多元化发展，扩大消费领域容量</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p>
    <w:p>
      <w:pPr>
        <w:pStyle w:val="3"/>
        <w:pageBreakBefore w:val="0"/>
        <w:numPr>
          <w:ilvl w:val="0"/>
          <w:numId w:val="1"/>
        </w:numPr>
        <w:tabs>
          <w:tab w:val="left" w:pos="360"/>
        </w:tabs>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39" w:name="_Toc115392060"/>
      <w:r>
        <w:rPr>
          <w:rFonts w:hint="eastAsia" w:ascii="Times New Roman" w:hAnsi="Times New Roman" w:cs="Times New Roman"/>
        </w:rPr>
        <w:t>大力拓展丰富消费场景</w:t>
      </w:r>
      <w:bookmarkEnd w:id="39"/>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40" w:name="_Toc115392061"/>
      <w:r>
        <w:rPr>
          <w:rFonts w:ascii="Times New Roman" w:hAnsi="Times New Roman" w:cs="Times New Roman"/>
        </w:rPr>
        <w:t>1、</w:t>
      </w:r>
      <w:r>
        <w:rPr>
          <w:rFonts w:hint="eastAsia" w:ascii="Times New Roman" w:hAnsi="Times New Roman" w:cs="Times New Roman"/>
        </w:rPr>
        <w:t>做强</w:t>
      </w:r>
      <w:r>
        <w:rPr>
          <w:rFonts w:ascii="Times New Roman" w:hAnsi="Times New Roman" w:cs="Times New Roman"/>
        </w:rPr>
        <w:t>首店</w:t>
      </w:r>
      <w:r>
        <w:rPr>
          <w:rFonts w:hint="eastAsia" w:ascii="Times New Roman" w:hAnsi="Times New Roman" w:cs="Times New Roman"/>
        </w:rPr>
        <w:t>首发</w:t>
      </w:r>
      <w:r>
        <w:rPr>
          <w:rFonts w:ascii="Times New Roman" w:hAnsi="Times New Roman" w:cs="Times New Roman"/>
        </w:rPr>
        <w:t>经济</w:t>
      </w:r>
      <w:bookmarkEnd w:id="40"/>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强化品牌和业态规划，夯实多层次、多能级首店布局配置基础，差异化布局国际中高端品牌、海外小众品牌、国内原创潮牌、省市内老字号、本地新兴品牌，构筑有辨识度的首店格局。发挥天河路商圈、珠江新城商圈高端商业载体集聚优势，吸引国内外知名品牌在区内开设亚洲首店、全国首店、华南首店，鼓励国际知名品牌在区内首发或同步上市全球新品，打造国际商品、服务和新型消费体验登陆中国和华南的首选地。跨部门协调解决首店落户过程中检验检疫、安全监管、消防等问题，提升新品通关速度；为新品首发品牌提供更便捷高效的专利、商标注册申请、质押登记咨询服务；给予大型新品首发活动场地、宣传等支持。建立首店经济项目库，支持企业在领取营业执照或举办活动前进行备案入库，对入库企业给予政策指导和支持；探索建立首店经济综合评价体系，定期评估重点地区、重点商圈引进品牌首店首发等情况，结合区域功能和商圈定位有针对性引导商圈差异化、特色化发展。</w:t>
      </w:r>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41" w:name="_Toc115392062"/>
      <w:r>
        <w:rPr>
          <w:rFonts w:ascii="Times New Roman" w:hAnsi="Times New Roman" w:cs="Times New Roman"/>
        </w:rPr>
        <w:t>2、</w:t>
      </w:r>
      <w:r>
        <w:rPr>
          <w:rFonts w:hint="eastAsia" w:ascii="Times New Roman" w:hAnsi="Times New Roman" w:cs="Times New Roman"/>
        </w:rPr>
        <w:t>加强</w:t>
      </w:r>
      <w:r>
        <w:rPr>
          <w:rFonts w:ascii="Times New Roman" w:hAnsi="Times New Roman" w:cs="Times New Roman"/>
        </w:rPr>
        <w:t>繁荣夜间经济</w:t>
      </w:r>
      <w:bookmarkEnd w:id="41"/>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hint="eastAsia" w:ascii="Times New Roman" w:hAnsi="Times New Roman" w:eastAsia="仿宋_GB2312" w:cs="Times New Roman"/>
          <w:color w:val="000000" w:themeColor="text1"/>
          <w:kern w:val="0"/>
          <w:sz w:val="32"/>
          <w:szCs w:val="32"/>
          <w14:textFill>
            <w14:solidFill>
              <w14:schemeClr w14:val="tx1"/>
            </w14:solidFill>
          </w14:textFill>
        </w:rPr>
        <w:t>依托正佳广场国家级夜间文化和旅游消费集聚区、花城广场、天德广场等载体，</w:t>
      </w:r>
      <w:r>
        <w:rPr>
          <w:rFonts w:ascii="Times New Roman" w:hAnsi="Times New Roman" w:eastAsia="仿宋_GB2312" w:cs="Times New Roman"/>
          <w:color w:val="000000" w:themeColor="text1"/>
          <w:kern w:val="0"/>
          <w:sz w:val="32"/>
          <w:szCs w:val="32"/>
          <w14:textFill>
            <w14:solidFill>
              <w14:schemeClr w14:val="tx1"/>
            </w14:solidFill>
          </w14:textFill>
        </w:rPr>
        <w:t>充分利用“YOUNG城YEAH市”品牌化运作契机，有效整合商圈、综合体资源，策划举办系列夜间活动，推动夜宵、夜购与夜游、夜娱、夜赏、夜跑、夜读等融合发展，丰富夜间消费业态，打造“夜之天河”品牌。鼓励商业载体及各类食、住、游、购、娱等企业和场馆开展夜间延时服务；支持商业载体推出各具特色的夜间消费促销活动；支持商业载体开辟自有广场和天台空间，发展趣味游逛、夜景观赏等夜间活动；加大品牌连锁24小时便利店和书店建设布局力度；支持天河南路“美食后街”商家延长经营时间，打造“深夜食堂”，做大夜间餐饮市场</w:t>
      </w:r>
      <w:r>
        <w:rPr>
          <w:rFonts w:hint="eastAsia" w:ascii="Times New Roman" w:hAnsi="Times New Roman" w:eastAsia="仿宋_GB2312" w:cs="Times New Roman"/>
          <w:color w:val="000000" w:themeColor="text1"/>
          <w:kern w:val="0"/>
          <w:sz w:val="32"/>
          <w:szCs w:val="32"/>
          <w14:textFill>
            <w14:solidFill>
              <w14:schemeClr w14:val="tx1"/>
            </w14:solidFill>
          </w14:textFill>
        </w:rPr>
        <w:t>。借助广州夜间消费地图，打造</w:t>
      </w:r>
      <w:r>
        <w:rPr>
          <w:rFonts w:ascii="Times New Roman" w:hAnsi="Times New Roman" w:eastAsia="仿宋_GB2312" w:cs="Times New Roman"/>
          <w:color w:val="000000" w:themeColor="text1"/>
          <w:kern w:val="0"/>
          <w:sz w:val="32"/>
          <w:szCs w:val="32"/>
          <w14:textFill>
            <w14:solidFill>
              <w14:schemeClr w14:val="tx1"/>
            </w14:solidFill>
          </w14:textFill>
        </w:rPr>
        <w:t>一批“夜广州”消费地标</w:t>
      </w:r>
      <w:r>
        <w:rPr>
          <w:rFonts w:hint="eastAsia" w:ascii="Times New Roman" w:hAnsi="Times New Roman" w:eastAsia="仿宋_GB2312" w:cs="Times New Roman"/>
          <w:color w:val="000000" w:themeColor="text1"/>
          <w:kern w:val="0"/>
          <w:sz w:val="32"/>
          <w:szCs w:val="32"/>
          <w14:textFill>
            <w14:solidFill>
              <w14:schemeClr w14:val="tx1"/>
            </w14:solidFill>
          </w14:textFill>
        </w:rPr>
        <w:t>；串联天河路商圈、珠江新城商圈及广州塔</w:t>
      </w:r>
      <w:r>
        <w:rPr>
          <w:rFonts w:ascii="Times New Roman" w:hAnsi="Times New Roman" w:eastAsia="仿宋_GB2312" w:cs="Times New Roman"/>
          <w:color w:val="000000" w:themeColor="text1"/>
          <w:kern w:val="0"/>
          <w:sz w:val="32"/>
          <w:szCs w:val="32"/>
          <w14:textFill>
            <w14:solidFill>
              <w14:schemeClr w14:val="tx1"/>
            </w14:solidFill>
          </w14:textFill>
        </w:rPr>
        <w:t>-琶洲商圈重点夜生活站点</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联动线路周边商户共同推出优惠促销活动，做活做大夜间经济。优化提升线上夜间消费服务，支持开展22时后夜间到家服务，在居民集聚的生活区域发展餐饮外卖等</w:t>
      </w:r>
      <w:r>
        <w:rPr>
          <w:rFonts w:hint="eastAsia" w:ascii="Times New Roman" w:hAnsi="Times New Roman" w:eastAsia="仿宋_GB2312" w:cs="Times New Roman"/>
          <w:color w:val="000000" w:themeColor="text1"/>
          <w:kern w:val="0"/>
          <w:sz w:val="32"/>
          <w:szCs w:val="32"/>
          <w14:textFill>
            <w14:solidFill>
              <w14:schemeClr w14:val="tx1"/>
            </w14:solidFill>
          </w14:textFill>
        </w:rPr>
        <w:t>“互联网</w:t>
      </w:r>
      <w:r>
        <w:rPr>
          <w:rFonts w:ascii="Times New Roman" w:hAnsi="Times New Roman" w:eastAsia="仿宋_GB2312" w:cs="Times New Roman"/>
          <w:color w:val="000000" w:themeColor="text1"/>
          <w:kern w:val="0"/>
          <w:sz w:val="32"/>
          <w:szCs w:val="32"/>
          <w14:textFill>
            <w14:solidFill>
              <w14:schemeClr w14:val="tx1"/>
            </w14:solidFill>
          </w14:textFill>
        </w:rPr>
        <w:t>+生活服务”。</w:t>
      </w:r>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42" w:name="_Toc115392063"/>
      <w:r>
        <w:rPr>
          <w:rFonts w:ascii="Times New Roman" w:hAnsi="Times New Roman" w:cs="Times New Roman"/>
        </w:rPr>
        <w:t>3、</w:t>
      </w:r>
      <w:r>
        <w:rPr>
          <w:rFonts w:hint="eastAsia" w:ascii="Times New Roman" w:hAnsi="Times New Roman" w:cs="Times New Roman"/>
        </w:rPr>
        <w:t>丰富文体消费供给</w:t>
      </w:r>
      <w:bookmarkEnd w:id="42"/>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hint="eastAsia" w:ascii="Times New Roman" w:hAnsi="Times New Roman" w:eastAsia="仿宋_GB2312" w:cs="Times New Roman"/>
          <w:color w:val="000000" w:themeColor="text1"/>
          <w:kern w:val="0"/>
          <w:sz w:val="32"/>
          <w:szCs w:val="32"/>
          <w14:textFill>
            <w14:solidFill>
              <w14:schemeClr w14:val="tx1"/>
            </w14:solidFill>
          </w14:textFill>
        </w:rPr>
        <w:t>推动文商旅体融合</w:t>
      </w:r>
      <w:r>
        <w:rPr>
          <w:rFonts w:ascii="Times New Roman" w:hAnsi="Times New Roman" w:eastAsia="仿宋_GB2312" w:cs="Times New Roman"/>
          <w:color w:val="000000" w:themeColor="text1"/>
          <w:kern w:val="0"/>
          <w:sz w:val="32"/>
          <w:szCs w:val="32"/>
          <w14:textFill>
            <w14:solidFill>
              <w14:schemeClr w14:val="tx1"/>
            </w14:solidFill>
          </w14:textFill>
        </w:rPr>
        <w:t>发展，以建成集聚高端文化、旅游、体育、商业要素相结合的创新高地为目标，形成一批品牌知名度高、旅游吸引力强的文商旅城融合示范项目。</w:t>
      </w:r>
      <w:r>
        <w:rPr>
          <w:rFonts w:hint="eastAsia" w:ascii="Times New Roman" w:hAnsi="Times New Roman" w:eastAsia="仿宋_GB2312" w:cs="Times New Roman"/>
          <w:b/>
          <w:bCs/>
          <w:color w:val="000000" w:themeColor="text1"/>
          <w:kern w:val="0"/>
          <w:sz w:val="32"/>
          <w:szCs w:val="32"/>
          <w14:textFill>
            <w14:solidFill>
              <w14:schemeClr w14:val="tx1"/>
            </w14:solidFill>
          </w14:textFill>
        </w:rPr>
        <w:t>加强文化消费供给</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依托省博物馆、市歌剧院、海心沙、花城广场等，引入亲子、音乐、舞蹈、脱口秀、话剧等多种形式的文艺演出，推动文化载体与商业载体</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市场主体联动，</w:t>
      </w:r>
      <w:r>
        <w:rPr>
          <w:rFonts w:hint="eastAsia" w:ascii="Times New Roman" w:hAnsi="Times New Roman" w:eastAsia="仿宋_GB2312" w:cs="Times New Roman"/>
          <w:color w:val="000000" w:themeColor="text1"/>
          <w:kern w:val="0"/>
          <w:sz w:val="32"/>
          <w:szCs w:val="32"/>
          <w14:textFill>
            <w14:solidFill>
              <w14:schemeClr w14:val="tx1"/>
            </w14:solidFill>
          </w14:textFill>
        </w:rPr>
        <w:t>实现以文促商、以文促旅</w:t>
      </w:r>
      <w:r>
        <w:rPr>
          <w:rFonts w:ascii="Times New Roman" w:hAnsi="Times New Roman" w:eastAsia="仿宋_GB2312" w:cs="Times New Roman"/>
          <w:color w:val="000000" w:themeColor="text1"/>
          <w:kern w:val="0"/>
          <w:sz w:val="32"/>
          <w:szCs w:val="32"/>
          <w14:textFill>
            <w14:solidFill>
              <w14:schemeClr w14:val="tx1"/>
            </w14:solidFill>
          </w14:textFill>
        </w:rPr>
        <w:t>。依托外国领事机构和商会资源集聚的优势，链接全球文化创意总部企业资源，举办更多高品质国际文化盛事，打造高端人文艺术生活中心和国际时尚发布中心。</w:t>
      </w:r>
      <w:r>
        <w:rPr>
          <w:rFonts w:hint="eastAsia" w:ascii="Times New Roman" w:hAnsi="Times New Roman" w:eastAsia="仿宋_GB2312" w:cs="Times New Roman"/>
          <w:b/>
          <w:bCs/>
          <w:color w:val="000000" w:themeColor="text1"/>
          <w:kern w:val="0"/>
          <w:sz w:val="32"/>
          <w:szCs w:val="32"/>
          <w14:textFill>
            <w14:solidFill>
              <w14:schemeClr w14:val="tx1"/>
            </w14:solidFill>
          </w14:textFill>
        </w:rPr>
        <w:t>加强户外体验供给。</w:t>
      </w:r>
      <w:r>
        <w:rPr>
          <w:rFonts w:ascii="Times New Roman" w:hAnsi="Times New Roman" w:eastAsia="仿宋_GB2312" w:cs="Times New Roman"/>
          <w:color w:val="000000" w:themeColor="text1"/>
          <w:kern w:val="0"/>
          <w:sz w:val="32"/>
          <w:szCs w:val="32"/>
          <w14:textFill>
            <w14:solidFill>
              <w14:schemeClr w14:val="tx1"/>
            </w14:solidFill>
          </w14:textFill>
        </w:rPr>
        <w:t>依托华南植物园等具有户外空旷草坪的场地，推动露营业发展，鼓励露营音乐会、露营集市等活动，打造城市文旅综合消费空间，培育一批有竞争力的露营装备</w:t>
      </w:r>
      <w:r>
        <w:rPr>
          <w:rFonts w:hint="eastAsia" w:ascii="Times New Roman" w:hAnsi="Times New Roman" w:eastAsia="仿宋_GB2312" w:cs="Times New Roman"/>
          <w:color w:val="000000" w:themeColor="text1"/>
          <w:kern w:val="0"/>
          <w:sz w:val="32"/>
          <w:szCs w:val="32"/>
          <w14:textFill>
            <w14:solidFill>
              <w14:schemeClr w14:val="tx1"/>
            </w14:solidFill>
          </w14:textFill>
        </w:rPr>
        <w:t>贸易</w:t>
      </w:r>
      <w:r>
        <w:rPr>
          <w:rFonts w:ascii="Times New Roman" w:hAnsi="Times New Roman" w:eastAsia="仿宋_GB2312" w:cs="Times New Roman"/>
          <w:color w:val="000000" w:themeColor="text1"/>
          <w:kern w:val="0"/>
          <w:sz w:val="32"/>
          <w:szCs w:val="32"/>
          <w14:textFill>
            <w14:solidFill>
              <w14:schemeClr w14:val="tx1"/>
            </w14:solidFill>
          </w14:textFill>
        </w:rPr>
        <w:t>企业。推进猎德涌、沙河涌</w:t>
      </w:r>
      <w:r>
        <w:rPr>
          <w:rFonts w:hint="eastAsia" w:ascii="Times New Roman" w:hAnsi="Times New Roman" w:eastAsia="仿宋_GB2312" w:cs="Times New Roman"/>
          <w:color w:val="000000" w:themeColor="text1"/>
          <w:kern w:val="0"/>
          <w:sz w:val="32"/>
          <w:szCs w:val="32"/>
          <w14:textFill>
            <w14:solidFill>
              <w14:schemeClr w14:val="tx1"/>
            </w14:solidFill>
          </w14:textFill>
        </w:rPr>
        <w:t>、车陂涌</w:t>
      </w:r>
      <w:r>
        <w:rPr>
          <w:rFonts w:ascii="Times New Roman" w:hAnsi="Times New Roman" w:eastAsia="仿宋_GB2312" w:cs="Times New Roman"/>
          <w:color w:val="000000" w:themeColor="text1"/>
          <w:kern w:val="0"/>
          <w:sz w:val="32"/>
          <w:szCs w:val="32"/>
          <w14:textFill>
            <w14:solidFill>
              <w14:schemeClr w14:val="tx1"/>
            </w14:solidFill>
          </w14:textFill>
        </w:rPr>
        <w:t>等河涌改造提升，增加水上步行栈道、休闲长廊、跨涌廊桥，科学布局河涌两侧消费业态，全面打响端午龙舟活动品牌，打造夜游互动光影景观，探索</w:t>
      </w:r>
      <w:r>
        <w:rPr>
          <w:rFonts w:hint="eastAsia" w:ascii="Times New Roman" w:hAnsi="Times New Roman" w:eastAsia="仿宋_GB2312" w:cs="Times New Roman"/>
          <w:color w:val="000000" w:themeColor="text1"/>
          <w:kern w:val="0"/>
          <w:sz w:val="32"/>
          <w:szCs w:val="32"/>
          <w14:textFill>
            <w14:solidFill>
              <w14:schemeClr w14:val="tx1"/>
            </w14:solidFill>
          </w14:textFill>
        </w:rPr>
        <w:t>推出</w:t>
      </w:r>
      <w:r>
        <w:rPr>
          <w:rFonts w:ascii="Times New Roman" w:hAnsi="Times New Roman" w:eastAsia="仿宋_GB2312" w:cs="Times New Roman"/>
          <w:color w:val="000000" w:themeColor="text1"/>
          <w:kern w:val="0"/>
          <w:sz w:val="32"/>
          <w:szCs w:val="32"/>
          <w14:textFill>
            <w14:solidFill>
              <w14:schemeClr w14:val="tx1"/>
            </w14:solidFill>
          </w14:textFill>
        </w:rPr>
        <w:t>日常岭南风格游船项目。</w:t>
      </w:r>
      <w:r>
        <w:rPr>
          <w:rFonts w:hint="eastAsia" w:ascii="Times New Roman" w:hAnsi="Times New Roman" w:eastAsia="仿宋_GB2312" w:cs="Times New Roman"/>
          <w:b/>
          <w:bCs/>
          <w:color w:val="000000" w:themeColor="text1"/>
          <w:kern w:val="0"/>
          <w:sz w:val="32"/>
          <w:szCs w:val="32"/>
          <w14:textFill>
            <w14:solidFill>
              <w14:schemeClr w14:val="tx1"/>
            </w14:solidFill>
          </w14:textFill>
        </w:rPr>
        <w:t>加强体育消费供给。</w:t>
      </w:r>
      <w:r>
        <w:rPr>
          <w:rFonts w:ascii="Times New Roman" w:hAnsi="Times New Roman" w:eastAsia="仿宋_GB2312" w:cs="Times New Roman"/>
          <w:color w:val="000000" w:themeColor="text1"/>
          <w:kern w:val="0"/>
          <w:sz w:val="32"/>
          <w:szCs w:val="32"/>
          <w14:textFill>
            <w14:solidFill>
              <w14:schemeClr w14:val="tx1"/>
            </w14:solidFill>
          </w14:textFill>
        </w:rPr>
        <w:t>挖掘天河体育中心、海心沙体育场等潜力，借助中超、广马、广网等大型赛事，以及电竞、垂直马拉松等特色赛事，联动广东奥体中心，抓住2025年第十五届全运会机遇，做好赛事周边产品开发和产业联动，拉动商圈住宿、餐饮、旅游、体育用品消费</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加快提升体育运动周边衍生产品和体育服务业发展，培育一批有竞争力的</w:t>
      </w:r>
      <w:r>
        <w:rPr>
          <w:rFonts w:hint="eastAsia" w:ascii="Times New Roman" w:hAnsi="Times New Roman" w:eastAsia="仿宋_GB2312" w:cs="Times New Roman"/>
          <w:color w:val="000000" w:themeColor="text1"/>
          <w:kern w:val="0"/>
          <w:sz w:val="32"/>
          <w:szCs w:val="32"/>
          <w14:textFill>
            <w14:solidFill>
              <w14:schemeClr w14:val="tx1"/>
            </w14:solidFill>
          </w14:textFill>
        </w:rPr>
        <w:t>体育用品、</w:t>
      </w:r>
      <w:r>
        <w:rPr>
          <w:rFonts w:ascii="Times New Roman" w:hAnsi="Times New Roman" w:eastAsia="仿宋_GB2312" w:cs="Times New Roman"/>
          <w:color w:val="000000" w:themeColor="text1"/>
          <w:kern w:val="0"/>
          <w:sz w:val="32"/>
          <w:szCs w:val="32"/>
          <w14:textFill>
            <w14:solidFill>
              <w14:schemeClr w14:val="tx1"/>
            </w14:solidFill>
          </w14:textFill>
        </w:rPr>
        <w:t>健身休闲、竞赛表演、场馆服务、中介培训等体育企业。加强与全市旅游资源的整合，</w:t>
      </w:r>
      <w:r>
        <w:rPr>
          <w:rFonts w:ascii="Times New Roman" w:hAnsi="Times New Roman" w:eastAsia="仿宋_GB2312" w:cs="Times New Roman"/>
          <w:color w:val="000000" w:themeColor="text1"/>
          <w:sz w:val="32"/>
          <w:szCs w:val="32"/>
          <w14:textFill>
            <w14:solidFill>
              <w14:schemeClr w14:val="tx1"/>
            </w14:solidFill>
          </w14:textFill>
        </w:rPr>
        <w:t>探索设计涵盖美食、购物、体育、文化体验的多种主题citywalk线路</w:t>
      </w:r>
      <w:r>
        <w:rPr>
          <w:rFonts w:ascii="Times New Roman" w:hAnsi="Times New Roman" w:eastAsia="仿宋_GB2312" w:cs="Times New Roman"/>
          <w:color w:val="000000" w:themeColor="text1"/>
          <w:kern w:val="0"/>
          <w:sz w:val="32"/>
          <w:szCs w:val="32"/>
          <w14:textFill>
            <w14:solidFill>
              <w14:schemeClr w14:val="tx1"/>
            </w14:solidFill>
          </w14:textFill>
        </w:rPr>
        <w:t>，加强接驳和联动促销。</w:t>
      </w:r>
    </w:p>
    <w:p>
      <w:pPr>
        <w:pStyle w:val="3"/>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43" w:name="_Toc115392064"/>
      <w:r>
        <w:rPr>
          <w:rFonts w:ascii="Times New Roman" w:hAnsi="Times New Roman" w:cs="Times New Roman"/>
        </w:rPr>
        <w:t>（二）</w:t>
      </w:r>
      <w:r>
        <w:rPr>
          <w:rFonts w:hint="eastAsia" w:ascii="Times New Roman" w:hAnsi="Times New Roman" w:cs="Times New Roman"/>
        </w:rPr>
        <w:t>加速培育新型消费</w:t>
      </w:r>
      <w:bookmarkEnd w:id="43"/>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44" w:name="_Toc115392065"/>
      <w:r>
        <w:rPr>
          <w:rFonts w:ascii="Times New Roman" w:hAnsi="Times New Roman" w:cs="Times New Roman"/>
        </w:rPr>
        <w:t>1、发力时尚与定制消费</w:t>
      </w:r>
      <w:bookmarkEnd w:id="44"/>
    </w:p>
    <w:p>
      <w:pPr>
        <w:pageBreakBefore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hint="eastAsia" w:ascii="Times New Roman" w:hAnsi="Times New Roman" w:eastAsia="仿宋_GB2312" w:cs="Times New Roman"/>
          <w:b/>
          <w:bCs/>
          <w:color w:val="000000" w:themeColor="text1"/>
          <w:sz w:val="32"/>
          <w:szCs w:val="32"/>
          <w14:textFill>
            <w14:solidFill>
              <w14:schemeClr w14:val="tx1"/>
            </w14:solidFill>
          </w14:textFill>
        </w:rPr>
        <w:t>积极举办时尚活动。</w:t>
      </w:r>
      <w:r>
        <w:rPr>
          <w:rFonts w:ascii="Times New Roman" w:hAnsi="Times New Roman" w:eastAsia="仿宋_GB2312" w:cs="Times New Roman"/>
          <w:color w:val="000000" w:themeColor="text1"/>
          <w:sz w:val="32"/>
          <w:szCs w:val="32"/>
          <w14:textFill>
            <w14:solidFill>
              <w14:schemeClr w14:val="tx1"/>
            </w14:solidFill>
          </w14:textFill>
        </w:rPr>
        <w:t>抓住广州市将城市新中轴拓展提升为时尚消费地标集聚地机遇，</w:t>
      </w:r>
      <w:r>
        <w:rPr>
          <w:rFonts w:ascii="Times New Roman" w:hAnsi="Times New Roman" w:eastAsia="仿宋_GB2312" w:cs="Times New Roman"/>
          <w:color w:val="000000" w:themeColor="text1"/>
          <w:kern w:val="0"/>
          <w:sz w:val="32"/>
          <w:szCs w:val="32"/>
          <w14:textFill>
            <w14:solidFill>
              <w14:schemeClr w14:val="tx1"/>
            </w14:solidFill>
          </w14:textFill>
        </w:rPr>
        <w:t>建立与香港、伦敦、巴黎、米兰等国际时尚策源地合作交流机制，依托花城广场、海心沙</w:t>
      </w:r>
      <w:r>
        <w:rPr>
          <w:rFonts w:hint="eastAsia" w:ascii="Times New Roman" w:hAnsi="Times New Roman" w:eastAsia="仿宋_GB2312" w:cs="Times New Roman"/>
          <w:color w:val="000000" w:themeColor="text1"/>
          <w:kern w:val="0"/>
          <w:sz w:val="32"/>
          <w:szCs w:val="32"/>
          <w14:textFill>
            <w14:solidFill>
              <w14:schemeClr w14:val="tx1"/>
            </w14:solidFill>
          </w14:textFill>
        </w:rPr>
        <w:t>等</w:t>
      </w:r>
      <w:r>
        <w:rPr>
          <w:rFonts w:ascii="Times New Roman" w:hAnsi="Times New Roman" w:eastAsia="仿宋_GB2312" w:cs="Times New Roman"/>
          <w:color w:val="000000" w:themeColor="text1"/>
          <w:kern w:val="0"/>
          <w:sz w:val="32"/>
          <w:szCs w:val="32"/>
          <w14:textFill>
            <w14:solidFill>
              <w14:schemeClr w14:val="tx1"/>
            </w14:solidFill>
          </w14:textFill>
        </w:rPr>
        <w:t>，建设国际时尚发布中心，</w:t>
      </w:r>
      <w:r>
        <w:rPr>
          <w:rFonts w:hint="eastAsia" w:ascii="Times New Roman" w:hAnsi="Times New Roman" w:eastAsia="仿宋_GB2312" w:cs="Times New Roman"/>
          <w:color w:val="000000" w:themeColor="text1"/>
          <w:kern w:val="0"/>
          <w:sz w:val="32"/>
          <w:szCs w:val="32"/>
          <w14:textFill>
            <w14:solidFill>
              <w14:schemeClr w14:val="tx1"/>
            </w14:solidFill>
          </w14:textFill>
        </w:rPr>
        <w:t>积极支持</w:t>
      </w:r>
      <w:r>
        <w:rPr>
          <w:rFonts w:ascii="Times New Roman" w:hAnsi="Times New Roman" w:eastAsia="仿宋_GB2312" w:cs="Times New Roman"/>
          <w:color w:val="000000" w:themeColor="text1"/>
          <w:kern w:val="0"/>
          <w:sz w:val="32"/>
          <w:szCs w:val="32"/>
          <w14:textFill>
            <w14:solidFill>
              <w14:schemeClr w14:val="tx1"/>
            </w14:solidFill>
          </w14:textFill>
        </w:rPr>
        <w:t>广州国际时尚产业大会</w:t>
      </w:r>
      <w:r>
        <w:rPr>
          <w:rFonts w:hint="eastAsia" w:ascii="Times New Roman" w:hAnsi="Times New Roman" w:eastAsia="仿宋_GB2312" w:cs="Times New Roman"/>
          <w:color w:val="000000" w:themeColor="text1"/>
          <w:kern w:val="0"/>
          <w:sz w:val="32"/>
          <w:szCs w:val="32"/>
          <w14:textFill>
            <w14:solidFill>
              <w14:schemeClr w14:val="tx1"/>
            </w14:solidFill>
          </w14:textFill>
        </w:rPr>
        <w:t>举办</w:t>
      </w:r>
      <w:r>
        <w:rPr>
          <w:rFonts w:ascii="Times New Roman" w:hAnsi="Times New Roman" w:eastAsia="仿宋_GB2312" w:cs="Times New Roman"/>
          <w:color w:val="000000" w:themeColor="text1"/>
          <w:kern w:val="0"/>
          <w:sz w:val="32"/>
          <w:szCs w:val="32"/>
          <w14:textFill>
            <w14:solidFill>
              <w14:schemeClr w14:val="tx1"/>
            </w14:solidFill>
          </w14:textFill>
        </w:rPr>
        <w:t>，争取国际知名时装周、品牌展会落户，策划一批顶级时尚发布活动</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hint="eastAsia" w:ascii="Times New Roman" w:hAnsi="Times New Roman" w:eastAsia="仿宋_GB2312" w:cs="Times New Roman"/>
          <w:b/>
          <w:bCs/>
          <w:color w:val="000000" w:themeColor="text1"/>
          <w:kern w:val="0"/>
          <w:sz w:val="32"/>
          <w:szCs w:val="32"/>
          <w14:textFill>
            <w14:solidFill>
              <w14:schemeClr w14:val="tx1"/>
            </w14:solidFill>
          </w14:textFill>
        </w:rPr>
        <w:t>构建</w:t>
      </w:r>
      <w:r>
        <w:rPr>
          <w:rFonts w:ascii="Times New Roman" w:hAnsi="Times New Roman" w:eastAsia="仿宋_GB2312" w:cs="Times New Roman"/>
          <w:b/>
          <w:bCs/>
          <w:color w:val="000000" w:themeColor="text1"/>
          <w:sz w:val="32"/>
          <w:szCs w:val="32"/>
          <w14:textFill>
            <w14:solidFill>
              <w14:schemeClr w14:val="tx1"/>
            </w14:solidFill>
          </w14:textFill>
        </w:rPr>
        <w:t>新品发布专业服务体系</w:t>
      </w:r>
      <w:r>
        <w:rPr>
          <w:rFonts w:hint="eastAsia"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借助珠江新城高端专业服务业集聚优势，支持海心沙、花城广场、正佳广场、天河城、太古汇、天环广场、K11、天德广场等标志性场地完善配套设施，建立集研发创新、品牌咨询、广告设计、营销推广、展会活动等于一体的新品发布专业服务体系，健全新品发布专业服务链，打造全球新品首发首秀活动平台，举办服装、美妆、汽车、珠宝等各类产品发布活动，在新品发布资源对接、活动审批、宣传推广等方面提供便利化服务。</w:t>
      </w:r>
      <w:r>
        <w:rPr>
          <w:rFonts w:ascii="Times New Roman" w:hAnsi="Times New Roman" w:eastAsia="仿宋_GB2312" w:cs="Times New Roman"/>
          <w:b/>
          <w:bCs/>
          <w:color w:val="000000" w:themeColor="text1"/>
          <w:kern w:val="0"/>
          <w:sz w:val="32"/>
          <w:szCs w:val="32"/>
          <w14:textFill>
            <w14:solidFill>
              <w14:schemeClr w14:val="tx1"/>
            </w14:solidFill>
          </w14:textFill>
        </w:rPr>
        <w:t>加强</w:t>
      </w:r>
      <w:r>
        <w:rPr>
          <w:rFonts w:hint="eastAsia" w:ascii="Times New Roman" w:hAnsi="Times New Roman" w:eastAsia="仿宋_GB2312" w:cs="Times New Roman"/>
          <w:b/>
          <w:bCs/>
          <w:color w:val="000000" w:themeColor="text1"/>
          <w:kern w:val="0"/>
          <w:sz w:val="32"/>
          <w:szCs w:val="32"/>
          <w14:textFill>
            <w14:solidFill>
              <w14:schemeClr w14:val="tx1"/>
            </w14:solidFill>
          </w14:textFill>
        </w:rPr>
        <w:t>培育</w:t>
      </w:r>
      <w:r>
        <w:rPr>
          <w:rFonts w:ascii="Times New Roman" w:hAnsi="Times New Roman" w:eastAsia="仿宋_GB2312" w:cs="Times New Roman"/>
          <w:b/>
          <w:bCs/>
          <w:color w:val="000000" w:themeColor="text1"/>
          <w:kern w:val="0"/>
          <w:sz w:val="32"/>
          <w:szCs w:val="32"/>
          <w14:textFill>
            <w14:solidFill>
              <w14:schemeClr w14:val="tx1"/>
            </w14:solidFill>
          </w14:textFill>
        </w:rPr>
        <w:t>自主时尚品牌</w:t>
      </w:r>
      <w:r>
        <w:rPr>
          <w:rFonts w:hint="eastAsia" w:ascii="Times New Roman" w:hAnsi="Times New Roman" w:eastAsia="仿宋_GB2312" w:cs="Times New Roman"/>
          <w:b/>
          <w:bCs/>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推动培育一批时尚品牌，支持各类品牌开展跨界联名合作。</w:t>
      </w:r>
      <w:r>
        <w:rPr>
          <w:rFonts w:ascii="Times New Roman" w:hAnsi="Times New Roman" w:eastAsia="仿宋_GB2312" w:cs="Times New Roman"/>
          <w:sz w:val="32"/>
          <w:szCs w:val="32"/>
        </w:rPr>
        <w:t>抓住广州市</w:t>
      </w:r>
      <w:r>
        <w:rPr>
          <w:rFonts w:hint="eastAsia" w:ascii="Times New Roman" w:hAnsi="Times New Roman" w:eastAsia="仿宋_GB2312" w:cs="Times New Roman"/>
          <w:sz w:val="32"/>
          <w:szCs w:val="32"/>
        </w:rPr>
        <w:t>打造</w:t>
      </w:r>
      <w:r>
        <w:rPr>
          <w:rFonts w:ascii="Times New Roman" w:hAnsi="Times New Roman" w:eastAsia="仿宋_GB2312" w:cs="Times New Roman"/>
          <w:sz w:val="32"/>
          <w:szCs w:val="32"/>
        </w:rPr>
        <w:t>“定制之都”契机，</w:t>
      </w:r>
      <w:r>
        <w:rPr>
          <w:rFonts w:ascii="Times New Roman" w:hAnsi="Times New Roman" w:eastAsia="仿宋_GB2312" w:cs="Times New Roman"/>
          <w:color w:val="000000" w:themeColor="text1"/>
          <w:kern w:val="0"/>
          <w:sz w:val="32"/>
          <w:szCs w:val="32"/>
          <w14:textFill>
            <w14:solidFill>
              <w14:schemeClr w14:val="tx1"/>
            </w14:solidFill>
          </w14:textFill>
        </w:rPr>
        <w:t>打造时尚消费“定制体验中心”</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sz w:val="32"/>
          <w:szCs w:val="32"/>
        </w:rPr>
        <w:t>推动</w:t>
      </w:r>
      <w:r>
        <w:rPr>
          <w:rFonts w:hint="eastAsia" w:ascii="Times New Roman" w:hAnsi="Times New Roman" w:eastAsia="仿宋_GB2312" w:cs="Times New Roman"/>
          <w:sz w:val="32"/>
          <w:szCs w:val="32"/>
        </w:rPr>
        <w:t>服装、珠宝、箱包、家居等领域</w:t>
      </w:r>
      <w:r>
        <w:rPr>
          <w:rFonts w:ascii="Times New Roman" w:hAnsi="Times New Roman" w:eastAsia="仿宋_GB2312" w:cs="Times New Roman"/>
          <w:sz w:val="32"/>
          <w:szCs w:val="32"/>
        </w:rPr>
        <w:t>时尚与定制</w:t>
      </w:r>
      <w:r>
        <w:rPr>
          <w:rFonts w:hint="eastAsia" w:ascii="Times New Roman" w:hAnsi="Times New Roman" w:eastAsia="仿宋_GB2312" w:cs="Times New Roman"/>
          <w:sz w:val="32"/>
          <w:szCs w:val="32"/>
        </w:rPr>
        <w:t>融合发展</w:t>
      </w:r>
      <w:r>
        <w:rPr>
          <w:rFonts w:ascii="Times New Roman" w:hAnsi="Times New Roman" w:eastAsia="仿宋_GB2312" w:cs="Times New Roman"/>
          <w:color w:val="000000" w:themeColor="text1"/>
          <w:kern w:val="0"/>
          <w:sz w:val="32"/>
          <w:szCs w:val="32"/>
          <w14:textFill>
            <w14:solidFill>
              <w14:schemeClr w14:val="tx1"/>
            </w14:solidFill>
          </w14:textFill>
        </w:rPr>
        <w:t>。</w:t>
      </w:r>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45" w:name="_Toc115392066"/>
      <w:r>
        <w:rPr>
          <w:rFonts w:ascii="Times New Roman" w:hAnsi="Times New Roman" w:cs="Times New Roman"/>
        </w:rPr>
        <w:t>2、</w:t>
      </w:r>
      <w:r>
        <w:rPr>
          <w:rFonts w:hint="eastAsia" w:ascii="Times New Roman" w:hAnsi="Times New Roman" w:cs="Times New Roman"/>
        </w:rPr>
        <w:t>进一步增强体验消费</w:t>
      </w:r>
      <w:bookmarkEnd w:id="45"/>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加快元宇宙沉浸式应用场景落地，鼓励零售企业打造数字购物体验店，720度全景虚拟店铺，通过3D技术，创建多元化、全场景、可交互的数字商品，创建虚拟场景与虚拟客服，</w:t>
      </w:r>
      <w:r>
        <w:rPr>
          <w:rFonts w:hint="eastAsia" w:ascii="Times New Roman" w:hAnsi="Times New Roman" w:eastAsia="仿宋_GB2312" w:cs="Times New Roman"/>
          <w:color w:val="000000" w:themeColor="text1"/>
          <w:kern w:val="0"/>
          <w:sz w:val="32"/>
          <w:szCs w:val="32"/>
          <w14:textFill>
            <w14:solidFill>
              <w14:schemeClr w14:val="tx1"/>
            </w14:solidFill>
          </w14:textFill>
        </w:rPr>
        <w:t>实现“</w:t>
      </w:r>
      <w:r>
        <w:rPr>
          <w:rFonts w:ascii="Times New Roman" w:hAnsi="Times New Roman" w:eastAsia="仿宋_GB2312" w:cs="Times New Roman"/>
          <w:color w:val="000000" w:themeColor="text1"/>
          <w:kern w:val="0"/>
          <w:sz w:val="32"/>
          <w:szCs w:val="32"/>
          <w14:textFill>
            <w14:solidFill>
              <w14:schemeClr w14:val="tx1"/>
            </w14:solidFill>
          </w14:textFill>
        </w:rPr>
        <w:t>身临其境</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的体验商品与服务。支持商业载体结合自身条件，以动漫、游戏、电竞等为主题打造沉浸式商业空间，加强与区内游戏企业合作，联合打造游戏实景体验空间。</w:t>
      </w:r>
      <w:r>
        <w:rPr>
          <w:rFonts w:hint="eastAsia" w:ascii="Times New Roman" w:hAnsi="Times New Roman" w:eastAsia="仿宋_GB2312" w:cs="Times New Roman"/>
          <w:color w:val="000000" w:themeColor="text1"/>
          <w:kern w:val="0"/>
          <w:sz w:val="32"/>
          <w:szCs w:val="32"/>
          <w14:textFill>
            <w14:solidFill>
              <w14:schemeClr w14:val="tx1"/>
            </w14:solidFill>
          </w14:textFill>
        </w:rPr>
        <w:t>支持商业载体</w:t>
      </w:r>
      <w:r>
        <w:rPr>
          <w:rFonts w:ascii="Times New Roman" w:hAnsi="Times New Roman" w:eastAsia="仿宋_GB2312" w:cs="Times New Roman"/>
          <w:color w:val="000000" w:themeColor="text1"/>
          <w:kern w:val="0"/>
          <w:sz w:val="32"/>
          <w:szCs w:val="32"/>
          <w14:textFill>
            <w14:solidFill>
              <w14:schemeClr w14:val="tx1"/>
            </w14:solidFill>
          </w14:textFill>
        </w:rPr>
        <w:t>引入缝纫、</w:t>
      </w:r>
      <w:r>
        <w:rPr>
          <w:rFonts w:hint="eastAsia" w:ascii="Times New Roman" w:hAnsi="Times New Roman" w:eastAsia="仿宋_GB2312" w:cs="Times New Roman"/>
          <w:color w:val="000000" w:themeColor="text1"/>
          <w:kern w:val="0"/>
          <w:sz w:val="32"/>
          <w:szCs w:val="32"/>
          <w14:textFill>
            <w14:solidFill>
              <w14:schemeClr w14:val="tx1"/>
            </w14:solidFill>
          </w14:textFill>
        </w:rPr>
        <w:t>烹饪、烘培、</w:t>
      </w:r>
      <w:r>
        <w:rPr>
          <w:rFonts w:ascii="Times New Roman" w:hAnsi="Times New Roman" w:eastAsia="仿宋_GB2312" w:cs="Times New Roman"/>
          <w:color w:val="000000" w:themeColor="text1"/>
          <w:kern w:val="0"/>
          <w:sz w:val="32"/>
          <w:szCs w:val="32"/>
          <w14:textFill>
            <w14:solidFill>
              <w14:schemeClr w14:val="tx1"/>
            </w14:solidFill>
          </w14:textFill>
        </w:rPr>
        <w:t>陶艺、香薰等动手类体验业态</w:t>
      </w:r>
      <w:r>
        <w:rPr>
          <w:rFonts w:hint="eastAsia" w:ascii="Times New Roman" w:hAnsi="Times New Roman" w:eastAsia="仿宋_GB2312" w:cs="Times New Roman"/>
          <w:color w:val="000000" w:themeColor="text1"/>
          <w:kern w:val="0"/>
          <w:sz w:val="32"/>
          <w:szCs w:val="32"/>
          <w14:textFill>
            <w14:solidFill>
              <w14:schemeClr w14:val="tx1"/>
            </w14:solidFill>
          </w14:textFill>
        </w:rPr>
        <w:t>；支持打造屋顶儿童乐园、跑道、农场、花园等，促进亲子交流业态发展；</w:t>
      </w:r>
      <w:r>
        <w:rPr>
          <w:rFonts w:ascii="Times New Roman" w:hAnsi="Times New Roman" w:eastAsia="仿宋_GB2312" w:cs="Times New Roman"/>
          <w:color w:val="000000" w:themeColor="text1"/>
          <w:kern w:val="0"/>
          <w:sz w:val="32"/>
          <w:szCs w:val="32"/>
          <w14:textFill>
            <w14:solidFill>
              <w14:schemeClr w14:val="tx1"/>
            </w14:solidFill>
          </w14:textFill>
        </w:rPr>
        <w:t>支持沉浸式展览、创意声光电演出、AR/VR体验发展。支持老旧小区、旧厂房等大空间、低成本区域加强改造，推出剧本杀、密室逃脱等活动，加强情节设计优化，融入特色文化元素。</w:t>
      </w:r>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46" w:name="_Toc115392067"/>
      <w:r>
        <w:rPr>
          <w:rFonts w:ascii="Times New Roman" w:hAnsi="Times New Roman" w:cs="Times New Roman"/>
        </w:rPr>
        <w:t>3、</w:t>
      </w:r>
      <w:r>
        <w:rPr>
          <w:rFonts w:hint="eastAsia" w:ascii="Times New Roman" w:hAnsi="Times New Roman" w:cs="Times New Roman"/>
        </w:rPr>
        <w:t>多维度发展美丽经济</w:t>
      </w:r>
      <w:bookmarkEnd w:id="46"/>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依托中心城区优势，大力支持紫馨、华美、美莱等医美机构发展壮大，鼓励传统美容外科机构加速轻医美赛道布局，支持医美机构在二三线城市布局社区化、轻量化医美门店，通过辖区外门店，将外科手术等高技术需求客户导流至天河总店或旗舰店，间接推动区内住宿和餐饮业消费；鼓励医美机构与女性车友会、高端箱包卖场等女性高端消费行业开展异业合作。</w:t>
      </w:r>
      <w:r>
        <w:rPr>
          <w:rFonts w:hint="eastAsia" w:ascii="Times New Roman" w:hAnsi="Times New Roman" w:eastAsia="仿宋_GB2312" w:cs="Times New Roman"/>
          <w:color w:val="000000" w:themeColor="text1"/>
          <w:kern w:val="0"/>
          <w:sz w:val="32"/>
          <w:szCs w:val="32"/>
          <w14:textFill>
            <w14:solidFill>
              <w14:schemeClr w14:val="tx1"/>
            </w14:solidFill>
          </w14:textFill>
        </w:rPr>
        <w:t>支持</w:t>
      </w:r>
      <w:r>
        <w:rPr>
          <w:rFonts w:ascii="Times New Roman" w:hAnsi="Times New Roman" w:eastAsia="仿宋_GB2312" w:cs="Times New Roman"/>
          <w:color w:val="000000" w:themeColor="text1"/>
          <w:kern w:val="0"/>
          <w:sz w:val="32"/>
          <w:szCs w:val="32"/>
          <w14:textFill>
            <w14:solidFill>
              <w14:schemeClr w14:val="tx1"/>
            </w14:solidFill>
          </w14:textFill>
        </w:rPr>
        <w:t>诺德溯源等</w:t>
      </w:r>
      <w:r>
        <w:rPr>
          <w:rFonts w:hint="eastAsia" w:ascii="Times New Roman" w:hAnsi="Times New Roman" w:eastAsia="仿宋_GB2312" w:cs="Times New Roman"/>
          <w:color w:val="000000" w:themeColor="text1"/>
          <w:kern w:val="0"/>
          <w:sz w:val="32"/>
          <w:szCs w:val="32"/>
          <w14:textFill>
            <w14:solidFill>
              <w14:schemeClr w14:val="tx1"/>
            </w14:solidFill>
          </w14:textFill>
        </w:rPr>
        <w:t>美妆品牌</w:t>
      </w:r>
      <w:r>
        <w:rPr>
          <w:rFonts w:ascii="Times New Roman" w:hAnsi="Times New Roman" w:eastAsia="仿宋_GB2312" w:cs="Times New Roman"/>
          <w:color w:val="000000" w:themeColor="text1"/>
          <w:kern w:val="0"/>
          <w:sz w:val="32"/>
          <w:szCs w:val="32"/>
          <w14:textFill>
            <w14:solidFill>
              <w14:schemeClr w14:val="tx1"/>
            </w14:solidFill>
          </w14:textFill>
        </w:rPr>
        <w:t>对标国际</w:t>
      </w:r>
      <w:r>
        <w:rPr>
          <w:rFonts w:hint="eastAsia" w:ascii="Times New Roman" w:hAnsi="Times New Roman" w:eastAsia="仿宋_GB2312" w:cs="Times New Roman"/>
          <w:color w:val="000000" w:themeColor="text1"/>
          <w:kern w:val="0"/>
          <w:sz w:val="32"/>
          <w:szCs w:val="32"/>
          <w14:textFill>
            <w14:solidFill>
              <w14:schemeClr w14:val="tx1"/>
            </w14:solidFill>
          </w14:textFill>
        </w:rPr>
        <w:t>国内</w:t>
      </w:r>
      <w:r>
        <w:rPr>
          <w:rFonts w:ascii="Times New Roman" w:hAnsi="Times New Roman" w:eastAsia="仿宋_GB2312" w:cs="Times New Roman"/>
          <w:color w:val="000000" w:themeColor="text1"/>
          <w:kern w:val="0"/>
          <w:sz w:val="32"/>
          <w:szCs w:val="32"/>
          <w14:textFill>
            <w14:solidFill>
              <w14:schemeClr w14:val="tx1"/>
            </w14:solidFill>
          </w14:textFill>
        </w:rPr>
        <w:t>一流</w:t>
      </w:r>
      <w:r>
        <w:rPr>
          <w:rFonts w:hint="eastAsia" w:ascii="Times New Roman" w:hAnsi="Times New Roman" w:eastAsia="仿宋_GB2312" w:cs="Times New Roman"/>
          <w:color w:val="000000" w:themeColor="text1"/>
          <w:kern w:val="0"/>
          <w:sz w:val="32"/>
          <w:szCs w:val="32"/>
          <w14:textFill>
            <w14:solidFill>
              <w14:schemeClr w14:val="tx1"/>
            </w14:solidFill>
          </w14:textFill>
        </w:rPr>
        <w:t>品牌</w:t>
      </w:r>
      <w:r>
        <w:rPr>
          <w:rFonts w:ascii="Times New Roman" w:hAnsi="Times New Roman" w:eastAsia="仿宋_GB2312" w:cs="Times New Roman"/>
          <w:color w:val="000000" w:themeColor="text1"/>
          <w:kern w:val="0"/>
          <w:sz w:val="32"/>
          <w:szCs w:val="32"/>
          <w14:textFill>
            <w14:solidFill>
              <w14:schemeClr w14:val="tx1"/>
            </w14:solidFill>
          </w14:textFill>
        </w:rPr>
        <w:t>，提高管理水平，开拓主流市场</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加快实现在国内市场占有率的突破和提升</w:t>
      </w:r>
      <w:r>
        <w:rPr>
          <w:rFonts w:hint="eastAsia" w:ascii="Times New Roman" w:hAnsi="Times New Roman" w:eastAsia="仿宋_GB2312" w:cs="Times New Roman"/>
          <w:color w:val="000000" w:themeColor="text1"/>
          <w:kern w:val="0"/>
          <w:sz w:val="32"/>
          <w:szCs w:val="32"/>
          <w14:textFill>
            <w14:solidFill>
              <w14:schemeClr w14:val="tx1"/>
            </w14:solidFill>
          </w14:textFill>
        </w:rPr>
        <w:t>；充分发挥商圈高端商业载体密集优势，引进国内外美妆品牌，鼓励商圈举办“美妆节”，探索在商圈开设</w:t>
      </w:r>
      <w:r>
        <w:rPr>
          <w:rFonts w:ascii="Times New Roman" w:hAnsi="Times New Roman" w:eastAsia="仿宋_GB2312" w:cs="Times New Roman"/>
          <w:color w:val="000000" w:themeColor="text1"/>
          <w:kern w:val="0"/>
          <w:sz w:val="32"/>
          <w:szCs w:val="32"/>
          <w14:textFill>
            <w14:solidFill>
              <w14:schemeClr w14:val="tx1"/>
            </w14:solidFill>
          </w14:textFill>
        </w:rPr>
        <w:t>品牌美妆时尚体验街区，开辟旅游购物专线</w:t>
      </w:r>
      <w:r>
        <w:rPr>
          <w:rFonts w:hint="eastAsia" w:ascii="Times New Roman" w:hAnsi="Times New Roman" w:eastAsia="仿宋_GB2312" w:cs="Times New Roman"/>
          <w:color w:val="000000" w:themeColor="text1"/>
          <w:kern w:val="0"/>
          <w:sz w:val="32"/>
          <w:szCs w:val="32"/>
          <w14:textFill>
            <w14:solidFill>
              <w14:schemeClr w14:val="tx1"/>
            </w14:solidFill>
          </w14:textFill>
        </w:rPr>
        <w:t>，做强美妆新零售，</w:t>
      </w:r>
      <w:r>
        <w:rPr>
          <w:rFonts w:ascii="Times New Roman" w:hAnsi="Times New Roman" w:eastAsia="仿宋_GB2312" w:cs="Times New Roman"/>
          <w:color w:val="000000" w:themeColor="text1"/>
          <w:kern w:val="0"/>
          <w:sz w:val="32"/>
          <w:szCs w:val="32"/>
          <w14:textFill>
            <w14:solidFill>
              <w14:schemeClr w14:val="tx1"/>
            </w14:solidFill>
          </w14:textFill>
        </w:rPr>
        <w:t>建设知名</w:t>
      </w:r>
      <w:r>
        <w:rPr>
          <w:rFonts w:hint="eastAsia" w:ascii="Times New Roman" w:hAnsi="Times New Roman" w:eastAsia="仿宋_GB2312" w:cs="Times New Roman"/>
          <w:color w:val="000000" w:themeColor="text1"/>
          <w:kern w:val="0"/>
          <w:sz w:val="32"/>
          <w:szCs w:val="32"/>
          <w14:textFill>
            <w14:solidFill>
              <w14:schemeClr w14:val="tx1"/>
            </w14:solidFill>
          </w14:textFill>
        </w:rPr>
        <w:t>美妆</w:t>
      </w:r>
      <w:r>
        <w:rPr>
          <w:rFonts w:ascii="Times New Roman" w:hAnsi="Times New Roman" w:eastAsia="仿宋_GB2312" w:cs="Times New Roman"/>
          <w:color w:val="000000" w:themeColor="text1"/>
          <w:kern w:val="0"/>
          <w:sz w:val="32"/>
          <w:szCs w:val="32"/>
          <w14:textFill>
            <w14:solidFill>
              <w14:schemeClr w14:val="tx1"/>
            </w14:solidFill>
          </w14:textFill>
        </w:rPr>
        <w:t>品牌的消费风向标。依托</w:t>
      </w:r>
      <w:r>
        <w:rPr>
          <w:rFonts w:hint="eastAsia" w:ascii="Times New Roman" w:hAnsi="Times New Roman" w:eastAsia="仿宋_GB2312" w:cs="Times New Roman"/>
          <w:color w:val="000000" w:themeColor="text1"/>
          <w:kern w:val="0"/>
          <w:sz w:val="32"/>
          <w:szCs w:val="32"/>
          <w14:textFill>
            <w14:solidFill>
              <w14:schemeClr w14:val="tx1"/>
            </w14:solidFill>
          </w14:textFill>
        </w:rPr>
        <w:t>珠江新城</w:t>
      </w:r>
      <w:r>
        <w:rPr>
          <w:rFonts w:ascii="Times New Roman" w:hAnsi="Times New Roman" w:eastAsia="仿宋_GB2312" w:cs="Times New Roman"/>
          <w:color w:val="000000" w:themeColor="text1"/>
          <w:kern w:val="0"/>
          <w:sz w:val="32"/>
          <w:szCs w:val="32"/>
          <w14:textFill>
            <w14:solidFill>
              <w14:schemeClr w14:val="tx1"/>
            </w14:solidFill>
          </w14:textFill>
        </w:rPr>
        <w:t>周边写字楼密集优势，做大做强商务形象设计</w:t>
      </w:r>
      <w:r>
        <w:rPr>
          <w:rFonts w:hint="eastAsia" w:ascii="Times New Roman" w:hAnsi="Times New Roman" w:eastAsia="仿宋_GB2312" w:cs="Times New Roman"/>
          <w:color w:val="000000" w:themeColor="text1"/>
          <w:kern w:val="0"/>
          <w:sz w:val="32"/>
          <w:szCs w:val="32"/>
          <w14:textFill>
            <w14:solidFill>
              <w14:schemeClr w14:val="tx1"/>
            </w14:solidFill>
          </w14:textFill>
        </w:rPr>
        <w:t>，支持</w:t>
      </w:r>
      <w:r>
        <w:rPr>
          <w:rFonts w:ascii="Times New Roman" w:hAnsi="Times New Roman" w:eastAsia="仿宋_GB2312" w:cs="Times New Roman"/>
          <w:color w:val="000000" w:themeColor="text1"/>
          <w:kern w:val="0"/>
          <w:sz w:val="32"/>
          <w:szCs w:val="32"/>
          <w14:textFill>
            <w14:solidFill>
              <w14:schemeClr w14:val="tx1"/>
            </w14:solidFill>
          </w14:textFill>
        </w:rPr>
        <w:t>商务形象设计</w:t>
      </w:r>
      <w:r>
        <w:rPr>
          <w:rFonts w:hint="eastAsia" w:ascii="Times New Roman" w:hAnsi="Times New Roman" w:eastAsia="仿宋_GB2312" w:cs="Times New Roman"/>
          <w:color w:val="000000" w:themeColor="text1"/>
          <w:kern w:val="0"/>
          <w:sz w:val="32"/>
          <w:szCs w:val="32"/>
          <w14:textFill>
            <w14:solidFill>
              <w14:schemeClr w14:val="tx1"/>
            </w14:solidFill>
          </w14:textFill>
        </w:rPr>
        <w:t>企业“走进”写字楼，为商务人士提供时尚形象设计，加强与商业载体内中高端服饰、珠宝、美妆、美容等门店联动，共同打造内涵丰富的“美丽经济”发展高地</w:t>
      </w:r>
      <w:r>
        <w:rPr>
          <w:rFonts w:ascii="Times New Roman" w:hAnsi="Times New Roman" w:eastAsia="仿宋_GB2312" w:cs="Times New Roman"/>
          <w:color w:val="000000" w:themeColor="text1"/>
          <w:kern w:val="0"/>
          <w:sz w:val="32"/>
          <w:szCs w:val="32"/>
          <w14:textFill>
            <w14:solidFill>
              <w14:schemeClr w14:val="tx1"/>
            </w14:solidFill>
          </w14:textFill>
        </w:rPr>
        <w:t>。</w:t>
      </w:r>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47" w:name="_Toc115392068"/>
      <w:r>
        <w:rPr>
          <w:rFonts w:ascii="Times New Roman" w:hAnsi="Times New Roman" w:cs="Times New Roman"/>
        </w:rPr>
        <w:t>4、提升生活性服务</w:t>
      </w:r>
      <w:r>
        <w:rPr>
          <w:rFonts w:hint="eastAsia" w:ascii="Times New Roman" w:hAnsi="Times New Roman" w:cs="Times New Roman"/>
        </w:rPr>
        <w:t>供给</w:t>
      </w:r>
      <w:r>
        <w:rPr>
          <w:rFonts w:ascii="Times New Roman" w:hAnsi="Times New Roman" w:cs="Times New Roman"/>
        </w:rPr>
        <w:t>品质</w:t>
      </w:r>
      <w:bookmarkEnd w:id="47"/>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加快发展体育健身消费，引导市民积极参与体育健身消费，着力构建多层次体育消费场景，发挥体育场馆、体育综合体等对体育消费的促进和带动作用。借助广州市家政服务业提质扩容“领跑者”行动，支持</w:t>
      </w:r>
      <w:r>
        <w:rPr>
          <w:rFonts w:hint="eastAsia" w:ascii="Times New Roman" w:hAnsi="Times New Roman" w:eastAsia="仿宋_GB2312" w:cs="Times New Roman"/>
          <w:color w:val="000000" w:themeColor="text1"/>
          <w:kern w:val="0"/>
          <w:sz w:val="32"/>
          <w:szCs w:val="32"/>
          <w14:textFill>
            <w14:solidFill>
              <w14:schemeClr w14:val="tx1"/>
            </w14:solidFill>
          </w14:textFill>
        </w:rPr>
        <w:t>家政服务</w:t>
      </w:r>
      <w:r>
        <w:rPr>
          <w:rFonts w:ascii="Times New Roman" w:hAnsi="Times New Roman" w:eastAsia="仿宋_GB2312" w:cs="Times New Roman"/>
          <w:color w:val="000000" w:themeColor="text1"/>
          <w:kern w:val="0"/>
          <w:sz w:val="32"/>
          <w:szCs w:val="32"/>
          <w14:textFill>
            <w14:solidFill>
              <w14:schemeClr w14:val="tx1"/>
            </w14:solidFill>
          </w14:textFill>
        </w:rPr>
        <w:t>领跑企业健康快速发展，打造具有引领和示范效应的龙头企业和家政服务品牌；结合省“粤菜师傅”“广东技工”“南粤家政”三大工程，培育智慧家政、国际家政等高端家政服务业品牌，引进港澳成熟生活性服务业企业，提高家政服务业专业化、标准化、高端化水平。围绕肿瘤、中医、体检、月子中心等社会需求较大领域，着力引入建设一批优势突出的专科医院和医疗机构，</w:t>
      </w:r>
      <w:r>
        <w:rPr>
          <w:rFonts w:hint="eastAsia" w:ascii="Times New Roman" w:hAnsi="Times New Roman" w:eastAsia="仿宋_GB2312" w:cs="Times New Roman"/>
          <w:color w:val="000000" w:themeColor="text1"/>
          <w:kern w:val="0"/>
          <w:sz w:val="32"/>
          <w:szCs w:val="32"/>
          <w14:textFill>
            <w14:solidFill>
              <w14:schemeClr w14:val="tx1"/>
            </w14:solidFill>
          </w14:textFill>
        </w:rPr>
        <w:t>着力引进</w:t>
      </w:r>
      <w:r>
        <w:rPr>
          <w:rFonts w:ascii="Times New Roman" w:hAnsi="Times New Roman" w:eastAsia="仿宋_GB2312" w:cs="Times New Roman"/>
          <w:color w:val="000000" w:themeColor="text1"/>
          <w:kern w:val="0"/>
          <w:sz w:val="32"/>
          <w:szCs w:val="32"/>
          <w14:textFill>
            <w14:solidFill>
              <w14:schemeClr w14:val="tx1"/>
            </w14:solidFill>
          </w14:textFill>
        </w:rPr>
        <w:t>港澳优质医疗机构，形成高端医疗服务供给优势；依托大数据、物联网、人工智能等产业基础，引进和培育一批信息技术服务型健康管理服务机构，围绕居民全生命周期健康管理，发展集健康信息档案、健康检测、健康干预、慢病管理、家庭医生、健康咨询等于一体的健康管理解决方案。</w:t>
      </w:r>
    </w:p>
    <w:p>
      <w:pPr>
        <w:pStyle w:val="2"/>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48" w:name="_Toc115392069"/>
      <w:r>
        <w:rPr>
          <w:rFonts w:ascii="Times New Roman" w:hAnsi="Times New Roman" w:cs="Times New Roman"/>
        </w:rPr>
        <w:t>第五章  建设世界级地标商圈</w:t>
      </w:r>
      <w:bookmarkEnd w:id="48"/>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结合广州市加快培育国际消费中心城市中连片提升广州东站、天河体育中心、“六运”小区、花城广场、海心沙、海心桥等消费地标、景观节点，做强做大和培育天河路-珠江新城、金融城-黄埔湾世界级地标商圈等重点工作，全面推动天河路商圈、珠江新城商圈和金融城商圈高质量发展，加快存量商业载体提质升级，引入国内外头部商业运营商新建高能级商业综合体，大力优化商圈环境品质，加强商圈间协同联动发展，形成梯次发展格局，进一步巩固在广州市的引领地位。</w:t>
      </w:r>
    </w:p>
    <w:p>
      <w:pPr>
        <w:pStyle w:val="3"/>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49" w:name="_Toc115392070"/>
      <w:r>
        <w:rPr>
          <w:rFonts w:ascii="Times New Roman" w:hAnsi="Times New Roman" w:cs="Times New Roman"/>
        </w:rPr>
        <w:t>（一）推进天河路商圈打造世界顶级商圈</w:t>
      </w:r>
      <w:bookmarkEnd w:id="49"/>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50" w:name="_Toc115392071"/>
      <w:r>
        <w:rPr>
          <w:rFonts w:ascii="Times New Roman" w:hAnsi="Times New Roman" w:cs="Times New Roman"/>
        </w:rPr>
        <w:t>1、促进内生增长，构建国内领先优质商业载体集群</w:t>
      </w:r>
      <w:bookmarkEnd w:id="50"/>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对标国际一流商圈和商业街，坚持高端高质发展，以存量改造优化的内生增长模式为主，加强业态升级，坚持产品服务与场景服务并重；加强引进国内外高端、优质商业品牌，着力引进首店，鼓励在商圈同步上市全球新品，开展产品首发首秀，全面提升产品丰富度、引领度；深化文商旅融合，大力发展夜间经济、品牌经济、时尚经济、免税经济，不断引入创新业态和新型消费模式；探索打造智慧商圈，利用信息技术提高客群体验和便利度。支持正佳广场、天河城、太古汇、天环广场等载体优化升级，打造链接城市-商业-自然，文商产游功能高度融合、高附加值的创新消费场景，不断提升在全国商业载体中的位次，打造国内领先的大型商业综合体集群；加快推动岗顶改造升级，依托天河电脑城、展望数码广场、百脑汇广州店、总统数码港等数码零售综合体，发展科技体验、消费电子、游戏娱乐等业态，</w:t>
      </w:r>
      <w:r>
        <w:rPr>
          <w:rFonts w:hint="eastAsia" w:ascii="Times New Roman" w:hAnsi="Times New Roman" w:eastAsia="仿宋_GB2312" w:cs="Times New Roman"/>
          <w:color w:val="000000" w:themeColor="text1"/>
          <w:kern w:val="0"/>
          <w:sz w:val="32"/>
          <w:szCs w:val="32"/>
          <w14:textFill>
            <w14:solidFill>
              <w14:schemeClr w14:val="tx1"/>
            </w14:solidFill>
          </w14:textFill>
        </w:rPr>
        <w:t>打造“体验式主题潮流区”</w:t>
      </w:r>
      <w:r>
        <w:rPr>
          <w:rFonts w:ascii="Times New Roman" w:hAnsi="Times New Roman" w:eastAsia="仿宋_GB2312" w:cs="Times New Roman"/>
          <w:color w:val="000000" w:themeColor="text1"/>
          <w:kern w:val="0"/>
          <w:sz w:val="32"/>
          <w:szCs w:val="32"/>
          <w14:textFill>
            <w14:solidFill>
              <w14:schemeClr w14:val="tx1"/>
            </w14:solidFill>
          </w14:textFill>
        </w:rPr>
        <w:t>。</w:t>
      </w:r>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51" w:name="_Toc115392072"/>
      <w:r>
        <w:rPr>
          <w:rFonts w:ascii="Times New Roman" w:hAnsi="Times New Roman" w:cs="Times New Roman"/>
        </w:rPr>
        <w:t>2、加强空间挖潜，激发后街经济潜能增强商业活力</w:t>
      </w:r>
      <w:bookmarkEnd w:id="51"/>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推动以六运小区为核心的体育东西横街区域发展，承接天河路主街功能延伸，与大型综合商业载体形成优势互补，挖掘“后街经济”发展潜能。天河南一路着力布局小众精品店，与正佳广场、天环广场、天河城形成错位互补；依托天河南一路、天河南二路、体育西横街等餐饮业发展基础，加强引入创意式、体验式、多元文化餐饮，打造“美食后街”品牌，塑造广州美食地标；推动六运小区改造，推进街景街容整体升级，发展创意零售、书店、特色咖啡厅、艺术摄影等文化创意休闲业态，打造知名网红街区；参照商务部高品位步行街评价指标体系，加强天河南商业街改造提升，引进国内外特色品牌，积极支持本土品牌培育，加强铺装、喷泉、雕塑、小品和公共休憩空间建设，打造环境优、设施全、业态多、品质高、服务好的城市商业街。</w:t>
      </w:r>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52" w:name="_Toc115392073"/>
      <w:r>
        <w:rPr>
          <w:rFonts w:ascii="Times New Roman" w:hAnsi="Times New Roman" w:cs="Times New Roman"/>
        </w:rPr>
        <w:t>3、提升环境品质，打造优质发展空间优化消费体验</w:t>
      </w:r>
      <w:bookmarkEnd w:id="52"/>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推进落实《关于推动天河路商圈高质量发展的工作方案》中各项重点工作，完成《广州市天河路商圈区域综合城市功能提升策划及概念规划方案》编制，推进交通道路优化、特色景观体系打造、信息基础设施建设等工作，有效促进商圈环境提质。</w:t>
      </w:r>
      <w:r>
        <w:rPr>
          <w:rFonts w:ascii="Times New Roman" w:hAnsi="Times New Roman" w:eastAsia="仿宋_GB2312" w:cs="Times New Roman"/>
          <w:b/>
          <w:bCs/>
          <w:color w:val="000000" w:themeColor="text1"/>
          <w:kern w:val="0"/>
          <w:sz w:val="32"/>
          <w:szCs w:val="32"/>
          <w14:textFill>
            <w14:solidFill>
              <w14:schemeClr w14:val="tx1"/>
            </w14:solidFill>
          </w14:textFill>
        </w:rPr>
        <w:t>提高商圈内部通达性和道路品质</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加快推动广园路-五山路等交通节点改造，实施五山路、石牌东路品质化改造；推进华旭街、龙口中路、龙口东路等沥青加铺及交通标线划定，开展非沥青路面整治；加快推进天河路—体育东路人行地道工程建设，推动跨体育东路人行地道及出入口电缆迁改工作；利用天河体育中心，以及支路、内接闲时停车，缓解停车难问题。</w:t>
      </w:r>
      <w:r>
        <w:rPr>
          <w:rFonts w:ascii="Times New Roman" w:hAnsi="Times New Roman" w:eastAsia="仿宋_GB2312" w:cs="Times New Roman"/>
          <w:b/>
          <w:bCs/>
          <w:color w:val="000000" w:themeColor="text1"/>
          <w:kern w:val="0"/>
          <w:sz w:val="32"/>
          <w:szCs w:val="32"/>
          <w14:textFill>
            <w14:solidFill>
              <w14:schemeClr w14:val="tx1"/>
            </w14:solidFill>
          </w14:textFill>
        </w:rPr>
        <w:t>打造商圈特色景观体系</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探索在商圈内合适地点，建设具有特色的数字技术大屏，着力打造“一街一景”，形成商圈标志性场景和网红打卡点；提升夜间形象，做好商圈招牌、橱窗、外立面整体灯光设计，优化夜间雕塑、指引系统展示方式，策划照明艺术装置；加快推进体育中心周边楼宇楼顶绿化美化工作，积极利用绿地、闲置空间建设一批口袋公园；推动商圈范围内的城中村微改造，提升居住环境和社区配套，与商圈整体风貌和谐共生。</w:t>
      </w:r>
      <w:r>
        <w:rPr>
          <w:rFonts w:ascii="Times New Roman" w:hAnsi="Times New Roman" w:eastAsia="仿宋_GB2312" w:cs="Times New Roman"/>
          <w:b/>
          <w:bCs/>
          <w:color w:val="000000" w:themeColor="text1"/>
          <w:kern w:val="0"/>
          <w:sz w:val="32"/>
          <w:szCs w:val="32"/>
          <w14:textFill>
            <w14:solidFill>
              <w14:schemeClr w14:val="tx1"/>
            </w14:solidFill>
          </w14:textFill>
        </w:rPr>
        <w:t>加快推进智慧商圈信息基础设施建设</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实现区域WiFi全覆盖，持续做好5G网络优化；铺设智慧灯杆，提供智慧照明、无线WiFi、一键报警、信息交互、智慧充电等服务。</w:t>
      </w:r>
    </w:p>
    <w:p>
      <w:pPr>
        <w:pStyle w:val="3"/>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53" w:name="_Toc115392074"/>
      <w:r>
        <w:rPr>
          <w:rFonts w:ascii="Times New Roman" w:hAnsi="Times New Roman" w:cs="Times New Roman"/>
        </w:rPr>
        <w:t>（二）推进珠江新城商圈打造世界级中央活力商圈</w:t>
      </w:r>
      <w:bookmarkEnd w:id="53"/>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54" w:name="_Toc115392075"/>
      <w:r>
        <w:rPr>
          <w:rFonts w:ascii="Times New Roman" w:hAnsi="Times New Roman" w:cs="Times New Roman"/>
        </w:rPr>
        <w:t>1、坚持商品与服务并重，贸易与消费兼顾</w:t>
      </w:r>
      <w:bookmarkEnd w:id="54"/>
    </w:p>
    <w:p>
      <w:pPr>
        <w:pageBreakBefore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加快集聚国内外知名品牌</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支持在K11、天汇广场、天德广场等商圈载体内开设首店、旗舰店、体验店、定制中心，发展原创品牌概念店、定制店。</w:t>
      </w:r>
      <w:r>
        <w:rPr>
          <w:rFonts w:hint="eastAsia" w:ascii="Times New Roman" w:hAnsi="Times New Roman" w:eastAsia="仿宋_GB2312" w:cs="Times New Roman"/>
          <w:b/>
          <w:bCs/>
          <w:color w:val="000000" w:themeColor="text1"/>
          <w:sz w:val="32"/>
          <w:szCs w:val="32"/>
          <w14:textFill>
            <w14:solidFill>
              <w14:schemeClr w14:val="tx1"/>
            </w14:solidFill>
          </w14:textFill>
        </w:rPr>
        <w:t>加强</w:t>
      </w:r>
      <w:r>
        <w:rPr>
          <w:rFonts w:ascii="Times New Roman" w:hAnsi="Times New Roman" w:eastAsia="仿宋_GB2312" w:cs="Times New Roman"/>
          <w:b/>
          <w:bCs/>
          <w:color w:val="000000" w:themeColor="text1"/>
          <w:sz w:val="32"/>
          <w:szCs w:val="32"/>
          <w14:textFill>
            <w14:solidFill>
              <w14:schemeClr w14:val="tx1"/>
            </w14:solidFill>
          </w14:textFill>
        </w:rPr>
        <w:t>生活性服务业供给</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促进文化娱乐、休闲旅游、高端医美、体育运动等服务供给，发挥广州大剧院、广州粤剧院作用，引入高规格艺术作品演出，推动小剧场业态导入商场；支持广东省博物馆、广州图书馆等文化平台与商业载体充分联动，联合策划相关展览、讲座、读书会、沙龙等活动；在沿江区域，围绕海心沙、花城广场、珠江等开发休闲旅游线路和旅游项目；依托紫馨、华美等机构，加快推动医美集聚发展，在商圈内打造医美街区；推动广州国际马拉松、广州垂直马拉松等赛事发展，探索在花城广场、海心沙、商业综合体引入定向挑战赛、趣味篮球赛、小型电竞赛等特色赛事。</w:t>
      </w:r>
      <w:r>
        <w:rPr>
          <w:rFonts w:hint="eastAsia" w:ascii="Times New Roman" w:hAnsi="Times New Roman" w:eastAsia="仿宋_GB2312" w:cs="Times New Roman"/>
          <w:b/>
          <w:bCs/>
          <w:color w:val="000000" w:themeColor="text1"/>
          <w:sz w:val="32"/>
          <w:szCs w:val="32"/>
          <w14:textFill>
            <w14:solidFill>
              <w14:schemeClr w14:val="tx1"/>
            </w14:solidFill>
          </w14:textFill>
        </w:rPr>
        <w:t>加快集聚高能级市场主体。</w:t>
      </w:r>
      <w:r>
        <w:rPr>
          <w:rFonts w:ascii="Times New Roman" w:hAnsi="Times New Roman" w:eastAsia="仿宋_GB2312" w:cs="Times New Roman"/>
          <w:color w:val="000000" w:themeColor="text1"/>
          <w:sz w:val="32"/>
          <w:szCs w:val="32"/>
          <w14:textFill>
            <w14:solidFill>
              <w14:schemeClr w14:val="tx1"/>
            </w14:solidFill>
          </w14:textFill>
        </w:rPr>
        <w:t>发挥中央商务区总部经济优势，加强全球高能级优质市场主体引育，吸引一批中高端消费品牌跨国企业、贸易总部企业、供应链企业，鼓励设立全球总部、区域性总部和研发设计中心、产品定制中心、采购结算中心、运营管理中心、展示交易中心等，提供针对性政策扶持，助力企业做大市场、做大增量、做强能级，培育一批具有汇聚和配置全球资源能力的优质企业，增强商圈资源配置能力。</w:t>
      </w:r>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55" w:name="_Toc115392076"/>
      <w:r>
        <w:rPr>
          <w:rFonts w:ascii="Times New Roman" w:hAnsi="Times New Roman" w:cs="Times New Roman"/>
        </w:rPr>
        <w:t>2、提升载体运营水平，加快拓展增量空间</w:t>
      </w:r>
      <w:bookmarkEnd w:id="55"/>
      <w:r>
        <w:rPr>
          <w:rFonts w:ascii="Times New Roman" w:hAnsi="Times New Roman" w:cs="Times New Roman"/>
        </w:rPr>
        <w:t xml:space="preserve"> </w:t>
      </w:r>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cs="Times New Roman"/>
        </w:rPr>
      </w:pPr>
      <w:r>
        <w:rPr>
          <w:rFonts w:ascii="Times New Roman" w:hAnsi="Times New Roman" w:eastAsia="仿宋_GB2312" w:cs="Times New Roman"/>
          <w:color w:val="000000" w:themeColor="text1"/>
          <w:sz w:val="32"/>
          <w:szCs w:val="32"/>
          <w14:textFill>
            <w14:solidFill>
              <w14:schemeClr w14:val="tx1"/>
            </w14:solidFill>
          </w14:textFill>
        </w:rPr>
        <w:t>统筹指导商圈招商工作，促进商业综合体之间在品牌、业态上形成错位互补，发展多元化业态，提升品牌和产品丰富度。支持商业载体委托国内外头部商业运营商提升运营管理水平，结合自身发展战略和特色，打造品牌活动；加强花城汇、维家思广场等载体界面管理，优化导识、物料、照明等硬件环境，提升载体形象；推动高德置地、花城汇等优化载体动线设计，打破内部分割现状，流畅购物体验。</w:t>
      </w:r>
      <w:r>
        <w:rPr>
          <w:rFonts w:ascii="Times New Roman" w:hAnsi="Times New Roman" w:eastAsia="仿宋_GB2312" w:cs="Times New Roman"/>
          <w:sz w:val="32"/>
          <w:szCs w:val="32"/>
        </w:rPr>
        <w:t>借助冼村旧改</w:t>
      </w:r>
      <w:r>
        <w:rPr>
          <w:rFonts w:ascii="Times New Roman" w:hAnsi="Times New Roman" w:eastAsia="仿宋_GB2312" w:cs="Times New Roman"/>
          <w:color w:val="000000" w:themeColor="text1"/>
          <w:sz w:val="32"/>
          <w:szCs w:val="32"/>
          <w14:textFill>
            <w14:solidFill>
              <w14:schemeClr w14:val="tx1"/>
            </w14:solidFill>
          </w14:textFill>
        </w:rPr>
        <w:t>和马场更新机遇</w:t>
      </w:r>
      <w:r>
        <w:rPr>
          <w:rFonts w:ascii="Times New Roman" w:hAnsi="Times New Roman" w:eastAsia="仿宋_GB2312" w:cs="Times New Roman"/>
          <w:sz w:val="32"/>
          <w:szCs w:val="32"/>
        </w:rPr>
        <w:t>，加快引入国内外头部企业建设全业态大型商业综合体，</w:t>
      </w:r>
      <w:r>
        <w:rPr>
          <w:rFonts w:ascii="Times New Roman" w:hAnsi="Times New Roman" w:eastAsia="仿宋_GB2312" w:cs="Times New Roman"/>
          <w:color w:val="000000" w:themeColor="text1"/>
          <w:sz w:val="32"/>
          <w:szCs w:val="32"/>
          <w14:textFill>
            <w14:solidFill>
              <w14:schemeClr w14:val="tx1"/>
            </w14:solidFill>
          </w14:textFill>
        </w:rPr>
        <w:t>打造具有消费引领力的高品质商业载体，盘活黄埔大道西和商圈东部的商业氛围</w:t>
      </w:r>
      <w:r>
        <w:rPr>
          <w:rFonts w:ascii="Times New Roman" w:hAnsi="Times New Roman" w:eastAsia="仿宋_GB2312" w:cs="Times New Roman"/>
          <w:sz w:val="32"/>
          <w:szCs w:val="32"/>
        </w:rPr>
        <w:t>。抓住支持天河中央商务区建设“四个出新出彩”示范区机遇，</w:t>
      </w:r>
      <w:r>
        <w:rPr>
          <w:rFonts w:ascii="Times New Roman" w:hAnsi="Times New Roman" w:eastAsia="仿宋_GB2312" w:cs="Times New Roman"/>
          <w:color w:val="000000" w:themeColor="text1"/>
          <w:sz w:val="32"/>
          <w:szCs w:val="32"/>
          <w14:textFill>
            <w14:solidFill>
              <w14:schemeClr w14:val="tx1"/>
            </w14:solidFill>
          </w14:textFill>
        </w:rPr>
        <w:t>积极配合市级规划，对海心沙进行改造设计和活化利用，在西侧建设湾区音乐博物馆，东侧建设indigo精品酒店；谋划建设世界级现代艺术展览馆，结合现有文化载体共同构建现代文化地标群。</w:t>
      </w:r>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56" w:name="_Toc115392077"/>
      <w:r>
        <w:rPr>
          <w:rFonts w:ascii="Times New Roman" w:hAnsi="Times New Roman" w:cs="Times New Roman"/>
        </w:rPr>
        <w:t>3、联动天河路商圈，打造文商旅体融合发展第一圈</w:t>
      </w:r>
      <w:bookmarkEnd w:id="56"/>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连片提升广州东站、天河体育中心、“六运”小区、花城广场、海心沙、海心桥，将中轴重点节点</w:t>
      </w:r>
      <w:r>
        <w:rPr>
          <w:rFonts w:ascii="Times New Roman" w:hAnsi="Times New Roman" w:eastAsia="仿宋_GB2312" w:cs="Times New Roman"/>
          <w:sz w:val="32"/>
          <w:szCs w:val="32"/>
        </w:rPr>
        <w:t>串珠成链，</w:t>
      </w:r>
      <w:r>
        <w:rPr>
          <w:rFonts w:ascii="Times New Roman" w:hAnsi="Times New Roman" w:eastAsia="仿宋_GB2312" w:cs="Times New Roman"/>
          <w:color w:val="000000" w:themeColor="text1"/>
          <w:sz w:val="32"/>
          <w:szCs w:val="32"/>
          <w14:textFill>
            <w14:solidFill>
              <w14:schemeClr w14:val="tx1"/>
            </w14:solidFill>
          </w14:textFill>
        </w:rPr>
        <w:t>推动两大商圈在物理空间和商业业态上的无缝链接，</w:t>
      </w:r>
      <w:r>
        <w:rPr>
          <w:rFonts w:ascii="Times New Roman" w:hAnsi="Times New Roman" w:eastAsia="仿宋_GB2312" w:cs="Times New Roman"/>
          <w:sz w:val="32"/>
          <w:szCs w:val="32"/>
        </w:rPr>
        <w:t>塑造一条文化、购物、美食、体育、旅游等主题突出的世界级城市中轴</w:t>
      </w: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联动打造“广州综合消费新体验”</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整合两大商圈的商品、文化、服务消费资源，发挥天河路商会作用，探索建立联合会员体系，联动重点商业载体及购物、餐饮、住宿、医美、康养、文化等领域商家，以“天河路-珠江新城商圈”为名整体打造购物生态，做好联动促销，推出专享优惠券及丰富免费体验活动</w:t>
      </w:r>
      <w:bookmarkStart w:id="57" w:name="_Hlk101017844"/>
      <w:r>
        <w:rPr>
          <w:rFonts w:ascii="Times New Roman" w:hAnsi="Times New Roman" w:eastAsia="仿宋_GB2312" w:cs="Times New Roman"/>
          <w:color w:val="000000" w:themeColor="text1"/>
          <w:sz w:val="32"/>
          <w:szCs w:val="32"/>
          <w14:textFill>
            <w14:solidFill>
              <w14:schemeClr w14:val="tx1"/>
            </w14:solidFill>
          </w14:textFill>
        </w:rPr>
        <w:t>。</w:t>
      </w:r>
      <w:bookmarkEnd w:id="57"/>
      <w:bookmarkStart w:id="58" w:name="_Hlk101018628"/>
      <w:r>
        <w:rPr>
          <w:rFonts w:hint="eastAsia" w:ascii="Times New Roman" w:hAnsi="Times New Roman" w:eastAsia="仿宋_GB2312" w:cs="Times New Roman"/>
          <w:b/>
          <w:bCs/>
          <w:color w:val="000000" w:themeColor="text1"/>
          <w:sz w:val="32"/>
          <w:szCs w:val="32"/>
          <w14:textFill>
            <w14:solidFill>
              <w14:schemeClr w14:val="tx1"/>
            </w14:solidFill>
          </w14:textFill>
        </w:rPr>
        <w:t>积极举办活动提升消费氛围。</w:t>
      </w:r>
      <w:r>
        <w:rPr>
          <w:rFonts w:ascii="Times New Roman" w:hAnsi="Times New Roman" w:eastAsia="仿宋_GB2312" w:cs="Times New Roman"/>
          <w:color w:val="000000" w:themeColor="text1"/>
          <w:sz w:val="32"/>
          <w:szCs w:val="32"/>
          <w14:textFill>
            <w14:solidFill>
              <w14:schemeClr w14:val="tx1"/>
            </w14:solidFill>
          </w14:textFill>
        </w:rPr>
        <w:t>继续办好广州国际购物节、美食节，带动购物、住宿、餐饮等关联业态发展；发挥天河CBD作为全球商务区创新联合会副会长单位作用，联合天河路商会，链接全球高端资源渠道，主动或承办一批国际论坛和活动；探索联合“造节”“造爆款”，策划打造一批国潮节、啤酒节、狂欢节、艺术节、汽车节、美食节等“消费购物节”，打造不落幕的消费氛围；支持商圈内品牌跨界联名，推动差异化品牌的跨店联动，重点用好首店和丰富的品牌资源，打造一批网红爆款产品、快闪店、限时店，激活商圈和消费活力。</w:t>
      </w:r>
      <w:bookmarkEnd w:id="58"/>
      <w:r>
        <w:rPr>
          <w:rFonts w:ascii="Times New Roman" w:hAnsi="Times New Roman" w:eastAsia="仿宋_GB2312" w:cs="Times New Roman"/>
          <w:b/>
          <w:bCs/>
          <w:color w:val="000000" w:themeColor="text1"/>
          <w:kern w:val="0"/>
          <w:sz w:val="32"/>
          <w:szCs w:val="32"/>
          <w14:textFill>
            <w14:solidFill>
              <w14:schemeClr w14:val="tx1"/>
            </w14:solidFill>
          </w14:textFill>
        </w:rPr>
        <w:t>加强文商旅融合发展</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依托广州大剧院、广州粤剧院、海心沙、正佳演艺剧院等文化载体，引入</w:t>
      </w:r>
      <w:r>
        <w:rPr>
          <w:rFonts w:hint="eastAsia" w:ascii="Times New Roman" w:hAnsi="Times New Roman" w:eastAsia="仿宋_GB2312" w:cs="Times New Roman"/>
          <w:color w:val="000000" w:themeColor="text1"/>
          <w:kern w:val="0"/>
          <w:sz w:val="32"/>
          <w:szCs w:val="32"/>
          <w14:textFill>
            <w14:solidFill>
              <w14:schemeClr w14:val="tx1"/>
            </w14:solidFill>
          </w14:textFill>
        </w:rPr>
        <w:t>各类</w:t>
      </w:r>
      <w:r>
        <w:rPr>
          <w:rFonts w:ascii="Times New Roman" w:hAnsi="Times New Roman" w:eastAsia="仿宋_GB2312" w:cs="Times New Roman"/>
          <w:color w:val="000000" w:themeColor="text1"/>
          <w:kern w:val="0"/>
          <w:sz w:val="32"/>
          <w:szCs w:val="32"/>
          <w14:textFill>
            <w14:solidFill>
              <w14:schemeClr w14:val="tx1"/>
            </w14:solidFill>
          </w14:textFill>
        </w:rPr>
        <w:t>文艺演出，支持引入知名歌手、乐团、舞团等打造驻场秀，联合港澳艺术团队，探索打造标志性文化演出。对商圈公共文体资源进行全面摸底，制定“商圈文体资源清单”，全面掌握商圈内可供开展文体活动的场地、时段、配套条件等，便利活动策划和举办。</w:t>
      </w:r>
    </w:p>
    <w:p>
      <w:pPr>
        <w:pStyle w:val="3"/>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59" w:name="_Toc115392078"/>
      <w:r>
        <w:rPr>
          <w:rFonts w:ascii="Times New Roman" w:hAnsi="Times New Roman" w:cs="Times New Roman"/>
        </w:rPr>
        <w:t>（三）推进金融城商圈培育都会级商圈</w:t>
      </w:r>
      <w:bookmarkEnd w:id="59"/>
    </w:p>
    <w:p>
      <w:pPr>
        <w:pStyle w:val="4"/>
        <w:pageBreakBefore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60" w:name="_Toc115392079"/>
      <w:r>
        <w:rPr>
          <w:rFonts w:ascii="Times New Roman" w:hAnsi="Times New Roman" w:cs="Times New Roman"/>
        </w:rPr>
        <w:t>1、科学谋篇布局，明确四大片区功能</w:t>
      </w:r>
      <w:bookmarkEnd w:id="60"/>
    </w:p>
    <w:p>
      <w:pPr>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起步区依托金融方城，以地上岭南风情街、地下商业空间为抓手，打造数字创新和商务科技观光消费集聚区，成为多元生活方式和数字消费融合的消费高地；东区依托尚品宅配、鹏瑞、美林天地、居然之家等项目，联动黄埔湾，升级打造产业体验观光定制消费集聚区；北区积极争取优化商业、商务、居住用地的功能配比，作为商圈未来商业供应的重要增长极，打造产商无界第三生活空间，实现商业、产业及居住融合共生；西区发挥临近珠江新城的地理位置优势，打造综合发展活力核心区，沿花城大道打造商业主轴，串联天河路-珠江新城商圈和金融城-黄埔湾商圈，承接双边的人群消费需求。沿珠江北岸临江大道打造慢行休闲轴，串联四大片区，分段分主题布局，形成滨江休闲商业消费氛围。</w:t>
      </w:r>
    </w:p>
    <w:p>
      <w:pPr>
        <w:pStyle w:val="6"/>
        <w:keepNext/>
        <w:pageBreakBefore w:val="0"/>
        <w:kinsoku/>
        <w:wordWrap/>
        <w:overflowPunct/>
        <w:topLinePunct w:val="0"/>
        <w:autoSpaceDE/>
        <w:autoSpaceDN/>
        <w:bidi w:val="0"/>
        <w:adjustRightInd/>
        <w:snapToGrid/>
        <w:spacing w:beforeAutospacing="0" w:afterAutospacing="0" w:line="560" w:lineRule="exact"/>
        <w:textAlignment w:val="auto"/>
        <w:rPr>
          <w:rFonts w:ascii="Times New Roman" w:hAnsi="Times New Roman" w:cs="Times New Roman"/>
        </w:rPr>
      </w:pPr>
      <w:r>
        <w:rPr>
          <w:rFonts w:ascii="Times New Roman" w:hAnsi="Times New Roman" w:cs="Times New Roman"/>
        </w:rPr>
        <w:t xml:space="preserve">表 </w:t>
      </w:r>
      <w:r>
        <w:rPr>
          <w:rFonts w:hint="eastAsia" w:ascii="Times New Roman" w:hAnsi="Times New Roman" w:cs="Times New Roman"/>
          <w:lang w:val="en-US" w:eastAsia="zh-CN"/>
        </w:rPr>
        <w:t>2</w:t>
      </w:r>
      <w:r>
        <w:rPr>
          <w:rFonts w:ascii="Times New Roman" w:hAnsi="Times New Roman" w:cs="Times New Roman"/>
        </w:rPr>
        <w:t xml:space="preserve"> 金融城商圈未来可新增商业空间情况</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2268"/>
        <w:gridCol w:w="3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0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b/>
                <w:bCs/>
                <w:color w:val="000000" w:themeColor="text1"/>
                <w:kern w:val="0"/>
                <w:sz w:val="24"/>
                <w14:textFill>
                  <w14:solidFill>
                    <w14:schemeClr w14:val="tx1"/>
                  </w14:solidFill>
                </w14:textFill>
              </w:rPr>
            </w:pPr>
            <w:r>
              <w:rPr>
                <w:rFonts w:ascii="Times New Roman" w:hAnsi="Times New Roman" w:eastAsia="仿宋_GB2312" w:cs="Times New Roman"/>
                <w:b/>
                <w:bCs/>
                <w:color w:val="000000" w:themeColor="text1"/>
                <w:kern w:val="0"/>
                <w:sz w:val="24"/>
                <w14:textFill>
                  <w14:solidFill>
                    <w14:schemeClr w14:val="tx1"/>
                  </w14:solidFill>
                </w14:textFill>
              </w:rPr>
              <w:t>项目名称</w:t>
            </w:r>
          </w:p>
        </w:tc>
        <w:tc>
          <w:tcPr>
            <w:tcW w:w="2268"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b/>
                <w:bCs/>
                <w:color w:val="000000" w:themeColor="text1"/>
                <w:kern w:val="0"/>
                <w:sz w:val="24"/>
                <w14:textFill>
                  <w14:solidFill>
                    <w14:schemeClr w14:val="tx1"/>
                  </w14:solidFill>
                </w14:textFill>
              </w:rPr>
            </w:pPr>
            <w:r>
              <w:rPr>
                <w:rFonts w:ascii="Times New Roman" w:hAnsi="Times New Roman" w:eastAsia="仿宋_GB2312" w:cs="Times New Roman"/>
                <w:b/>
                <w:bCs/>
                <w:color w:val="000000" w:themeColor="text1"/>
                <w:kern w:val="0"/>
                <w:sz w:val="24"/>
                <w14:textFill>
                  <w14:solidFill>
                    <w14:schemeClr w14:val="tx1"/>
                  </w14:solidFill>
                </w14:textFill>
              </w:rPr>
              <w:t>商业面积（万</w:t>
            </w:r>
            <w:r>
              <w:rPr>
                <w:rFonts w:ascii="Times New Roman" w:hAnsi="Times New Roman" w:eastAsia="Segoe UI Symbol" w:cs="Times New Roman"/>
                <w:b/>
                <w:bCs/>
                <w:color w:val="000000" w:themeColor="text1"/>
                <w:kern w:val="0"/>
                <w:sz w:val="24"/>
                <w14:textFill>
                  <w14:solidFill>
                    <w14:schemeClr w14:val="tx1"/>
                  </w14:solidFill>
                </w14:textFill>
              </w:rPr>
              <w:t>㎡</w:t>
            </w:r>
            <w:r>
              <w:rPr>
                <w:rFonts w:ascii="Times New Roman" w:hAnsi="Times New Roman" w:eastAsia="仿宋_GB2312" w:cs="Times New Roman"/>
                <w:b/>
                <w:bCs/>
                <w:color w:val="000000" w:themeColor="text1"/>
                <w:kern w:val="0"/>
                <w:sz w:val="24"/>
                <w14:textFill>
                  <w14:solidFill>
                    <w14:schemeClr w14:val="tx1"/>
                  </w14:solidFill>
                </w14:textFill>
              </w:rPr>
              <w:t>）</w:t>
            </w:r>
          </w:p>
        </w:tc>
        <w:tc>
          <w:tcPr>
            <w:tcW w:w="345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b/>
                <w:bCs/>
                <w:color w:val="000000" w:themeColor="text1"/>
                <w:kern w:val="0"/>
                <w:sz w:val="24"/>
                <w14:textFill>
                  <w14:solidFill>
                    <w14:schemeClr w14:val="tx1"/>
                  </w14:solidFill>
                </w14:textFill>
              </w:rPr>
            </w:pPr>
            <w:r>
              <w:rPr>
                <w:rFonts w:ascii="Times New Roman" w:hAnsi="Times New Roman" w:eastAsia="仿宋_GB2312" w:cs="Times New Roman"/>
                <w:b/>
                <w:bCs/>
                <w:color w:val="000000" w:themeColor="text1"/>
                <w:kern w:val="0"/>
                <w:sz w:val="24"/>
                <w14:textFill>
                  <w14:solidFill>
                    <w14:schemeClr w14:val="tx1"/>
                  </w14:solidFill>
                </w14:textFill>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君超广场</w:t>
            </w:r>
          </w:p>
        </w:tc>
        <w:tc>
          <w:tcPr>
            <w:tcW w:w="2268"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13</w:t>
            </w:r>
          </w:p>
        </w:tc>
        <w:tc>
          <w:tcPr>
            <w:tcW w:w="345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商业综合体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合生骏景</w:t>
            </w:r>
          </w:p>
        </w:tc>
        <w:tc>
          <w:tcPr>
            <w:tcW w:w="2268"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13</w:t>
            </w:r>
          </w:p>
        </w:tc>
        <w:tc>
          <w:tcPr>
            <w:tcW w:w="345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商业综合体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鹏瑞</w:t>
            </w:r>
          </w:p>
        </w:tc>
        <w:tc>
          <w:tcPr>
            <w:tcW w:w="2268"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3.38</w:t>
            </w:r>
          </w:p>
        </w:tc>
        <w:tc>
          <w:tcPr>
            <w:tcW w:w="345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商业综合体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金融城站综合交通枢纽</w:t>
            </w:r>
          </w:p>
        </w:tc>
        <w:tc>
          <w:tcPr>
            <w:tcW w:w="2268"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4</w:t>
            </w:r>
          </w:p>
        </w:tc>
        <w:tc>
          <w:tcPr>
            <w:tcW w:w="345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枢纽商业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金融城地下商业</w:t>
            </w:r>
          </w:p>
        </w:tc>
        <w:tc>
          <w:tcPr>
            <w:tcW w:w="2268"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4.9</w:t>
            </w:r>
          </w:p>
        </w:tc>
        <w:tc>
          <w:tcPr>
            <w:tcW w:w="345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商业街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岭南风情街</w:t>
            </w:r>
          </w:p>
        </w:tc>
        <w:tc>
          <w:tcPr>
            <w:tcW w:w="2268"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1.9</w:t>
            </w:r>
          </w:p>
        </w:tc>
        <w:tc>
          <w:tcPr>
            <w:tcW w:w="345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商业街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尚品宅配</w:t>
            </w:r>
          </w:p>
        </w:tc>
        <w:tc>
          <w:tcPr>
            <w:tcW w:w="2268"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1.39</w:t>
            </w:r>
          </w:p>
        </w:tc>
        <w:tc>
          <w:tcPr>
            <w:tcW w:w="345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家居展厅为主的商业综合体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好莱客</w:t>
            </w:r>
          </w:p>
        </w:tc>
        <w:tc>
          <w:tcPr>
            <w:tcW w:w="2268"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0.38</w:t>
            </w:r>
          </w:p>
        </w:tc>
        <w:tc>
          <w:tcPr>
            <w:tcW w:w="345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家居产业商业综合体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二棉厂地块更新改造</w:t>
            </w:r>
          </w:p>
        </w:tc>
        <w:tc>
          <w:tcPr>
            <w:tcW w:w="2268"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3.37</w:t>
            </w:r>
          </w:p>
        </w:tc>
        <w:tc>
          <w:tcPr>
            <w:tcW w:w="345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商业综合体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起步区AT090927</w:t>
            </w:r>
          </w:p>
        </w:tc>
        <w:tc>
          <w:tcPr>
            <w:tcW w:w="2268"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8</w:t>
            </w:r>
          </w:p>
        </w:tc>
        <w:tc>
          <w:tcPr>
            <w:tcW w:w="345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商业综合体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起步区AT091007</w:t>
            </w:r>
          </w:p>
        </w:tc>
        <w:tc>
          <w:tcPr>
            <w:tcW w:w="2268"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13</w:t>
            </w:r>
          </w:p>
        </w:tc>
        <w:tc>
          <w:tcPr>
            <w:tcW w:w="345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商业综合体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东区AT091410</w:t>
            </w:r>
          </w:p>
        </w:tc>
        <w:tc>
          <w:tcPr>
            <w:tcW w:w="2268"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3</w:t>
            </w:r>
          </w:p>
        </w:tc>
        <w:tc>
          <w:tcPr>
            <w:tcW w:w="345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商业商务地块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总计</w:t>
            </w:r>
          </w:p>
        </w:tc>
        <w:tc>
          <w:tcPr>
            <w:tcW w:w="2268"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jc w:val="center"/>
              <w:textAlignment w:val="auto"/>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67.55</w:t>
            </w:r>
          </w:p>
        </w:tc>
        <w:tc>
          <w:tcPr>
            <w:tcW w:w="3452" w:type="dxa"/>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textAlignment w:val="auto"/>
              <w:rPr>
                <w:rFonts w:ascii="Times New Roman" w:hAnsi="Times New Roman" w:eastAsia="仿宋_GB2312" w:cs="Times New Roman"/>
                <w:color w:val="000000" w:themeColor="text1"/>
                <w:kern w:val="0"/>
                <w:sz w:val="24"/>
                <w14:textFill>
                  <w14:solidFill>
                    <w14:schemeClr w14:val="tx1"/>
                  </w14:solidFill>
                </w14:textFill>
              </w:rPr>
            </w:pPr>
          </w:p>
        </w:tc>
      </w:tr>
    </w:tbl>
    <w:p>
      <w:pPr>
        <w:pStyle w:val="4"/>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61" w:name="_Toc115392080"/>
      <w:r>
        <w:rPr>
          <w:rFonts w:ascii="Times New Roman" w:hAnsi="Times New Roman" w:cs="Times New Roman"/>
        </w:rPr>
        <w:t>2、用好后发优势，引领数字消费发展</w:t>
      </w:r>
      <w:bookmarkEnd w:id="61"/>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谋划打造产商旅居高度融合的数字金融活力城。抓住广州市“定制之都”契机，依托尚品宅配等家居定制企业，在金融城东区建设新品发布中心、智慧家居体验中心，促进线上线下联动，推动定制家居电商发展。建设科技体验主题零售店和旗舰店、数字化无人商店、24小时无人健身舱、智能停车场等，构建高品质数字化商圈。在地上岭南风情街、珠江沿岸积极打造数字化场景，建设智慧喷泉、智能长椅、互动式照明、虚拟花园、数字地板等；支持VR、AR、5G+4K/8K超高清等技术应用，推出一批沉浸式娱乐体验馆和演艺项目；探索推出城市灯光秀、数字烟火场景等沉浸数字体验，打造城市数字打卡地标。加快拓展“数字人民币+智慧商圈”应用范围，在商圈内推动数字人民币终端设备铺设，加强数字人民币线上线下场景应用落地示范和移动应用创新。</w:t>
      </w:r>
    </w:p>
    <w:p>
      <w:pPr>
        <w:pStyle w:val="2"/>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62" w:name="_Toc115392081"/>
      <w:r>
        <w:rPr>
          <w:rFonts w:ascii="Times New Roman" w:hAnsi="Times New Roman" w:cs="Times New Roman"/>
        </w:rPr>
        <w:t>第六章  加速优化商业空间布局</w:t>
      </w:r>
      <w:bookmarkEnd w:id="62"/>
    </w:p>
    <w:p>
      <w:pPr>
        <w:pStyle w:val="5"/>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b/>
          <w:bCs/>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遵循城市发展内在秩序和商贸脉络衍变规律，主动融入广州国际消费中心城市建设，促进商业环境与城市功能相协调，与居民消费需求相匹配，与重大平台发展相协同，形成定位精准、分工合理、特色鲜明、适度均衡的“都会级-区域级-社区级”分层分类商业布局。</w:t>
      </w:r>
    </w:p>
    <w:p>
      <w:pPr>
        <w:pStyle w:val="3"/>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63" w:name="_Toc115392082"/>
      <w:r>
        <w:rPr>
          <w:rFonts w:hint="eastAsia" w:ascii="Times New Roman" w:hAnsi="Times New Roman" w:cs="Times New Roman"/>
        </w:rPr>
        <w:t>（一）打造</w:t>
      </w:r>
      <w:r>
        <w:rPr>
          <w:rFonts w:ascii="Times New Roman" w:hAnsi="Times New Roman" w:cs="Times New Roman"/>
        </w:rPr>
        <w:t>“1+1+N”</w:t>
      </w:r>
      <w:r>
        <w:rPr>
          <w:rFonts w:hint="eastAsia" w:ascii="Times New Roman" w:hAnsi="Times New Roman" w:cs="Times New Roman"/>
        </w:rPr>
        <w:t>多层次</w:t>
      </w:r>
      <w:r>
        <w:rPr>
          <w:rFonts w:ascii="Times New Roman" w:hAnsi="Times New Roman" w:cs="Times New Roman"/>
        </w:rPr>
        <w:t>商业空间体系</w:t>
      </w:r>
      <w:bookmarkEnd w:id="63"/>
    </w:p>
    <w:p>
      <w:pPr>
        <w:pStyle w:val="5"/>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打造一核引领、一极支撑、多片协同的“1+1+N”商业空间体系。</w:t>
      </w:r>
      <w:r>
        <w:rPr>
          <w:rFonts w:ascii="Times New Roman" w:hAnsi="Times New Roman" w:eastAsia="仿宋_GB2312" w:cs="Times New Roman"/>
          <w:b/>
          <w:bCs/>
          <w:color w:val="000000" w:themeColor="text1"/>
          <w:kern w:val="0"/>
          <w:sz w:val="32"/>
          <w:szCs w:val="32"/>
          <w14:textFill>
            <w14:solidFill>
              <w14:schemeClr w14:val="tx1"/>
            </w14:solidFill>
          </w14:textFill>
        </w:rPr>
        <w:t>“一核”</w:t>
      </w:r>
      <w:r>
        <w:rPr>
          <w:rFonts w:ascii="Times New Roman" w:hAnsi="Times New Roman" w:eastAsia="仿宋_GB2312" w:cs="Times New Roman"/>
          <w:color w:val="000000" w:themeColor="text1"/>
          <w:kern w:val="0"/>
          <w:sz w:val="32"/>
          <w:szCs w:val="32"/>
          <w14:textFill>
            <w14:solidFill>
              <w14:schemeClr w14:val="tx1"/>
            </w14:solidFill>
          </w14:textFill>
        </w:rPr>
        <w:t>指天河路商圈-珠江新城核心商圈，围绕世界级地标商圈的定位和都会级商圈的标准，不断提高消费力、支配力和主导力，引领国内中心城区商贸业转型升级，扛鼎广州国际消费中心城市建设核心引擎重任。</w:t>
      </w:r>
      <w:r>
        <w:rPr>
          <w:rFonts w:ascii="Times New Roman" w:hAnsi="Times New Roman" w:eastAsia="仿宋_GB2312" w:cs="Times New Roman"/>
          <w:b/>
          <w:bCs/>
          <w:color w:val="000000" w:themeColor="text1"/>
          <w:kern w:val="0"/>
          <w:sz w:val="32"/>
          <w:szCs w:val="32"/>
          <w14:textFill>
            <w14:solidFill>
              <w14:schemeClr w14:val="tx1"/>
            </w14:solidFill>
          </w14:textFill>
        </w:rPr>
        <w:t>“一极”</w:t>
      </w:r>
      <w:r>
        <w:rPr>
          <w:rFonts w:ascii="Times New Roman" w:hAnsi="Times New Roman" w:eastAsia="仿宋_GB2312" w:cs="Times New Roman"/>
          <w:color w:val="000000" w:themeColor="text1"/>
          <w:kern w:val="0"/>
          <w:sz w:val="32"/>
          <w:szCs w:val="32"/>
          <w14:textFill>
            <w14:solidFill>
              <w14:schemeClr w14:val="tx1"/>
            </w14:solidFill>
          </w14:textFill>
        </w:rPr>
        <w:t>指金融城商圈，重点围绕已有商业载体、地上岭南风情街、地下百万级商业空间综合体、规划新增商业设施，依托城市更新改造、重点功能区域、轨道交通站点统筹规划商业布局，大力发展创新经济，打造数字金融活力城，成为区域未来消费增长极。</w:t>
      </w:r>
      <w:r>
        <w:rPr>
          <w:rFonts w:ascii="Times New Roman" w:hAnsi="Times New Roman" w:eastAsia="仿宋_GB2312" w:cs="Times New Roman"/>
          <w:b/>
          <w:bCs/>
          <w:color w:val="000000" w:themeColor="text1"/>
          <w:kern w:val="0"/>
          <w:sz w:val="32"/>
          <w:szCs w:val="32"/>
          <w14:textFill>
            <w14:solidFill>
              <w14:schemeClr w14:val="tx1"/>
            </w14:solidFill>
          </w14:textFill>
        </w:rPr>
        <w:t>“多片”</w:t>
      </w:r>
      <w:r>
        <w:rPr>
          <w:rFonts w:ascii="Times New Roman" w:hAnsi="Times New Roman" w:eastAsia="仿宋_GB2312" w:cs="Times New Roman"/>
          <w:color w:val="000000" w:themeColor="text1"/>
          <w:kern w:val="0"/>
          <w:sz w:val="32"/>
          <w:szCs w:val="32"/>
          <w14:textFill>
            <w14:solidFill>
              <w14:schemeClr w14:val="tx1"/>
            </w14:solidFill>
          </w14:textFill>
        </w:rPr>
        <w:t>指奥体、天河智慧城、华南国家植物园-龙洞、天河客运站等区域级商圈，打造主题性、特色性、文化性、情景性商业业态，发展若干个具有商品特色、品牌特色、形象特色、文化特色和功能特色的功能区，满足周边居民综合型消费需求，突显产城融合和职住平衡，与核心商圈形成错位经营、功能互补的发展格局。</w:t>
      </w:r>
    </w:p>
    <w:p>
      <w:pPr>
        <w:pStyle w:val="3"/>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64" w:name="_Toc115392083"/>
      <w:r>
        <w:rPr>
          <w:rFonts w:hint="eastAsia" w:ascii="Times New Roman" w:hAnsi="Times New Roman" w:cs="Times New Roman"/>
        </w:rPr>
        <w:t>（二）构建</w:t>
      </w:r>
      <w:r>
        <w:rPr>
          <w:rFonts w:ascii="Times New Roman" w:hAnsi="Times New Roman" w:cs="Times New Roman"/>
        </w:rPr>
        <w:t>“两轴联动，环状布局”空间发展格局</w:t>
      </w:r>
      <w:bookmarkEnd w:id="64"/>
    </w:p>
    <w:p>
      <w:pPr>
        <w:pStyle w:val="5"/>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形成“两轴联动，环状布局”空间发展格局。</w:t>
      </w:r>
      <w:r>
        <w:rPr>
          <w:rFonts w:ascii="Times New Roman" w:hAnsi="Times New Roman" w:eastAsia="仿宋_GB2312" w:cs="Times New Roman"/>
          <w:b/>
          <w:bCs/>
          <w:color w:val="000000" w:themeColor="text1"/>
          <w:kern w:val="0"/>
          <w:sz w:val="32"/>
          <w:szCs w:val="32"/>
          <w14:textFill>
            <w14:solidFill>
              <w14:schemeClr w14:val="tx1"/>
            </w14:solidFill>
          </w14:textFill>
        </w:rPr>
        <w:t xml:space="preserve"> “两轴”</w:t>
      </w:r>
      <w:r>
        <w:rPr>
          <w:rFonts w:ascii="Times New Roman" w:hAnsi="Times New Roman" w:eastAsia="仿宋_GB2312" w:cs="Times New Roman"/>
          <w:color w:val="000000" w:themeColor="text1"/>
          <w:kern w:val="0"/>
          <w:sz w:val="32"/>
          <w:szCs w:val="32"/>
          <w14:textFill>
            <w14:solidFill>
              <w14:schemeClr w14:val="tx1"/>
            </w14:solidFill>
          </w14:textFill>
        </w:rPr>
        <w:t>指将广州东站、天河体育中心、花城广场、海心沙、海心桥等消费地标、景观节点串联成珠，贯通天河路-珠江新城核心商圈，打造华南地区城市化发展水平最高、综合配套设施最全、集聚辐射能力最强、国际影响力最大的</w:t>
      </w:r>
      <w:r>
        <w:rPr>
          <w:rFonts w:ascii="Times New Roman" w:hAnsi="Times New Roman" w:eastAsia="仿宋" w:cs="Times New Roman"/>
          <w:color w:val="000000" w:themeColor="text1"/>
          <w:sz w:val="32"/>
          <w:szCs w:val="32"/>
          <w14:textFill>
            <w14:solidFill>
              <w14:schemeClr w14:val="tx1"/>
            </w14:solidFill>
          </w14:textFill>
        </w:rPr>
        <w:t xml:space="preserve"> “</w:t>
      </w:r>
      <w:r>
        <w:rPr>
          <w:rFonts w:ascii="Times New Roman" w:hAnsi="Times New Roman" w:eastAsia="仿宋_GB2312" w:cs="Times New Roman"/>
          <w:b/>
          <w:bCs/>
          <w:color w:val="000000" w:themeColor="text1"/>
          <w:kern w:val="0"/>
          <w:sz w:val="32"/>
          <w:szCs w:val="32"/>
          <w14:textFill>
            <w14:solidFill>
              <w14:schemeClr w14:val="tx1"/>
            </w14:solidFill>
          </w14:textFill>
        </w:rPr>
        <w:t>超级消费轴</w:t>
      </w:r>
      <w:r>
        <w:rPr>
          <w:rFonts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，依托珠江水系，串联珠江新城核心商圈、金融城商圈，协同黄浦湾、广州塔-琶洲商圈，联动黄埔古港及会展直播文化，共同打造的</w:t>
      </w:r>
      <w:r>
        <w:rPr>
          <w:rFonts w:ascii="Times New Roman" w:hAnsi="Times New Roman" w:eastAsia="仿宋_GB2312" w:cs="Times New Roman"/>
          <w:b/>
          <w:bCs/>
          <w:color w:val="000000" w:themeColor="text1"/>
          <w:kern w:val="0"/>
          <w:sz w:val="32"/>
          <w:szCs w:val="32"/>
          <w14:textFill>
            <w14:solidFill>
              <w14:schemeClr w14:val="tx1"/>
            </w14:solidFill>
          </w14:textFill>
        </w:rPr>
        <w:t>“沿江消费带”，</w:t>
      </w:r>
      <w:r>
        <w:rPr>
          <w:rFonts w:ascii="Times New Roman" w:hAnsi="Times New Roman" w:cs="Times New Roman"/>
        </w:rPr>
        <w:t xml:space="preserve"> </w:t>
      </w:r>
      <w:r>
        <w:rPr>
          <w:rFonts w:ascii="Times New Roman" w:hAnsi="Times New Roman" w:eastAsia="仿宋_GB2312" w:cs="Times New Roman"/>
          <w:color w:val="000000" w:themeColor="text1"/>
          <w:kern w:val="0"/>
          <w:sz w:val="32"/>
          <w:szCs w:val="32"/>
          <w14:textFill>
            <w14:solidFill>
              <w14:schemeClr w14:val="tx1"/>
            </w14:solidFill>
          </w14:textFill>
        </w:rPr>
        <w:t>两轴联动共同推动广州市打造珠江世界级消费服务业发展带</w:t>
      </w:r>
      <w:r>
        <w:rPr>
          <w:rFonts w:ascii="Times New Roman" w:hAnsi="Times New Roman" w:eastAsia="仿宋_GB2312" w:cs="Times New Roman"/>
          <w:b/>
          <w:bCs/>
          <w:color w:val="000000" w:themeColor="text1"/>
          <w:kern w:val="0"/>
          <w:sz w:val="32"/>
          <w:szCs w:val="32"/>
          <w14:textFill>
            <w14:solidFill>
              <w14:schemeClr w14:val="tx1"/>
            </w14:solidFill>
          </w14:textFill>
        </w:rPr>
        <w:t>。“环状”</w:t>
      </w:r>
      <w:r>
        <w:rPr>
          <w:rFonts w:ascii="Times New Roman" w:hAnsi="Times New Roman" w:eastAsia="仿宋_GB2312" w:cs="Times New Roman"/>
          <w:color w:val="000000" w:themeColor="text1"/>
          <w:kern w:val="0"/>
          <w:sz w:val="32"/>
          <w:szCs w:val="32"/>
          <w14:textFill>
            <w14:solidFill>
              <w14:schemeClr w14:val="tx1"/>
            </w14:solidFill>
          </w14:textFill>
        </w:rPr>
        <w:t>是指消费轴、各级商圈及特色功能区分布整体呈现环状布局，体现了分层分类商业环境与城市功能、居民集聚效应相匹配。</w:t>
      </w:r>
    </w:p>
    <w:p>
      <w:pPr>
        <w:pStyle w:val="5"/>
        <w:pageBreakBefore w:val="0"/>
        <w:kinsoku/>
        <w:wordWrap/>
        <w:overflowPunct/>
        <w:topLinePunct w:val="0"/>
        <w:autoSpaceDE/>
        <w:autoSpaceDN/>
        <w:bidi w:val="0"/>
        <w:adjustRightInd/>
        <w:snapToGrid/>
        <w:spacing w:beforeAutospacing="0" w:afterAutospacing="0" w:line="560" w:lineRule="exact"/>
        <w:ind w:left="0" w:leftChars="0" w:firstLine="0" w:firstLineChars="0"/>
        <w:textAlignment w:val="auto"/>
        <w:rPr>
          <w:rFonts w:ascii="Times New Roman" w:hAnsi="Times New Roman" w:cs="Times New Roman"/>
        </w:rPr>
      </w:pPr>
      <w:r>
        <w:rPr>
          <w:rFonts w:ascii="Times New Roman" w:hAnsi="Times New Roman" w:cs="Times New Roman"/>
        </w:rPr>
        <w:drawing>
          <wp:anchor distT="0" distB="0" distL="0" distR="0" simplePos="0" relativeHeight="251659264" behindDoc="0" locked="0" layoutInCell="1" allowOverlap="1">
            <wp:simplePos x="0" y="0"/>
            <wp:positionH relativeFrom="column">
              <wp:posOffset>122555</wp:posOffset>
            </wp:positionH>
            <wp:positionV relativeFrom="paragraph">
              <wp:posOffset>171450</wp:posOffset>
            </wp:positionV>
            <wp:extent cx="5071745" cy="5375910"/>
            <wp:effectExtent l="0" t="0" r="14605" b="1524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090825" cy="5396243"/>
                    </a:xfrm>
                    <a:prstGeom prst="rect">
                      <a:avLst/>
                    </a:prstGeom>
                    <a:noFill/>
                  </pic:spPr>
                </pic:pic>
              </a:graphicData>
            </a:graphic>
          </wp:anchor>
        </w:drawing>
      </w:r>
    </w:p>
    <w:p>
      <w:pPr>
        <w:pStyle w:val="6"/>
        <w:pageBreakBefore w:val="0"/>
        <w:kinsoku/>
        <w:wordWrap/>
        <w:overflowPunct/>
        <w:topLinePunct w:val="0"/>
        <w:autoSpaceDE/>
        <w:autoSpaceDN/>
        <w:bidi w:val="0"/>
        <w:adjustRightInd/>
        <w:snapToGrid/>
        <w:spacing w:beforeAutospacing="0" w:afterAutospacing="0" w:line="560" w:lineRule="exact"/>
        <w:jc w:val="center"/>
        <w:textAlignment w:val="auto"/>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 xml:space="preserve"> 天河区商业空间规划布局</w:t>
      </w:r>
    </w:p>
    <w:p>
      <w:pPr>
        <w:pStyle w:val="2"/>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65" w:name="_Toc115392084"/>
      <w:r>
        <w:rPr>
          <w:rFonts w:ascii="Times New Roman" w:hAnsi="Times New Roman" w:cs="Times New Roman"/>
        </w:rPr>
        <w:t>第七章 推动对外贸易创新发展</w:t>
      </w:r>
      <w:bookmarkEnd w:id="65"/>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把握RCEP签署机遇，用好国家数字服务出口基地、国家文化出口基地，实施更大范围、更宽领域、更深层次对外开放，加快集聚高能级市场主体，健全供应链服务体系，联动广交会、进博会、服贸会等国家级展会，着力推动商品和服务走出去，打造服务珠三角、辐射全国、链接东南亚的对外贸易窗口，促进对外贸易稳定可持续发展。</w:t>
      </w:r>
    </w:p>
    <w:p>
      <w:pPr>
        <w:pStyle w:val="3"/>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pPr>
      <w:bookmarkStart w:id="66" w:name="_Toc115392085"/>
      <w:r>
        <w:rPr>
          <w:rFonts w:hint="eastAsia"/>
        </w:rPr>
        <w:t>（一）</w:t>
      </w:r>
      <w:r>
        <w:t>调整优化外贸结构，扩大贸易规模</w:t>
      </w:r>
      <w:bookmarkEnd w:id="66"/>
    </w:p>
    <w:p>
      <w:pPr>
        <w:pageBreakBefore w:val="0"/>
        <w:widowControl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b/>
          <w:bCs/>
          <w:color w:val="000000" w:themeColor="text1"/>
          <w:kern w:val="0"/>
          <w:sz w:val="32"/>
          <w:szCs w:val="32"/>
          <w14:textFill>
            <w14:solidFill>
              <w14:schemeClr w14:val="tx1"/>
            </w14:solidFill>
          </w14:textFill>
        </w:rPr>
        <w:t>推动货物贸易结构优化。</w:t>
      </w:r>
      <w:r>
        <w:rPr>
          <w:rFonts w:ascii="Times New Roman" w:hAnsi="Times New Roman" w:eastAsia="仿宋_GB2312" w:cs="Times New Roman"/>
          <w:color w:val="000000" w:themeColor="text1"/>
          <w:kern w:val="0"/>
          <w:sz w:val="32"/>
          <w:szCs w:val="32"/>
          <w14:textFill>
            <w14:solidFill>
              <w14:schemeClr w14:val="tx1"/>
            </w14:solidFill>
          </w14:textFill>
        </w:rPr>
        <w:t>抓住《区域全面经济伙伴关系协定》（RCEP）签订机遇，用好关税削减、原产地累积规则、开放市场准入等利好政策，优化进出口商品结构，加强汽车整车、汽车零部件、纺织制品、服装箱包等商品进出口，重点拓展东南亚等一带一路沿线国家市场；促进贸易发展与产业升级联动，提升智能硬件、医药及器械、半导体、消费电子、化妆品等领域高附加值产品出口比重；结合周边消费市场需求，多渠道扩大母婴、户外运动、营养保健、轻奢、数码家电等特色优质产品进口。</w:t>
      </w:r>
      <w:r>
        <w:rPr>
          <w:rFonts w:ascii="Times New Roman" w:hAnsi="Times New Roman" w:eastAsia="仿宋_GB2312" w:cs="Times New Roman"/>
          <w:b/>
          <w:bCs/>
          <w:color w:val="000000" w:themeColor="text1"/>
          <w:kern w:val="0"/>
          <w:sz w:val="32"/>
          <w:szCs w:val="32"/>
          <w14:textFill>
            <w14:solidFill>
              <w14:schemeClr w14:val="tx1"/>
            </w14:solidFill>
          </w14:textFill>
        </w:rPr>
        <w:t>推动服务贸易创新发展</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发挥国家文化出口基地、国家数字服务出口基地</w:t>
      </w:r>
      <w:r>
        <w:rPr>
          <w:rFonts w:ascii="Times New Roman" w:hAnsi="Times New Roman" w:eastAsia="仿宋_GB2312" w:cs="Times New Roman"/>
          <w:sz w:val="32"/>
          <w:szCs w:val="32"/>
        </w:rPr>
        <w:t>等带动作用，</w:t>
      </w:r>
      <w:r>
        <w:rPr>
          <w:rFonts w:hint="eastAsia" w:ascii="Times New Roman" w:hAnsi="Times New Roman" w:eastAsia="仿宋_GB2312" w:cs="Times New Roman"/>
          <w:sz w:val="32"/>
          <w:szCs w:val="32"/>
        </w:rPr>
        <w:t>推动银政企合作，为企业提供境外法律、金融、</w:t>
      </w:r>
      <w:r>
        <w:rPr>
          <w:rFonts w:ascii="Times New Roman" w:hAnsi="Times New Roman" w:eastAsia="仿宋_GB2312" w:cs="Times New Roman"/>
          <w:sz w:val="32"/>
          <w:szCs w:val="32"/>
        </w:rPr>
        <w:t xml:space="preserve"> 知识产权、数字营销等领域专业服务，</w:t>
      </w:r>
      <w:r>
        <w:rPr>
          <w:rFonts w:hint="eastAsia" w:ascii="Times New Roman" w:hAnsi="Times New Roman" w:eastAsia="仿宋_GB2312" w:cs="Times New Roman"/>
          <w:sz w:val="32"/>
          <w:szCs w:val="32"/>
        </w:rPr>
        <w:t>加强文化出口、服务</w:t>
      </w:r>
      <w:r>
        <w:rPr>
          <w:rFonts w:ascii="Times New Roman" w:hAnsi="Times New Roman" w:eastAsia="仿宋_GB2312" w:cs="Times New Roman"/>
          <w:sz w:val="32"/>
          <w:szCs w:val="32"/>
        </w:rPr>
        <w:t>贸易专项培训</w:t>
      </w:r>
      <w:r>
        <w:rPr>
          <w:rFonts w:hint="eastAsia" w:ascii="Times New Roman" w:hAnsi="Times New Roman" w:eastAsia="仿宋_GB2312" w:cs="Times New Roman"/>
          <w:sz w:val="32"/>
          <w:szCs w:val="32"/>
        </w:rPr>
        <w:t>，推动</w:t>
      </w:r>
      <w:r>
        <w:rPr>
          <w:rFonts w:ascii="Times New Roman" w:hAnsi="Times New Roman" w:eastAsia="仿宋_GB2312" w:cs="Times New Roman"/>
          <w:sz w:val="32"/>
          <w:szCs w:val="32"/>
        </w:rPr>
        <w:t xml:space="preserve"> FT 账户全面推广，</w:t>
      </w:r>
      <w:r>
        <w:rPr>
          <w:rFonts w:hint="eastAsia" w:ascii="Times New Roman" w:hAnsi="Times New Roman" w:eastAsia="仿宋_GB2312" w:cs="Times New Roman"/>
          <w:sz w:val="32"/>
          <w:szCs w:val="32"/>
        </w:rPr>
        <w:t>组织企业参加中</w:t>
      </w:r>
      <w:r>
        <w:rPr>
          <w:rFonts w:ascii="Times New Roman" w:hAnsi="Times New Roman" w:eastAsia="仿宋_GB2312" w:cs="Times New Roman"/>
          <w:sz w:val="32"/>
          <w:szCs w:val="32"/>
        </w:rPr>
        <w:t>国国际服务贸易交易会、广州文化产业交易会等重要境内外推介展示活动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支持服务企业积极拓展跨境业务，</w:t>
      </w:r>
      <w:r>
        <w:rPr>
          <w:rFonts w:ascii="Times New Roman" w:hAnsi="Times New Roman" w:eastAsia="仿宋_GB2312" w:cs="Times New Roman"/>
          <w:color w:val="000000" w:themeColor="text1"/>
          <w:kern w:val="0"/>
          <w:sz w:val="32"/>
          <w:szCs w:val="32"/>
          <w14:textFill>
            <w14:solidFill>
              <w14:schemeClr w14:val="tx1"/>
            </w14:solidFill>
          </w14:textFill>
        </w:rPr>
        <w:t>打造一批“广州服务”品牌，</w:t>
      </w:r>
      <w:r>
        <w:rPr>
          <w:rFonts w:ascii="Times New Roman" w:hAnsi="Times New Roman" w:eastAsia="仿宋_GB2312" w:cs="Times New Roman"/>
          <w:sz w:val="32"/>
          <w:szCs w:val="32"/>
        </w:rPr>
        <w:t>在金融、法律、人力资源、信息技术、服务外包、工程设计、旅行出行等领域引进和培育一批服务贸易龙头企业，提供对外投资运营、商务咨询、知识产权评估、系统集成设计、软件服务外包、海外工程项目承接、境外旅游等；充分发挥文化创意产业优势，加快游戏动漫、电子竞技、音乐、文学、影视等</w:t>
      </w:r>
      <w:r>
        <w:rPr>
          <w:rFonts w:hint="eastAsia" w:ascii="Times New Roman" w:hAnsi="Times New Roman" w:eastAsia="仿宋_GB2312" w:cs="Times New Roman"/>
          <w:sz w:val="32"/>
          <w:szCs w:val="32"/>
        </w:rPr>
        <w:t>文化</w:t>
      </w:r>
      <w:r>
        <w:rPr>
          <w:rFonts w:ascii="Times New Roman" w:hAnsi="Times New Roman" w:eastAsia="仿宋_GB2312" w:cs="Times New Roman"/>
          <w:sz w:val="32"/>
          <w:szCs w:val="32"/>
        </w:rPr>
        <w:t>产品出口。</w:t>
      </w:r>
    </w:p>
    <w:p>
      <w:pPr>
        <w:pStyle w:val="3"/>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pPr>
      <w:bookmarkStart w:id="67" w:name="_Toc115392086"/>
      <w:r>
        <w:rPr>
          <w:rFonts w:hint="eastAsia"/>
        </w:rPr>
        <w:t>（二）</w:t>
      </w:r>
      <w:r>
        <w:t>提高综合服务水平，构建良好环境</w:t>
      </w:r>
      <w:bookmarkEnd w:id="67"/>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sz w:val="32"/>
          <w:szCs w:val="32"/>
        </w:rPr>
        <w:t>利用总部经济优势，引进和培育一批信用等级高、服务能力强的外贸综合服务企业，加强对企业的进出口业务服务引导。</w:t>
      </w:r>
      <w:r>
        <w:rPr>
          <w:rFonts w:ascii="Times New Roman" w:hAnsi="Times New Roman" w:eastAsia="仿宋_GB2312" w:cs="Times New Roman"/>
          <w:color w:val="000000" w:themeColor="text1"/>
          <w:kern w:val="0"/>
          <w:sz w:val="32"/>
          <w:szCs w:val="32"/>
          <w14:textFill>
            <w14:solidFill>
              <w14:schemeClr w14:val="tx1"/>
            </w14:solidFill>
          </w14:textFill>
        </w:rPr>
        <w:t>支持行业组织、贸易促进机构、龙头企业联合搭建公共服务平台，为企业提供国际交流展示、创意产品孵化、跨境物流、国际人才培训、国际贸易动态和行业研究等全方位服务，联动商圈内专业服务机构，提供法律、金融、市场调研、营销推广、知识产权等专项服务。鼓励银行机构推出退税贷等专属信贷产品，扩大出口信用保险覆盖面，增强金融支持。抓住“双区”建设和横琴、前海两个合作区建设重大历史机遇，加强复制借鉴北京、上海浦东新区等地先行先试政策，对上争取一批支持政策，加快推动对外贸易发展。</w:t>
      </w:r>
    </w:p>
    <w:p>
      <w:pPr>
        <w:pStyle w:val="3"/>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pPr>
      <w:bookmarkStart w:id="68" w:name="_Toc115392087"/>
      <w:r>
        <w:rPr>
          <w:rFonts w:hint="eastAsia"/>
        </w:rPr>
        <w:t>（三）</w:t>
      </w:r>
      <w:r>
        <w:t>加强对外合作交流，提升对接效率</w:t>
      </w:r>
      <w:bookmarkEnd w:id="68"/>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支持企业积极参加广交会、进博会、服贸会等国家级展会，鼓励企业参与各类境内外贸易展会、专业性展览。引进和培育一批会展企业，</w:t>
      </w:r>
      <w:r>
        <w:rPr>
          <w:rFonts w:ascii="Times New Roman" w:hAnsi="Times New Roman" w:eastAsia="仿宋_GB2312" w:cs="Times New Roman"/>
          <w:color w:val="000000" w:themeColor="text1"/>
          <w:sz w:val="32"/>
          <w:szCs w:val="32"/>
          <w14:textFill>
            <w14:solidFill>
              <w14:schemeClr w14:val="tx1"/>
            </w14:solidFill>
          </w14:textFill>
        </w:rPr>
        <w:t>加强与香港贸发局、澳门贸促局、国际会展业相关协会合作，探索</w:t>
      </w:r>
      <w:r>
        <w:rPr>
          <w:rFonts w:ascii="Times New Roman" w:hAnsi="Times New Roman" w:eastAsia="仿宋_GB2312" w:cs="Times New Roman"/>
          <w:color w:val="000000" w:themeColor="text1"/>
          <w:kern w:val="0"/>
          <w:sz w:val="32"/>
          <w:szCs w:val="32"/>
          <w14:textFill>
            <w14:solidFill>
              <w14:schemeClr w14:val="tx1"/>
            </w14:solidFill>
          </w14:textFill>
        </w:rPr>
        <w:t>举办国际高品质消费博览会，打造具有国际影响力的展会平台；</w:t>
      </w:r>
      <w:r>
        <w:rPr>
          <w:rFonts w:ascii="Times New Roman" w:hAnsi="Times New Roman" w:eastAsia="仿宋_GB2312" w:cs="Times New Roman"/>
          <w:sz w:val="32"/>
          <w:szCs w:val="32"/>
        </w:rPr>
        <w:t>协助进出口龙头企业、行业协会等打造海外自办展；</w:t>
      </w:r>
      <w:r>
        <w:rPr>
          <w:rFonts w:ascii="Times New Roman" w:hAnsi="Times New Roman" w:eastAsia="仿宋_GB2312" w:cs="Times New Roman"/>
          <w:color w:val="000000" w:themeColor="text1"/>
          <w:kern w:val="0"/>
          <w:sz w:val="32"/>
          <w:szCs w:val="32"/>
          <w14:textFill>
            <w14:solidFill>
              <w14:schemeClr w14:val="tx1"/>
            </w14:solidFill>
          </w14:textFill>
        </w:rPr>
        <w:t>探索打造线上展会，</w:t>
      </w:r>
      <w:r>
        <w:rPr>
          <w:rFonts w:ascii="Times New Roman" w:hAnsi="Times New Roman" w:eastAsia="仿宋_GB2312" w:cs="Times New Roman"/>
          <w:sz w:val="32"/>
          <w:szCs w:val="32"/>
        </w:rPr>
        <w:t>搭建销售信息平台。利用领事馆、国际机构、跨国企业集聚优势，</w:t>
      </w:r>
      <w:r>
        <w:rPr>
          <w:rFonts w:ascii="Times New Roman" w:hAnsi="Times New Roman" w:eastAsia="仿宋_GB2312" w:cs="Times New Roman"/>
          <w:color w:val="000000" w:themeColor="text1"/>
          <w:kern w:val="0"/>
          <w:sz w:val="32"/>
          <w:szCs w:val="32"/>
          <w14:textFill>
            <w14:solidFill>
              <w14:schemeClr w14:val="tx1"/>
            </w14:solidFill>
          </w14:textFill>
        </w:rPr>
        <w:t>加快构建高效对接渠道，积极支持举办官方性国际会议、国际论坛，承接“一带一路”等为背景的交易博览会、品牌文化节、贸易洽商会等商贸活动，搭建各类经贸、科技、文化、消费等交流合作平台；探索点对点海外对接，利用领事馆、国际机构资源优势，加强与海外当地机构的直接对接，促进业务直接承接、海外网络构建、业务双向合作等。</w:t>
      </w:r>
    </w:p>
    <w:p>
      <w:pPr>
        <w:pStyle w:val="2"/>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69" w:name="_Toc115392088"/>
      <w:r>
        <w:rPr>
          <w:rFonts w:ascii="Times New Roman" w:hAnsi="Times New Roman" w:cs="Times New Roman"/>
        </w:rPr>
        <w:t>第八章 大力优化营商环境</w:t>
      </w:r>
      <w:bookmarkEnd w:id="69"/>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对标先进地区，加快优化商贸业扶持政策，积极争取复制先行先试政策，探索适应新兴业态、模式发展的包容审慎监管机制，着力营造安全放心诚信消费环境，简化审批流程，构建近悦远来的营商环境。</w:t>
      </w:r>
    </w:p>
    <w:p>
      <w:pPr>
        <w:pStyle w:val="3"/>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pPr>
      <w:bookmarkStart w:id="70" w:name="_Toc115392089"/>
      <w:r>
        <w:rPr>
          <w:rFonts w:hint="eastAsia"/>
        </w:rPr>
        <w:t>（一）</w:t>
      </w:r>
      <w:r>
        <w:t>优化服务体系，加强</w:t>
      </w:r>
      <w:r>
        <w:rPr>
          <w:rFonts w:hint="eastAsia"/>
        </w:rPr>
        <w:t>招商引资和企业培育</w:t>
      </w:r>
      <w:bookmarkEnd w:id="70"/>
    </w:p>
    <w:p>
      <w:pPr>
        <w:pageBreakBefore w:val="0"/>
        <w:widowControl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hint="eastAsia" w:ascii="Times New Roman" w:hAnsi="Times New Roman" w:eastAsia="仿宋_GB2312" w:cs="Times New Roman"/>
          <w:b/>
          <w:bCs/>
          <w:color w:val="000000" w:themeColor="text1"/>
          <w:kern w:val="0"/>
          <w:sz w:val="32"/>
          <w:szCs w:val="32"/>
          <w14:textFill>
            <w14:solidFill>
              <w14:schemeClr w14:val="tx1"/>
            </w14:solidFill>
          </w14:textFill>
        </w:rPr>
        <w:t>制定招商引资目标清单。</w:t>
      </w:r>
      <w:r>
        <w:rPr>
          <w:rFonts w:hint="eastAsia" w:ascii="Times New Roman" w:hAnsi="Times New Roman" w:eastAsia="仿宋_GB2312" w:cs="Times New Roman"/>
          <w:color w:val="000000" w:themeColor="text1"/>
          <w:kern w:val="0"/>
          <w:sz w:val="32"/>
          <w:szCs w:val="32"/>
          <w14:textFill>
            <w14:solidFill>
              <w14:schemeClr w14:val="tx1"/>
            </w14:solidFill>
          </w14:textFill>
        </w:rPr>
        <w:t>围绕发展重点，建立招商引资靶向目标清单，加强招商引资前置性服务，推动目标对象与商业载体、楼宇、村集体等物业方的对接，做好提前谋划，为招商目标落地创造良好条件。</w:t>
      </w:r>
      <w:r>
        <w:rPr>
          <w:rFonts w:ascii="Times New Roman" w:hAnsi="Times New Roman" w:eastAsia="仿宋_GB2312" w:cs="Times New Roman"/>
          <w:b/>
          <w:bCs/>
          <w:color w:val="000000" w:themeColor="text1"/>
          <w:kern w:val="0"/>
          <w:sz w:val="32"/>
          <w:szCs w:val="32"/>
          <w14:textFill>
            <w14:solidFill>
              <w14:schemeClr w14:val="tx1"/>
            </w14:solidFill>
          </w14:textFill>
        </w:rPr>
        <w:t>加大政策支持力度</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根据商贸业发展重点和主要任务，以“稳大、培优、引强”为原则，针对大宗商品、百货、电商、医药流通、汽车销售、住宿餐饮等不同行业特性，分类施策，从经营贡献、营收增长、商圈改造、商业载体建设、首店引进、活动举办、租金支持等方面，研究制定针对性企业培育扶持措施</w:t>
      </w:r>
      <w:r>
        <w:rPr>
          <w:rFonts w:hint="eastAsia" w:ascii="Times New Roman" w:hAnsi="Times New Roman" w:eastAsia="仿宋_GB2312" w:cs="Times New Roman"/>
          <w:color w:val="000000" w:themeColor="text1"/>
          <w:kern w:val="0"/>
          <w:sz w:val="32"/>
          <w:szCs w:val="32"/>
          <w14:textFill>
            <w14:solidFill>
              <w14:schemeClr w14:val="tx1"/>
            </w14:solidFill>
          </w14:textFill>
        </w:rPr>
        <w:t>；优化惠企政策兑现一站式服务，充分运用区块链、大数据、人工智能等技术，进一步完善政策兑现服务平台；</w:t>
      </w:r>
      <w:r>
        <w:rPr>
          <w:rFonts w:ascii="Times New Roman" w:hAnsi="Times New Roman" w:eastAsia="仿宋_GB2312" w:cs="Times New Roman"/>
          <w:color w:val="000000" w:themeColor="text1"/>
          <w:kern w:val="0"/>
          <w:sz w:val="32"/>
          <w:szCs w:val="32"/>
          <w14:textFill>
            <w14:solidFill>
              <w14:schemeClr w14:val="tx1"/>
            </w14:solidFill>
          </w14:textFill>
        </w:rPr>
        <w:t>借助广州市加强与海南自贸港对接合作机遇，积极争取复制海南自贸港在企业所得税优惠、放宽市场准入、服务贸易跨境负面清单等方面的先行先试政策。</w:t>
      </w:r>
      <w:r>
        <w:rPr>
          <w:rFonts w:hint="eastAsia" w:ascii="Times New Roman" w:hAnsi="Times New Roman" w:eastAsia="仿宋_GB2312" w:cs="Times New Roman"/>
          <w:b/>
          <w:bCs/>
          <w:color w:val="000000" w:themeColor="text1"/>
          <w:kern w:val="0"/>
          <w:sz w:val="32"/>
          <w:szCs w:val="32"/>
          <w14:textFill>
            <w14:solidFill>
              <w14:schemeClr w14:val="tx1"/>
            </w14:solidFill>
          </w14:textFill>
        </w:rPr>
        <w:t>提升市场主体服务水平。</w:t>
      </w:r>
      <w:r>
        <w:rPr>
          <w:rFonts w:hint="eastAsia" w:ascii="Times New Roman" w:hAnsi="Times New Roman" w:eastAsia="仿宋_GB2312" w:cs="Times New Roman"/>
          <w:color w:val="000000" w:themeColor="text1"/>
          <w:kern w:val="0"/>
          <w:sz w:val="32"/>
          <w:szCs w:val="32"/>
          <w14:textFill>
            <w14:solidFill>
              <w14:schemeClr w14:val="tx1"/>
            </w14:solidFill>
          </w14:textFill>
        </w:rPr>
        <w:t>以天河区推进落实国家营商环境创新试点城市建设为契机，围绕企业开办、用地、税务服务等环节，构建高效服务体系，提升市场主体满意度获得感。完善企业综合服务平台和政企沟通服务中心等平台建设，</w:t>
      </w:r>
      <w:r>
        <w:rPr>
          <w:rFonts w:ascii="Times New Roman" w:hAnsi="Times New Roman" w:eastAsia="仿宋_GB2312" w:cs="Times New Roman"/>
          <w:color w:val="000000" w:themeColor="text1"/>
          <w:kern w:val="0"/>
          <w:sz w:val="32"/>
          <w:szCs w:val="32"/>
          <w14:textFill>
            <w14:solidFill>
              <w14:schemeClr w14:val="tx1"/>
            </w14:solidFill>
          </w14:textFill>
        </w:rPr>
        <w:t>组织常态化“政企面对面”交流活动，做好企业诉求的收集、办理、督查、反馈闭环管理，畅通政企常态化沟通渠道</w:t>
      </w:r>
      <w:r>
        <w:rPr>
          <w:rFonts w:hint="eastAsia" w:ascii="Times New Roman" w:hAnsi="Times New Roman" w:eastAsia="仿宋_GB2312" w:cs="Times New Roman"/>
          <w:color w:val="000000" w:themeColor="text1"/>
          <w:kern w:val="0"/>
          <w:sz w:val="32"/>
          <w:szCs w:val="32"/>
          <w14:textFill>
            <w14:solidFill>
              <w14:schemeClr w14:val="tx1"/>
            </w14:solidFill>
          </w14:textFill>
        </w:rPr>
        <w:t>，协调解决企业发展过程中的难点、痛点；</w:t>
      </w:r>
      <w:r>
        <w:rPr>
          <w:rFonts w:ascii="Times New Roman" w:hAnsi="Times New Roman" w:eastAsia="仿宋_GB2312" w:cs="Times New Roman"/>
          <w:color w:val="000000" w:themeColor="text1"/>
          <w:kern w:val="0"/>
          <w:sz w:val="32"/>
          <w:szCs w:val="32"/>
          <w14:textFill>
            <w14:solidFill>
              <w14:schemeClr w14:val="tx1"/>
            </w14:solidFill>
          </w14:textFill>
        </w:rPr>
        <w:t>积极搭建商贸企业沟通交流渠道，探索建立走访调研、研讨交流、圆桌会议等多项机制，积极引导各类商贸企业开展产品和服务联合创新、市场拓展、资源整合、异业联盟等，推动企业互促发展。</w:t>
      </w:r>
      <w:r>
        <w:rPr>
          <w:rFonts w:hint="eastAsia" w:ascii="Times New Roman" w:hAnsi="Times New Roman" w:eastAsia="仿宋_GB2312" w:cs="Times New Roman"/>
          <w:color w:val="000000" w:themeColor="text1"/>
          <w:kern w:val="0"/>
          <w:sz w:val="32"/>
          <w:szCs w:val="32"/>
          <w14:textFill>
            <w14:solidFill>
              <w14:schemeClr w14:val="tx1"/>
            </w14:solidFill>
          </w14:textFill>
        </w:rPr>
        <w:t>以优质营商环境和服务，助推招商引资和市场主体培育等重点工作推进。</w:t>
      </w:r>
    </w:p>
    <w:p>
      <w:pPr>
        <w:pStyle w:val="3"/>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pPr>
      <w:bookmarkStart w:id="71" w:name="_Toc115392090"/>
      <w:r>
        <w:rPr>
          <w:rFonts w:hint="eastAsia"/>
        </w:rPr>
        <w:t>（二）</w:t>
      </w:r>
      <w:r>
        <w:t>适应发展需求，建立包容审慎监管机制</w:t>
      </w:r>
      <w:bookmarkEnd w:id="71"/>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按照鼓励创新原则，以</w:t>
      </w:r>
      <w:r>
        <w:rPr>
          <w:rFonts w:hint="eastAsia" w:ascii="Times New Roman" w:hAnsi="Times New Roman" w:eastAsia="仿宋_GB2312" w:cs="Times New Roman"/>
          <w:color w:val="000000" w:themeColor="text1"/>
          <w:kern w:val="0"/>
          <w:sz w:val="32"/>
          <w:szCs w:val="32"/>
          <w14:textFill>
            <w14:solidFill>
              <w14:schemeClr w14:val="tx1"/>
            </w14:solidFill>
          </w14:textFill>
        </w:rPr>
        <w:t>错纠错为导向，</w:t>
      </w:r>
      <w:r>
        <w:rPr>
          <w:rFonts w:ascii="Times New Roman" w:hAnsi="Times New Roman" w:eastAsia="仿宋_GB2312" w:cs="Times New Roman"/>
          <w:color w:val="000000" w:themeColor="text1"/>
          <w:kern w:val="0"/>
          <w:sz w:val="32"/>
          <w:szCs w:val="32"/>
          <w14:textFill>
            <w14:solidFill>
              <w14:schemeClr w14:val="tx1"/>
            </w14:solidFill>
          </w14:textFill>
        </w:rPr>
        <w:t>建立适应新兴业态、新模式发展的包容审慎监管机制，进一步优化新兴业态发展环境。推行包容期管理、“容错”管理等执法监管机制，</w:t>
      </w:r>
      <w:r>
        <w:rPr>
          <w:rFonts w:hint="eastAsia" w:ascii="Times New Roman" w:hAnsi="Times New Roman" w:eastAsia="仿宋_GB2312" w:cs="Times New Roman"/>
          <w:color w:val="000000" w:themeColor="text1"/>
          <w:kern w:val="0"/>
          <w:sz w:val="32"/>
          <w:szCs w:val="32"/>
          <w14:textFill>
            <w14:solidFill>
              <w14:schemeClr w14:val="tx1"/>
            </w14:solidFill>
          </w14:textFill>
        </w:rPr>
        <w:t>给予市场主体成长“容错”“试错”空间，</w:t>
      </w:r>
      <w:r>
        <w:rPr>
          <w:rFonts w:ascii="Times New Roman" w:hAnsi="Times New Roman" w:eastAsia="仿宋_GB2312" w:cs="Times New Roman"/>
          <w:color w:val="000000" w:themeColor="text1"/>
          <w:kern w:val="0"/>
          <w:sz w:val="32"/>
          <w:szCs w:val="32"/>
          <w14:textFill>
            <w14:solidFill>
              <w14:schemeClr w14:val="tx1"/>
            </w14:solidFill>
          </w14:textFill>
        </w:rPr>
        <w:t>宽严相济，以教育引导为主，对新产业、新业态领域企业首次、轻微的违规经营行为，依法免于行政处罚，鼓励和引导违法企业改正轻微违法行为，审慎、合理、适当使用行政处罚手段。对密室逃脱、剧本杀、健康医疗、整形美容、文化创意、休闲娱乐等新兴服务消费，在优化监管的前提下，进一步放宽准入和资质审批条件。落实市商务局文件精神，按照“应减必减、可放则放”原则，实行负面清单管理，支持商家在商业用地红线范围内依法依规开展促销活动，简化大型促消费活动审批，对同一场地举办相同内容的多场次大型促消费活动，实行一次许可制和一次报备制。对在不影响通行的区域，支持有序开放酒吧、咖啡店、轻餐饮店等“外摆位”限制。探索实施商旅文娱体等领域大型活动安全许可和商家“外摆”经营“一网通办”。适当放宽LED、刀旗等载体户外广告审批。</w:t>
      </w:r>
    </w:p>
    <w:p>
      <w:pPr>
        <w:pStyle w:val="3"/>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pPr>
      <w:bookmarkStart w:id="72" w:name="_Toc115392091"/>
      <w:r>
        <w:t>（三）完善诚信体系，营造安全放心消费环境</w:t>
      </w:r>
      <w:bookmarkEnd w:id="72"/>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加强商务信用监管，对市场主体实施差别化分类监管，优化守信市场主体检查频次，加强对严重失信主体的日常监管，加大抽查比例和频次，从严进行资质审核；运用广州市公共信用信息管理系统，对失信联合惩戒黑名单企业坚决不予财政资金支持、依法依规限制其申请财政性资金项目、政府采购项目、享受政策优惠等；加大对销售假冒伪劣商品、侵犯知识产权、虚假宣传、价格欺诈、侵犯个人信息安全等行为的打击力度。衔接市商务诚信建设，重点以诚信平台、商圈诚信、家政诚信建设为突破口，全面深化商务诚信建设，用好省、市商务诚信公共服务平台，推动天河路商圈构建诚信消费生态圈，依托广州市家政服务综合平台，完善家政企业和从业人员诚信评价和管理机制；完善“红名单”和“黑名单”制度，鼓励行业协会建立和完善各行业信用评价标准，推动信用信息共享。持续培育诚信文化，持续协助办好“诚信兴商宣传月”、“商务诚信建设推进会”等系列商务诚信活动；支持企业积极参与“诚信兴商”典型案例遴选；鼓励和引导市场主体开展信用承诺，在行政审批、资金补助、评先评优等事项中探索应用信用承诺，营造倡导诚信经营、提高诚信消费意识的良好社会氛围。</w:t>
      </w:r>
    </w:p>
    <w:p>
      <w:pPr>
        <w:pStyle w:val="2"/>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73" w:name="_Toc115392092"/>
      <w:r>
        <w:rPr>
          <w:rFonts w:ascii="Times New Roman" w:hAnsi="Times New Roman" w:cs="Times New Roman"/>
        </w:rPr>
        <w:t>第九章 保障措施</w:t>
      </w:r>
      <w:bookmarkEnd w:id="73"/>
    </w:p>
    <w:p>
      <w:pPr>
        <w:pStyle w:val="3"/>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74" w:name="_Toc23109"/>
      <w:bookmarkStart w:id="75" w:name="_Toc115392093"/>
      <w:r>
        <w:rPr>
          <w:rFonts w:ascii="Times New Roman" w:hAnsi="Times New Roman" w:cs="Times New Roman"/>
        </w:rPr>
        <w:t>（一）加强组织</w:t>
      </w:r>
      <w:bookmarkEnd w:id="74"/>
      <w:r>
        <w:rPr>
          <w:rFonts w:ascii="Times New Roman" w:hAnsi="Times New Roman" w:cs="Times New Roman"/>
        </w:rPr>
        <w:t>领导</w:t>
      </w:r>
      <w:bookmarkEnd w:id="75"/>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sz w:val="32"/>
          <w:szCs w:val="22"/>
        </w:rPr>
      </w:pPr>
      <w:r>
        <w:rPr>
          <w:rFonts w:hint="eastAsia" w:ascii="Times New Roman" w:hAnsi="Times New Roman" w:eastAsia="仿宋_GB2312" w:cs="Times New Roman"/>
          <w:b w:val="0"/>
          <w:bCs w:val="0"/>
          <w:sz w:val="32"/>
          <w:szCs w:val="22"/>
        </w:rPr>
        <w:t>建立以区主要领导牵头的天河商贸业提质升级工作机制，主动融入广州国际消费中心城市建设大局，协同天河中央商务区管委会、天河科技园管委会、发改、规划、住建、文广旅体、卫健等部门，统筹重大项目建设、基础设施配套、招商引资、用地供给、企业培育、行业监管等各项工作，将任务细化分解到具体部门、责任到人，形成“全区一盘棋”。充分发挥天河路商圈发展工作联席会议、天河路商圈管委会作用，建立健全重大问题协调解决机制。拓展天河路商圈高质量发展咨询委员会功能，吸纳更多行业政策专家、企业家、投资者等，为商贸业发展建言献策。加强干部队伍建设，加快打造一支懂产业、懂企业、懂人才、懂建设、敢负责、勇担当的干部队伍，推动</w:t>
      </w:r>
      <w:bookmarkStart w:id="76" w:name="_Hlk112090246"/>
      <w:r>
        <w:rPr>
          <w:rFonts w:hint="eastAsia" w:ascii="Times New Roman" w:hAnsi="Times New Roman" w:eastAsia="仿宋_GB2312" w:cs="Times New Roman"/>
          <w:b w:val="0"/>
          <w:bCs w:val="0"/>
          <w:sz w:val="32"/>
          <w:szCs w:val="22"/>
        </w:rPr>
        <w:t>天河商贸业发展提质</w:t>
      </w:r>
      <w:bookmarkEnd w:id="76"/>
      <w:r>
        <w:rPr>
          <w:rFonts w:hint="eastAsia" w:ascii="Times New Roman" w:hAnsi="Times New Roman" w:eastAsia="仿宋_GB2312" w:cs="Times New Roman"/>
          <w:b w:val="0"/>
          <w:bCs w:val="0"/>
          <w:sz w:val="32"/>
          <w:szCs w:val="22"/>
        </w:rPr>
        <w:t>升级。</w:t>
      </w:r>
    </w:p>
    <w:p>
      <w:pPr>
        <w:pStyle w:val="3"/>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77" w:name="_Toc115392094"/>
      <w:r>
        <w:rPr>
          <w:rFonts w:ascii="Times New Roman" w:hAnsi="Times New Roman" w:cs="Times New Roman"/>
        </w:rPr>
        <w:t>（二）</w:t>
      </w:r>
      <w:r>
        <w:rPr>
          <w:rFonts w:hint="eastAsia" w:ascii="Times New Roman" w:hAnsi="Times New Roman" w:cs="Times New Roman"/>
        </w:rPr>
        <w:t>加大金融支持</w:t>
      </w:r>
      <w:bookmarkEnd w:id="77"/>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cs="Times New Roman"/>
          <w:b/>
          <w:bCs/>
          <w:szCs w:val="22"/>
        </w:rPr>
      </w:pPr>
      <w:r>
        <w:rPr>
          <w:rFonts w:hint="eastAsia" w:ascii="Times New Roman" w:hAnsi="Times New Roman" w:eastAsia="仿宋_GB2312" w:cs="Times New Roman"/>
          <w:sz w:val="32"/>
          <w:szCs w:val="22"/>
        </w:rPr>
        <w:t>充分发挥天河金融资源集聚优势，探索建立“信用+金融+创新”服务实体经济新模式，强化涉企金融扶持政策覆盖面和精准度，支持信用服务机构开发、创新信用产品，为金融机构投放信贷提供有力支撑，有效缓解中小微企业融资难质押难问题。引导社会资本设立消费领域股权基金、创业基金、产业基金，投向新消费关键领域、重点领域、薄弱环节和应用示范项目。鼓励商业银行开发符合消费型经济特征的融资产品，大力发展商圈融资、供应链融资等创新型融资方式。深入与“信易贷”“粤信融”等融资平台的对接，推动辖内金融机构入驻“信易贷”“粤信融”等融资平台，鼓励其为企业定制金融产品，促进中小微企业融资增量、扩面、降价。优化完善企业上市服务体系，发挥天河一号、二号基金等政府引导基金作用，助力企业利用多层次资本市场融资发展。</w:t>
      </w:r>
    </w:p>
    <w:p>
      <w:pPr>
        <w:pStyle w:val="3"/>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rPr>
      </w:pPr>
      <w:bookmarkStart w:id="78" w:name="_Toc115392095"/>
      <w:r>
        <w:rPr>
          <w:rFonts w:ascii="Times New Roman" w:hAnsi="Times New Roman" w:cs="Times New Roman"/>
        </w:rPr>
        <w:t>（</w:t>
      </w:r>
      <w:r>
        <w:rPr>
          <w:rFonts w:hint="eastAsia" w:ascii="Times New Roman" w:hAnsi="Times New Roman" w:cs="Times New Roman"/>
        </w:rPr>
        <w:t>三</w:t>
      </w:r>
      <w:r>
        <w:rPr>
          <w:rFonts w:ascii="Times New Roman" w:hAnsi="Times New Roman" w:cs="Times New Roman"/>
        </w:rPr>
        <w:t>）</w:t>
      </w:r>
      <w:r>
        <w:rPr>
          <w:rFonts w:hint="eastAsia" w:ascii="Times New Roman" w:hAnsi="Times New Roman" w:cs="Times New Roman"/>
        </w:rPr>
        <w:t>优化人才引育</w:t>
      </w:r>
      <w:bookmarkEnd w:id="78"/>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sz w:val="32"/>
          <w:szCs w:val="22"/>
        </w:rPr>
      </w:pPr>
      <w:r>
        <w:rPr>
          <w:rFonts w:hint="eastAsia" w:ascii="Times New Roman" w:hAnsi="Times New Roman" w:eastAsia="仿宋_GB2312" w:cs="Times New Roman"/>
          <w:sz w:val="32"/>
          <w:szCs w:val="22"/>
        </w:rPr>
        <w:t>实施天河人才强区五项计划，完善人才政策体系，打造粤港澳大湾区高水平人才高地。</w:t>
      </w:r>
      <w:r>
        <w:rPr>
          <w:rFonts w:ascii="Times New Roman" w:hAnsi="Times New Roman" w:eastAsia="仿宋_GB2312" w:cs="Times New Roman"/>
          <w:sz w:val="32"/>
          <w:szCs w:val="22"/>
        </w:rPr>
        <w:t>围绕大宗商品、电子商务、供应链、创意设计、营销策划等领域加强</w:t>
      </w:r>
      <w:r>
        <w:rPr>
          <w:rFonts w:hint="eastAsia" w:ascii="Times New Roman" w:hAnsi="Times New Roman" w:eastAsia="仿宋_GB2312" w:cs="Times New Roman"/>
          <w:sz w:val="32"/>
          <w:szCs w:val="22"/>
        </w:rPr>
        <w:t>国际化高端创新</w:t>
      </w:r>
      <w:r>
        <w:rPr>
          <w:rFonts w:ascii="Times New Roman" w:hAnsi="Times New Roman" w:eastAsia="仿宋_GB2312" w:cs="Times New Roman"/>
          <w:sz w:val="32"/>
          <w:szCs w:val="22"/>
        </w:rPr>
        <w:t>人才</w:t>
      </w:r>
      <w:r>
        <w:rPr>
          <w:rFonts w:hint="eastAsia" w:ascii="Times New Roman" w:hAnsi="Times New Roman" w:eastAsia="仿宋_GB2312" w:cs="Times New Roman"/>
          <w:sz w:val="32"/>
          <w:szCs w:val="22"/>
        </w:rPr>
        <w:t>和管理人才</w:t>
      </w:r>
      <w:r>
        <w:rPr>
          <w:rFonts w:ascii="Times New Roman" w:hAnsi="Times New Roman" w:eastAsia="仿宋_GB2312" w:cs="Times New Roman"/>
          <w:sz w:val="32"/>
          <w:szCs w:val="22"/>
        </w:rPr>
        <w:t>引</w:t>
      </w:r>
      <w:r>
        <w:rPr>
          <w:rFonts w:hint="eastAsia" w:ascii="Times New Roman" w:hAnsi="Times New Roman" w:eastAsia="仿宋_GB2312" w:cs="Times New Roman"/>
          <w:sz w:val="32"/>
          <w:szCs w:val="22"/>
        </w:rPr>
        <w:t>进</w:t>
      </w:r>
      <w:r>
        <w:rPr>
          <w:rFonts w:ascii="Times New Roman" w:hAnsi="Times New Roman" w:eastAsia="仿宋_GB2312" w:cs="Times New Roman"/>
          <w:sz w:val="32"/>
          <w:szCs w:val="22"/>
        </w:rPr>
        <w:t>，打通人才</w:t>
      </w:r>
      <w:r>
        <w:rPr>
          <w:rFonts w:hint="eastAsia" w:ascii="Times New Roman" w:hAnsi="Times New Roman" w:eastAsia="仿宋_GB2312" w:cs="Times New Roman"/>
          <w:sz w:val="32"/>
          <w:szCs w:val="22"/>
        </w:rPr>
        <w:t>培育</w:t>
      </w:r>
      <w:r>
        <w:rPr>
          <w:rFonts w:ascii="Times New Roman" w:hAnsi="Times New Roman" w:eastAsia="仿宋_GB2312" w:cs="Times New Roman"/>
          <w:sz w:val="32"/>
          <w:szCs w:val="22"/>
        </w:rPr>
        <w:t>供给渠道，打造人才发展全链条工作体系，实现人才培养与产业升级互动协同发展。</w:t>
      </w:r>
      <w:r>
        <w:rPr>
          <w:rFonts w:hint="eastAsia" w:ascii="Times New Roman" w:hAnsi="Times New Roman" w:eastAsia="仿宋_GB2312" w:cs="Times New Roman"/>
          <w:sz w:val="32"/>
          <w:szCs w:val="22"/>
        </w:rPr>
        <w:t>配合粤港澳大湾区(广州)人才大数据平台建设，建立人才评价信息化系统，推动广粤天地和汇景国际社区人才服务升级，承载更多人才服务事项，探索创新国际人才发展和自由流动机制。加快构建“宜居宜业宜创”全链条人才服务体系，完善人才绿卡制度，加强人才公寓、学位等支持。</w:t>
      </w:r>
    </w:p>
    <w:p>
      <w:pPr>
        <w:pStyle w:val="3"/>
        <w:pageBreakBefore w:val="0"/>
        <w:widowControl w:val="0"/>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ascii="Times New Roman" w:hAnsi="Times New Roman" w:cs="Times New Roman"/>
          <w:szCs w:val="22"/>
        </w:rPr>
      </w:pPr>
      <w:bookmarkStart w:id="79" w:name="_Toc115392096"/>
      <w:r>
        <w:rPr>
          <w:rFonts w:hint="eastAsia" w:ascii="Times New Roman" w:hAnsi="Times New Roman" w:cs="Times New Roman"/>
        </w:rPr>
        <w:t>（四）</w:t>
      </w:r>
      <w:r>
        <w:rPr>
          <w:rFonts w:ascii="Times New Roman" w:hAnsi="Times New Roman" w:cs="Times New Roman"/>
        </w:rPr>
        <w:t>创新</w:t>
      </w:r>
      <w:r>
        <w:rPr>
          <w:rFonts w:hint="eastAsia" w:ascii="Times New Roman" w:hAnsi="Times New Roman" w:cs="Times New Roman"/>
        </w:rPr>
        <w:t>用地</w:t>
      </w:r>
      <w:r>
        <w:rPr>
          <w:rFonts w:ascii="Times New Roman" w:hAnsi="Times New Roman" w:cs="Times New Roman"/>
        </w:rPr>
        <w:t>保障</w:t>
      </w:r>
      <w:bookmarkEnd w:id="79"/>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sz w:val="32"/>
          <w:szCs w:val="22"/>
        </w:rPr>
      </w:pPr>
      <w:r>
        <w:rPr>
          <w:rFonts w:ascii="Times New Roman" w:hAnsi="Times New Roman" w:eastAsia="仿宋_GB2312" w:cs="Times New Roman"/>
          <w:sz w:val="32"/>
          <w:szCs w:val="22"/>
        </w:rPr>
        <w:t>创新用地管理政策，适度放宽用地兼容性，支持商业功能融入其他用地，适度放宽商业用地容积率、建筑密度等强制性指标限制，支持灵活的商业空间设计和多样化、复合化的消费场景打造。优化土地出让机制，参照香港、上海等城市“双信封”用地出让的做法，鼓励通过“方案比选+用地竞价”结合的方式推进商业用地出让工作，保障商业项目顺利落地与长期营运。</w:t>
      </w:r>
      <w:r>
        <w:rPr>
          <w:rFonts w:hint="eastAsia" w:ascii="Times New Roman" w:hAnsi="Times New Roman" w:eastAsia="仿宋_GB2312" w:cs="Times New Roman"/>
          <w:sz w:val="32"/>
          <w:szCs w:val="22"/>
        </w:rPr>
        <w:t>加强用地项目统筹管理，清单化明确项目从前期筹备到报建到竣工验收涉及的各环节办理流程和办事指南，推动项目审批、建设提速。完善“用地清单制”，在土地出让时“一单尽列”免费公开。落实好“拿地即开工”，强化靠前服务意识，做好拿地项目的指导和服务，推动项目加快开工建设，尽快投产增效。</w:t>
      </w:r>
    </w:p>
    <w:p>
      <w:pPr>
        <w:pStyle w:val="3"/>
        <w:pageBreakBefore w:val="0"/>
        <w:widowControl w:val="0"/>
        <w:tabs>
          <w:tab w:val="left" w:pos="360"/>
        </w:tabs>
        <w:kinsoku/>
        <w:wordWrap/>
        <w:overflowPunct/>
        <w:topLinePunct w:val="0"/>
        <w:autoSpaceDE/>
        <w:autoSpaceDN/>
        <w:bidi w:val="0"/>
        <w:adjustRightInd/>
        <w:snapToGrid/>
        <w:spacing w:before="0" w:beforeAutospacing="0" w:after="0" w:afterAutospacing="0" w:line="560" w:lineRule="exact"/>
        <w:ind w:firstLine="643" w:firstLineChars="200"/>
        <w:jc w:val="left"/>
        <w:textAlignment w:val="auto"/>
        <w:rPr>
          <w:rFonts w:ascii="Times New Roman" w:hAnsi="Times New Roman" w:cs="Times New Roman"/>
        </w:rPr>
      </w:pPr>
      <w:bookmarkStart w:id="80" w:name="_Toc115392097"/>
      <w:bookmarkStart w:id="81" w:name="_Toc24257"/>
      <w:r>
        <w:rPr>
          <w:rFonts w:ascii="Times New Roman" w:hAnsi="Times New Roman" w:cs="Times New Roman"/>
        </w:rPr>
        <w:t>（</w:t>
      </w:r>
      <w:r>
        <w:rPr>
          <w:rFonts w:hint="eastAsia" w:ascii="Times New Roman" w:hAnsi="Times New Roman" w:cs="Times New Roman"/>
        </w:rPr>
        <w:t>五</w:t>
      </w:r>
      <w:r>
        <w:rPr>
          <w:rFonts w:ascii="Times New Roman" w:hAnsi="Times New Roman" w:cs="Times New Roman"/>
        </w:rPr>
        <w:t>）完善监督机制</w:t>
      </w:r>
      <w:bookmarkEnd w:id="80"/>
      <w:bookmarkEnd w:id="81"/>
      <w:bookmarkStart w:id="82" w:name="_Hlk98924037"/>
    </w:p>
    <w:bookmarkEnd w:id="82"/>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sz w:val="32"/>
          <w:szCs w:val="40"/>
        </w:rPr>
      </w:pPr>
      <w:r>
        <w:rPr>
          <w:rFonts w:ascii="Times New Roman" w:hAnsi="Times New Roman" w:eastAsia="仿宋_GB2312" w:cs="Times New Roman"/>
          <w:sz w:val="32"/>
          <w:szCs w:val="40"/>
        </w:rPr>
        <w:t>加强对规划落实工作的统计监测和评估，</w:t>
      </w:r>
      <w:bookmarkStart w:id="83" w:name="_Hlk99624467"/>
      <w:r>
        <w:rPr>
          <w:rFonts w:ascii="Times New Roman" w:hAnsi="Times New Roman" w:eastAsia="仿宋_GB2312" w:cs="Times New Roman"/>
          <w:sz w:val="32"/>
          <w:szCs w:val="22"/>
        </w:rPr>
        <w:t>建立“月度监测-季度体检-年度评估”的定期评估机制。</w:t>
      </w:r>
      <w:bookmarkEnd w:id="83"/>
      <w:r>
        <w:rPr>
          <w:rFonts w:ascii="Times New Roman" w:hAnsi="Times New Roman" w:eastAsia="仿宋_GB2312" w:cs="Times New Roman"/>
          <w:sz w:val="32"/>
          <w:szCs w:val="22"/>
        </w:rPr>
        <w:t>积极探索适用于现代商贸业的监管措施，分领域制定监管规则和标准，在严守安全底线的前提下为新业态发展留足空间。重点监测社零情况、线上线下消费等核心数据，持续追踪商圈、特色功能区等消费空间建设情况，对相关指标进行收集、分析和评估。</w:t>
      </w:r>
      <w:r>
        <w:rPr>
          <w:rFonts w:ascii="Times New Roman" w:hAnsi="Times New Roman" w:eastAsia="仿宋_GB2312" w:cs="Times New Roman"/>
          <w:sz w:val="32"/>
          <w:szCs w:val="40"/>
        </w:rPr>
        <w:t>强化监测评估，建立定期通报制度，加强重点工作督查督办，强化结果运用，针对规划实施过程中存在的问题及时提出解决措施，持续实现规划动态维护，强化规划实施效果。</w:t>
      </w:r>
    </w:p>
    <w:p>
      <w:pPr>
        <w:pStyle w:val="3"/>
        <w:pageBreakBefore w:val="0"/>
        <w:widowControl w:val="0"/>
        <w:tabs>
          <w:tab w:val="left" w:pos="360"/>
        </w:tabs>
        <w:kinsoku/>
        <w:wordWrap/>
        <w:overflowPunct/>
        <w:topLinePunct w:val="0"/>
        <w:autoSpaceDE/>
        <w:autoSpaceDN/>
        <w:bidi w:val="0"/>
        <w:adjustRightInd/>
        <w:snapToGrid/>
        <w:spacing w:before="0" w:beforeAutospacing="0" w:after="0" w:afterAutospacing="0" w:line="560" w:lineRule="exact"/>
        <w:ind w:firstLine="643" w:firstLineChars="200"/>
        <w:jc w:val="left"/>
        <w:textAlignment w:val="auto"/>
        <w:rPr>
          <w:rFonts w:ascii="Times New Roman" w:hAnsi="Times New Roman" w:cs="Times New Roman"/>
        </w:rPr>
      </w:pPr>
      <w:bookmarkStart w:id="84" w:name="_Toc115392098"/>
      <w:r>
        <w:rPr>
          <w:rFonts w:ascii="Times New Roman" w:hAnsi="Times New Roman" w:cs="Times New Roman"/>
        </w:rPr>
        <w:t>（</w:t>
      </w:r>
      <w:r>
        <w:rPr>
          <w:rFonts w:hint="eastAsia" w:ascii="Times New Roman" w:hAnsi="Times New Roman" w:cs="Times New Roman"/>
        </w:rPr>
        <w:t>六</w:t>
      </w:r>
      <w:r>
        <w:rPr>
          <w:rFonts w:ascii="Times New Roman" w:hAnsi="Times New Roman" w:cs="Times New Roman"/>
        </w:rPr>
        <w:t>）强化宣传推广</w:t>
      </w:r>
      <w:bookmarkEnd w:id="84"/>
    </w:p>
    <w:p>
      <w:pPr>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s="Times New Roman"/>
          <w:sz w:val="32"/>
          <w:szCs w:val="40"/>
        </w:rPr>
        <w:sectPr>
          <w:pgSz w:w="11906" w:h="16838"/>
          <w:pgMar w:top="1440" w:right="1800" w:bottom="1440" w:left="1800" w:header="851" w:footer="992" w:gutter="0"/>
          <w:pgNumType w:start="1"/>
          <w:cols w:space="425" w:num="1"/>
          <w:docGrid w:type="lines" w:linePitch="312" w:charSpace="0"/>
        </w:sectPr>
      </w:pPr>
      <w:r>
        <w:rPr>
          <w:rFonts w:ascii="Times New Roman" w:hAnsi="Times New Roman" w:eastAsia="仿宋_GB2312" w:cs="Times New Roman"/>
          <w:sz w:val="32"/>
          <w:szCs w:val="40"/>
        </w:rPr>
        <w:t>注重中心城区商贸业转型升级经验的“引领性”和“创新性”，对片区的产业发展定位、招商政策、营商环境等进行提炼总结和宣传推广，发挥好先进典型的示范引导作用，凝聚行动共识，营造片区发展良好氛围。联合区内知名传媒机构，开展城市整体营销、商贸品牌宣传。通过新闻媒体报道、专项工作推介会、行业活动、论坛、公众号、视频号等多种渠道，深度挖掘推广区内商旅体娱等消费资源及其亮点，提升国际影响力、传播力、辐射面。利用驻穗领馆、国际组织、海外商协会等资源，加强海外宣传推介。搭建公众参与平台，采用问卷调查、专家咨询、主题沙龙、主题活动、成果宣传等多元化的形式，提高参与意识，营造全社会关注、全民参与的良好氛围。</w:t>
      </w:r>
    </w:p>
    <w:p>
      <w:pPr>
        <w:pageBreakBefore w:val="0"/>
        <w:widowControl/>
        <w:kinsoku/>
        <w:wordWrap/>
        <w:overflowPunct/>
        <w:topLinePunct w:val="0"/>
        <w:autoSpaceDE/>
        <w:autoSpaceDN/>
        <w:bidi w:val="0"/>
        <w:adjustRightInd/>
        <w:snapToGrid/>
        <w:spacing w:beforeAutospacing="0" w:afterAutospacing="0" w:line="560" w:lineRule="exact"/>
        <w:jc w:val="left"/>
        <w:textAlignment w:val="auto"/>
        <w:rPr>
          <w:rFonts w:ascii="Times New Roman" w:hAnsi="Times New Roman" w:cs="Times New Roman"/>
          <w:szCs w:val="22"/>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Segoe UI Symbol">
    <w:panose1 w:val="020B0502040204020203"/>
    <w:charset w:val="00"/>
    <w:family w:val="swiss"/>
    <w:pitch w:val="default"/>
    <w:sig w:usb0="8000006F" w:usb1="1200FBEF" w:usb2="0064C000" w:usb3="00000002" w:csb0="00000001" w:csb1="4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1838871"/>
      <w:docPartObj>
        <w:docPartGallery w:val="autotext"/>
      </w:docPartObj>
    </w:sdtPr>
    <w:sdtContent>
      <w:p>
        <w:pPr>
          <w:pStyle w:val="13"/>
          <w:jc w:val="center"/>
        </w:pPr>
        <w:r>
          <w:fldChar w:fldCharType="begin"/>
        </w:r>
        <w:r>
          <w:instrText xml:space="preserve">PAGE   \* MERGEFORMAT</w:instrText>
        </w:r>
        <w:r>
          <w:fldChar w:fldCharType="separate"/>
        </w:r>
        <w:r>
          <w:rPr>
            <w:lang w:val="zh-CN"/>
          </w:rPr>
          <w:t>48</w:t>
        </w:r>
        <w:r>
          <w:fldChar w:fldCharType="end"/>
        </w:r>
      </w:p>
    </w:sdtContent>
  </w:sdt>
  <w:p>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6"/>
      </w:pPr>
      <w:r>
        <w:rPr>
          <w:rStyle w:val="25"/>
        </w:rPr>
        <w:footnoteRef/>
      </w:r>
      <w:r>
        <w:t xml:space="preserve"> DTP (Direct to Patient) 药房是指直接面向患者提供专业服务的药房，也称为“专业药房”，经营模式主要是药店取得特药产品经营权，患者在医院处方，然后去药店直接购买药品，并获得专业服务。</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085AF8"/>
    <w:multiLevelType w:val="singleLevel"/>
    <w:tmpl w:val="43085AF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DDD"/>
    <w:rsid w:val="00002682"/>
    <w:rsid w:val="000066E6"/>
    <w:rsid w:val="00014360"/>
    <w:rsid w:val="000145B1"/>
    <w:rsid w:val="0001507B"/>
    <w:rsid w:val="00015BCC"/>
    <w:rsid w:val="00022860"/>
    <w:rsid w:val="00022DEA"/>
    <w:rsid w:val="00023169"/>
    <w:rsid w:val="00026913"/>
    <w:rsid w:val="00027622"/>
    <w:rsid w:val="00032413"/>
    <w:rsid w:val="00033FF1"/>
    <w:rsid w:val="000356A9"/>
    <w:rsid w:val="00041C85"/>
    <w:rsid w:val="00054454"/>
    <w:rsid w:val="00067F76"/>
    <w:rsid w:val="000704B9"/>
    <w:rsid w:val="0007336D"/>
    <w:rsid w:val="0007482F"/>
    <w:rsid w:val="000748EC"/>
    <w:rsid w:val="00076452"/>
    <w:rsid w:val="000815BB"/>
    <w:rsid w:val="000848EE"/>
    <w:rsid w:val="00085418"/>
    <w:rsid w:val="00097223"/>
    <w:rsid w:val="000A3446"/>
    <w:rsid w:val="000B252E"/>
    <w:rsid w:val="000C2B0A"/>
    <w:rsid w:val="000C2D13"/>
    <w:rsid w:val="000C57D9"/>
    <w:rsid w:val="000D62C8"/>
    <w:rsid w:val="000D7108"/>
    <w:rsid w:val="000D7127"/>
    <w:rsid w:val="000E1F9C"/>
    <w:rsid w:val="000F1C60"/>
    <w:rsid w:val="000F3691"/>
    <w:rsid w:val="000F6FBD"/>
    <w:rsid w:val="00105424"/>
    <w:rsid w:val="001116E4"/>
    <w:rsid w:val="001235AE"/>
    <w:rsid w:val="00123BA4"/>
    <w:rsid w:val="0012427A"/>
    <w:rsid w:val="00127502"/>
    <w:rsid w:val="00134118"/>
    <w:rsid w:val="001374C0"/>
    <w:rsid w:val="001410A2"/>
    <w:rsid w:val="0014291D"/>
    <w:rsid w:val="00146249"/>
    <w:rsid w:val="0014793F"/>
    <w:rsid w:val="00150BD9"/>
    <w:rsid w:val="0015122D"/>
    <w:rsid w:val="0015128F"/>
    <w:rsid w:val="00152427"/>
    <w:rsid w:val="00152D72"/>
    <w:rsid w:val="001568DF"/>
    <w:rsid w:val="00160FDB"/>
    <w:rsid w:val="00162457"/>
    <w:rsid w:val="00164A18"/>
    <w:rsid w:val="001726E0"/>
    <w:rsid w:val="00181A4C"/>
    <w:rsid w:val="00193FBE"/>
    <w:rsid w:val="001A013A"/>
    <w:rsid w:val="001A1357"/>
    <w:rsid w:val="001A3AEC"/>
    <w:rsid w:val="001A7858"/>
    <w:rsid w:val="001B4BBB"/>
    <w:rsid w:val="001B4F8A"/>
    <w:rsid w:val="001B5DEE"/>
    <w:rsid w:val="001B787F"/>
    <w:rsid w:val="001C09A3"/>
    <w:rsid w:val="001C0C0B"/>
    <w:rsid w:val="001D1B82"/>
    <w:rsid w:val="001D215E"/>
    <w:rsid w:val="001D3119"/>
    <w:rsid w:val="001E09E0"/>
    <w:rsid w:val="001E2333"/>
    <w:rsid w:val="001E2BC8"/>
    <w:rsid w:val="001E4A80"/>
    <w:rsid w:val="001E6FCE"/>
    <w:rsid w:val="001E77C4"/>
    <w:rsid w:val="001F0760"/>
    <w:rsid w:val="001F1E56"/>
    <w:rsid w:val="001F5E81"/>
    <w:rsid w:val="001F61B2"/>
    <w:rsid w:val="00205F83"/>
    <w:rsid w:val="00207110"/>
    <w:rsid w:val="002106F8"/>
    <w:rsid w:val="00215879"/>
    <w:rsid w:val="002226B8"/>
    <w:rsid w:val="00224FDD"/>
    <w:rsid w:val="00230C30"/>
    <w:rsid w:val="00232384"/>
    <w:rsid w:val="00232780"/>
    <w:rsid w:val="0023679D"/>
    <w:rsid w:val="002401CD"/>
    <w:rsid w:val="0025208A"/>
    <w:rsid w:val="00252BE0"/>
    <w:rsid w:val="00256896"/>
    <w:rsid w:val="00257FFB"/>
    <w:rsid w:val="002606C9"/>
    <w:rsid w:val="002652C1"/>
    <w:rsid w:val="00267450"/>
    <w:rsid w:val="00267AF7"/>
    <w:rsid w:val="00271876"/>
    <w:rsid w:val="00272E33"/>
    <w:rsid w:val="002757A1"/>
    <w:rsid w:val="00276885"/>
    <w:rsid w:val="00280D7F"/>
    <w:rsid w:val="00284DC4"/>
    <w:rsid w:val="0028720E"/>
    <w:rsid w:val="00290277"/>
    <w:rsid w:val="00290C0B"/>
    <w:rsid w:val="00292320"/>
    <w:rsid w:val="00292D14"/>
    <w:rsid w:val="002A0FFC"/>
    <w:rsid w:val="002A1EF1"/>
    <w:rsid w:val="002A76FB"/>
    <w:rsid w:val="002B13F5"/>
    <w:rsid w:val="002B7991"/>
    <w:rsid w:val="002C144D"/>
    <w:rsid w:val="002D04F9"/>
    <w:rsid w:val="002D501E"/>
    <w:rsid w:val="002D5E50"/>
    <w:rsid w:val="002D7579"/>
    <w:rsid w:val="002E0DC7"/>
    <w:rsid w:val="002E156D"/>
    <w:rsid w:val="002E1BDD"/>
    <w:rsid w:val="002F0039"/>
    <w:rsid w:val="002F74F2"/>
    <w:rsid w:val="00300871"/>
    <w:rsid w:val="00303EE1"/>
    <w:rsid w:val="00310105"/>
    <w:rsid w:val="00310783"/>
    <w:rsid w:val="003109ED"/>
    <w:rsid w:val="00311B99"/>
    <w:rsid w:val="003123BC"/>
    <w:rsid w:val="00312A84"/>
    <w:rsid w:val="00312FF5"/>
    <w:rsid w:val="00313FFE"/>
    <w:rsid w:val="00314B53"/>
    <w:rsid w:val="00332C68"/>
    <w:rsid w:val="003336A9"/>
    <w:rsid w:val="00334BB8"/>
    <w:rsid w:val="00335AE0"/>
    <w:rsid w:val="003373AB"/>
    <w:rsid w:val="00342948"/>
    <w:rsid w:val="00345F8F"/>
    <w:rsid w:val="003500BC"/>
    <w:rsid w:val="00350671"/>
    <w:rsid w:val="003637B4"/>
    <w:rsid w:val="00367550"/>
    <w:rsid w:val="00373736"/>
    <w:rsid w:val="0037497B"/>
    <w:rsid w:val="00385455"/>
    <w:rsid w:val="00392CEE"/>
    <w:rsid w:val="003964E1"/>
    <w:rsid w:val="00397833"/>
    <w:rsid w:val="003A0811"/>
    <w:rsid w:val="003A2E15"/>
    <w:rsid w:val="003A3B5E"/>
    <w:rsid w:val="003A5076"/>
    <w:rsid w:val="003B3570"/>
    <w:rsid w:val="003C1710"/>
    <w:rsid w:val="003C4795"/>
    <w:rsid w:val="003C4E21"/>
    <w:rsid w:val="003C76AE"/>
    <w:rsid w:val="003D22BB"/>
    <w:rsid w:val="003D29F7"/>
    <w:rsid w:val="003D3274"/>
    <w:rsid w:val="003E291A"/>
    <w:rsid w:val="003E32D1"/>
    <w:rsid w:val="003E3E35"/>
    <w:rsid w:val="003E7762"/>
    <w:rsid w:val="003F381B"/>
    <w:rsid w:val="003F4258"/>
    <w:rsid w:val="003F61A1"/>
    <w:rsid w:val="00401430"/>
    <w:rsid w:val="00411DEB"/>
    <w:rsid w:val="00412BA4"/>
    <w:rsid w:val="00412F5E"/>
    <w:rsid w:val="00413549"/>
    <w:rsid w:val="00424406"/>
    <w:rsid w:val="0043767F"/>
    <w:rsid w:val="0044287A"/>
    <w:rsid w:val="00446AAA"/>
    <w:rsid w:val="00446B63"/>
    <w:rsid w:val="00447CB0"/>
    <w:rsid w:val="00451900"/>
    <w:rsid w:val="004527DD"/>
    <w:rsid w:val="00452946"/>
    <w:rsid w:val="00466E52"/>
    <w:rsid w:val="00467C10"/>
    <w:rsid w:val="00467D7E"/>
    <w:rsid w:val="00467F15"/>
    <w:rsid w:val="00470781"/>
    <w:rsid w:val="004711B9"/>
    <w:rsid w:val="00475D62"/>
    <w:rsid w:val="004843D4"/>
    <w:rsid w:val="00492442"/>
    <w:rsid w:val="00497802"/>
    <w:rsid w:val="00497E7D"/>
    <w:rsid w:val="004A76C5"/>
    <w:rsid w:val="004A7E05"/>
    <w:rsid w:val="004B3532"/>
    <w:rsid w:val="004B48C2"/>
    <w:rsid w:val="004B5A18"/>
    <w:rsid w:val="004C294C"/>
    <w:rsid w:val="004C3A19"/>
    <w:rsid w:val="004C70C5"/>
    <w:rsid w:val="004D2FC4"/>
    <w:rsid w:val="004D5472"/>
    <w:rsid w:val="004F0F9C"/>
    <w:rsid w:val="004F1375"/>
    <w:rsid w:val="00502537"/>
    <w:rsid w:val="00506FB9"/>
    <w:rsid w:val="00515807"/>
    <w:rsid w:val="00515B99"/>
    <w:rsid w:val="00516B6A"/>
    <w:rsid w:val="00520255"/>
    <w:rsid w:val="00521C2A"/>
    <w:rsid w:val="00524162"/>
    <w:rsid w:val="00532F75"/>
    <w:rsid w:val="0053608E"/>
    <w:rsid w:val="005372A8"/>
    <w:rsid w:val="0053739C"/>
    <w:rsid w:val="00547084"/>
    <w:rsid w:val="005474A2"/>
    <w:rsid w:val="005514CD"/>
    <w:rsid w:val="00561ABB"/>
    <w:rsid w:val="0056296A"/>
    <w:rsid w:val="00562E53"/>
    <w:rsid w:val="00571DBA"/>
    <w:rsid w:val="00573748"/>
    <w:rsid w:val="00585340"/>
    <w:rsid w:val="00592BDA"/>
    <w:rsid w:val="00594C71"/>
    <w:rsid w:val="005953DC"/>
    <w:rsid w:val="005A16F0"/>
    <w:rsid w:val="005A6B92"/>
    <w:rsid w:val="005B5ADB"/>
    <w:rsid w:val="005B6889"/>
    <w:rsid w:val="005B6C05"/>
    <w:rsid w:val="005C5BC8"/>
    <w:rsid w:val="005D26D1"/>
    <w:rsid w:val="005D62B8"/>
    <w:rsid w:val="005E1904"/>
    <w:rsid w:val="005E6C13"/>
    <w:rsid w:val="005E7B21"/>
    <w:rsid w:val="005E7E0E"/>
    <w:rsid w:val="005F026C"/>
    <w:rsid w:val="005F05FE"/>
    <w:rsid w:val="005F07C8"/>
    <w:rsid w:val="005F1945"/>
    <w:rsid w:val="005F2DDF"/>
    <w:rsid w:val="00613293"/>
    <w:rsid w:val="0061483E"/>
    <w:rsid w:val="00615AA6"/>
    <w:rsid w:val="00615C36"/>
    <w:rsid w:val="00617144"/>
    <w:rsid w:val="00621552"/>
    <w:rsid w:val="00622536"/>
    <w:rsid w:val="0062401C"/>
    <w:rsid w:val="006246F8"/>
    <w:rsid w:val="006310B0"/>
    <w:rsid w:val="00631346"/>
    <w:rsid w:val="00644090"/>
    <w:rsid w:val="00653A55"/>
    <w:rsid w:val="00653EF8"/>
    <w:rsid w:val="006552F6"/>
    <w:rsid w:val="00655E98"/>
    <w:rsid w:val="00660881"/>
    <w:rsid w:val="00663D28"/>
    <w:rsid w:val="00665DC4"/>
    <w:rsid w:val="00665E7B"/>
    <w:rsid w:val="00670317"/>
    <w:rsid w:val="00672775"/>
    <w:rsid w:val="006763DB"/>
    <w:rsid w:val="006765D3"/>
    <w:rsid w:val="00681E87"/>
    <w:rsid w:val="006835A8"/>
    <w:rsid w:val="00691DEB"/>
    <w:rsid w:val="00694078"/>
    <w:rsid w:val="006A043F"/>
    <w:rsid w:val="006A10F4"/>
    <w:rsid w:val="006A28C0"/>
    <w:rsid w:val="006A2D28"/>
    <w:rsid w:val="006A3725"/>
    <w:rsid w:val="006B52B6"/>
    <w:rsid w:val="006C1A5E"/>
    <w:rsid w:val="006D0CC1"/>
    <w:rsid w:val="006D1893"/>
    <w:rsid w:val="006D3056"/>
    <w:rsid w:val="006D587C"/>
    <w:rsid w:val="006E41B0"/>
    <w:rsid w:val="006E445D"/>
    <w:rsid w:val="006F0972"/>
    <w:rsid w:val="006F3E44"/>
    <w:rsid w:val="006F63B0"/>
    <w:rsid w:val="007023B2"/>
    <w:rsid w:val="00712758"/>
    <w:rsid w:val="007204F0"/>
    <w:rsid w:val="00725263"/>
    <w:rsid w:val="00725527"/>
    <w:rsid w:val="00727576"/>
    <w:rsid w:val="0073484E"/>
    <w:rsid w:val="007366B6"/>
    <w:rsid w:val="007400B2"/>
    <w:rsid w:val="00740C48"/>
    <w:rsid w:val="00744A70"/>
    <w:rsid w:val="00746F56"/>
    <w:rsid w:val="00750014"/>
    <w:rsid w:val="00750028"/>
    <w:rsid w:val="0075443B"/>
    <w:rsid w:val="00761EEF"/>
    <w:rsid w:val="007651EC"/>
    <w:rsid w:val="00772F56"/>
    <w:rsid w:val="00774AC3"/>
    <w:rsid w:val="00790240"/>
    <w:rsid w:val="007913B4"/>
    <w:rsid w:val="0079370B"/>
    <w:rsid w:val="00795EBF"/>
    <w:rsid w:val="007A0F2B"/>
    <w:rsid w:val="007A131B"/>
    <w:rsid w:val="007A2DBF"/>
    <w:rsid w:val="007B243A"/>
    <w:rsid w:val="007B2AE4"/>
    <w:rsid w:val="007B3E8C"/>
    <w:rsid w:val="007B5D6B"/>
    <w:rsid w:val="007C00AD"/>
    <w:rsid w:val="007C2993"/>
    <w:rsid w:val="007C3D51"/>
    <w:rsid w:val="007C7C0A"/>
    <w:rsid w:val="007D011D"/>
    <w:rsid w:val="007D46DC"/>
    <w:rsid w:val="007D7DD6"/>
    <w:rsid w:val="007E03EC"/>
    <w:rsid w:val="007E06B4"/>
    <w:rsid w:val="007E3365"/>
    <w:rsid w:val="007E641C"/>
    <w:rsid w:val="007F2E46"/>
    <w:rsid w:val="007F4380"/>
    <w:rsid w:val="007F4FC9"/>
    <w:rsid w:val="007F5A52"/>
    <w:rsid w:val="00800FD9"/>
    <w:rsid w:val="00804665"/>
    <w:rsid w:val="008160D4"/>
    <w:rsid w:val="00817574"/>
    <w:rsid w:val="00817828"/>
    <w:rsid w:val="0082036A"/>
    <w:rsid w:val="00822DBB"/>
    <w:rsid w:val="00826AE7"/>
    <w:rsid w:val="00827252"/>
    <w:rsid w:val="00827F11"/>
    <w:rsid w:val="008309E1"/>
    <w:rsid w:val="008367FD"/>
    <w:rsid w:val="008370EE"/>
    <w:rsid w:val="008405D6"/>
    <w:rsid w:val="00842537"/>
    <w:rsid w:val="0084313C"/>
    <w:rsid w:val="00843243"/>
    <w:rsid w:val="00844369"/>
    <w:rsid w:val="00844F35"/>
    <w:rsid w:val="00847BBB"/>
    <w:rsid w:val="008508E6"/>
    <w:rsid w:val="00854C97"/>
    <w:rsid w:val="008575AC"/>
    <w:rsid w:val="00857FD6"/>
    <w:rsid w:val="008600D4"/>
    <w:rsid w:val="00867688"/>
    <w:rsid w:val="00870968"/>
    <w:rsid w:val="00875691"/>
    <w:rsid w:val="008804C3"/>
    <w:rsid w:val="00881AB9"/>
    <w:rsid w:val="00882FCB"/>
    <w:rsid w:val="00885B8B"/>
    <w:rsid w:val="00890FB2"/>
    <w:rsid w:val="00892376"/>
    <w:rsid w:val="008924C4"/>
    <w:rsid w:val="008A2931"/>
    <w:rsid w:val="008A50D6"/>
    <w:rsid w:val="008A54D8"/>
    <w:rsid w:val="008B1433"/>
    <w:rsid w:val="008B4FE6"/>
    <w:rsid w:val="008B5800"/>
    <w:rsid w:val="008B5B71"/>
    <w:rsid w:val="008C0368"/>
    <w:rsid w:val="008C150C"/>
    <w:rsid w:val="008C2E67"/>
    <w:rsid w:val="008C5C86"/>
    <w:rsid w:val="008C621E"/>
    <w:rsid w:val="008D543B"/>
    <w:rsid w:val="008E15A3"/>
    <w:rsid w:val="008E3B2C"/>
    <w:rsid w:val="008E5703"/>
    <w:rsid w:val="008E7309"/>
    <w:rsid w:val="008F0AAE"/>
    <w:rsid w:val="008F14C7"/>
    <w:rsid w:val="008F3016"/>
    <w:rsid w:val="009041B8"/>
    <w:rsid w:val="00921801"/>
    <w:rsid w:val="00930437"/>
    <w:rsid w:val="0093171A"/>
    <w:rsid w:val="009340F6"/>
    <w:rsid w:val="00941D7B"/>
    <w:rsid w:val="00947090"/>
    <w:rsid w:val="00947142"/>
    <w:rsid w:val="00950989"/>
    <w:rsid w:val="00954944"/>
    <w:rsid w:val="009571E1"/>
    <w:rsid w:val="0096497D"/>
    <w:rsid w:val="0096497F"/>
    <w:rsid w:val="00966CBD"/>
    <w:rsid w:val="009674EB"/>
    <w:rsid w:val="00971C21"/>
    <w:rsid w:val="00976C56"/>
    <w:rsid w:val="00980E13"/>
    <w:rsid w:val="00987455"/>
    <w:rsid w:val="0098786E"/>
    <w:rsid w:val="00991B59"/>
    <w:rsid w:val="00993589"/>
    <w:rsid w:val="00994968"/>
    <w:rsid w:val="0099628B"/>
    <w:rsid w:val="009A0BCB"/>
    <w:rsid w:val="009A182A"/>
    <w:rsid w:val="009B35B4"/>
    <w:rsid w:val="009C32C3"/>
    <w:rsid w:val="009D0486"/>
    <w:rsid w:val="009D7830"/>
    <w:rsid w:val="009E7305"/>
    <w:rsid w:val="009E7E9E"/>
    <w:rsid w:val="009F7096"/>
    <w:rsid w:val="00A00226"/>
    <w:rsid w:val="00A00D58"/>
    <w:rsid w:val="00A02535"/>
    <w:rsid w:val="00A02CA5"/>
    <w:rsid w:val="00A077B5"/>
    <w:rsid w:val="00A13956"/>
    <w:rsid w:val="00A171FB"/>
    <w:rsid w:val="00A27CC4"/>
    <w:rsid w:val="00A27E39"/>
    <w:rsid w:val="00A42828"/>
    <w:rsid w:val="00A55CDF"/>
    <w:rsid w:val="00A57322"/>
    <w:rsid w:val="00A575F1"/>
    <w:rsid w:val="00A618EC"/>
    <w:rsid w:val="00A700D9"/>
    <w:rsid w:val="00A716C0"/>
    <w:rsid w:val="00A77168"/>
    <w:rsid w:val="00A80A52"/>
    <w:rsid w:val="00A841B2"/>
    <w:rsid w:val="00A86508"/>
    <w:rsid w:val="00A87D4D"/>
    <w:rsid w:val="00A91D0E"/>
    <w:rsid w:val="00AB1F7D"/>
    <w:rsid w:val="00AC3F14"/>
    <w:rsid w:val="00AC43C4"/>
    <w:rsid w:val="00AC7506"/>
    <w:rsid w:val="00AC78C2"/>
    <w:rsid w:val="00AE0F94"/>
    <w:rsid w:val="00AE3B43"/>
    <w:rsid w:val="00AE6A2E"/>
    <w:rsid w:val="00AF7955"/>
    <w:rsid w:val="00B11B2B"/>
    <w:rsid w:val="00B11E6F"/>
    <w:rsid w:val="00B13962"/>
    <w:rsid w:val="00B15516"/>
    <w:rsid w:val="00B155E1"/>
    <w:rsid w:val="00B17035"/>
    <w:rsid w:val="00B21C63"/>
    <w:rsid w:val="00B256D0"/>
    <w:rsid w:val="00B320CD"/>
    <w:rsid w:val="00B34707"/>
    <w:rsid w:val="00B358EC"/>
    <w:rsid w:val="00B525B3"/>
    <w:rsid w:val="00B6666A"/>
    <w:rsid w:val="00B66A73"/>
    <w:rsid w:val="00B74237"/>
    <w:rsid w:val="00B80812"/>
    <w:rsid w:val="00B92BD5"/>
    <w:rsid w:val="00B93168"/>
    <w:rsid w:val="00B944B3"/>
    <w:rsid w:val="00B9461B"/>
    <w:rsid w:val="00B95010"/>
    <w:rsid w:val="00B95FBA"/>
    <w:rsid w:val="00B97751"/>
    <w:rsid w:val="00BC529A"/>
    <w:rsid w:val="00BD274E"/>
    <w:rsid w:val="00BD67AC"/>
    <w:rsid w:val="00BE05EF"/>
    <w:rsid w:val="00BE0E43"/>
    <w:rsid w:val="00BE4D86"/>
    <w:rsid w:val="00BE6892"/>
    <w:rsid w:val="00BE6A04"/>
    <w:rsid w:val="00BF3AF8"/>
    <w:rsid w:val="00BF3D5F"/>
    <w:rsid w:val="00BF7B59"/>
    <w:rsid w:val="00C01B97"/>
    <w:rsid w:val="00C0292C"/>
    <w:rsid w:val="00C03F95"/>
    <w:rsid w:val="00C3331A"/>
    <w:rsid w:val="00C346DD"/>
    <w:rsid w:val="00C366CB"/>
    <w:rsid w:val="00C40F64"/>
    <w:rsid w:val="00C415FB"/>
    <w:rsid w:val="00C44DA5"/>
    <w:rsid w:val="00C55A0F"/>
    <w:rsid w:val="00C6017F"/>
    <w:rsid w:val="00C65DCB"/>
    <w:rsid w:val="00C66237"/>
    <w:rsid w:val="00C709F8"/>
    <w:rsid w:val="00C73AE4"/>
    <w:rsid w:val="00C73C67"/>
    <w:rsid w:val="00C84B5A"/>
    <w:rsid w:val="00C859E1"/>
    <w:rsid w:val="00CA144E"/>
    <w:rsid w:val="00CA43EB"/>
    <w:rsid w:val="00CA5265"/>
    <w:rsid w:val="00CA6D4D"/>
    <w:rsid w:val="00CA7B7F"/>
    <w:rsid w:val="00CB0BA1"/>
    <w:rsid w:val="00CB33AA"/>
    <w:rsid w:val="00CB59F0"/>
    <w:rsid w:val="00CC5396"/>
    <w:rsid w:val="00CE2581"/>
    <w:rsid w:val="00CE37D3"/>
    <w:rsid w:val="00CF1D9A"/>
    <w:rsid w:val="00CF4604"/>
    <w:rsid w:val="00CF70EB"/>
    <w:rsid w:val="00CF7C94"/>
    <w:rsid w:val="00D0010A"/>
    <w:rsid w:val="00D02114"/>
    <w:rsid w:val="00D04687"/>
    <w:rsid w:val="00D06E86"/>
    <w:rsid w:val="00D074D2"/>
    <w:rsid w:val="00D07979"/>
    <w:rsid w:val="00D11998"/>
    <w:rsid w:val="00D17434"/>
    <w:rsid w:val="00D200A1"/>
    <w:rsid w:val="00D20C6A"/>
    <w:rsid w:val="00D228F7"/>
    <w:rsid w:val="00D271E0"/>
    <w:rsid w:val="00D305B1"/>
    <w:rsid w:val="00D3440A"/>
    <w:rsid w:val="00D43084"/>
    <w:rsid w:val="00D5651C"/>
    <w:rsid w:val="00D6096E"/>
    <w:rsid w:val="00D627AA"/>
    <w:rsid w:val="00D67B41"/>
    <w:rsid w:val="00D7526F"/>
    <w:rsid w:val="00D761E3"/>
    <w:rsid w:val="00D81A3B"/>
    <w:rsid w:val="00D87737"/>
    <w:rsid w:val="00D92822"/>
    <w:rsid w:val="00D931A8"/>
    <w:rsid w:val="00D9741B"/>
    <w:rsid w:val="00DA50ED"/>
    <w:rsid w:val="00DA5145"/>
    <w:rsid w:val="00DA728A"/>
    <w:rsid w:val="00DA756B"/>
    <w:rsid w:val="00DB1F52"/>
    <w:rsid w:val="00DB2E3C"/>
    <w:rsid w:val="00DB73D2"/>
    <w:rsid w:val="00DC01F4"/>
    <w:rsid w:val="00DC224A"/>
    <w:rsid w:val="00DC389C"/>
    <w:rsid w:val="00DC48F9"/>
    <w:rsid w:val="00DD23AC"/>
    <w:rsid w:val="00DD3939"/>
    <w:rsid w:val="00DD3947"/>
    <w:rsid w:val="00DD434D"/>
    <w:rsid w:val="00DD468D"/>
    <w:rsid w:val="00DE08A0"/>
    <w:rsid w:val="00DF275D"/>
    <w:rsid w:val="00DF2A47"/>
    <w:rsid w:val="00DF380D"/>
    <w:rsid w:val="00E102D4"/>
    <w:rsid w:val="00E128D6"/>
    <w:rsid w:val="00E13B27"/>
    <w:rsid w:val="00E20477"/>
    <w:rsid w:val="00E21AFB"/>
    <w:rsid w:val="00E22876"/>
    <w:rsid w:val="00E24886"/>
    <w:rsid w:val="00E26381"/>
    <w:rsid w:val="00E26F6A"/>
    <w:rsid w:val="00E273A7"/>
    <w:rsid w:val="00E27723"/>
    <w:rsid w:val="00E3127F"/>
    <w:rsid w:val="00E317B1"/>
    <w:rsid w:val="00E3394A"/>
    <w:rsid w:val="00E40EC0"/>
    <w:rsid w:val="00E47F90"/>
    <w:rsid w:val="00E5489D"/>
    <w:rsid w:val="00E55CC7"/>
    <w:rsid w:val="00E62029"/>
    <w:rsid w:val="00E62FA5"/>
    <w:rsid w:val="00E63F3E"/>
    <w:rsid w:val="00E64230"/>
    <w:rsid w:val="00E65633"/>
    <w:rsid w:val="00E665BD"/>
    <w:rsid w:val="00E67E9B"/>
    <w:rsid w:val="00E742E8"/>
    <w:rsid w:val="00E74C18"/>
    <w:rsid w:val="00E90465"/>
    <w:rsid w:val="00E92F6C"/>
    <w:rsid w:val="00E935C4"/>
    <w:rsid w:val="00E94E85"/>
    <w:rsid w:val="00EA37C0"/>
    <w:rsid w:val="00EA4E0C"/>
    <w:rsid w:val="00EA7E94"/>
    <w:rsid w:val="00EB1B0C"/>
    <w:rsid w:val="00EB1C19"/>
    <w:rsid w:val="00EB3168"/>
    <w:rsid w:val="00EB4A26"/>
    <w:rsid w:val="00EB74B2"/>
    <w:rsid w:val="00EC07FE"/>
    <w:rsid w:val="00EC0E84"/>
    <w:rsid w:val="00EC368B"/>
    <w:rsid w:val="00EC49DC"/>
    <w:rsid w:val="00EE691A"/>
    <w:rsid w:val="00EE6DDD"/>
    <w:rsid w:val="00EF1973"/>
    <w:rsid w:val="00EF2538"/>
    <w:rsid w:val="00EF4F29"/>
    <w:rsid w:val="00EF5A3F"/>
    <w:rsid w:val="00F00E82"/>
    <w:rsid w:val="00F01756"/>
    <w:rsid w:val="00F1184A"/>
    <w:rsid w:val="00F17952"/>
    <w:rsid w:val="00F3080E"/>
    <w:rsid w:val="00F36520"/>
    <w:rsid w:val="00F36EA3"/>
    <w:rsid w:val="00F41CE0"/>
    <w:rsid w:val="00F456A4"/>
    <w:rsid w:val="00F52FBB"/>
    <w:rsid w:val="00F53A31"/>
    <w:rsid w:val="00F541DD"/>
    <w:rsid w:val="00F54726"/>
    <w:rsid w:val="00F550A8"/>
    <w:rsid w:val="00F60D70"/>
    <w:rsid w:val="00F727AA"/>
    <w:rsid w:val="00F916E2"/>
    <w:rsid w:val="00F91C8C"/>
    <w:rsid w:val="00FA06F2"/>
    <w:rsid w:val="00FA2765"/>
    <w:rsid w:val="00FA39DC"/>
    <w:rsid w:val="00FA6760"/>
    <w:rsid w:val="00FB1C86"/>
    <w:rsid w:val="00FB7D39"/>
    <w:rsid w:val="00FC6B04"/>
    <w:rsid w:val="00FD13EE"/>
    <w:rsid w:val="00FD2E7C"/>
    <w:rsid w:val="00FD43EE"/>
    <w:rsid w:val="00FD442D"/>
    <w:rsid w:val="00FD70C1"/>
    <w:rsid w:val="00FE2A7C"/>
    <w:rsid w:val="0C29149E"/>
    <w:rsid w:val="0F04050E"/>
    <w:rsid w:val="1C0D30D9"/>
    <w:rsid w:val="2CFC6BA8"/>
    <w:rsid w:val="30D73E6F"/>
    <w:rsid w:val="333E6261"/>
    <w:rsid w:val="38BB2151"/>
    <w:rsid w:val="45B614E6"/>
    <w:rsid w:val="4A221B66"/>
    <w:rsid w:val="4E686BF8"/>
    <w:rsid w:val="5C996FB6"/>
    <w:rsid w:val="6289042A"/>
    <w:rsid w:val="66C65FE4"/>
    <w:rsid w:val="69027B3D"/>
    <w:rsid w:val="6C6E6991"/>
    <w:rsid w:val="700100B8"/>
    <w:rsid w:val="7B3846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6"/>
    <w:qFormat/>
    <w:uiPriority w:val="9"/>
    <w:pPr>
      <w:keepNext/>
      <w:keepLines/>
      <w:spacing w:before="100" w:after="90" w:line="578" w:lineRule="auto"/>
      <w:outlineLvl w:val="0"/>
    </w:pPr>
    <w:rPr>
      <w:rFonts w:eastAsia="黑体"/>
      <w:b/>
      <w:bCs/>
      <w:kern w:val="44"/>
      <w:sz w:val="32"/>
      <w:szCs w:val="44"/>
    </w:rPr>
  </w:style>
  <w:style w:type="paragraph" w:styleId="3">
    <w:name w:val="heading 2"/>
    <w:basedOn w:val="1"/>
    <w:next w:val="1"/>
    <w:link w:val="27"/>
    <w:unhideWhenUsed/>
    <w:qFormat/>
    <w:uiPriority w:val="9"/>
    <w:pPr>
      <w:keepNext/>
      <w:keepLines/>
      <w:spacing w:before="260" w:after="260" w:line="416" w:lineRule="auto"/>
      <w:outlineLvl w:val="1"/>
    </w:pPr>
    <w:rPr>
      <w:rFonts w:eastAsia="仿宋_GB2312" w:asciiTheme="majorHAnsi" w:hAnsiTheme="majorHAnsi" w:cstheme="majorBidi"/>
      <w:b/>
      <w:bCs/>
      <w:sz w:val="32"/>
      <w:szCs w:val="32"/>
    </w:rPr>
  </w:style>
  <w:style w:type="paragraph" w:styleId="4">
    <w:name w:val="heading 3"/>
    <w:basedOn w:val="1"/>
    <w:next w:val="1"/>
    <w:link w:val="28"/>
    <w:unhideWhenUsed/>
    <w:qFormat/>
    <w:uiPriority w:val="9"/>
    <w:pPr>
      <w:keepNext/>
      <w:keepLines/>
      <w:spacing w:before="260" w:after="260" w:line="416" w:lineRule="auto"/>
      <w:outlineLvl w:val="2"/>
    </w:pPr>
    <w:rPr>
      <w:rFonts w:eastAsia="仿宋_GB2312"/>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caption"/>
    <w:basedOn w:val="1"/>
    <w:next w:val="1"/>
    <w:unhideWhenUsed/>
    <w:qFormat/>
    <w:uiPriority w:val="0"/>
    <w:rPr>
      <w:rFonts w:eastAsia="黑体" w:asciiTheme="majorHAnsi" w:hAnsiTheme="majorHAnsi" w:cstheme="majorBidi"/>
      <w:sz w:val="20"/>
      <w:szCs w:val="20"/>
    </w:rPr>
  </w:style>
  <w:style w:type="paragraph" w:styleId="7">
    <w:name w:val="Document Map"/>
    <w:basedOn w:val="1"/>
    <w:link w:val="35"/>
    <w:semiHidden/>
    <w:unhideWhenUsed/>
    <w:qFormat/>
    <w:uiPriority w:val="99"/>
    <w:rPr>
      <w:rFonts w:ascii="宋体" w:eastAsia="宋体"/>
      <w:sz w:val="18"/>
      <w:szCs w:val="18"/>
    </w:rPr>
  </w:style>
  <w:style w:type="paragraph" w:styleId="8">
    <w:name w:val="annotation text"/>
    <w:basedOn w:val="1"/>
    <w:link w:val="38"/>
    <w:unhideWhenUsed/>
    <w:qFormat/>
    <w:uiPriority w:val="99"/>
    <w:pPr>
      <w:jc w:val="left"/>
    </w:pPr>
  </w:style>
  <w:style w:type="paragraph" w:styleId="9">
    <w:name w:val="toc 3"/>
    <w:basedOn w:val="1"/>
    <w:next w:val="1"/>
    <w:unhideWhenUsed/>
    <w:qFormat/>
    <w:uiPriority w:val="39"/>
    <w:pPr>
      <w:ind w:left="840" w:leftChars="400"/>
    </w:pPr>
  </w:style>
  <w:style w:type="paragraph" w:styleId="10">
    <w:name w:val="Plain Text"/>
    <w:basedOn w:val="1"/>
    <w:link w:val="36"/>
    <w:qFormat/>
    <w:uiPriority w:val="99"/>
    <w:rPr>
      <w:rFonts w:ascii="宋体" w:hAnsi="Courier New" w:eastAsia="宋体" w:cs="Courier New"/>
      <w:szCs w:val="21"/>
    </w:rPr>
  </w:style>
  <w:style w:type="paragraph" w:styleId="11">
    <w:name w:val="Date"/>
    <w:basedOn w:val="1"/>
    <w:next w:val="1"/>
    <w:link w:val="33"/>
    <w:semiHidden/>
    <w:unhideWhenUsed/>
    <w:qFormat/>
    <w:uiPriority w:val="99"/>
    <w:pPr>
      <w:ind w:left="100" w:leftChars="2500"/>
    </w:pPr>
  </w:style>
  <w:style w:type="paragraph" w:styleId="12">
    <w:name w:val="Balloon Text"/>
    <w:basedOn w:val="1"/>
    <w:link w:val="37"/>
    <w:semiHidden/>
    <w:unhideWhenUsed/>
    <w:qFormat/>
    <w:uiPriority w:val="99"/>
    <w:rPr>
      <w:sz w:val="18"/>
      <w:szCs w:val="18"/>
    </w:rPr>
  </w:style>
  <w:style w:type="paragraph" w:styleId="13">
    <w:name w:val="footer"/>
    <w:basedOn w:val="1"/>
    <w:link w:val="30"/>
    <w:unhideWhenUsed/>
    <w:qFormat/>
    <w:uiPriority w:val="99"/>
    <w:pPr>
      <w:tabs>
        <w:tab w:val="center" w:pos="4153"/>
        <w:tab w:val="right" w:pos="8306"/>
      </w:tabs>
      <w:snapToGrid w:val="0"/>
      <w:jc w:val="left"/>
    </w:pPr>
    <w:rPr>
      <w:sz w:val="18"/>
      <w:szCs w:val="18"/>
    </w:rPr>
  </w:style>
  <w:style w:type="paragraph" w:styleId="14">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right" w:leader="dot" w:pos="8296"/>
      </w:tabs>
    </w:pPr>
    <w:rPr>
      <w:rFonts w:ascii="Times New Roman" w:hAnsi="Times New Roman" w:eastAsia="仿宋_GB2312" w:cs="Times New Roman"/>
      <w:b/>
      <w:bCs/>
      <w:sz w:val="24"/>
    </w:rPr>
  </w:style>
  <w:style w:type="paragraph" w:styleId="16">
    <w:name w:val="footnote text"/>
    <w:basedOn w:val="1"/>
    <w:link w:val="42"/>
    <w:semiHidden/>
    <w:unhideWhenUsed/>
    <w:qFormat/>
    <w:uiPriority w:val="99"/>
    <w:pPr>
      <w:snapToGrid w:val="0"/>
      <w:jc w:val="left"/>
    </w:pPr>
    <w:rPr>
      <w:sz w:val="18"/>
      <w:szCs w:val="18"/>
    </w:rPr>
  </w:style>
  <w:style w:type="paragraph" w:styleId="17">
    <w:name w:val="toc 2"/>
    <w:basedOn w:val="1"/>
    <w:next w:val="1"/>
    <w:unhideWhenUsed/>
    <w:qFormat/>
    <w:uiPriority w:val="39"/>
    <w:pPr>
      <w:spacing w:before="225"/>
      <w:ind w:firstLine="640" w:firstLineChars="200"/>
    </w:pPr>
  </w:style>
  <w:style w:type="paragraph" w:styleId="18">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9">
    <w:name w:val="annotation subject"/>
    <w:basedOn w:val="8"/>
    <w:next w:val="8"/>
    <w:link w:val="39"/>
    <w:semiHidden/>
    <w:unhideWhenUsed/>
    <w:qFormat/>
    <w:uiPriority w:val="99"/>
    <w:rPr>
      <w:b/>
      <w:bCs/>
    </w:rPr>
  </w:style>
  <w:style w:type="table" w:styleId="21">
    <w:name w:val="Table Grid"/>
    <w:basedOn w:val="20"/>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unhideWhenUsed/>
    <w:qFormat/>
    <w:uiPriority w:val="99"/>
    <w:rPr>
      <w:color w:val="0563C1" w:themeColor="hyperlink"/>
      <w:u w:val="single"/>
      <w14:textFill>
        <w14:solidFill>
          <w14:schemeClr w14:val="hlink"/>
        </w14:solidFill>
      </w14:textFill>
    </w:rPr>
  </w:style>
  <w:style w:type="character" w:styleId="24">
    <w:name w:val="annotation reference"/>
    <w:basedOn w:val="22"/>
    <w:semiHidden/>
    <w:unhideWhenUsed/>
    <w:qFormat/>
    <w:uiPriority w:val="99"/>
    <w:rPr>
      <w:sz w:val="21"/>
      <w:szCs w:val="21"/>
    </w:rPr>
  </w:style>
  <w:style w:type="character" w:styleId="25">
    <w:name w:val="footnote reference"/>
    <w:basedOn w:val="22"/>
    <w:semiHidden/>
    <w:unhideWhenUsed/>
    <w:qFormat/>
    <w:uiPriority w:val="99"/>
    <w:rPr>
      <w:vertAlign w:val="superscript"/>
    </w:rPr>
  </w:style>
  <w:style w:type="character" w:customStyle="1" w:styleId="26">
    <w:name w:val="标题 1 字符"/>
    <w:basedOn w:val="22"/>
    <w:link w:val="2"/>
    <w:qFormat/>
    <w:uiPriority w:val="9"/>
    <w:rPr>
      <w:rFonts w:eastAsia="黑体"/>
      <w:b/>
      <w:bCs/>
      <w:kern w:val="44"/>
      <w:sz w:val="32"/>
      <w:szCs w:val="44"/>
    </w:rPr>
  </w:style>
  <w:style w:type="character" w:customStyle="1" w:styleId="27">
    <w:name w:val="标题 2 字符"/>
    <w:basedOn w:val="22"/>
    <w:link w:val="3"/>
    <w:qFormat/>
    <w:uiPriority w:val="9"/>
    <w:rPr>
      <w:rFonts w:eastAsia="仿宋_GB2312" w:asciiTheme="majorHAnsi" w:hAnsiTheme="majorHAnsi" w:cstheme="majorBidi"/>
      <w:b/>
      <w:bCs/>
      <w:sz w:val="32"/>
      <w:szCs w:val="32"/>
    </w:rPr>
  </w:style>
  <w:style w:type="character" w:customStyle="1" w:styleId="28">
    <w:name w:val="标题 3 字符"/>
    <w:basedOn w:val="22"/>
    <w:link w:val="4"/>
    <w:qFormat/>
    <w:uiPriority w:val="9"/>
    <w:rPr>
      <w:rFonts w:eastAsia="仿宋_GB2312"/>
      <w:b/>
      <w:bCs/>
      <w:sz w:val="32"/>
      <w:szCs w:val="32"/>
    </w:rPr>
  </w:style>
  <w:style w:type="character" w:customStyle="1" w:styleId="29">
    <w:name w:val="页眉 字符"/>
    <w:basedOn w:val="22"/>
    <w:link w:val="14"/>
    <w:qFormat/>
    <w:uiPriority w:val="99"/>
    <w:rPr>
      <w:sz w:val="18"/>
      <w:szCs w:val="18"/>
    </w:rPr>
  </w:style>
  <w:style w:type="character" w:customStyle="1" w:styleId="30">
    <w:name w:val="页脚 字符"/>
    <w:basedOn w:val="22"/>
    <w:link w:val="13"/>
    <w:qFormat/>
    <w:uiPriority w:val="99"/>
    <w:rPr>
      <w:sz w:val="18"/>
      <w:szCs w:val="18"/>
    </w:rPr>
  </w:style>
  <w:style w:type="paragraph" w:styleId="31">
    <w:name w:val="List Paragraph"/>
    <w:basedOn w:val="1"/>
    <w:qFormat/>
    <w:uiPriority w:val="34"/>
    <w:pPr>
      <w:ind w:firstLine="420" w:firstLineChars="200"/>
    </w:pPr>
  </w:style>
  <w:style w:type="paragraph" w:customStyle="1" w:styleId="32">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33">
    <w:name w:val="日期 字符"/>
    <w:basedOn w:val="22"/>
    <w:link w:val="11"/>
    <w:semiHidden/>
    <w:qFormat/>
    <w:uiPriority w:val="99"/>
    <w:rPr>
      <w:szCs w:val="24"/>
    </w:rPr>
  </w:style>
  <w:style w:type="character" w:customStyle="1" w:styleId="34">
    <w:name w:val="fontstyle01"/>
    <w:basedOn w:val="22"/>
    <w:qFormat/>
    <w:uiPriority w:val="0"/>
    <w:rPr>
      <w:rFonts w:hint="eastAsia" w:ascii="仿宋_GB2312" w:eastAsia="仿宋_GB2312"/>
      <w:color w:val="000000"/>
      <w:sz w:val="32"/>
      <w:szCs w:val="32"/>
    </w:rPr>
  </w:style>
  <w:style w:type="character" w:customStyle="1" w:styleId="35">
    <w:name w:val="文档结构图 字符"/>
    <w:basedOn w:val="22"/>
    <w:link w:val="7"/>
    <w:semiHidden/>
    <w:qFormat/>
    <w:uiPriority w:val="99"/>
    <w:rPr>
      <w:rFonts w:ascii="宋体" w:eastAsia="宋体"/>
      <w:sz w:val="18"/>
      <w:szCs w:val="18"/>
    </w:rPr>
  </w:style>
  <w:style w:type="character" w:customStyle="1" w:styleId="36">
    <w:name w:val="纯文本 字符"/>
    <w:basedOn w:val="22"/>
    <w:link w:val="10"/>
    <w:qFormat/>
    <w:uiPriority w:val="99"/>
    <w:rPr>
      <w:rFonts w:ascii="宋体" w:hAnsi="Courier New" w:eastAsia="宋体" w:cs="Courier New"/>
      <w:szCs w:val="21"/>
    </w:rPr>
  </w:style>
  <w:style w:type="character" w:customStyle="1" w:styleId="37">
    <w:name w:val="批注框文本 字符"/>
    <w:basedOn w:val="22"/>
    <w:link w:val="12"/>
    <w:semiHidden/>
    <w:qFormat/>
    <w:uiPriority w:val="99"/>
    <w:rPr>
      <w:sz w:val="18"/>
      <w:szCs w:val="18"/>
    </w:rPr>
  </w:style>
  <w:style w:type="character" w:customStyle="1" w:styleId="38">
    <w:name w:val="批注文字 字符"/>
    <w:basedOn w:val="22"/>
    <w:link w:val="8"/>
    <w:qFormat/>
    <w:uiPriority w:val="99"/>
    <w:rPr>
      <w:szCs w:val="24"/>
    </w:rPr>
  </w:style>
  <w:style w:type="character" w:customStyle="1" w:styleId="39">
    <w:name w:val="批注主题 字符"/>
    <w:basedOn w:val="38"/>
    <w:link w:val="19"/>
    <w:semiHidden/>
    <w:qFormat/>
    <w:uiPriority w:val="99"/>
    <w:rPr>
      <w:b/>
      <w:bCs/>
      <w:szCs w:val="24"/>
    </w:rPr>
  </w:style>
  <w:style w:type="character" w:customStyle="1" w:styleId="40">
    <w:name w:val="font01"/>
    <w:basedOn w:val="22"/>
    <w:qFormat/>
    <w:uiPriority w:val="0"/>
    <w:rPr>
      <w:rFonts w:hint="eastAsia" w:ascii="宋体" w:hAnsi="宋体" w:eastAsia="宋体"/>
      <w:color w:val="000000"/>
      <w:sz w:val="20"/>
      <w:szCs w:val="20"/>
      <w:u w:val="none"/>
    </w:rPr>
  </w:style>
  <w:style w:type="paragraph" w:customStyle="1" w:styleId="41">
    <w:name w:val="Revision"/>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42">
    <w:name w:val="脚注文本 字符"/>
    <w:basedOn w:val="22"/>
    <w:link w:val="16"/>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9DC314-2740-419E-A2AB-B0F2FBEA5155}">
  <ds:schemaRefs/>
</ds:datastoreItem>
</file>

<file path=docProps/app.xml><?xml version="1.0" encoding="utf-8"?>
<Properties xmlns="http://schemas.openxmlformats.org/officeDocument/2006/extended-properties" xmlns:vt="http://schemas.openxmlformats.org/officeDocument/2006/docPropsVTypes">
  <Template>Normal.dotm</Template>
  <Pages>69</Pages>
  <Words>6731</Words>
  <Characters>38369</Characters>
  <Lines>319</Lines>
  <Paragraphs>90</Paragraphs>
  <TotalTime>3</TotalTime>
  <ScaleCrop>false</ScaleCrop>
  <LinksUpToDate>false</LinksUpToDate>
  <CharactersWithSpaces>45010</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2022-08-02T17:33:00Z</dcterms:created>
  <dc:creator>wu qian</dc:creator>
  <cp:lastModifiedBy>tanjy01</cp:lastModifiedBy>
  <cp:lastPrinted>2022-10-25T06:49:00Z</cp:lastPrinted>
  <dcterms:modified xsi:type="dcterms:W3CDTF">2022-10-26T09:29:48Z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