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beforeAutospacing="0" w:afterAutospacing="0" w:line="560" w:lineRule="exact"/>
        <w:ind w:right="0" w:rightChars="0"/>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附件</w:t>
      </w:r>
    </w:p>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黑体" w:hAnsi="黑体" w:eastAsia="黑体" w:cs="Times New Roman"/>
          <w:b/>
          <w:bCs/>
          <w:color w:val="auto"/>
          <w:sz w:val="48"/>
          <w:szCs w:val="52"/>
        </w:rPr>
      </w:pPr>
      <w:bookmarkStart w:id="0" w:name="_Hlk115341181"/>
      <w:r>
        <w:rPr>
          <w:rFonts w:ascii="黑体" w:hAnsi="黑体" w:eastAsia="黑体" w:cs="Times New Roman"/>
          <w:b/>
          <w:bCs/>
          <w:color w:val="auto"/>
          <w:sz w:val="48"/>
          <w:szCs w:val="52"/>
        </w:rPr>
        <w:t>广州市</w:t>
      </w:r>
      <w:bookmarkStart w:id="1" w:name="_Hlk112166851"/>
      <w:r>
        <w:rPr>
          <w:rFonts w:ascii="黑体" w:hAnsi="黑体" w:eastAsia="黑体" w:cs="Times New Roman"/>
          <w:b/>
          <w:bCs/>
          <w:color w:val="auto"/>
          <w:sz w:val="48"/>
          <w:szCs w:val="52"/>
        </w:rPr>
        <w:t>天河区现代商贸业</w:t>
      </w:r>
    </w:p>
    <w:bookmarkEnd w:id="1"/>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黑体" w:hAnsi="黑体" w:eastAsia="黑体" w:cs="Times New Roman"/>
          <w:b/>
          <w:bCs/>
          <w:color w:val="auto"/>
          <w:sz w:val="48"/>
          <w:szCs w:val="52"/>
        </w:rPr>
      </w:pPr>
      <w:r>
        <w:rPr>
          <w:rFonts w:ascii="黑体" w:hAnsi="黑体" w:eastAsia="黑体" w:cs="Times New Roman"/>
          <w:b/>
          <w:bCs/>
          <w:color w:val="auto"/>
          <w:sz w:val="48"/>
          <w:szCs w:val="52"/>
        </w:rPr>
        <w:t>“十四五”发展规划</w:t>
      </w:r>
    </w:p>
    <w:bookmarkEnd w:id="0"/>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黑体" w:hAnsi="黑体" w:eastAsia="黑体" w:cs="Times New Roman"/>
          <w:b/>
          <w:bCs/>
          <w:color w:val="auto"/>
          <w:sz w:val="36"/>
          <w:szCs w:val="40"/>
        </w:rPr>
      </w:pPr>
      <w:r>
        <w:rPr>
          <w:rFonts w:ascii="黑体" w:hAnsi="黑体" w:eastAsia="黑体" w:cs="Times New Roman"/>
          <w:b/>
          <w:bCs/>
          <w:color w:val="auto"/>
          <w:sz w:val="48"/>
          <w:szCs w:val="52"/>
        </w:rPr>
        <w:t>（</w:t>
      </w:r>
      <w:r>
        <w:rPr>
          <w:rFonts w:hint="eastAsia" w:ascii="黑体" w:hAnsi="黑体" w:eastAsia="黑体" w:cs="Times New Roman"/>
          <w:b/>
          <w:bCs/>
          <w:color w:val="auto"/>
          <w:sz w:val="48"/>
          <w:szCs w:val="52"/>
          <w:lang w:eastAsia="zh-CN"/>
        </w:rPr>
        <w:t>征求意见</w:t>
      </w:r>
      <w:r>
        <w:rPr>
          <w:rFonts w:ascii="黑体" w:hAnsi="黑体" w:eastAsia="黑体" w:cs="Times New Roman"/>
          <w:b/>
          <w:bCs/>
          <w:color w:val="auto"/>
          <w:sz w:val="48"/>
          <w:szCs w:val="52"/>
        </w:rPr>
        <w:t>稿）</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720"/>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Times New Roman" w:hAnsi="Times New Roman" w:cs="Times New Roman"/>
          <w:b/>
          <w:bCs/>
          <w:color w:val="auto"/>
          <w:sz w:val="36"/>
          <w:szCs w:val="40"/>
        </w:rPr>
      </w:pPr>
      <w:r>
        <w:rPr>
          <w:rFonts w:ascii="Times New Roman" w:hAnsi="Times New Roman" w:cs="Times New Roman"/>
          <w:b/>
          <w:bCs/>
          <w:color w:val="auto"/>
          <w:sz w:val="36"/>
          <w:szCs w:val="40"/>
        </w:rPr>
        <w:t>2022年1</w:t>
      </w:r>
      <w:r>
        <w:rPr>
          <w:rFonts w:hint="eastAsia" w:ascii="Times New Roman" w:hAnsi="Times New Roman" w:cs="Times New Roman"/>
          <w:b/>
          <w:bCs/>
          <w:color w:val="auto"/>
          <w:sz w:val="36"/>
          <w:szCs w:val="40"/>
          <w:lang w:val="en-US" w:eastAsia="zh-CN"/>
        </w:rPr>
        <w:t>2</w:t>
      </w:r>
      <w:r>
        <w:rPr>
          <w:rFonts w:ascii="Times New Roman" w:hAnsi="Times New Roman" w:cs="Times New Roman"/>
          <w:b/>
          <w:bCs/>
          <w:color w:val="auto"/>
          <w:sz w:val="36"/>
          <w:szCs w:val="40"/>
        </w:rPr>
        <w:t>月</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Times New Roman" w:hAnsi="Times New Roman" w:cs="Times New Roman"/>
          <w:b/>
          <w:bCs/>
          <w:color w:val="auto"/>
          <w:sz w:val="36"/>
          <w:szCs w:val="40"/>
        </w:r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Times New Roman" w:hAnsi="Times New Roman" w:cs="Times New Roman"/>
          <w:b/>
          <w:bCs/>
          <w:color w:val="auto"/>
          <w:sz w:val="36"/>
          <w:szCs w:val="40"/>
        </w:rPr>
        <w:sectPr>
          <w:footerReference r:id="rId4" w:type="default"/>
          <w:pgSz w:w="11906" w:h="16838"/>
          <w:pgMar w:top="2098" w:right="1474" w:bottom="1984" w:left="1587" w:header="851" w:footer="992" w:gutter="0"/>
          <w:pgNumType w:fmt="upperRoman"/>
          <w:cols w:space="425" w:num="1"/>
          <w:docGrid w:type="lines" w:linePitch="312" w:charSpace="0"/>
        </w:sectPr>
      </w:pPr>
    </w:p>
    <w:p>
      <w:pPr>
        <w:pStyle w:val="7"/>
        <w:pageBreakBefore w:val="0"/>
        <w:kinsoku/>
        <w:wordWrap/>
        <w:overflowPunct/>
        <w:topLinePunct w:val="0"/>
        <w:autoSpaceDE/>
        <w:autoSpaceDN/>
        <w:bidi w:val="0"/>
        <w:adjustRightInd/>
        <w:snapToGrid/>
        <w:spacing w:beforeAutospacing="0" w:afterAutospacing="0" w:line="560" w:lineRule="exact"/>
        <w:ind w:right="0" w:rightChars="0" w:firstLine="0" w:firstLineChars="0"/>
        <w:jc w:val="center"/>
        <w:rPr>
          <w:rFonts w:ascii="Times New Roman" w:hAnsi="Times New Roman" w:eastAsia="黑体" w:cs="Times New Roman"/>
          <w:b/>
          <w:bCs/>
          <w:color w:val="auto"/>
          <w:sz w:val="36"/>
          <w:szCs w:val="40"/>
        </w:rPr>
      </w:pPr>
      <w:r>
        <w:rPr>
          <w:rFonts w:ascii="Times New Roman" w:hAnsi="Times New Roman" w:eastAsia="黑体" w:cs="Times New Roman"/>
          <w:b/>
          <w:bCs/>
          <w:color w:val="auto"/>
          <w:sz w:val="36"/>
          <w:szCs w:val="40"/>
        </w:rPr>
        <w:t>目录</w:t>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color w:val="auto"/>
          <w:sz w:val="36"/>
          <w:szCs w:val="40"/>
        </w:rPr>
        <w:fldChar w:fldCharType="begin"/>
      </w:r>
      <w:r>
        <w:rPr>
          <w:color w:val="auto"/>
          <w:sz w:val="36"/>
          <w:szCs w:val="40"/>
        </w:rPr>
        <w:instrText xml:space="preserve"> TOC \o "1-3" \h \z \u </w:instrText>
      </w:r>
      <w:r>
        <w:rPr>
          <w:color w:val="auto"/>
          <w:sz w:val="36"/>
          <w:szCs w:val="40"/>
        </w:rPr>
        <w:fldChar w:fldCharType="separate"/>
      </w:r>
      <w:r>
        <w:rPr>
          <w:color w:val="auto"/>
          <w:szCs w:val="40"/>
        </w:rPr>
        <w:fldChar w:fldCharType="begin"/>
      </w:r>
      <w:r>
        <w:rPr>
          <w:szCs w:val="40"/>
        </w:rPr>
        <w:instrText xml:space="preserve"> HYPERLINK \l _Toc10510 </w:instrText>
      </w:r>
      <w:r>
        <w:rPr>
          <w:szCs w:val="40"/>
        </w:rPr>
        <w:fldChar w:fldCharType="separate"/>
      </w:r>
      <w:r>
        <w:rPr>
          <w:rFonts w:ascii="Times New Roman" w:hAnsi="Times New Roman" w:cs="Times New Roman"/>
        </w:rPr>
        <w:t>第一章  发展基础与形势</w:t>
      </w:r>
      <w:r>
        <w:tab/>
      </w:r>
      <w:r>
        <w:fldChar w:fldCharType="begin"/>
      </w:r>
      <w:r>
        <w:instrText xml:space="preserve"> PAGEREF _Toc10510 \h </w:instrText>
      </w:r>
      <w:r>
        <w:fldChar w:fldCharType="separate"/>
      </w:r>
      <w:r>
        <w:t>1</w:t>
      </w:r>
      <w:r>
        <w:fldChar w:fldCharType="end"/>
      </w:r>
      <w:r>
        <w:rPr>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_Toc17380 </w:instrText>
      </w:r>
      <w:r>
        <w:rPr>
          <w:rFonts w:ascii="Times New Roman" w:hAnsi="Times New Roman" w:cs="Times New Roman"/>
          <w:bCs/>
          <w:szCs w:val="40"/>
        </w:rPr>
        <w:fldChar w:fldCharType="separate"/>
      </w:r>
      <w:r>
        <w:rPr>
          <w:rFonts w:ascii="Times New Roman" w:hAnsi="Times New Roman" w:cs="Times New Roman"/>
        </w:rPr>
        <w:t>（一）“十三五”主要发展成效</w:t>
      </w:r>
      <w:r>
        <w:tab/>
      </w:r>
      <w:r>
        <w:fldChar w:fldCharType="begin"/>
      </w:r>
      <w:r>
        <w:instrText xml:space="preserve"> PAGEREF _Toc17380 \h </w:instrText>
      </w:r>
      <w:r>
        <w:fldChar w:fldCharType="separate"/>
      </w:r>
      <w:r>
        <w:t>1</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_Toc29269 </w:instrText>
      </w:r>
      <w:r>
        <w:rPr>
          <w:rFonts w:ascii="Times New Roman" w:hAnsi="Times New Roman" w:cs="Times New Roman"/>
          <w:bCs/>
          <w:szCs w:val="40"/>
        </w:rPr>
        <w:fldChar w:fldCharType="separate"/>
      </w:r>
      <w:r>
        <w:rPr>
          <w:rFonts w:ascii="Times New Roman" w:hAnsi="Times New Roman" w:cs="Times New Roman"/>
        </w:rPr>
        <w:t>1、产业竞争力持续保持</w:t>
      </w:r>
      <w:r>
        <w:tab/>
      </w:r>
      <w:r>
        <w:fldChar w:fldCharType="begin"/>
      </w:r>
      <w:r>
        <w:instrText xml:space="preserve"> PAGEREF _Toc29269 \h </w:instrText>
      </w:r>
      <w:r>
        <w:fldChar w:fldCharType="separate"/>
      </w:r>
      <w:r>
        <w:t>1</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_Toc25562 </w:instrText>
      </w:r>
      <w:r>
        <w:rPr>
          <w:rFonts w:ascii="Times New Roman" w:hAnsi="Times New Roman" w:cs="Times New Roman"/>
          <w:bCs/>
          <w:szCs w:val="40"/>
        </w:rPr>
        <w:fldChar w:fldCharType="separate"/>
      </w:r>
      <w:r>
        <w:rPr>
          <w:rFonts w:ascii="Times New Roman" w:hAnsi="Times New Roman" w:cs="Times New Roman"/>
        </w:rPr>
        <w:t>2、多细分领域蓬勃发展</w:t>
      </w:r>
      <w:r>
        <w:tab/>
      </w:r>
      <w:r>
        <w:fldChar w:fldCharType="begin"/>
      </w:r>
      <w:r>
        <w:instrText xml:space="preserve"> PAGEREF _Toc25562 \h </w:instrText>
      </w:r>
      <w:r>
        <w:fldChar w:fldCharType="separate"/>
      </w:r>
      <w:r>
        <w:t>1</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_Toc27571 </w:instrText>
      </w:r>
      <w:r>
        <w:rPr>
          <w:rFonts w:ascii="Times New Roman" w:hAnsi="Times New Roman" w:cs="Times New Roman"/>
          <w:bCs/>
          <w:szCs w:val="40"/>
        </w:rPr>
        <w:fldChar w:fldCharType="separate"/>
      </w:r>
      <w:r>
        <w:rPr>
          <w:rFonts w:ascii="Times New Roman" w:hAnsi="Times New Roman" w:cs="Times New Roman"/>
        </w:rPr>
        <w:t>3、商圈和载体加速升级</w:t>
      </w:r>
      <w:r>
        <w:tab/>
      </w:r>
      <w:r>
        <w:fldChar w:fldCharType="begin"/>
      </w:r>
      <w:r>
        <w:instrText xml:space="preserve"> PAGEREF _Toc27571 \h </w:instrText>
      </w:r>
      <w:r>
        <w:fldChar w:fldCharType="separate"/>
      </w:r>
      <w:r>
        <w:t>2</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_Toc1568 </w:instrText>
      </w:r>
      <w:r>
        <w:rPr>
          <w:rFonts w:ascii="Times New Roman" w:hAnsi="Times New Roman" w:cs="Times New Roman"/>
          <w:bCs/>
          <w:szCs w:val="40"/>
        </w:rPr>
        <w:fldChar w:fldCharType="separate"/>
      </w:r>
      <w:r>
        <w:rPr>
          <w:rFonts w:ascii="Times New Roman" w:hAnsi="Times New Roman" w:cs="Times New Roman"/>
        </w:rPr>
        <w:t>4、新</w:t>
      </w:r>
      <w:r>
        <w:rPr>
          <w:rFonts w:hint="eastAsia" w:ascii="Times New Roman" w:hAnsi="Times New Roman" w:cs="Times New Roman"/>
          <w:lang w:eastAsia="zh-CN"/>
        </w:rPr>
        <w:t>消费</w:t>
      </w:r>
      <w:r>
        <w:rPr>
          <w:rFonts w:ascii="Times New Roman" w:hAnsi="Times New Roman" w:cs="Times New Roman"/>
        </w:rPr>
        <w:t>模式不断涌现</w:t>
      </w:r>
      <w:r>
        <w:tab/>
      </w:r>
      <w:r>
        <w:fldChar w:fldCharType="begin"/>
      </w:r>
      <w:r>
        <w:instrText xml:space="preserve"> PAGEREF _Toc1568 \h </w:instrText>
      </w:r>
      <w:r>
        <w:fldChar w:fldCharType="separate"/>
      </w:r>
      <w:r>
        <w:t>3</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_Toc2914 </w:instrText>
      </w:r>
      <w:r>
        <w:rPr>
          <w:rFonts w:ascii="Times New Roman" w:hAnsi="Times New Roman" w:cs="Times New Roman"/>
          <w:bCs/>
          <w:szCs w:val="40"/>
        </w:rPr>
        <w:fldChar w:fldCharType="separate"/>
      </w:r>
      <w:r>
        <w:rPr>
          <w:rFonts w:ascii="Times New Roman" w:hAnsi="Times New Roman" w:cs="Times New Roman"/>
        </w:rPr>
        <w:t>5、营商环境持续优化改善</w:t>
      </w:r>
      <w:r>
        <w:tab/>
      </w:r>
      <w:r>
        <w:fldChar w:fldCharType="begin"/>
      </w:r>
      <w:r>
        <w:instrText xml:space="preserve"> PAGEREF _Toc2914 \h </w:instrText>
      </w:r>
      <w:r>
        <w:fldChar w:fldCharType="separate"/>
      </w:r>
      <w:r>
        <w:t>3</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_Toc32434 </w:instrText>
      </w:r>
      <w:r>
        <w:rPr>
          <w:rFonts w:ascii="Times New Roman" w:hAnsi="Times New Roman" w:cs="Times New Roman"/>
          <w:bCs/>
          <w:szCs w:val="40"/>
        </w:rPr>
        <w:fldChar w:fldCharType="separate"/>
      </w:r>
      <w:r>
        <w:rPr>
          <w:rFonts w:ascii="Times New Roman" w:hAnsi="Times New Roman" w:cs="Times New Roman"/>
        </w:rPr>
        <w:t>（二）存在的问题与不足</w:t>
      </w:r>
      <w:r>
        <w:tab/>
      </w:r>
      <w:r>
        <w:fldChar w:fldCharType="begin"/>
      </w:r>
      <w:r>
        <w:instrText xml:space="preserve"> PAGEREF _Toc32434 \h </w:instrText>
      </w:r>
      <w:r>
        <w:fldChar w:fldCharType="separate"/>
      </w:r>
      <w:r>
        <w:t>4</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_Toc22892 </w:instrText>
      </w:r>
      <w:r>
        <w:rPr>
          <w:rFonts w:ascii="Times New Roman" w:hAnsi="Times New Roman" w:cs="Times New Roman"/>
          <w:bCs/>
          <w:szCs w:val="40"/>
        </w:rPr>
        <w:fldChar w:fldCharType="separate"/>
      </w:r>
      <w:r>
        <w:rPr>
          <w:rFonts w:ascii="Times New Roman" w:hAnsi="Times New Roman" w:cs="Times New Roman"/>
        </w:rPr>
        <w:t>1、产业能级有待进一步提升</w:t>
      </w:r>
      <w:r>
        <w:tab/>
      </w:r>
      <w:r>
        <w:fldChar w:fldCharType="begin"/>
      </w:r>
      <w:r>
        <w:instrText xml:space="preserve"> PAGEREF _Toc22892 \h </w:instrText>
      </w:r>
      <w:r>
        <w:fldChar w:fldCharType="separate"/>
      </w:r>
      <w:r>
        <w:t>4</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_Toc12652 </w:instrText>
      </w:r>
      <w:r>
        <w:rPr>
          <w:rFonts w:ascii="Times New Roman" w:hAnsi="Times New Roman" w:cs="Times New Roman"/>
          <w:bCs/>
          <w:szCs w:val="40"/>
        </w:rPr>
        <w:fldChar w:fldCharType="separate"/>
      </w:r>
      <w:r>
        <w:rPr>
          <w:rFonts w:ascii="Times New Roman" w:hAnsi="Times New Roman" w:cs="Times New Roman"/>
        </w:rPr>
        <w:t>2、产业结构有待进一步优化</w:t>
      </w:r>
      <w:r>
        <w:tab/>
      </w:r>
      <w:r>
        <w:fldChar w:fldCharType="begin"/>
      </w:r>
      <w:r>
        <w:instrText xml:space="preserve"> PAGEREF _Toc12652 \h </w:instrText>
      </w:r>
      <w:r>
        <w:fldChar w:fldCharType="separate"/>
      </w:r>
      <w:r>
        <w:t>5</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_Toc7766 </w:instrText>
      </w:r>
      <w:r>
        <w:rPr>
          <w:rFonts w:ascii="Times New Roman" w:hAnsi="Times New Roman" w:cs="Times New Roman"/>
          <w:bCs/>
          <w:szCs w:val="40"/>
        </w:rPr>
        <w:fldChar w:fldCharType="separate"/>
      </w:r>
      <w:r>
        <w:rPr>
          <w:rFonts w:ascii="Times New Roman" w:hAnsi="Times New Roman" w:cs="Times New Roman"/>
        </w:rPr>
        <w:t>3、产业布局有待进一步均衡</w:t>
      </w:r>
      <w:r>
        <w:tab/>
      </w:r>
      <w:r>
        <w:fldChar w:fldCharType="begin"/>
      </w:r>
      <w:r>
        <w:instrText xml:space="preserve"> PAGEREF _Toc7766 \h </w:instrText>
      </w:r>
      <w:r>
        <w:fldChar w:fldCharType="separate"/>
      </w:r>
      <w:r>
        <w:t>6</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_Toc12425 </w:instrText>
      </w:r>
      <w:r>
        <w:rPr>
          <w:rFonts w:ascii="Times New Roman" w:hAnsi="Times New Roman" w:cs="Times New Roman"/>
          <w:bCs/>
          <w:szCs w:val="40"/>
        </w:rPr>
        <w:fldChar w:fldCharType="separate"/>
      </w:r>
      <w:r>
        <w:rPr>
          <w:rFonts w:ascii="Times New Roman" w:hAnsi="Times New Roman" w:cs="Times New Roman"/>
        </w:rPr>
        <w:t>（三）“十四五”面临的形势</w:t>
      </w:r>
      <w:r>
        <w:tab/>
      </w:r>
      <w:r>
        <w:fldChar w:fldCharType="begin"/>
      </w:r>
      <w:r>
        <w:instrText xml:space="preserve"> PAGEREF _Toc12425 \h </w:instrText>
      </w:r>
      <w:r>
        <w:fldChar w:fldCharType="separate"/>
      </w:r>
      <w:r>
        <w:t>7</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_Toc2060 </w:instrText>
      </w:r>
      <w:r>
        <w:rPr>
          <w:rFonts w:ascii="Times New Roman" w:hAnsi="Times New Roman" w:cs="Times New Roman"/>
          <w:bCs/>
          <w:szCs w:val="40"/>
        </w:rPr>
        <w:fldChar w:fldCharType="separate"/>
      </w:r>
      <w:r>
        <w:rPr>
          <w:rFonts w:ascii="Times New Roman" w:hAnsi="Times New Roman" w:cs="Times New Roman"/>
        </w:rPr>
        <w:t>1、国际格局调整和疫情影响突显商贸业纽带桥梁作用</w:t>
      </w:r>
      <w:r>
        <w:tab/>
      </w:r>
      <w:r>
        <w:fldChar w:fldCharType="begin"/>
      </w:r>
      <w:r>
        <w:instrText xml:space="preserve"> PAGEREF _Toc2060 \h </w:instrText>
      </w:r>
      <w:r>
        <w:fldChar w:fldCharType="separate"/>
      </w:r>
      <w:r>
        <w:t>7</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_Toc19552 </w:instrText>
      </w:r>
      <w:r>
        <w:rPr>
          <w:rFonts w:ascii="Times New Roman" w:hAnsi="Times New Roman" w:cs="Times New Roman"/>
          <w:bCs/>
          <w:szCs w:val="40"/>
        </w:rPr>
        <w:fldChar w:fldCharType="separate"/>
      </w:r>
      <w:r>
        <w:rPr>
          <w:rFonts w:ascii="Times New Roman" w:hAnsi="Times New Roman" w:cs="Times New Roman"/>
        </w:rPr>
        <w:t>2、新型消费成为</w:t>
      </w:r>
      <w:r>
        <w:rPr>
          <w:rFonts w:ascii="Times New Roman" w:hAnsi="Times New Roman" w:cs="Times New Roman"/>
          <w:shd w:val="clear" w:color="auto" w:fill="FFFFFF"/>
        </w:rPr>
        <w:t>消费扩容和引领消费创新的重要支撑</w:t>
      </w:r>
      <w:r>
        <w:tab/>
      </w:r>
      <w:r>
        <w:fldChar w:fldCharType="begin"/>
      </w:r>
      <w:r>
        <w:instrText xml:space="preserve"> PAGEREF _Toc19552 \h </w:instrText>
      </w:r>
      <w:r>
        <w:fldChar w:fldCharType="separate"/>
      </w:r>
      <w:r>
        <w:t>8</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_Toc32571 </w:instrText>
      </w:r>
      <w:r>
        <w:rPr>
          <w:rFonts w:ascii="Times New Roman" w:hAnsi="Times New Roman" w:cs="Times New Roman"/>
          <w:bCs/>
          <w:szCs w:val="40"/>
        </w:rPr>
        <w:fldChar w:fldCharType="separate"/>
      </w:r>
      <w:r>
        <w:rPr>
          <w:rFonts w:ascii="Times New Roman" w:hAnsi="Times New Roman" w:cs="Times New Roman"/>
        </w:rPr>
        <w:t>3、技术赋能促进商贸业数字化、网络化和智能化转型</w:t>
      </w:r>
      <w:r>
        <w:tab/>
      </w:r>
      <w:r>
        <w:fldChar w:fldCharType="begin"/>
      </w:r>
      <w:r>
        <w:instrText xml:space="preserve"> PAGEREF _Toc32571 \h </w:instrText>
      </w:r>
      <w:r>
        <w:fldChar w:fldCharType="separate"/>
      </w:r>
      <w:r>
        <w:t>9</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_Toc1491 </w:instrText>
      </w:r>
      <w:r>
        <w:rPr>
          <w:rFonts w:ascii="Times New Roman" w:hAnsi="Times New Roman" w:cs="Times New Roman"/>
          <w:bCs/>
          <w:szCs w:val="40"/>
        </w:rPr>
        <w:fldChar w:fldCharType="separate"/>
      </w:r>
      <w:r>
        <w:rPr>
          <w:rFonts w:ascii="Times New Roman" w:hAnsi="Times New Roman" w:cs="Times New Roman"/>
        </w:rPr>
        <w:t>第二章 发展总体要求</w:t>
      </w:r>
      <w:r>
        <w:tab/>
      </w:r>
      <w:r>
        <w:fldChar w:fldCharType="begin"/>
      </w:r>
      <w:r>
        <w:instrText xml:space="preserve"> PAGEREF _Toc1491 \h </w:instrText>
      </w:r>
      <w:r>
        <w:fldChar w:fldCharType="separate"/>
      </w:r>
      <w:r>
        <w:t>10</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_Toc30851 </w:instrText>
      </w:r>
      <w:r>
        <w:rPr>
          <w:rFonts w:ascii="Times New Roman" w:hAnsi="Times New Roman" w:cs="Times New Roman"/>
          <w:bCs/>
          <w:szCs w:val="40"/>
        </w:rPr>
        <w:fldChar w:fldCharType="separate"/>
      </w:r>
      <w:r>
        <w:rPr>
          <w:rFonts w:ascii="Times New Roman" w:hAnsi="Times New Roman" w:cs="Times New Roman"/>
        </w:rPr>
        <w:t>（一）指导思想</w:t>
      </w:r>
      <w:r>
        <w:tab/>
      </w:r>
      <w:r>
        <w:fldChar w:fldCharType="begin"/>
      </w:r>
      <w:r>
        <w:instrText xml:space="preserve"> PAGEREF _Toc30851 \h </w:instrText>
      </w:r>
      <w:r>
        <w:fldChar w:fldCharType="separate"/>
      </w:r>
      <w:r>
        <w:t>10</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_Toc8509 </w:instrText>
      </w:r>
      <w:r>
        <w:rPr>
          <w:rFonts w:ascii="Times New Roman" w:hAnsi="Times New Roman" w:cs="Times New Roman"/>
          <w:bCs/>
          <w:szCs w:val="40"/>
        </w:rPr>
        <w:fldChar w:fldCharType="separate"/>
      </w:r>
      <w:r>
        <w:rPr>
          <w:rFonts w:ascii="Times New Roman" w:hAnsi="Times New Roman" w:cs="Times New Roman"/>
        </w:rPr>
        <w:t>（二）发展原则</w:t>
      </w:r>
      <w:r>
        <w:tab/>
      </w:r>
      <w:r>
        <w:fldChar w:fldCharType="begin"/>
      </w:r>
      <w:r>
        <w:instrText xml:space="preserve"> PAGEREF _Toc8509 \h </w:instrText>
      </w:r>
      <w:r>
        <w:fldChar w:fldCharType="separate"/>
      </w:r>
      <w:r>
        <w:t>11</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_Toc10273 </w:instrText>
      </w:r>
      <w:r>
        <w:rPr>
          <w:rFonts w:ascii="Times New Roman" w:hAnsi="Times New Roman" w:cs="Times New Roman"/>
          <w:bCs/>
          <w:szCs w:val="40"/>
        </w:rPr>
        <w:fldChar w:fldCharType="separate"/>
      </w:r>
      <w:r>
        <w:rPr>
          <w:rFonts w:ascii="Times New Roman" w:hAnsi="Times New Roman" w:cs="Times New Roman"/>
        </w:rPr>
        <w:t>（三）发展定位</w:t>
      </w:r>
      <w:r>
        <w:tab/>
      </w:r>
      <w:r>
        <w:fldChar w:fldCharType="begin"/>
      </w:r>
      <w:r>
        <w:instrText xml:space="preserve"> PAGEREF _Toc10273 \h </w:instrText>
      </w:r>
      <w:r>
        <w:fldChar w:fldCharType="separate"/>
      </w:r>
      <w:r>
        <w:t>12</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_Toc17904 </w:instrText>
      </w:r>
      <w:r>
        <w:rPr>
          <w:rFonts w:ascii="Times New Roman" w:hAnsi="Times New Roman" w:cs="Times New Roman"/>
          <w:bCs/>
          <w:szCs w:val="40"/>
        </w:rPr>
        <w:fldChar w:fldCharType="separate"/>
      </w:r>
      <w:r>
        <w:rPr>
          <w:rFonts w:ascii="Times New Roman" w:hAnsi="Times New Roman" w:cs="Times New Roman"/>
        </w:rPr>
        <w:t>（四）发展目标</w:t>
      </w:r>
      <w:r>
        <w:tab/>
      </w:r>
      <w:r>
        <w:fldChar w:fldCharType="begin"/>
      </w:r>
      <w:r>
        <w:instrText xml:space="preserve"> PAGEREF _Toc17904 \h </w:instrText>
      </w:r>
      <w:r>
        <w:fldChar w:fldCharType="separate"/>
      </w:r>
      <w:r>
        <w:t>13</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_Toc29698 </w:instrText>
      </w:r>
      <w:r>
        <w:rPr>
          <w:rFonts w:ascii="Times New Roman" w:hAnsi="Times New Roman" w:cs="Times New Roman"/>
          <w:bCs/>
          <w:szCs w:val="40"/>
        </w:rPr>
        <w:fldChar w:fldCharType="separate"/>
      </w:r>
      <w:r>
        <w:rPr>
          <w:rFonts w:ascii="Times New Roman" w:hAnsi="Times New Roman" w:cs="Times New Roman"/>
        </w:rPr>
        <w:t>第三章 推动商贸业可持续高质量发展</w:t>
      </w:r>
      <w:r>
        <w:tab/>
      </w:r>
      <w:r>
        <w:fldChar w:fldCharType="begin"/>
      </w:r>
      <w:r>
        <w:instrText xml:space="preserve"> PAGEREF _Toc29698 \h </w:instrText>
      </w:r>
      <w:r>
        <w:fldChar w:fldCharType="separate"/>
      </w:r>
      <w:r>
        <w:t>15</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_Toc13950 </w:instrText>
      </w:r>
      <w:r>
        <w:rPr>
          <w:rFonts w:ascii="Times New Roman" w:hAnsi="Times New Roman" w:cs="Times New Roman"/>
          <w:bCs/>
          <w:szCs w:val="40"/>
        </w:rPr>
        <w:fldChar w:fldCharType="separate"/>
      </w:r>
      <w:r>
        <w:rPr>
          <w:rFonts w:ascii="Times New Roman" w:hAnsi="Times New Roman" w:cs="Times New Roman"/>
        </w:rPr>
        <w:t>（一）力促批发业转型升级，推动向价值链高端延伸</w:t>
      </w:r>
      <w:r>
        <w:tab/>
      </w:r>
      <w:r>
        <w:fldChar w:fldCharType="begin"/>
      </w:r>
      <w:r>
        <w:instrText xml:space="preserve"> PAGEREF _Toc13950 \h </w:instrText>
      </w:r>
      <w:r>
        <w:fldChar w:fldCharType="separate"/>
      </w:r>
      <w:r>
        <w:t>16</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_Toc8035 </w:instrText>
      </w:r>
      <w:r>
        <w:rPr>
          <w:rFonts w:ascii="Times New Roman" w:hAnsi="Times New Roman" w:cs="Times New Roman"/>
          <w:bCs/>
          <w:szCs w:val="40"/>
        </w:rPr>
        <w:fldChar w:fldCharType="separate"/>
      </w:r>
      <w:r>
        <w:rPr>
          <w:rFonts w:ascii="Times New Roman" w:hAnsi="Times New Roman" w:cs="Times New Roman"/>
        </w:rPr>
        <w:t>1、引进和培育高能级市场主体</w:t>
      </w:r>
      <w:r>
        <w:tab/>
      </w:r>
      <w:r>
        <w:fldChar w:fldCharType="begin"/>
      </w:r>
      <w:r>
        <w:instrText xml:space="preserve"> PAGEREF _Toc8035 \h </w:instrText>
      </w:r>
      <w:r>
        <w:fldChar w:fldCharType="separate"/>
      </w:r>
      <w:r>
        <w:t>16</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_Toc20573 </w:instrText>
      </w:r>
      <w:r>
        <w:rPr>
          <w:rFonts w:ascii="Times New Roman" w:hAnsi="Times New Roman" w:cs="Times New Roman"/>
          <w:bCs/>
          <w:szCs w:val="40"/>
        </w:rPr>
        <w:fldChar w:fldCharType="separate"/>
      </w:r>
      <w:r>
        <w:rPr>
          <w:rFonts w:ascii="Times New Roman" w:hAnsi="Times New Roman" w:cs="Times New Roman"/>
        </w:rPr>
        <w:t>2、推动批发市场品牌化平台化发展</w:t>
      </w:r>
      <w:r>
        <w:tab/>
      </w:r>
      <w:r>
        <w:fldChar w:fldCharType="begin"/>
      </w:r>
      <w:r>
        <w:instrText xml:space="preserve"> PAGEREF _Toc20573 \h </w:instrText>
      </w:r>
      <w:r>
        <w:fldChar w:fldCharType="separate"/>
      </w:r>
      <w:r>
        <w:t>18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_Toc17504 </w:instrText>
      </w:r>
      <w:r>
        <w:rPr>
          <w:rFonts w:ascii="Times New Roman" w:hAnsi="Times New Roman" w:cs="Times New Roman"/>
          <w:bCs/>
          <w:szCs w:val="40"/>
        </w:rPr>
        <w:fldChar w:fldCharType="separate"/>
      </w:r>
      <w:r>
        <w:rPr>
          <w:rFonts w:ascii="Times New Roman" w:hAnsi="Times New Roman" w:cs="Times New Roman"/>
        </w:rPr>
        <w:t>（二）丰富零售</w:t>
      </w:r>
      <w:r>
        <w:rPr>
          <w:rFonts w:hint="eastAsia" w:ascii="Times New Roman" w:hAnsi="Times New Roman" w:cs="Times New Roman"/>
        </w:rPr>
        <w:t>端供给</w:t>
      </w:r>
      <w:r>
        <w:rPr>
          <w:rFonts w:ascii="Times New Roman" w:hAnsi="Times New Roman" w:cs="Times New Roman"/>
        </w:rPr>
        <w:t>，推动消费提质扩容</w:t>
      </w:r>
      <w:r>
        <w:tab/>
      </w:r>
      <w:r>
        <w:fldChar w:fldCharType="begin"/>
      </w:r>
      <w:r>
        <w:instrText xml:space="preserve"> PAGEREF _Toc17504 \h </w:instrText>
      </w:r>
      <w:r>
        <w:fldChar w:fldCharType="separate"/>
      </w:r>
      <w:r>
        <w:t>20</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_Toc13743 </w:instrText>
      </w:r>
      <w:r>
        <w:rPr>
          <w:rFonts w:ascii="Times New Roman" w:hAnsi="Times New Roman" w:cs="Times New Roman"/>
          <w:bCs/>
          <w:szCs w:val="40"/>
        </w:rPr>
        <w:fldChar w:fldCharType="separate"/>
      </w:r>
      <w:r>
        <w:rPr>
          <w:rFonts w:ascii="Times New Roman" w:hAnsi="Times New Roman" w:cs="Times New Roman"/>
        </w:rPr>
        <w:t>1、丰富商品</w:t>
      </w:r>
      <w:r>
        <w:rPr>
          <w:rFonts w:hint="eastAsia" w:ascii="Times New Roman" w:hAnsi="Times New Roman" w:cs="Times New Roman"/>
        </w:rPr>
        <w:t>消费</w:t>
      </w:r>
      <w:r>
        <w:rPr>
          <w:rFonts w:ascii="Times New Roman" w:hAnsi="Times New Roman" w:cs="Times New Roman"/>
        </w:rPr>
        <w:t>供给</w:t>
      </w:r>
      <w:r>
        <w:tab/>
      </w:r>
      <w:r>
        <w:fldChar w:fldCharType="begin"/>
      </w:r>
      <w:r>
        <w:instrText xml:space="preserve"> PAGEREF _Toc13743 \h </w:instrText>
      </w:r>
      <w:r>
        <w:fldChar w:fldCharType="separate"/>
      </w:r>
      <w:r>
        <w:t>20</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_Toc4907 </w:instrText>
      </w:r>
      <w:r>
        <w:rPr>
          <w:rFonts w:ascii="Times New Roman" w:hAnsi="Times New Roman" w:cs="Times New Roman"/>
          <w:bCs/>
          <w:szCs w:val="40"/>
        </w:rPr>
        <w:fldChar w:fldCharType="separate"/>
      </w:r>
      <w:r>
        <w:rPr>
          <w:rFonts w:ascii="Times New Roman" w:hAnsi="Times New Roman" w:cs="Times New Roman"/>
        </w:rPr>
        <w:t>2、</w:t>
      </w:r>
      <w:r>
        <w:rPr>
          <w:rFonts w:hint="eastAsia" w:ascii="Times New Roman" w:hAnsi="Times New Roman" w:cs="Times New Roman"/>
        </w:rPr>
        <w:t>打造</w:t>
      </w:r>
      <w:r>
        <w:rPr>
          <w:rFonts w:ascii="Times New Roman" w:hAnsi="Times New Roman" w:cs="Times New Roman"/>
        </w:rPr>
        <w:t>消费</w:t>
      </w:r>
      <w:r>
        <w:rPr>
          <w:rFonts w:hint="eastAsia" w:ascii="Times New Roman" w:hAnsi="Times New Roman" w:cs="Times New Roman"/>
        </w:rPr>
        <w:t>新</w:t>
      </w:r>
      <w:r>
        <w:rPr>
          <w:rFonts w:ascii="Times New Roman" w:hAnsi="Times New Roman" w:cs="Times New Roman"/>
        </w:rPr>
        <w:t>场景</w:t>
      </w:r>
      <w:r>
        <w:tab/>
      </w:r>
      <w:r>
        <w:fldChar w:fldCharType="begin"/>
      </w:r>
      <w:r>
        <w:instrText xml:space="preserve"> PAGEREF _Toc4907 \h </w:instrText>
      </w:r>
      <w:r>
        <w:fldChar w:fldCharType="separate"/>
      </w:r>
      <w:r>
        <w:t>22</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_Toc23084 </w:instrText>
      </w:r>
      <w:r>
        <w:rPr>
          <w:rFonts w:ascii="Times New Roman" w:hAnsi="Times New Roman" w:cs="Times New Roman"/>
          <w:bCs/>
          <w:szCs w:val="40"/>
        </w:rPr>
        <w:fldChar w:fldCharType="separate"/>
      </w:r>
      <w:r>
        <w:rPr>
          <w:rFonts w:ascii="Times New Roman" w:hAnsi="Times New Roman" w:cs="Times New Roman"/>
        </w:rPr>
        <w:t>3、挖掘</w:t>
      </w:r>
      <w:r>
        <w:rPr>
          <w:rFonts w:hint="eastAsia" w:ascii="Times New Roman" w:hAnsi="Times New Roman" w:cs="Times New Roman"/>
        </w:rPr>
        <w:t>新</w:t>
      </w:r>
      <w:r>
        <w:rPr>
          <w:rFonts w:ascii="Times New Roman" w:hAnsi="Times New Roman" w:cs="Times New Roman"/>
        </w:rPr>
        <w:t>消费</w:t>
      </w:r>
      <w:r>
        <w:rPr>
          <w:rFonts w:hint="eastAsia" w:ascii="Times New Roman" w:hAnsi="Times New Roman" w:cs="Times New Roman"/>
        </w:rPr>
        <w:t>潜力</w:t>
      </w:r>
      <w:r>
        <w:tab/>
      </w:r>
      <w:r>
        <w:fldChar w:fldCharType="begin"/>
      </w:r>
      <w:r>
        <w:instrText xml:space="preserve"> PAGEREF _Toc23084 \h </w:instrText>
      </w:r>
      <w:r>
        <w:fldChar w:fldCharType="separate"/>
      </w:r>
      <w:r>
        <w:t>24</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_Toc19389 </w:instrText>
      </w:r>
      <w:r>
        <w:rPr>
          <w:rFonts w:ascii="Times New Roman" w:hAnsi="Times New Roman" w:cs="Times New Roman"/>
          <w:bCs/>
          <w:szCs w:val="40"/>
        </w:rPr>
        <w:fldChar w:fldCharType="separate"/>
      </w:r>
      <w:r>
        <w:rPr>
          <w:rFonts w:hint="eastAsia" w:ascii="Times New Roman" w:hAnsi="Times New Roman" w:cs="Times New Roman"/>
        </w:rPr>
        <w:t>4、发展</w:t>
      </w:r>
      <w:r>
        <w:rPr>
          <w:rFonts w:ascii="Times New Roman" w:hAnsi="Times New Roman" w:cs="Times New Roman"/>
        </w:rPr>
        <w:t>消费新模式</w:t>
      </w:r>
      <w:r>
        <w:tab/>
      </w:r>
      <w:r>
        <w:fldChar w:fldCharType="begin"/>
      </w:r>
      <w:r>
        <w:instrText xml:space="preserve"> PAGEREF _Toc19389 \h </w:instrText>
      </w:r>
      <w:r>
        <w:fldChar w:fldCharType="separate"/>
      </w:r>
      <w:r>
        <w:t>26</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_Toc13442 </w:instrText>
      </w:r>
      <w:r>
        <w:rPr>
          <w:rFonts w:ascii="Times New Roman" w:hAnsi="Times New Roman" w:cs="Times New Roman"/>
          <w:bCs/>
          <w:szCs w:val="40"/>
        </w:rPr>
        <w:fldChar w:fldCharType="separate"/>
      </w:r>
      <w:r>
        <w:rPr>
          <w:rFonts w:ascii="Times New Roman" w:hAnsi="Times New Roman" w:cs="Times New Roman"/>
        </w:rPr>
        <w:t>5、</w:t>
      </w:r>
      <w:r>
        <w:rPr>
          <w:rFonts w:hint="eastAsia" w:ascii="Times New Roman" w:hAnsi="Times New Roman" w:cs="Times New Roman"/>
        </w:rPr>
        <w:t>积极举办</w:t>
      </w:r>
      <w:r>
        <w:rPr>
          <w:rFonts w:ascii="Times New Roman" w:hAnsi="Times New Roman" w:cs="Times New Roman"/>
        </w:rPr>
        <w:t>促消费活动</w:t>
      </w:r>
      <w:r>
        <w:tab/>
      </w:r>
      <w:r>
        <w:fldChar w:fldCharType="begin"/>
      </w:r>
      <w:r>
        <w:instrText xml:space="preserve"> PAGEREF _Toc13442 \h </w:instrText>
      </w:r>
      <w:r>
        <w:fldChar w:fldCharType="separate"/>
      </w:r>
      <w:r>
        <w:t>28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_Toc20024 </w:instrText>
      </w:r>
      <w:r>
        <w:rPr>
          <w:rFonts w:ascii="Times New Roman" w:hAnsi="Times New Roman" w:cs="Times New Roman"/>
          <w:bCs/>
          <w:szCs w:val="40"/>
        </w:rPr>
        <w:fldChar w:fldCharType="separate"/>
      </w:r>
      <w:r>
        <w:rPr>
          <w:rFonts w:ascii="Times New Roman" w:hAnsi="Times New Roman" w:cs="Times New Roman"/>
        </w:rPr>
        <w:t>（三）拓展住宿餐饮业内涵，挖掘</w:t>
      </w:r>
      <w:r>
        <w:rPr>
          <w:rFonts w:hint="eastAsia" w:ascii="Times New Roman" w:hAnsi="Times New Roman" w:cs="Times New Roman"/>
        </w:rPr>
        <w:t>消费新增长点</w:t>
      </w:r>
      <w:r>
        <w:tab/>
      </w:r>
      <w:r>
        <w:fldChar w:fldCharType="begin"/>
      </w:r>
      <w:r>
        <w:instrText xml:space="preserve"> PAGEREF _Toc20024 \h </w:instrText>
      </w:r>
      <w:r>
        <w:fldChar w:fldCharType="separate"/>
      </w:r>
      <w:r>
        <w:t>29</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_Toc8113 </w:instrText>
      </w:r>
      <w:r>
        <w:rPr>
          <w:rFonts w:ascii="Times New Roman" w:hAnsi="Times New Roman" w:cs="Times New Roman"/>
          <w:bCs/>
          <w:szCs w:val="40"/>
        </w:rPr>
        <w:fldChar w:fldCharType="separate"/>
      </w:r>
      <w:r>
        <w:rPr>
          <w:rFonts w:ascii="Times New Roman" w:hAnsi="Times New Roman" w:cs="Times New Roman"/>
        </w:rPr>
        <w:t>1、积极</w:t>
      </w:r>
      <w:r>
        <w:rPr>
          <w:rFonts w:hint="eastAsia" w:ascii="Times New Roman" w:hAnsi="Times New Roman" w:cs="Times New Roman"/>
        </w:rPr>
        <w:t>增加</w:t>
      </w:r>
      <w:r>
        <w:rPr>
          <w:rFonts w:ascii="Times New Roman" w:hAnsi="Times New Roman" w:cs="Times New Roman"/>
        </w:rPr>
        <w:t>市场供给</w:t>
      </w:r>
      <w:r>
        <w:tab/>
      </w:r>
      <w:r>
        <w:fldChar w:fldCharType="begin"/>
      </w:r>
      <w:r>
        <w:instrText xml:space="preserve"> PAGEREF _Toc8113 \h </w:instrText>
      </w:r>
      <w:r>
        <w:fldChar w:fldCharType="separate"/>
      </w:r>
      <w:r>
        <w:t>29</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_Toc16229 </w:instrText>
      </w:r>
      <w:r>
        <w:rPr>
          <w:rFonts w:ascii="Times New Roman" w:hAnsi="Times New Roman" w:cs="Times New Roman"/>
          <w:bCs/>
          <w:szCs w:val="40"/>
        </w:rPr>
        <w:fldChar w:fldCharType="separate"/>
      </w:r>
      <w:r>
        <w:rPr>
          <w:rFonts w:ascii="Times New Roman" w:hAnsi="Times New Roman" w:cs="Times New Roman"/>
        </w:rPr>
        <w:t>2、鼓励</w:t>
      </w:r>
      <w:r>
        <w:rPr>
          <w:rFonts w:hint="eastAsia" w:ascii="Times New Roman" w:hAnsi="Times New Roman" w:cs="Times New Roman"/>
        </w:rPr>
        <w:t>拓展</w:t>
      </w:r>
      <w:r>
        <w:rPr>
          <w:rFonts w:ascii="Times New Roman" w:hAnsi="Times New Roman" w:cs="Times New Roman"/>
        </w:rPr>
        <w:t>新模式新领域</w:t>
      </w:r>
      <w:r>
        <w:tab/>
      </w:r>
      <w:r>
        <w:fldChar w:fldCharType="begin"/>
      </w:r>
      <w:r>
        <w:instrText xml:space="preserve"> PAGEREF _Toc16229 \h </w:instrText>
      </w:r>
      <w:r>
        <w:fldChar w:fldCharType="separate"/>
      </w:r>
      <w:r>
        <w:t>31</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_Toc5152 </w:instrText>
      </w:r>
      <w:r>
        <w:rPr>
          <w:rFonts w:ascii="Times New Roman" w:hAnsi="Times New Roman" w:cs="Times New Roman"/>
          <w:bCs/>
          <w:szCs w:val="40"/>
        </w:rPr>
        <w:fldChar w:fldCharType="separate"/>
      </w:r>
      <w:r>
        <w:rPr>
          <w:rFonts w:ascii="Times New Roman" w:hAnsi="Times New Roman" w:cs="Times New Roman"/>
        </w:rPr>
        <w:t>4、有力推动产业集聚发展</w:t>
      </w:r>
      <w:r>
        <w:tab/>
      </w:r>
      <w:r>
        <w:fldChar w:fldCharType="begin"/>
      </w:r>
      <w:r>
        <w:instrText xml:space="preserve"> PAGEREF _Toc5152 \h </w:instrText>
      </w:r>
      <w:r>
        <w:fldChar w:fldCharType="separate"/>
      </w:r>
      <w:r>
        <w:t>33</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_Toc27103 </w:instrText>
      </w:r>
      <w:r>
        <w:rPr>
          <w:rFonts w:ascii="Times New Roman" w:hAnsi="Times New Roman" w:cs="Times New Roman"/>
          <w:bCs/>
          <w:szCs w:val="40"/>
        </w:rPr>
        <w:fldChar w:fldCharType="separate"/>
      </w:r>
      <w:r>
        <w:rPr>
          <w:rFonts w:ascii="Times New Roman" w:hAnsi="Times New Roman" w:cs="Times New Roman"/>
        </w:rPr>
        <w:t>（四）抓住消费升级趋势，着力培育新增长动能</w:t>
      </w:r>
      <w:r>
        <w:tab/>
      </w:r>
      <w:r>
        <w:fldChar w:fldCharType="begin"/>
      </w:r>
      <w:r>
        <w:instrText xml:space="preserve"> PAGEREF _Toc27103 \h </w:instrText>
      </w:r>
      <w:r>
        <w:fldChar w:fldCharType="separate"/>
      </w:r>
      <w:r>
        <w:t>34</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_Toc24191 </w:instrText>
      </w:r>
      <w:r>
        <w:rPr>
          <w:rFonts w:ascii="Times New Roman" w:hAnsi="Times New Roman" w:cs="Times New Roman"/>
          <w:bCs/>
          <w:szCs w:val="40"/>
        </w:rPr>
        <w:fldChar w:fldCharType="separate"/>
      </w:r>
      <w:r>
        <w:rPr>
          <w:rFonts w:ascii="Times New Roman" w:hAnsi="Times New Roman" w:cs="Times New Roman"/>
        </w:rPr>
        <w:t>1、</w:t>
      </w:r>
      <w:r>
        <w:rPr>
          <w:rFonts w:ascii="Times New Roman" w:hAnsi="Times New Roman" w:cs="Times New Roman"/>
          <w:kern w:val="0"/>
        </w:rPr>
        <w:t>构建湾区汽车展示销售推广高地</w:t>
      </w:r>
      <w:r>
        <w:tab/>
      </w:r>
      <w:r>
        <w:fldChar w:fldCharType="begin"/>
      </w:r>
      <w:r>
        <w:instrText xml:space="preserve"> PAGEREF _Toc24191 \h </w:instrText>
      </w:r>
      <w:r>
        <w:fldChar w:fldCharType="separate"/>
      </w:r>
      <w:r>
        <w:t>34</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_Toc2550 </w:instrText>
      </w:r>
      <w:r>
        <w:rPr>
          <w:rFonts w:ascii="Times New Roman" w:hAnsi="Times New Roman" w:cs="Times New Roman"/>
          <w:bCs/>
          <w:szCs w:val="40"/>
        </w:rPr>
        <w:fldChar w:fldCharType="separate"/>
      </w:r>
      <w:r>
        <w:rPr>
          <w:rFonts w:ascii="Times New Roman" w:hAnsi="Times New Roman" w:cs="Times New Roman"/>
        </w:rPr>
        <w:t>2、培育药品</w:t>
      </w:r>
      <w:r>
        <w:rPr>
          <w:rFonts w:hint="eastAsia" w:ascii="Times New Roman" w:hAnsi="Times New Roman" w:cs="Times New Roman"/>
        </w:rPr>
        <w:t>与医疗器械</w:t>
      </w:r>
      <w:r>
        <w:rPr>
          <w:rFonts w:ascii="Times New Roman" w:hAnsi="Times New Roman" w:cs="Times New Roman"/>
        </w:rPr>
        <w:t>流通新增长点</w:t>
      </w:r>
      <w:r>
        <w:tab/>
      </w:r>
      <w:r>
        <w:fldChar w:fldCharType="begin"/>
      </w:r>
      <w:r>
        <w:instrText xml:space="preserve"> PAGEREF _Toc2550 \h </w:instrText>
      </w:r>
      <w:r>
        <w:fldChar w:fldCharType="separate"/>
      </w:r>
      <w:r>
        <w:t>37</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_Toc27325 </w:instrText>
      </w:r>
      <w:r>
        <w:rPr>
          <w:rFonts w:ascii="Times New Roman" w:hAnsi="Times New Roman" w:cs="Times New Roman"/>
          <w:bCs/>
          <w:szCs w:val="40"/>
        </w:rPr>
        <w:fldChar w:fldCharType="separate"/>
      </w:r>
      <w:r>
        <w:rPr>
          <w:rFonts w:ascii="Times New Roman" w:hAnsi="Times New Roman" w:cs="Times New Roman"/>
        </w:rPr>
        <w:t>3、打造总部型定制家居集聚区</w:t>
      </w:r>
      <w:r>
        <w:tab/>
      </w:r>
      <w:r>
        <w:fldChar w:fldCharType="begin"/>
      </w:r>
      <w:r>
        <w:instrText xml:space="preserve"> PAGEREF _Toc27325 \h </w:instrText>
      </w:r>
      <w:r>
        <w:fldChar w:fldCharType="separate"/>
      </w:r>
      <w:r>
        <w:t>38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_Toc24912 </w:instrText>
      </w:r>
      <w:r>
        <w:rPr>
          <w:rFonts w:ascii="Times New Roman" w:hAnsi="Times New Roman" w:cs="Times New Roman"/>
          <w:bCs/>
          <w:szCs w:val="40"/>
        </w:rPr>
        <w:fldChar w:fldCharType="separate"/>
      </w:r>
      <w:r>
        <w:rPr>
          <w:rFonts w:ascii="Times New Roman" w:hAnsi="Times New Roman" w:cs="Times New Roman"/>
        </w:rPr>
        <w:t>（五）品质化发展生活性服务业，满足人民美好生活需要</w:t>
      </w:r>
      <w:r>
        <w:tab/>
      </w:r>
      <w:r>
        <w:fldChar w:fldCharType="begin"/>
      </w:r>
      <w:r>
        <w:instrText xml:space="preserve"> PAGEREF _Toc24912 \h </w:instrText>
      </w:r>
      <w:r>
        <w:fldChar w:fldCharType="separate"/>
      </w:r>
      <w:r>
        <w:t>39</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_Toc11155 </w:instrText>
      </w:r>
      <w:r>
        <w:rPr>
          <w:rFonts w:ascii="Times New Roman" w:hAnsi="Times New Roman" w:cs="Times New Roman"/>
          <w:bCs/>
          <w:szCs w:val="40"/>
        </w:rPr>
        <w:fldChar w:fldCharType="separate"/>
      </w:r>
      <w:r>
        <w:rPr>
          <w:rFonts w:ascii="Times New Roman" w:hAnsi="Times New Roman" w:cs="Times New Roman"/>
        </w:rPr>
        <w:t>1、增强生活服务优质供给</w:t>
      </w:r>
      <w:r>
        <w:tab/>
      </w:r>
      <w:r>
        <w:fldChar w:fldCharType="begin"/>
      </w:r>
      <w:r>
        <w:instrText xml:space="preserve"> PAGEREF _Toc11155 \h </w:instrText>
      </w:r>
      <w:r>
        <w:fldChar w:fldCharType="separate"/>
      </w:r>
      <w:r>
        <w:t>39</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_Toc6342 </w:instrText>
      </w:r>
      <w:r>
        <w:rPr>
          <w:rFonts w:ascii="Times New Roman" w:hAnsi="Times New Roman" w:cs="Times New Roman"/>
          <w:bCs/>
          <w:szCs w:val="40"/>
        </w:rPr>
        <w:fldChar w:fldCharType="separate"/>
      </w:r>
      <w:r>
        <w:rPr>
          <w:rFonts w:ascii="Times New Roman" w:hAnsi="Times New Roman" w:cs="Times New Roman"/>
        </w:rPr>
        <w:t>2、 打造一刻钟便民生活圈</w:t>
      </w:r>
      <w:r>
        <w:tab/>
      </w:r>
      <w:r>
        <w:fldChar w:fldCharType="begin"/>
      </w:r>
      <w:r>
        <w:instrText xml:space="preserve"> PAGEREF _Toc6342 \h </w:instrText>
      </w:r>
      <w:r>
        <w:fldChar w:fldCharType="separate"/>
      </w:r>
      <w:r>
        <w:t>41</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_Toc11119 </w:instrText>
      </w:r>
      <w:r>
        <w:rPr>
          <w:rFonts w:ascii="Times New Roman" w:hAnsi="Times New Roman" w:cs="Times New Roman"/>
          <w:bCs/>
          <w:szCs w:val="40"/>
        </w:rPr>
        <w:fldChar w:fldCharType="separate"/>
      </w:r>
      <w:r>
        <w:rPr>
          <w:rFonts w:ascii="Times New Roman" w:hAnsi="Times New Roman" w:cs="Times New Roman"/>
        </w:rPr>
        <w:t>第四章  构建以世界级地标商圈为核心的多层次商业空间体系</w:t>
      </w:r>
      <w:r>
        <w:tab/>
      </w:r>
      <w:r>
        <w:fldChar w:fldCharType="begin"/>
      </w:r>
      <w:r>
        <w:instrText xml:space="preserve"> PAGEREF _Toc11119 \h </w:instrText>
      </w:r>
      <w:r>
        <w:fldChar w:fldCharType="separate"/>
      </w:r>
      <w:r>
        <w:t>42</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_Toc27163 </w:instrText>
      </w:r>
      <w:r>
        <w:rPr>
          <w:rFonts w:ascii="Times New Roman" w:hAnsi="Times New Roman" w:cs="Times New Roman"/>
          <w:bCs/>
          <w:szCs w:val="40"/>
        </w:rPr>
        <w:fldChar w:fldCharType="separate"/>
      </w:r>
      <w:r>
        <w:rPr>
          <w:rFonts w:hint="default" w:ascii="Times New Roman" w:hAnsi="Times New Roman" w:cs="Times New Roman"/>
        </w:rPr>
        <w:t xml:space="preserve">（一） </w:t>
      </w:r>
      <w:r>
        <w:rPr>
          <w:rFonts w:ascii="Times New Roman" w:hAnsi="Times New Roman" w:cs="Times New Roman"/>
        </w:rPr>
        <w:t>推进天河路商圈打造世界顶级商圈</w:t>
      </w:r>
      <w:r>
        <w:tab/>
      </w:r>
      <w:r>
        <w:fldChar w:fldCharType="begin"/>
      </w:r>
      <w:r>
        <w:instrText xml:space="preserve"> PAGEREF _Toc27163 \h </w:instrText>
      </w:r>
      <w:r>
        <w:fldChar w:fldCharType="separate"/>
      </w:r>
      <w:r>
        <w:t>43</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_Toc31182 </w:instrText>
      </w:r>
      <w:r>
        <w:rPr>
          <w:rFonts w:ascii="Times New Roman" w:hAnsi="Times New Roman" w:cs="Times New Roman"/>
          <w:bCs/>
          <w:szCs w:val="40"/>
        </w:rPr>
        <w:fldChar w:fldCharType="separate"/>
      </w:r>
      <w:r>
        <w:rPr>
          <w:rFonts w:ascii="Times New Roman" w:hAnsi="Times New Roman" w:cs="Times New Roman"/>
        </w:rPr>
        <w:t>1、促进内生增长，构建国内领先优质商业载体集群</w:t>
      </w:r>
      <w:r>
        <w:tab/>
      </w:r>
      <w:r>
        <w:fldChar w:fldCharType="begin"/>
      </w:r>
      <w:r>
        <w:instrText xml:space="preserve"> PAGEREF _Toc31182 \h </w:instrText>
      </w:r>
      <w:r>
        <w:fldChar w:fldCharType="separate"/>
      </w:r>
      <w:r>
        <w:t>43</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_Toc6271 </w:instrText>
      </w:r>
      <w:r>
        <w:rPr>
          <w:rFonts w:ascii="Times New Roman" w:hAnsi="Times New Roman" w:cs="Times New Roman"/>
          <w:bCs/>
          <w:szCs w:val="40"/>
        </w:rPr>
        <w:fldChar w:fldCharType="separate"/>
      </w:r>
      <w:r>
        <w:rPr>
          <w:rFonts w:ascii="Times New Roman" w:hAnsi="Times New Roman" w:cs="Times New Roman"/>
        </w:rPr>
        <w:t>2、加强空间挖潜，激发后街经济潜能增强商业活力</w:t>
      </w:r>
      <w:r>
        <w:tab/>
      </w:r>
      <w:r>
        <w:fldChar w:fldCharType="begin"/>
      </w:r>
      <w:r>
        <w:instrText xml:space="preserve"> PAGEREF _Toc6271 \h </w:instrText>
      </w:r>
      <w:r>
        <w:fldChar w:fldCharType="separate"/>
      </w:r>
      <w:r>
        <w:t>45</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_Toc64 </w:instrText>
      </w:r>
      <w:r>
        <w:rPr>
          <w:rFonts w:ascii="Times New Roman" w:hAnsi="Times New Roman" w:cs="Times New Roman"/>
          <w:bCs/>
          <w:szCs w:val="40"/>
        </w:rPr>
        <w:fldChar w:fldCharType="separate"/>
      </w:r>
      <w:r>
        <w:rPr>
          <w:rFonts w:ascii="Times New Roman" w:hAnsi="Times New Roman" w:cs="Times New Roman"/>
        </w:rPr>
        <w:t>3、提升环境品质，打造优质发展空间优化消费体验</w:t>
      </w:r>
      <w:r>
        <w:tab/>
      </w:r>
      <w:r>
        <w:fldChar w:fldCharType="begin"/>
      </w:r>
      <w:r>
        <w:instrText xml:space="preserve"> PAGEREF _Toc64 \h </w:instrText>
      </w:r>
      <w:r>
        <w:fldChar w:fldCharType="separate"/>
      </w:r>
      <w:r>
        <w:t>46</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_Toc13811 </w:instrText>
      </w:r>
      <w:r>
        <w:rPr>
          <w:rFonts w:ascii="Times New Roman" w:hAnsi="Times New Roman" w:cs="Times New Roman"/>
          <w:bCs/>
          <w:szCs w:val="40"/>
        </w:rPr>
        <w:fldChar w:fldCharType="separate"/>
      </w:r>
      <w:r>
        <w:rPr>
          <w:rFonts w:hint="default" w:ascii="Times New Roman" w:hAnsi="Times New Roman" w:cs="Times New Roman"/>
        </w:rPr>
        <w:t xml:space="preserve">（二） </w:t>
      </w:r>
      <w:r>
        <w:rPr>
          <w:rFonts w:ascii="Times New Roman" w:hAnsi="Times New Roman" w:cs="Times New Roman"/>
        </w:rPr>
        <w:t>推进珠江新城商圈打造世界级中央活力商圈</w:t>
      </w:r>
      <w:r>
        <w:tab/>
      </w:r>
      <w:r>
        <w:fldChar w:fldCharType="begin"/>
      </w:r>
      <w:r>
        <w:instrText xml:space="preserve"> PAGEREF _Toc13811 \h </w:instrText>
      </w:r>
      <w:r>
        <w:fldChar w:fldCharType="separate"/>
      </w:r>
      <w:r>
        <w:t>47</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_Toc25769 </w:instrText>
      </w:r>
      <w:r>
        <w:rPr>
          <w:rFonts w:ascii="Times New Roman" w:hAnsi="Times New Roman" w:cs="Times New Roman"/>
          <w:bCs/>
          <w:szCs w:val="40"/>
        </w:rPr>
        <w:fldChar w:fldCharType="separate"/>
      </w:r>
      <w:r>
        <w:rPr>
          <w:rFonts w:ascii="Times New Roman" w:hAnsi="Times New Roman" w:cs="Times New Roman"/>
        </w:rPr>
        <w:t>1、坚持商品与服务并重，贸易与消费兼顾</w:t>
      </w:r>
      <w:r>
        <w:tab/>
      </w:r>
      <w:r>
        <w:fldChar w:fldCharType="begin"/>
      </w:r>
      <w:r>
        <w:instrText xml:space="preserve"> PAGEREF _Toc25769 \h </w:instrText>
      </w:r>
      <w:r>
        <w:fldChar w:fldCharType="separate"/>
      </w:r>
      <w:r>
        <w:t>48</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_Toc25868 </w:instrText>
      </w:r>
      <w:r>
        <w:rPr>
          <w:rFonts w:ascii="Times New Roman" w:hAnsi="Times New Roman" w:cs="Times New Roman"/>
          <w:bCs/>
          <w:szCs w:val="40"/>
        </w:rPr>
        <w:fldChar w:fldCharType="separate"/>
      </w:r>
      <w:r>
        <w:rPr>
          <w:rFonts w:ascii="Times New Roman" w:hAnsi="Times New Roman" w:cs="Times New Roman"/>
        </w:rPr>
        <w:t>2、提升载体运营水平，加快拓展增量空间</w:t>
      </w:r>
      <w:r>
        <w:tab/>
      </w:r>
      <w:r>
        <w:fldChar w:fldCharType="begin"/>
      </w:r>
      <w:r>
        <w:instrText xml:space="preserve"> PAGEREF _Toc25868 \h </w:instrText>
      </w:r>
      <w:r>
        <w:fldChar w:fldCharType="separate"/>
      </w:r>
      <w:r>
        <w:t>50</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_Toc2690 </w:instrText>
      </w:r>
      <w:r>
        <w:rPr>
          <w:rFonts w:ascii="Times New Roman" w:hAnsi="Times New Roman" w:cs="Times New Roman"/>
          <w:bCs/>
          <w:szCs w:val="40"/>
        </w:rPr>
        <w:fldChar w:fldCharType="separate"/>
      </w:r>
      <w:r>
        <w:rPr>
          <w:rFonts w:ascii="Times New Roman" w:hAnsi="Times New Roman" w:cs="Times New Roman"/>
        </w:rPr>
        <w:t>3、联动天河路商圈，打造文商旅体融合发展第一圈</w:t>
      </w:r>
      <w:r>
        <w:tab/>
      </w:r>
      <w:r>
        <w:fldChar w:fldCharType="begin"/>
      </w:r>
      <w:r>
        <w:instrText xml:space="preserve"> PAGEREF _Toc2690 \h </w:instrText>
      </w:r>
      <w:r>
        <w:fldChar w:fldCharType="separate"/>
      </w:r>
      <w:r>
        <w:t>52</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_Toc433 </w:instrText>
      </w:r>
      <w:r>
        <w:rPr>
          <w:rFonts w:ascii="Times New Roman" w:hAnsi="Times New Roman" w:cs="Times New Roman"/>
          <w:bCs/>
          <w:szCs w:val="40"/>
        </w:rPr>
        <w:fldChar w:fldCharType="separate"/>
      </w:r>
      <w:r>
        <w:rPr>
          <w:rFonts w:hint="default" w:ascii="Times New Roman" w:hAnsi="Times New Roman" w:cs="Times New Roman"/>
        </w:rPr>
        <w:t xml:space="preserve">（三） </w:t>
      </w:r>
      <w:r>
        <w:rPr>
          <w:rFonts w:ascii="Times New Roman" w:hAnsi="Times New Roman" w:cs="Times New Roman"/>
        </w:rPr>
        <w:t>推进金融城商圈培育都会级商圈</w:t>
      </w:r>
      <w:r>
        <w:tab/>
      </w:r>
      <w:r>
        <w:fldChar w:fldCharType="begin"/>
      </w:r>
      <w:r>
        <w:instrText xml:space="preserve"> PAGEREF _Toc433 \h </w:instrText>
      </w:r>
      <w:r>
        <w:fldChar w:fldCharType="separate"/>
      </w:r>
      <w:r>
        <w:t>53</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_Toc4900 </w:instrText>
      </w:r>
      <w:r>
        <w:rPr>
          <w:rFonts w:ascii="Times New Roman" w:hAnsi="Times New Roman" w:cs="Times New Roman"/>
          <w:bCs/>
          <w:szCs w:val="40"/>
        </w:rPr>
        <w:fldChar w:fldCharType="separate"/>
      </w:r>
      <w:r>
        <w:rPr>
          <w:rFonts w:ascii="Times New Roman" w:hAnsi="Times New Roman" w:cs="Times New Roman"/>
        </w:rPr>
        <w:t>1、科学谋篇布局，明确片区功能定位</w:t>
      </w:r>
      <w:r>
        <w:tab/>
      </w:r>
      <w:r>
        <w:fldChar w:fldCharType="begin"/>
      </w:r>
      <w:r>
        <w:instrText xml:space="preserve"> PAGEREF _Toc4900 \h </w:instrText>
      </w:r>
      <w:r>
        <w:fldChar w:fldCharType="separate"/>
      </w:r>
      <w:r>
        <w:t>54</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_Toc12473 </w:instrText>
      </w:r>
      <w:r>
        <w:rPr>
          <w:rFonts w:ascii="Times New Roman" w:hAnsi="Times New Roman" w:cs="Times New Roman"/>
          <w:bCs/>
          <w:szCs w:val="40"/>
        </w:rPr>
        <w:fldChar w:fldCharType="separate"/>
      </w:r>
      <w:r>
        <w:rPr>
          <w:rFonts w:ascii="Times New Roman" w:hAnsi="Times New Roman" w:cs="Times New Roman"/>
        </w:rPr>
        <w:t>2、用好后发优势，引领数字消费发展</w:t>
      </w:r>
      <w:r>
        <w:tab/>
      </w:r>
      <w:r>
        <w:fldChar w:fldCharType="begin"/>
      </w:r>
      <w:r>
        <w:instrText xml:space="preserve"> PAGEREF _Toc12473 \h </w:instrText>
      </w:r>
      <w:r>
        <w:fldChar w:fldCharType="separate"/>
      </w:r>
      <w:r>
        <w:t>55</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_Toc32098 </w:instrText>
      </w:r>
      <w:r>
        <w:rPr>
          <w:rFonts w:ascii="Times New Roman" w:hAnsi="Times New Roman" w:cs="Times New Roman"/>
          <w:bCs/>
          <w:szCs w:val="40"/>
        </w:rPr>
        <w:fldChar w:fldCharType="separate"/>
      </w:r>
      <w:r>
        <w:rPr>
          <w:rFonts w:ascii="Times New Roman" w:hAnsi="Times New Roman" w:cs="Times New Roman"/>
        </w:rPr>
        <w:t>（四）加速优化商业空间布局</w:t>
      </w:r>
      <w:r>
        <w:tab/>
      </w:r>
      <w:r>
        <w:fldChar w:fldCharType="begin"/>
      </w:r>
      <w:r>
        <w:instrText xml:space="preserve"> PAGEREF _Toc32098 \h </w:instrText>
      </w:r>
      <w:r>
        <w:fldChar w:fldCharType="separate"/>
      </w:r>
      <w:r>
        <w:t>56</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_Toc5532 </w:instrText>
      </w:r>
      <w:r>
        <w:rPr>
          <w:rFonts w:ascii="Times New Roman" w:hAnsi="Times New Roman" w:cs="Times New Roman"/>
          <w:bCs/>
          <w:szCs w:val="40"/>
        </w:rPr>
        <w:fldChar w:fldCharType="separate"/>
      </w:r>
      <w:r>
        <w:rPr>
          <w:rFonts w:ascii="Times New Roman" w:hAnsi="Times New Roman" w:cs="Times New Roman"/>
        </w:rPr>
        <w:t>1、打造“1+1+N”多层次商业空间体系</w:t>
      </w:r>
      <w:r>
        <w:tab/>
      </w:r>
      <w:r>
        <w:fldChar w:fldCharType="begin"/>
      </w:r>
      <w:r>
        <w:instrText xml:space="preserve"> PAGEREF _Toc5532 \h </w:instrText>
      </w:r>
      <w:r>
        <w:fldChar w:fldCharType="separate"/>
      </w:r>
      <w:r>
        <w:t>56</w:t>
      </w:r>
      <w:r>
        <w:fldChar w:fldCharType="end"/>
      </w:r>
      <w:r>
        <w:rPr>
          <w:rFonts w:ascii="Times New Roman" w:hAnsi="Times New Roman" w:cs="Times New Roman"/>
          <w:bCs/>
          <w:color w:val="auto"/>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_Toc18175 </w:instrText>
      </w:r>
      <w:r>
        <w:rPr>
          <w:rFonts w:ascii="Times New Roman" w:hAnsi="Times New Roman" w:cs="Times New Roman"/>
          <w:bCs/>
          <w:szCs w:val="40"/>
        </w:rPr>
        <w:fldChar w:fldCharType="separate"/>
      </w:r>
      <w:r>
        <w:rPr>
          <w:rFonts w:ascii="Times New Roman" w:hAnsi="Times New Roman" w:cs="Times New Roman"/>
        </w:rPr>
        <w:t>2、构建“两轴联动，环状布局”空间发展格局</w:t>
      </w:r>
      <w:r>
        <w:tab/>
      </w:r>
      <w:r>
        <w:fldChar w:fldCharType="begin"/>
      </w:r>
      <w:r>
        <w:instrText xml:space="preserve"> PAGEREF _Toc18175 \h </w:instrText>
      </w:r>
      <w:r>
        <w:fldChar w:fldCharType="separate"/>
      </w:r>
      <w:r>
        <w:t>57</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_Toc9877 </w:instrText>
      </w:r>
      <w:r>
        <w:rPr>
          <w:rFonts w:ascii="Times New Roman" w:hAnsi="Times New Roman" w:cs="Times New Roman"/>
          <w:bCs/>
          <w:szCs w:val="40"/>
        </w:rPr>
        <w:fldChar w:fldCharType="separate"/>
      </w:r>
      <w:r>
        <w:rPr>
          <w:rFonts w:ascii="Times New Roman" w:hAnsi="Times New Roman" w:cs="Times New Roman"/>
        </w:rPr>
        <w:t>第五章 推动对外贸易创新发展</w:t>
      </w:r>
      <w:r>
        <w:tab/>
      </w:r>
      <w:r>
        <w:fldChar w:fldCharType="begin"/>
      </w:r>
      <w:r>
        <w:instrText xml:space="preserve"> PAGEREF _Toc9877 \h </w:instrText>
      </w:r>
      <w:r>
        <w:fldChar w:fldCharType="separate"/>
      </w:r>
      <w:r>
        <w:t>58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_Toc18112 </w:instrText>
      </w:r>
      <w:r>
        <w:rPr>
          <w:rFonts w:ascii="Times New Roman" w:hAnsi="Times New Roman" w:cs="Times New Roman"/>
          <w:bCs/>
          <w:szCs w:val="40"/>
        </w:rPr>
        <w:fldChar w:fldCharType="separate"/>
      </w:r>
      <w:r>
        <w:rPr>
          <w:rFonts w:ascii="Times New Roman" w:hAnsi="Times New Roman" w:cs="Times New Roman"/>
        </w:rPr>
        <w:t>（一）调整优化外贸结构，扩大贸易规模</w:t>
      </w:r>
      <w:r>
        <w:tab/>
      </w:r>
      <w:r>
        <w:fldChar w:fldCharType="begin"/>
      </w:r>
      <w:r>
        <w:instrText xml:space="preserve"> PAGEREF _Toc18112 \h </w:instrText>
      </w:r>
      <w:r>
        <w:fldChar w:fldCharType="separate"/>
      </w:r>
      <w:r>
        <w:t>59</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_Toc6887 </w:instrText>
      </w:r>
      <w:r>
        <w:rPr>
          <w:rFonts w:ascii="Times New Roman" w:hAnsi="Times New Roman" w:cs="Times New Roman"/>
          <w:bCs/>
          <w:szCs w:val="40"/>
        </w:rPr>
        <w:fldChar w:fldCharType="separate"/>
      </w:r>
      <w:r>
        <w:rPr>
          <w:rFonts w:ascii="Times New Roman" w:hAnsi="Times New Roman" w:cs="Times New Roman"/>
        </w:rPr>
        <w:t>（二）提高综合服务水平，构建良好环境</w:t>
      </w:r>
      <w:r>
        <w:tab/>
      </w:r>
      <w:r>
        <w:fldChar w:fldCharType="begin"/>
      </w:r>
      <w:r>
        <w:instrText xml:space="preserve"> PAGEREF _Toc6887 \h </w:instrText>
      </w:r>
      <w:r>
        <w:fldChar w:fldCharType="separate"/>
      </w:r>
      <w:r>
        <w:t>60</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_Toc27693 </w:instrText>
      </w:r>
      <w:r>
        <w:rPr>
          <w:rFonts w:ascii="Times New Roman" w:hAnsi="Times New Roman" w:cs="Times New Roman"/>
          <w:bCs/>
          <w:szCs w:val="40"/>
        </w:rPr>
        <w:fldChar w:fldCharType="separate"/>
      </w:r>
      <w:r>
        <w:rPr>
          <w:rFonts w:ascii="Times New Roman" w:hAnsi="Times New Roman" w:cs="Times New Roman"/>
        </w:rPr>
        <w:t>（三）加强对外合作交流，提升对接效率</w:t>
      </w:r>
      <w:r>
        <w:tab/>
      </w:r>
      <w:r>
        <w:fldChar w:fldCharType="begin"/>
      </w:r>
      <w:r>
        <w:instrText xml:space="preserve"> PAGEREF _Toc27693 \h </w:instrText>
      </w:r>
      <w:r>
        <w:fldChar w:fldCharType="separate"/>
      </w:r>
      <w:r>
        <w:t>61</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_Toc3099 </w:instrText>
      </w:r>
      <w:r>
        <w:rPr>
          <w:rFonts w:ascii="Times New Roman" w:hAnsi="Times New Roman" w:cs="Times New Roman"/>
          <w:bCs/>
          <w:szCs w:val="40"/>
        </w:rPr>
        <w:fldChar w:fldCharType="separate"/>
      </w:r>
      <w:r>
        <w:rPr>
          <w:rFonts w:ascii="Times New Roman" w:hAnsi="Times New Roman" w:cs="Times New Roman"/>
        </w:rPr>
        <w:t>第六章 大力优化营商环境</w:t>
      </w:r>
      <w:r>
        <w:tab/>
      </w:r>
      <w:r>
        <w:fldChar w:fldCharType="begin"/>
      </w:r>
      <w:r>
        <w:instrText xml:space="preserve"> PAGEREF _Toc3099 \h </w:instrText>
      </w:r>
      <w:r>
        <w:fldChar w:fldCharType="separate"/>
      </w:r>
      <w:r>
        <w:t>61</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_Toc14910 </w:instrText>
      </w:r>
      <w:r>
        <w:rPr>
          <w:rFonts w:ascii="Times New Roman" w:hAnsi="Times New Roman" w:cs="Times New Roman"/>
          <w:bCs/>
          <w:szCs w:val="40"/>
        </w:rPr>
        <w:fldChar w:fldCharType="separate"/>
      </w:r>
      <w:r>
        <w:rPr>
          <w:rFonts w:ascii="Times New Roman" w:hAnsi="Times New Roman" w:cs="Times New Roman"/>
        </w:rPr>
        <w:t>（一）加强招商引资和企业培育</w:t>
      </w:r>
      <w:r>
        <w:tab/>
      </w:r>
      <w:r>
        <w:fldChar w:fldCharType="begin"/>
      </w:r>
      <w:r>
        <w:instrText xml:space="preserve"> PAGEREF _Toc14910 \h </w:instrText>
      </w:r>
      <w:r>
        <w:fldChar w:fldCharType="separate"/>
      </w:r>
      <w:r>
        <w:t>62</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_Toc27259 </w:instrText>
      </w:r>
      <w:r>
        <w:rPr>
          <w:rFonts w:ascii="Times New Roman" w:hAnsi="Times New Roman" w:cs="Times New Roman"/>
          <w:bCs/>
          <w:szCs w:val="40"/>
        </w:rPr>
        <w:fldChar w:fldCharType="separate"/>
      </w:r>
      <w:r>
        <w:rPr>
          <w:rFonts w:ascii="Times New Roman" w:hAnsi="Times New Roman" w:cs="Times New Roman"/>
        </w:rPr>
        <w:t>（二）优化要素供给和产业生态</w:t>
      </w:r>
      <w:r>
        <w:tab/>
      </w:r>
      <w:r>
        <w:fldChar w:fldCharType="begin"/>
      </w:r>
      <w:r>
        <w:instrText xml:space="preserve"> PAGEREF _Toc27259 \h </w:instrText>
      </w:r>
      <w:r>
        <w:fldChar w:fldCharType="separate"/>
      </w:r>
      <w:r>
        <w:t>64</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_Toc15494 </w:instrText>
      </w:r>
      <w:r>
        <w:rPr>
          <w:rFonts w:ascii="Times New Roman" w:hAnsi="Times New Roman" w:cs="Times New Roman"/>
          <w:bCs/>
          <w:szCs w:val="40"/>
        </w:rPr>
        <w:fldChar w:fldCharType="separate"/>
      </w:r>
      <w:r>
        <w:rPr>
          <w:rFonts w:ascii="Times New Roman" w:hAnsi="Times New Roman" w:cs="Times New Roman"/>
        </w:rPr>
        <w:t>（三）建立包容审慎监管机制</w:t>
      </w:r>
      <w:r>
        <w:tab/>
      </w:r>
      <w:r>
        <w:fldChar w:fldCharType="begin"/>
      </w:r>
      <w:r>
        <w:instrText xml:space="preserve"> PAGEREF _Toc15494 \h </w:instrText>
      </w:r>
      <w:r>
        <w:fldChar w:fldCharType="separate"/>
      </w:r>
      <w:r>
        <w:t>66</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_Toc9746 </w:instrText>
      </w:r>
      <w:r>
        <w:rPr>
          <w:rFonts w:ascii="Times New Roman" w:hAnsi="Times New Roman" w:cs="Times New Roman"/>
          <w:bCs/>
          <w:szCs w:val="40"/>
        </w:rPr>
        <w:fldChar w:fldCharType="separate"/>
      </w:r>
      <w:r>
        <w:rPr>
          <w:rFonts w:ascii="Times New Roman" w:hAnsi="Times New Roman" w:cs="Times New Roman"/>
        </w:rPr>
        <w:t>（四）营造安全放心消费环境</w:t>
      </w:r>
      <w:r>
        <w:tab/>
      </w:r>
      <w:r>
        <w:fldChar w:fldCharType="begin"/>
      </w:r>
      <w:r>
        <w:instrText xml:space="preserve"> PAGEREF _Toc9746 \h </w:instrText>
      </w:r>
      <w:r>
        <w:fldChar w:fldCharType="separate"/>
      </w:r>
      <w:r>
        <w:t>67</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_Toc29335 </w:instrText>
      </w:r>
      <w:r>
        <w:rPr>
          <w:rFonts w:ascii="Times New Roman" w:hAnsi="Times New Roman" w:cs="Times New Roman"/>
          <w:bCs/>
          <w:szCs w:val="40"/>
        </w:rPr>
        <w:fldChar w:fldCharType="separate"/>
      </w:r>
      <w:r>
        <w:rPr>
          <w:rFonts w:ascii="Times New Roman" w:hAnsi="Times New Roman" w:cs="Times New Roman"/>
        </w:rPr>
        <w:t>第七章 保障措施</w:t>
      </w:r>
      <w:r>
        <w:tab/>
      </w:r>
      <w:r>
        <w:fldChar w:fldCharType="begin"/>
      </w:r>
      <w:r>
        <w:instrText xml:space="preserve"> PAGEREF _Toc29335 \h </w:instrText>
      </w:r>
      <w:r>
        <w:fldChar w:fldCharType="separate"/>
      </w:r>
      <w:r>
        <w:t>68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_Toc14583 </w:instrText>
      </w:r>
      <w:r>
        <w:rPr>
          <w:rFonts w:ascii="Times New Roman" w:hAnsi="Times New Roman" w:cs="Times New Roman"/>
          <w:bCs/>
          <w:szCs w:val="40"/>
        </w:rPr>
        <w:fldChar w:fldCharType="separate"/>
      </w:r>
      <w:r>
        <w:rPr>
          <w:rFonts w:ascii="Times New Roman" w:hAnsi="Times New Roman" w:cs="Times New Roman"/>
        </w:rPr>
        <w:t>（一）加强组织领导</w:t>
      </w:r>
      <w:r>
        <w:tab/>
      </w:r>
      <w:r>
        <w:fldChar w:fldCharType="begin"/>
      </w:r>
      <w:r>
        <w:instrText xml:space="preserve"> PAGEREF _Toc14583 \h </w:instrText>
      </w:r>
      <w:r>
        <w:fldChar w:fldCharType="separate"/>
      </w:r>
      <w:r>
        <w:t>68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_Toc19388 </w:instrText>
      </w:r>
      <w:r>
        <w:rPr>
          <w:rFonts w:ascii="Times New Roman" w:hAnsi="Times New Roman" w:cs="Times New Roman"/>
          <w:bCs/>
          <w:szCs w:val="40"/>
        </w:rPr>
        <w:fldChar w:fldCharType="separate"/>
      </w:r>
      <w:r>
        <w:rPr>
          <w:rFonts w:ascii="Times New Roman" w:hAnsi="Times New Roman" w:cs="Times New Roman"/>
        </w:rPr>
        <w:t>（二）完善监督机制</w:t>
      </w:r>
      <w:r>
        <w:tab/>
      </w:r>
      <w:r>
        <w:fldChar w:fldCharType="begin"/>
      </w:r>
      <w:r>
        <w:instrText xml:space="preserve"> PAGEREF _Toc19388 \h </w:instrText>
      </w:r>
      <w:r>
        <w:fldChar w:fldCharType="separate"/>
      </w:r>
      <w:r>
        <w:t>68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_Toc25778 </w:instrText>
      </w:r>
      <w:r>
        <w:rPr>
          <w:rFonts w:ascii="Times New Roman" w:hAnsi="Times New Roman" w:cs="Times New Roman"/>
          <w:bCs/>
          <w:szCs w:val="40"/>
        </w:rPr>
        <w:fldChar w:fldCharType="separate"/>
      </w:r>
      <w:r>
        <w:rPr>
          <w:rFonts w:ascii="Times New Roman" w:hAnsi="Times New Roman" w:cs="Times New Roman"/>
        </w:rPr>
        <w:t>（三）强化宣传推广</w:t>
      </w:r>
      <w:r>
        <w:tab/>
      </w:r>
      <w:r>
        <w:fldChar w:fldCharType="begin"/>
      </w:r>
      <w:r>
        <w:instrText xml:space="preserve"> PAGEREF _Toc25778 \h </w:instrText>
      </w:r>
      <w:r>
        <w:fldChar w:fldCharType="separate"/>
      </w:r>
      <w:r>
        <w:t>69</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_Toc23859 </w:instrText>
      </w:r>
      <w:r>
        <w:rPr>
          <w:rFonts w:ascii="Times New Roman" w:hAnsi="Times New Roman" w:cs="Times New Roman"/>
          <w:bCs/>
          <w:szCs w:val="40"/>
        </w:rPr>
        <w:fldChar w:fldCharType="separate"/>
      </w:r>
      <w:r>
        <w:rPr>
          <w:rFonts w:ascii="Times New Roman" w:hAnsi="Times New Roman" w:cs="Times New Roman"/>
        </w:rPr>
        <w:t>附件</w:t>
      </w:r>
      <w:r>
        <w:tab/>
      </w:r>
      <w:r>
        <w:fldChar w:fldCharType="begin"/>
      </w:r>
      <w:r>
        <w:instrText xml:space="preserve"> PAGEREF _Toc23859 \h </w:instrText>
      </w:r>
      <w:r>
        <w:fldChar w:fldCharType="separate"/>
      </w:r>
      <w:r>
        <w:t>70</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_Toc17397 </w:instrText>
      </w:r>
      <w:r>
        <w:rPr>
          <w:rFonts w:ascii="Times New Roman" w:hAnsi="Times New Roman" w:cs="Times New Roman"/>
          <w:bCs/>
          <w:szCs w:val="40"/>
        </w:rPr>
        <w:fldChar w:fldCharType="separate"/>
      </w:r>
      <w:r>
        <w:rPr>
          <w:rFonts w:ascii="Times New Roman" w:hAnsi="Times New Roman" w:cs="Times New Roman"/>
        </w:rPr>
        <w:t>（一）天河区“十四五”重点商贸项目</w:t>
      </w:r>
      <w:r>
        <w:tab/>
      </w:r>
      <w:r>
        <w:fldChar w:fldCharType="begin"/>
      </w:r>
      <w:r>
        <w:instrText xml:space="preserve"> PAGEREF _Toc17397 \h </w:instrText>
      </w:r>
      <w:r>
        <w:fldChar w:fldCharType="separate"/>
      </w:r>
      <w:r>
        <w:t>70</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_Toc3984 </w:instrText>
      </w:r>
      <w:r>
        <w:rPr>
          <w:rFonts w:ascii="Times New Roman" w:hAnsi="Times New Roman" w:cs="Times New Roman"/>
          <w:bCs/>
          <w:szCs w:val="40"/>
        </w:rPr>
        <w:fldChar w:fldCharType="separate"/>
      </w:r>
      <w:r>
        <w:rPr>
          <w:rFonts w:ascii="Times New Roman" w:hAnsi="Times New Roman" w:cs="Times New Roman"/>
        </w:rPr>
        <w:t>（二）天河区商圈重点道路交通建设项目</w:t>
      </w:r>
      <w:r>
        <w:tab/>
      </w:r>
      <w:r>
        <w:fldChar w:fldCharType="begin"/>
      </w:r>
      <w:r>
        <w:instrText xml:space="preserve"> PAGEREF _Toc3984 \h </w:instrText>
      </w:r>
      <w:r>
        <w:fldChar w:fldCharType="separate"/>
      </w:r>
      <w:r>
        <w:t>73</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_Toc6920 </w:instrText>
      </w:r>
      <w:r>
        <w:rPr>
          <w:rFonts w:ascii="Times New Roman" w:hAnsi="Times New Roman" w:cs="Times New Roman"/>
          <w:bCs/>
          <w:szCs w:val="40"/>
        </w:rPr>
        <w:fldChar w:fldCharType="separate"/>
      </w:r>
      <w:r>
        <w:rPr>
          <w:rFonts w:ascii="Times New Roman" w:hAnsi="Times New Roman" w:cs="Times New Roman"/>
        </w:rPr>
        <w:t>（三）天河区2022-2025年商服用地供应计划</w:t>
      </w:r>
      <w:r>
        <w:tab/>
      </w:r>
      <w:r>
        <w:fldChar w:fldCharType="begin"/>
      </w:r>
      <w:r>
        <w:instrText xml:space="preserve"> PAGEREF _Toc6920 \h </w:instrText>
      </w:r>
      <w:r>
        <w:fldChar w:fldCharType="separate"/>
      </w:r>
      <w:r>
        <w:t>76</w:t>
      </w:r>
      <w:r>
        <w:fldChar w:fldCharType="end"/>
      </w:r>
      <w:r>
        <w:rPr>
          <w:rFonts w:ascii="Times New Roman" w:hAnsi="Times New Roman" w:cs="Times New Roman"/>
          <w:bCs/>
          <w:color w:val="auto"/>
          <w:szCs w:val="40"/>
        </w:rPr>
        <w:fldChar w:fldCharType="end"/>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_Toc9208 </w:instrText>
      </w:r>
      <w:r>
        <w:rPr>
          <w:rFonts w:ascii="Times New Roman" w:hAnsi="Times New Roman" w:cs="Times New Roman"/>
          <w:bCs/>
          <w:szCs w:val="40"/>
        </w:rPr>
        <w:fldChar w:fldCharType="separate"/>
      </w:r>
      <w:r>
        <w:rPr>
          <w:rFonts w:ascii="Times New Roman" w:hAnsi="Times New Roman" w:cs="Times New Roman"/>
        </w:rPr>
        <w:t>附</w:t>
      </w:r>
      <w:r>
        <w:rPr>
          <w:rFonts w:hint="eastAsia" w:ascii="Times New Roman" w:hAnsi="Times New Roman" w:cs="Times New Roman"/>
        </w:rPr>
        <w:t>表</w:t>
      </w:r>
      <w:r>
        <w:tab/>
      </w:r>
      <w:r>
        <w:fldChar w:fldCharType="begin"/>
      </w:r>
      <w:r>
        <w:instrText xml:space="preserve"> PAGEREF _Toc9208 \h </w:instrText>
      </w:r>
      <w:r>
        <w:fldChar w:fldCharType="separate"/>
      </w:r>
      <w:r>
        <w:t>79</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_Toc25744 </w:instrText>
      </w:r>
      <w:r>
        <w:rPr>
          <w:rFonts w:ascii="Times New Roman" w:hAnsi="Times New Roman" w:cs="Times New Roman"/>
          <w:bCs/>
          <w:szCs w:val="40"/>
        </w:rPr>
        <w:fldChar w:fldCharType="separate"/>
      </w:r>
      <w:r>
        <w:rPr>
          <w:rFonts w:hint="eastAsia" w:ascii="Times New Roman" w:hAnsi="Times New Roman" w:cs="Times New Roman"/>
        </w:rPr>
        <w:t>（一）天河区批发业销售额5</w:t>
      </w:r>
      <w:r>
        <w:rPr>
          <w:rFonts w:ascii="Times New Roman" w:hAnsi="Times New Roman" w:cs="Times New Roman"/>
        </w:rPr>
        <w:t>0</w:t>
      </w:r>
      <w:r>
        <w:rPr>
          <w:rFonts w:hint="eastAsia" w:ascii="Times New Roman" w:hAnsi="Times New Roman" w:cs="Times New Roman"/>
        </w:rPr>
        <w:t>亿元以上企业名单</w:t>
      </w:r>
      <w:r>
        <w:tab/>
      </w:r>
      <w:r>
        <w:fldChar w:fldCharType="begin"/>
      </w:r>
      <w:r>
        <w:instrText xml:space="preserve"> PAGEREF _Toc25744 \h </w:instrText>
      </w:r>
      <w:r>
        <w:fldChar w:fldCharType="separate"/>
      </w:r>
      <w:r>
        <w:t>79</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_Toc14405 </w:instrText>
      </w:r>
      <w:r>
        <w:rPr>
          <w:rFonts w:ascii="Times New Roman" w:hAnsi="Times New Roman" w:cs="Times New Roman"/>
          <w:bCs/>
          <w:szCs w:val="40"/>
        </w:rPr>
        <w:fldChar w:fldCharType="separate"/>
      </w:r>
      <w:r>
        <w:rPr>
          <w:rFonts w:hint="eastAsia" w:ascii="Times New Roman" w:hAnsi="Times New Roman" w:cs="Times New Roman"/>
        </w:rPr>
        <w:t>（二）天河区专业批发市场名单</w:t>
      </w:r>
      <w:r>
        <w:tab/>
      </w:r>
      <w:r>
        <w:fldChar w:fldCharType="begin"/>
      </w:r>
      <w:r>
        <w:instrText xml:space="preserve"> PAGEREF _Toc14405 \h </w:instrText>
      </w:r>
      <w:r>
        <w:fldChar w:fldCharType="separate"/>
      </w:r>
      <w:r>
        <w:t>81</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_Toc17820 </w:instrText>
      </w:r>
      <w:r>
        <w:rPr>
          <w:rFonts w:ascii="Times New Roman" w:hAnsi="Times New Roman" w:cs="Times New Roman"/>
          <w:bCs/>
          <w:szCs w:val="40"/>
        </w:rPr>
        <w:fldChar w:fldCharType="separate"/>
      </w:r>
      <w:r>
        <w:rPr>
          <w:rFonts w:hint="eastAsia" w:ascii="Times New Roman" w:hAnsi="Times New Roman" w:cs="Times New Roman"/>
        </w:rPr>
        <w:t>（三）天河区零售业销售额1</w:t>
      </w:r>
      <w:r>
        <w:rPr>
          <w:rFonts w:ascii="Times New Roman" w:hAnsi="Times New Roman" w:cs="Times New Roman"/>
        </w:rPr>
        <w:t>0</w:t>
      </w:r>
      <w:r>
        <w:rPr>
          <w:rFonts w:hint="eastAsia" w:ascii="Times New Roman" w:hAnsi="Times New Roman" w:cs="Times New Roman"/>
        </w:rPr>
        <w:t>亿元以上企业名单</w:t>
      </w:r>
      <w:r>
        <w:tab/>
      </w:r>
      <w:r>
        <w:fldChar w:fldCharType="begin"/>
      </w:r>
      <w:r>
        <w:instrText xml:space="preserve"> PAGEREF _Toc17820 \h </w:instrText>
      </w:r>
      <w:r>
        <w:fldChar w:fldCharType="separate"/>
      </w:r>
      <w:r>
        <w:t>84</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_Toc26978 </w:instrText>
      </w:r>
      <w:r>
        <w:rPr>
          <w:rFonts w:ascii="Times New Roman" w:hAnsi="Times New Roman" w:cs="Times New Roman"/>
          <w:bCs/>
          <w:szCs w:val="40"/>
        </w:rPr>
        <w:fldChar w:fldCharType="separate"/>
      </w:r>
      <w:r>
        <w:rPr>
          <w:rFonts w:hint="eastAsia" w:ascii="Times New Roman" w:hAnsi="Times New Roman" w:cs="Times New Roman"/>
        </w:rPr>
        <w:t>（四）</w:t>
      </w:r>
      <w:r>
        <w:rPr>
          <w:rFonts w:ascii="Times New Roman" w:hAnsi="Times New Roman" w:cs="Times New Roman"/>
        </w:rPr>
        <w:t>营业收入超亿元且未纳入限上住宿业统计酒店</w:t>
      </w:r>
      <w:r>
        <w:rPr>
          <w:rFonts w:hint="eastAsia" w:ascii="Times New Roman" w:hAnsi="Times New Roman" w:cs="Times New Roman"/>
        </w:rPr>
        <w:t>名单</w:t>
      </w:r>
      <w:r>
        <w:tab/>
      </w:r>
      <w:r>
        <w:fldChar w:fldCharType="begin"/>
      </w:r>
      <w:r>
        <w:instrText xml:space="preserve"> PAGEREF _Toc26978 \h </w:instrText>
      </w:r>
      <w:r>
        <w:fldChar w:fldCharType="separate"/>
      </w:r>
      <w:r>
        <w:t>86</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_Toc11043 </w:instrText>
      </w:r>
      <w:r>
        <w:rPr>
          <w:rFonts w:ascii="Times New Roman" w:hAnsi="Times New Roman" w:cs="Times New Roman"/>
          <w:bCs/>
          <w:szCs w:val="40"/>
        </w:rPr>
        <w:fldChar w:fldCharType="separate"/>
      </w:r>
      <w:r>
        <w:rPr>
          <w:rFonts w:hint="eastAsia" w:ascii="Times New Roman" w:hAnsi="Times New Roman" w:cs="Times New Roman"/>
        </w:rPr>
        <w:t>（五）天河区汽车销售额超5亿元企业名单</w:t>
      </w:r>
      <w:r>
        <w:tab/>
      </w:r>
      <w:r>
        <w:fldChar w:fldCharType="begin"/>
      </w:r>
      <w:r>
        <w:instrText xml:space="preserve"> PAGEREF _Toc11043 \h </w:instrText>
      </w:r>
      <w:r>
        <w:fldChar w:fldCharType="separate"/>
      </w:r>
      <w:r>
        <w:t>87</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_Toc27989 </w:instrText>
      </w:r>
      <w:r>
        <w:rPr>
          <w:rFonts w:ascii="Times New Roman" w:hAnsi="Times New Roman" w:cs="Times New Roman"/>
          <w:bCs/>
          <w:szCs w:val="40"/>
        </w:rPr>
        <w:fldChar w:fldCharType="separate"/>
      </w:r>
      <w:r>
        <w:rPr>
          <w:rFonts w:hint="eastAsia" w:ascii="Times New Roman" w:hAnsi="Times New Roman" w:cs="Times New Roman"/>
        </w:rPr>
        <w:t>（六）天河区医药和医疗器械销售额超</w:t>
      </w:r>
      <w:r>
        <w:rPr>
          <w:rFonts w:ascii="Times New Roman" w:hAnsi="Times New Roman" w:cs="Times New Roman"/>
        </w:rPr>
        <w:t>3</w:t>
      </w:r>
      <w:r>
        <w:rPr>
          <w:rFonts w:hint="eastAsia" w:ascii="Times New Roman" w:hAnsi="Times New Roman" w:cs="Times New Roman"/>
        </w:rPr>
        <w:t>亿元企业名单</w:t>
      </w:r>
      <w:r>
        <w:tab/>
      </w:r>
      <w:r>
        <w:fldChar w:fldCharType="begin"/>
      </w:r>
      <w:r>
        <w:instrText xml:space="preserve"> PAGEREF _Toc27989 \h </w:instrText>
      </w:r>
      <w:r>
        <w:fldChar w:fldCharType="separate"/>
      </w:r>
      <w:r>
        <w:t>88</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_Toc9296 </w:instrText>
      </w:r>
      <w:r>
        <w:rPr>
          <w:rFonts w:ascii="Times New Roman" w:hAnsi="Times New Roman" w:cs="Times New Roman"/>
          <w:bCs/>
          <w:szCs w:val="40"/>
        </w:rPr>
        <w:fldChar w:fldCharType="separate"/>
      </w:r>
      <w:r>
        <w:rPr>
          <w:rFonts w:hint="eastAsia" w:ascii="Times New Roman" w:hAnsi="Times New Roman" w:cs="Times New Roman"/>
        </w:rPr>
        <w:t>（七）天河区批零业家居产业情况</w:t>
      </w:r>
      <w:r>
        <w:tab/>
      </w:r>
      <w:r>
        <w:fldChar w:fldCharType="begin"/>
      </w:r>
      <w:r>
        <w:instrText xml:space="preserve"> PAGEREF _Toc9296 \h </w:instrText>
      </w:r>
      <w:r>
        <w:fldChar w:fldCharType="separate"/>
      </w:r>
      <w:r>
        <w:t>89</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_Toc2774 </w:instrText>
      </w:r>
      <w:r>
        <w:rPr>
          <w:rFonts w:ascii="Times New Roman" w:hAnsi="Times New Roman" w:cs="Times New Roman"/>
          <w:bCs/>
          <w:szCs w:val="40"/>
        </w:rPr>
        <w:fldChar w:fldCharType="separate"/>
      </w:r>
      <w:r>
        <w:rPr>
          <w:rFonts w:hint="eastAsia" w:ascii="Times New Roman" w:hAnsi="Times New Roman" w:cs="Times New Roman"/>
        </w:rPr>
        <w:t>（八）</w:t>
      </w:r>
      <w:r>
        <w:rPr>
          <w:rFonts w:ascii="Times New Roman" w:hAnsi="Times New Roman" w:cs="Times New Roman"/>
        </w:rPr>
        <w:t>天河路商圈大型商业综合体及地下商业综合体情况</w:t>
      </w:r>
      <w:r>
        <w:tab/>
      </w:r>
      <w:r>
        <w:fldChar w:fldCharType="begin"/>
      </w:r>
      <w:r>
        <w:instrText xml:space="preserve"> PAGEREF _Toc2774 \h </w:instrText>
      </w:r>
      <w:r>
        <w:fldChar w:fldCharType="separate"/>
      </w:r>
      <w:r>
        <w:t>91</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_Toc26706 </w:instrText>
      </w:r>
      <w:r>
        <w:rPr>
          <w:rFonts w:ascii="Times New Roman" w:hAnsi="Times New Roman" w:cs="Times New Roman"/>
          <w:bCs/>
          <w:szCs w:val="40"/>
        </w:rPr>
        <w:fldChar w:fldCharType="separate"/>
      </w:r>
      <w:r>
        <w:rPr>
          <w:rFonts w:hint="eastAsia" w:ascii="Times New Roman" w:hAnsi="Times New Roman" w:cs="Times New Roman"/>
        </w:rPr>
        <w:t>（九）</w:t>
      </w:r>
      <w:r>
        <w:rPr>
          <w:rFonts w:ascii="Times New Roman" w:hAnsi="Times New Roman" w:cs="Times New Roman"/>
        </w:rPr>
        <w:t>珠江新城商圈大型商业综合体及地下商业综合体情况</w:t>
      </w:r>
      <w:r>
        <w:tab/>
      </w:r>
      <w:r>
        <w:fldChar w:fldCharType="begin"/>
      </w:r>
      <w:r>
        <w:instrText xml:space="preserve"> PAGEREF _Toc26706 \h </w:instrText>
      </w:r>
      <w:r>
        <w:fldChar w:fldCharType="separate"/>
      </w:r>
      <w:r>
        <w:t>92</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_Toc16996 </w:instrText>
      </w:r>
      <w:r>
        <w:rPr>
          <w:rFonts w:ascii="Times New Roman" w:hAnsi="Times New Roman" w:cs="Times New Roman"/>
          <w:bCs/>
          <w:szCs w:val="40"/>
        </w:rPr>
        <w:fldChar w:fldCharType="separate"/>
      </w:r>
      <w:r>
        <w:rPr>
          <w:rFonts w:hint="eastAsia" w:ascii="Times New Roman" w:hAnsi="Times New Roman" w:cs="Times New Roman"/>
        </w:rPr>
        <w:t>（十）</w:t>
      </w:r>
      <w:r>
        <w:rPr>
          <w:rFonts w:ascii="Times New Roman" w:hAnsi="Times New Roman" w:cs="Times New Roman"/>
        </w:rPr>
        <w:t>天河区货物贸易情况与进出口企业名单</w:t>
      </w:r>
      <w:r>
        <w:tab/>
      </w:r>
      <w:r>
        <w:fldChar w:fldCharType="begin"/>
      </w:r>
      <w:r>
        <w:instrText xml:space="preserve"> PAGEREF _Toc16996 \h </w:instrText>
      </w:r>
      <w:r>
        <w:fldChar w:fldCharType="separate"/>
      </w:r>
      <w:r>
        <w:t>93</w:t>
      </w:r>
      <w:r>
        <w:fldChar w:fldCharType="end"/>
      </w:r>
      <w:r>
        <w:rPr>
          <w:rFonts w:ascii="Times New Roman" w:hAnsi="Times New Roman" w:cs="Times New Roman"/>
          <w:bCs/>
          <w:color w:val="auto"/>
          <w:szCs w:val="40"/>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before="0" w:beforeAutospacing="0" w:afterAutospacing="0" w:line="560" w:lineRule="exact"/>
        <w:ind w:right="0" w:rightChars="0"/>
        <w:textAlignment w:val="auto"/>
      </w:pPr>
      <w:r>
        <w:rPr>
          <w:rFonts w:ascii="Times New Roman" w:hAnsi="Times New Roman" w:cs="Times New Roman"/>
          <w:bCs/>
          <w:color w:val="auto"/>
          <w:szCs w:val="40"/>
        </w:rPr>
        <w:fldChar w:fldCharType="begin"/>
      </w:r>
      <w:r>
        <w:rPr>
          <w:rFonts w:ascii="Times New Roman" w:hAnsi="Times New Roman" w:cs="Times New Roman"/>
          <w:bCs/>
          <w:szCs w:val="40"/>
        </w:rPr>
        <w:instrText xml:space="preserve"> HYPERLINK \l _Toc11147 </w:instrText>
      </w:r>
      <w:r>
        <w:rPr>
          <w:rFonts w:ascii="Times New Roman" w:hAnsi="Times New Roman" w:cs="Times New Roman"/>
          <w:bCs/>
          <w:szCs w:val="40"/>
        </w:rPr>
        <w:fldChar w:fldCharType="separate"/>
      </w:r>
      <w:r>
        <w:rPr>
          <w:rFonts w:hint="eastAsia" w:ascii="Times New Roman" w:hAnsi="Times New Roman" w:cs="Times New Roman"/>
        </w:rPr>
        <w:t>（十一）</w:t>
      </w:r>
      <w:r>
        <w:rPr>
          <w:rFonts w:ascii="Times New Roman" w:hAnsi="Times New Roman" w:cs="Times New Roman"/>
        </w:rPr>
        <w:t>天河区服务进出口情况</w:t>
      </w:r>
      <w:r>
        <w:tab/>
      </w:r>
      <w:r>
        <w:fldChar w:fldCharType="begin"/>
      </w:r>
      <w:r>
        <w:instrText xml:space="preserve"> PAGEREF _Toc11147 \h </w:instrText>
      </w:r>
      <w:r>
        <w:fldChar w:fldCharType="separate"/>
      </w:r>
      <w:r>
        <w:t>96</w:t>
      </w:r>
      <w:r>
        <w:fldChar w:fldCharType="end"/>
      </w:r>
      <w:r>
        <w:rPr>
          <w:rFonts w:ascii="Times New Roman" w:hAnsi="Times New Roman" w:cs="Times New Roman"/>
          <w:bCs/>
          <w:color w:val="auto"/>
          <w:szCs w:val="40"/>
        </w:rPr>
        <w:fldChar w:fldCharType="end"/>
      </w:r>
    </w:p>
    <w:p>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0" w:firstLineChars="0"/>
        <w:textAlignment w:val="auto"/>
        <w:rPr>
          <w:rFonts w:ascii="Times New Roman" w:hAnsi="Times New Roman" w:cs="Times New Roman"/>
          <w:b/>
          <w:bCs/>
          <w:color w:val="auto"/>
          <w:sz w:val="36"/>
          <w:szCs w:val="40"/>
        </w:rPr>
        <w:sectPr>
          <w:pgSz w:w="11906" w:h="16838"/>
          <w:pgMar w:top="2098" w:right="1474" w:bottom="1984" w:left="1587" w:header="851" w:footer="992" w:gutter="0"/>
          <w:pgNumType w:fmt="upperRoman"/>
          <w:cols w:space="425" w:num="1"/>
          <w:docGrid w:type="lines" w:linePitch="312" w:charSpace="0"/>
        </w:sectPr>
      </w:pPr>
      <w:r>
        <w:rPr>
          <w:rFonts w:ascii="Times New Roman" w:hAnsi="Times New Roman" w:cs="Times New Roman"/>
          <w:bCs/>
          <w:color w:val="auto"/>
          <w:szCs w:val="40"/>
        </w:rPr>
        <w:fldChar w:fldCharType="end"/>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2" w:name="_Toc10510"/>
      <w:r>
        <w:rPr>
          <w:rFonts w:ascii="Times New Roman" w:hAnsi="Times New Roman" w:cs="Times New Roman"/>
          <w:color w:val="auto"/>
        </w:rPr>
        <w:t>第一章  发展基础与形势</w:t>
      </w:r>
      <w:bookmarkEnd w:id="2"/>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 w:name="_Toc17380"/>
      <w:r>
        <w:rPr>
          <w:rFonts w:ascii="Times New Roman" w:hAnsi="Times New Roman" w:cs="Times New Roman"/>
          <w:color w:val="auto"/>
        </w:rPr>
        <w:t>（一）“十三五”主要发展成效</w:t>
      </w:r>
      <w:bookmarkEnd w:id="3"/>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 w:name="_Toc29269"/>
      <w:r>
        <w:rPr>
          <w:rFonts w:ascii="Times New Roman" w:hAnsi="Times New Roman" w:cs="Times New Roman"/>
          <w:color w:val="auto"/>
        </w:rPr>
        <w:t>1、产业竞争力持续保持</w:t>
      </w:r>
      <w:bookmarkEnd w:id="4"/>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现代商贸业是我区经济发展重要支撑，2020年增加值达到709.81亿元，占GDP比重13.4%，“十三五”期间平均复合增速约为6%；实现社会消费品零售总额1781.43亿元，占全市比重为19.3%，位列全市第一；网上零售保持较快增长，限额以上批发和零售业通过公共网络实现的商品零售额160.07亿元，增速达28.4%。商贸企业数量保持快速增长态势，2016-2020年间复合增速超过32%，其中四上企业2584家，实现商品销售额超8400亿元。</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 w:name="_Toc25562"/>
      <w:r>
        <w:rPr>
          <w:rFonts w:ascii="Times New Roman" w:hAnsi="Times New Roman" w:cs="Times New Roman"/>
          <w:color w:val="auto"/>
        </w:rPr>
        <w:t>2、多细分领域蓬勃发展</w:t>
      </w:r>
      <w:bookmarkEnd w:id="5"/>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大宗商品贸易结构逐步优化，金属、煤炭、建材、棉麻等大宗商品企业销售额近2000亿元，规模和占比持续提升。零售商业实力雄厚，天河路商圈和珠江新城商圈范围内集聚了正佳广场、天河城、太古汇、天环广场、K11、天汇广场等商业综合体，周生生、永旺、周大福、尚品宅配、燕塘等重点企业集聚。汽车销售快速增长，2020年实现销售额约450亿元，其中新能源汽车增长迅猛，特斯拉、蔚来、小鹏汽车等典型代表均在我区设立销售公司。高端餐饮和酒店领跑全市，米其林星级餐厅数量占全市3/4，15家酒店上榜大众点评2020年“必住榜”，珠江新城已形成由丽思卡尔顿、四季、瑰丽、W酒店等组成的高端酒店集群，是全市高端酒店最为密集的区域集聚。此外，医药及医疗器械销售、电子商务等领域发展动能不断积蓄。</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 w:name="_Toc27571"/>
      <w:r>
        <w:rPr>
          <w:rFonts w:ascii="Times New Roman" w:hAnsi="Times New Roman" w:cs="Times New Roman"/>
          <w:color w:val="auto"/>
        </w:rPr>
        <w:t>3、商圈和载体加速升级</w:t>
      </w:r>
      <w:bookmarkEnd w:id="6"/>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天河路商圈是“华南第一商圈”，2012年全面启动升级改造，在“十三五”期间商圈业态不断优化、环境品质有效提升，正佳广场、太古汇、天河城3家进入全国购物中心销售额top25，新地标性商业载体天环广场开业，持续引领全市商业发展。珠江新城商圈南临珠江，范围内广东省博物馆、广州大剧院、广州图书馆、海心沙等地标性文化体育设施汇聚，天汇广场、K11、天德广场等各具特色的商业载体相继开业，将联合天河路商圈共同打造世界级地标商圈、国内文商旅体融合发展第一圈。金融城商圈加快培育，美林天地、居然之家、罗浮宫家居广州艺术中心等载体落地，逐步构建起家居生活商业集聚地。此外，漫广场、万科云城等一批商业载体的开业为补足区内东北部商业短板，优化商业空间布局打下了良好基础。2020年共有10家载体上榜大众点评 “必逛榜”，在广州市占比超50%。</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 w:name="_Toc1568"/>
      <w:r>
        <w:rPr>
          <w:rFonts w:ascii="Times New Roman" w:hAnsi="Times New Roman" w:cs="Times New Roman"/>
          <w:color w:val="auto"/>
        </w:rPr>
        <w:t>4、新</w:t>
      </w:r>
      <w:r>
        <w:rPr>
          <w:rFonts w:hint="eastAsia" w:ascii="Times New Roman" w:hAnsi="Times New Roman" w:cs="Times New Roman"/>
          <w:color w:val="auto"/>
          <w:lang w:eastAsia="zh-CN"/>
        </w:rPr>
        <w:t>消费</w:t>
      </w:r>
      <w:r>
        <w:rPr>
          <w:rFonts w:ascii="Times New Roman" w:hAnsi="Times New Roman" w:cs="Times New Roman"/>
          <w:color w:val="auto"/>
        </w:rPr>
        <w:t>模式不断涌现</w:t>
      </w:r>
      <w:bookmarkEnd w:id="7"/>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“首店经济”持续增强，天河已成为品牌入驻广州和华南的首选，其中天河路商圈2020年新增广州首店56家，包括TOPTOY全球首店、STELLALUNA、NIKE RISE概念店等全国首店，进一步带动消费提质升级。文商旅融合创新业态不断推陈出新，正佳广场“三馆一街”、演艺剧场、VR体验游戏等项目相继推出；K11带来“博物馆零售”全新商业模式，将艺术人文与商业购物进行创新结合；太古汇方所书店影响力逐步扩展至全国，成为从广州走出去的知名文化品牌；天德广场已成为市内地标性夜经济集聚区。服务消费大幅扩容，天河体育中心每年举办多项大型体育赛事，在高端楼宇举办的广州国际垂直马拉松比赛已成为特色品牌，还有横渡珠江、广州国际龙舟邀请赛等，有效拉动体育消费发展；“美丽经济”推动医美、美妆、美容等细分领域发展，珠江新城已形成医美机构集聚雏形；广州大剧院、海心沙、奥体、红线女艺术中心、GNZ48星梦剧院、广州中央车站展演中心等组成的文化载体群推出了丰富的演艺活动，文化消费潜力巨大。</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8" w:name="_Toc2914"/>
      <w:r>
        <w:rPr>
          <w:rFonts w:ascii="Times New Roman" w:hAnsi="Times New Roman" w:cs="Times New Roman"/>
          <w:color w:val="auto"/>
        </w:rPr>
        <w:t>5、营商环境持续优化改善</w:t>
      </w:r>
      <w:bookmarkEnd w:id="8"/>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积极构建商圈发展良好环境，充分发挥天河路商圈发展工作联席会议、天河路商圈管委会作用，定期召开商圈会议，对重点任务进行督办；办好广州国际购物节、美食节等活动，组织商户开展各类促销活动，增强商圈营销氛围。建立常态化企业服务机制，落实重点企业服务，区委、区政府、人大、政协领导带队集中对接走访、上门拜访，协调解决企业发展诉求，全力支持商贸企业复工复产；强化重点商贸项目全过程跟踪服务，确保续建项目抓紧复工、新建项目赶紧动工、待建项目尽早开工；以政府购买第三方专业服务的方式委托专业机构运营国家文化出口基地，为文化贸易企业提供专业化服务。优化商贸业扶持政策，在《广州市天河区推动经济高质量发展的若干政策意见》中，对商贸企业、商业载体、电子商务、直播电商、服务贸易、批发市场转型升级、天河路商圈改造提升等给予针对性扶持政策。完善市区联动、部门协作的工作机制，制定专业批发市场转型疏解扶持政策和工作指引，推进专业批发市场整治提升。</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 w:name="_Toc32434"/>
      <w:r>
        <w:rPr>
          <w:rFonts w:ascii="Times New Roman" w:hAnsi="Times New Roman" w:cs="Times New Roman"/>
          <w:color w:val="auto"/>
        </w:rPr>
        <w:t>（二）存在的问题与不足</w:t>
      </w:r>
      <w:bookmarkEnd w:id="9"/>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kern w:val="0"/>
        </w:rPr>
      </w:pPr>
      <w:bookmarkStart w:id="10" w:name="_Toc22892"/>
      <w:r>
        <w:rPr>
          <w:rFonts w:ascii="Times New Roman" w:hAnsi="Times New Roman" w:cs="Times New Roman"/>
          <w:color w:val="auto"/>
        </w:rPr>
        <w:t>1、产业能级有待进一步提升</w:t>
      </w:r>
      <w:bookmarkEnd w:id="10"/>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整体能级方面，2020年天河实现社会消费品零售总额1781亿元，同期北京朝阳区为3222亿元，深圳福田区为2046亿元，与先进地区存在规模差距；同时，天河商贸业在广州全市的龙头地位未能进一步巩固，社会消费品零售总额在广州市占比由2015年的21.1%下降至2020年的19.3%。企业能级方面，区内多为</w:t>
      </w:r>
      <w:bookmarkStart w:id="11" w:name="_Hlk117605172"/>
      <w:r>
        <w:rPr>
          <w:rFonts w:ascii="Times New Roman" w:hAnsi="Times New Roman" w:eastAsia="仿宋_GB2312" w:cs="Times New Roman"/>
          <w:color w:val="auto"/>
          <w:kern w:val="0"/>
          <w:sz w:val="32"/>
          <w:szCs w:val="32"/>
        </w:rPr>
        <w:t>区域级分、子公司</w:t>
      </w:r>
      <w:bookmarkEnd w:id="11"/>
      <w:r>
        <w:rPr>
          <w:rFonts w:ascii="Times New Roman" w:hAnsi="Times New Roman" w:eastAsia="仿宋_GB2312" w:cs="Times New Roman"/>
          <w:color w:val="auto"/>
          <w:kern w:val="0"/>
          <w:sz w:val="32"/>
          <w:szCs w:val="32"/>
        </w:rPr>
        <w:t>，缺少决策中枢型商贸企业和能够掌控供应链的贸易型总部；缺乏有全国布局能力的零售业和住宿餐饮业龙头企业，未有企业入选“2020年中国连锁Top100”，仅九毛九入选“2020年度餐饮企业100强”；缺乏具有强大运营能力的国内外头部商业地产运营商，商业载体尚未进入国内第一梯队，未有购物中心入选“2020全国购物中心销售额排行榜TOP50”前十，未有市场入选“中国商品市场综合百强”。</w:t>
      </w:r>
    </w:p>
    <w:p>
      <w:pPr>
        <w:pStyle w:val="8"/>
        <w:keepNext/>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cs="Times New Roman"/>
          <w:color w:val="auto"/>
        </w:rPr>
        <w:t xml:space="preserve">表 </w:t>
      </w:r>
      <w:r>
        <w:rPr>
          <w:rFonts w:ascii="Times New Roman" w:hAnsi="Times New Roman" w:cs="Times New Roman"/>
          <w:color w:val="auto"/>
        </w:rPr>
        <w:fldChar w:fldCharType="begin"/>
      </w:r>
      <w:r>
        <w:rPr>
          <w:rFonts w:ascii="Times New Roman" w:hAnsi="Times New Roman" w:cs="Times New Roman"/>
          <w:color w:val="auto"/>
        </w:rPr>
        <w:instrText xml:space="preserve"> SEQ 表 \* ARABIC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t xml:space="preserve"> 主要消费中心城市核心区2020年商贸业能级对比</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2088"/>
        <w:gridCol w:w="1838"/>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区域</w:t>
            </w:r>
          </w:p>
        </w:tc>
        <w:tc>
          <w:tcPr>
            <w:tcW w:w="208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社会消费品零售总额（亿元）</w:t>
            </w:r>
          </w:p>
        </w:tc>
        <w:tc>
          <w:tcPr>
            <w:tcW w:w="183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商贸业增加值</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（亿元）</w:t>
            </w:r>
          </w:p>
        </w:tc>
        <w:tc>
          <w:tcPr>
            <w:tcW w:w="2602"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重点商业载体销售额（亿元）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天河区</w:t>
            </w:r>
          </w:p>
        </w:tc>
        <w:tc>
          <w:tcPr>
            <w:tcW w:w="208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1781</w:t>
            </w:r>
          </w:p>
        </w:tc>
        <w:tc>
          <w:tcPr>
            <w:tcW w:w="183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710</w:t>
            </w:r>
          </w:p>
        </w:tc>
        <w:tc>
          <w:tcPr>
            <w:tcW w:w="2602"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正佳（80）</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太古汇（80）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朝阳区</w:t>
            </w:r>
          </w:p>
        </w:tc>
        <w:tc>
          <w:tcPr>
            <w:tcW w:w="208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3222</w:t>
            </w:r>
          </w:p>
        </w:tc>
        <w:tc>
          <w:tcPr>
            <w:tcW w:w="183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1085</w:t>
            </w:r>
          </w:p>
        </w:tc>
        <w:tc>
          <w:tcPr>
            <w:tcW w:w="2602"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SKP（175）</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国贸商城（160）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静安区</w:t>
            </w:r>
          </w:p>
        </w:tc>
        <w:tc>
          <w:tcPr>
            <w:tcW w:w="208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1367</w:t>
            </w:r>
          </w:p>
        </w:tc>
        <w:tc>
          <w:tcPr>
            <w:tcW w:w="183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454</w:t>
            </w:r>
          </w:p>
        </w:tc>
        <w:tc>
          <w:tcPr>
            <w:tcW w:w="2602"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恒隆广场（100）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福田区</w:t>
            </w:r>
          </w:p>
        </w:tc>
        <w:tc>
          <w:tcPr>
            <w:tcW w:w="208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2046</w:t>
            </w:r>
          </w:p>
        </w:tc>
        <w:tc>
          <w:tcPr>
            <w:tcW w:w="183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551</w:t>
            </w:r>
          </w:p>
        </w:tc>
        <w:tc>
          <w:tcPr>
            <w:tcW w:w="2602"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印力中心（35）</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Coco park（20-30）</w:t>
            </w:r>
          </w:p>
        </w:tc>
      </w:tr>
    </w:tbl>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2" w:name="_Toc12652"/>
      <w:r>
        <w:rPr>
          <w:rFonts w:ascii="Times New Roman" w:hAnsi="Times New Roman" w:cs="Times New Roman"/>
          <w:color w:val="auto"/>
        </w:rPr>
        <w:t>2、产业结构有待进一步优化</w:t>
      </w:r>
      <w:bookmarkEnd w:id="12"/>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天河作为中心城区，批发零售业长期过于依赖工业品类，仅石油及制品、金属材料两类限上销售额合计占全区限上商品销售额超过一半，与居民生活密切相关的金银珠宝（2.6%）、通讯器材（0.8%）、化妆品（0.6%）等高附加值品类占比较低。住宿业产品与服务缺乏创新，特色新业态新模式发展不足，容易受会展的周期性人流影响，主动抗风险能力较低。天河聚集了大量高端餐饮和以粤菜为主的特色餐饮品牌，但缺乏总部位于天河，且能走出去的连锁品牌总部。实体商业同质化问题凸显，商贸实体企业尤其是百货商场、大型商超等传统业态利润空间进一步压缩，转型升级进展较慢，特色消费供给能力不足，对全球一线品牌的吸引力不强，与上海静安区、北京朝阳区等地相比有较大差距。数字化转型升级亟待提速，大部分传统商贸企业数据应用能力不强，在互联网时代下竞争力较低，在疫情持续冲击下，抗风险能力较弱</w:t>
      </w:r>
      <w:r>
        <w:rPr>
          <w:rStyle w:val="35"/>
          <w:rFonts w:hint="default" w:ascii="Times New Roman" w:hAnsi="Times New Roman" w:cs="Times New Roman"/>
          <w:color w:val="auto"/>
        </w:rPr>
        <w:t>。</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3" w:name="_Toc7766"/>
      <w:r>
        <w:rPr>
          <w:rFonts w:ascii="Times New Roman" w:hAnsi="Times New Roman" w:cs="Times New Roman"/>
          <w:color w:val="auto"/>
        </w:rPr>
        <w:t>3、产业布局有待进一步均衡</w:t>
      </w:r>
      <w:bookmarkEnd w:id="13"/>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Style w:val="35"/>
          <w:rFonts w:hint="default" w:ascii="Times New Roman" w:hAnsi="Times New Roman" w:cs="Times New Roman"/>
          <w:color w:val="auto"/>
        </w:rPr>
      </w:pPr>
      <w:r>
        <w:rPr>
          <w:rFonts w:ascii="Times New Roman" w:hAnsi="Times New Roman" w:eastAsia="仿宋_GB2312" w:cs="Times New Roman"/>
          <w:color w:val="auto"/>
          <w:kern w:val="0"/>
          <w:sz w:val="32"/>
          <w:szCs w:val="32"/>
        </w:rPr>
        <w:t>部分细分领域产业分散发展，车陂、元岗、黄村、龙洞、长兴、前进等街道</w:t>
      </w:r>
      <w:r>
        <w:rPr>
          <w:rFonts w:hint="eastAsia" w:ascii="Times New Roman" w:hAnsi="Times New Roman" w:eastAsia="仿宋_GB2312" w:cs="Times New Roman"/>
          <w:color w:val="auto"/>
          <w:kern w:val="0"/>
          <w:sz w:val="32"/>
          <w:szCs w:val="32"/>
          <w:lang w:eastAsia="zh-CN"/>
        </w:rPr>
        <w:t>的</w:t>
      </w:r>
      <w:r>
        <w:rPr>
          <w:rFonts w:ascii="Times New Roman" w:hAnsi="Times New Roman" w:eastAsia="仿宋_GB2312" w:cs="Times New Roman"/>
          <w:color w:val="auto"/>
          <w:kern w:val="0"/>
          <w:sz w:val="32"/>
          <w:szCs w:val="32"/>
        </w:rPr>
        <w:t>汽车或汽车零部件</w:t>
      </w:r>
      <w:r>
        <w:rPr>
          <w:rFonts w:hint="eastAsia" w:ascii="Times New Roman" w:hAnsi="Times New Roman" w:eastAsia="仿宋_GB2312" w:cs="Times New Roman"/>
          <w:color w:val="auto"/>
          <w:kern w:val="0"/>
          <w:sz w:val="32"/>
          <w:szCs w:val="32"/>
          <w:lang w:eastAsia="zh-CN"/>
        </w:rPr>
        <w:t>企业</w:t>
      </w:r>
      <w:r>
        <w:rPr>
          <w:rFonts w:ascii="Times New Roman" w:hAnsi="Times New Roman" w:eastAsia="仿宋_GB2312" w:cs="Times New Roman"/>
          <w:color w:val="auto"/>
          <w:kern w:val="0"/>
          <w:sz w:val="32"/>
          <w:szCs w:val="32"/>
        </w:rPr>
        <w:t>，前进、新塘、黄村等街道</w:t>
      </w:r>
      <w:r>
        <w:rPr>
          <w:rFonts w:hint="eastAsia" w:ascii="Times New Roman" w:hAnsi="Times New Roman" w:eastAsia="仿宋_GB2312" w:cs="Times New Roman"/>
          <w:color w:val="auto"/>
          <w:kern w:val="0"/>
          <w:sz w:val="32"/>
          <w:szCs w:val="32"/>
          <w:lang w:eastAsia="zh-CN"/>
        </w:rPr>
        <w:t>的</w:t>
      </w:r>
      <w:r>
        <w:rPr>
          <w:rFonts w:ascii="Times New Roman" w:hAnsi="Times New Roman" w:eastAsia="仿宋_GB2312" w:cs="Times New Roman"/>
          <w:color w:val="auto"/>
          <w:kern w:val="0"/>
          <w:sz w:val="32"/>
          <w:szCs w:val="32"/>
        </w:rPr>
        <w:t>化工批发</w:t>
      </w:r>
      <w:r>
        <w:rPr>
          <w:rFonts w:hint="eastAsia" w:ascii="Times New Roman" w:hAnsi="Times New Roman" w:eastAsia="仿宋_GB2312" w:cs="Times New Roman"/>
          <w:color w:val="auto"/>
          <w:kern w:val="0"/>
          <w:sz w:val="32"/>
          <w:szCs w:val="32"/>
          <w:lang w:eastAsia="zh-CN"/>
        </w:rPr>
        <w:t>企业</w:t>
      </w:r>
      <w:r>
        <w:rPr>
          <w:rFonts w:ascii="Times New Roman" w:hAnsi="Times New Roman" w:eastAsia="仿宋_GB2312" w:cs="Times New Roman"/>
          <w:color w:val="auto"/>
          <w:kern w:val="0"/>
          <w:sz w:val="32"/>
          <w:szCs w:val="32"/>
        </w:rPr>
        <w:t>都有一定集聚，但总体较为分散发展，区域协同、上下游有机融合的产业发展局面尚未有效形成。部分老旧批发市场基础设施严重落后，升级改造难度较大，难以吸引到优质企业和人才，不足以支撑产业的高质量发展。</w:t>
      </w:r>
      <w:r>
        <w:rPr>
          <w:rFonts w:ascii="Times New Roman" w:hAnsi="Times New Roman" w:eastAsia="仿宋_GB2312" w:cs="Times New Roman"/>
          <w:color w:val="000000"/>
          <w:kern w:val="0"/>
          <w:sz w:val="32"/>
          <w:szCs w:val="32"/>
        </w:rPr>
        <w:t>商业空间布局不平衡，绝大多数</w:t>
      </w:r>
      <w:r>
        <w:rPr>
          <w:rFonts w:hint="eastAsia" w:ascii="Times New Roman" w:hAnsi="Times New Roman" w:eastAsia="仿宋_GB2312" w:cs="Times New Roman"/>
          <w:color w:val="000000"/>
          <w:kern w:val="0"/>
          <w:sz w:val="32"/>
          <w:szCs w:val="32"/>
        </w:rPr>
        <w:t>商业综合体</w:t>
      </w:r>
      <w:r>
        <w:rPr>
          <w:rFonts w:ascii="Times New Roman" w:hAnsi="Times New Roman" w:eastAsia="仿宋_GB2312" w:cs="Times New Roman"/>
          <w:color w:val="000000"/>
          <w:kern w:val="0"/>
          <w:sz w:val="32"/>
          <w:szCs w:val="32"/>
        </w:rPr>
        <w:t>、酒店宾馆、批发市场都位于</w:t>
      </w:r>
      <w:r>
        <w:rPr>
          <w:rFonts w:hint="eastAsia" w:ascii="Times New Roman" w:hAnsi="Times New Roman" w:eastAsia="仿宋_GB2312" w:cs="Times New Roman"/>
          <w:color w:val="000000"/>
          <w:kern w:val="0"/>
          <w:sz w:val="32"/>
          <w:szCs w:val="32"/>
        </w:rPr>
        <w:t>广园快速路</w:t>
      </w:r>
      <w:r>
        <w:rPr>
          <w:rFonts w:ascii="Times New Roman" w:hAnsi="Times New Roman" w:eastAsia="仿宋_GB2312" w:cs="Times New Roman"/>
          <w:color w:val="000000"/>
          <w:kern w:val="0"/>
          <w:sz w:val="32"/>
          <w:szCs w:val="32"/>
        </w:rPr>
        <w:t>以南，</w:t>
      </w:r>
      <w:r>
        <w:rPr>
          <w:rFonts w:hint="eastAsia" w:ascii="Times New Roman" w:hAnsi="Times New Roman" w:eastAsia="仿宋_GB2312" w:cs="Times New Roman"/>
          <w:color w:val="000000"/>
          <w:kern w:val="0"/>
          <w:sz w:val="32"/>
          <w:szCs w:val="32"/>
        </w:rPr>
        <w:t>在广园快速路</w:t>
      </w:r>
      <w:r>
        <w:rPr>
          <w:rFonts w:ascii="Times New Roman" w:hAnsi="Times New Roman" w:eastAsia="仿宋_GB2312" w:cs="Times New Roman"/>
          <w:color w:val="000000"/>
          <w:kern w:val="0"/>
          <w:sz w:val="32"/>
          <w:szCs w:val="32"/>
        </w:rPr>
        <w:t>以北</w:t>
      </w:r>
      <w:r>
        <w:rPr>
          <w:rFonts w:hint="eastAsia" w:ascii="Times New Roman" w:hAnsi="Times New Roman" w:eastAsia="仿宋_GB2312" w:cs="Times New Roman"/>
          <w:color w:val="000000"/>
          <w:kern w:val="0"/>
          <w:sz w:val="32"/>
          <w:szCs w:val="32"/>
        </w:rPr>
        <w:t>区域</w:t>
      </w:r>
      <w:r>
        <w:rPr>
          <w:rFonts w:ascii="Times New Roman" w:hAnsi="Times New Roman" w:eastAsia="仿宋_GB2312" w:cs="Times New Roman"/>
          <w:color w:val="000000"/>
          <w:kern w:val="0"/>
          <w:sz w:val="32"/>
          <w:szCs w:val="32"/>
        </w:rPr>
        <w:t>，仅地铁6号线沿</w:t>
      </w:r>
      <w:r>
        <w:rPr>
          <w:rFonts w:hint="eastAsia" w:ascii="Times New Roman" w:hAnsi="Times New Roman" w:eastAsia="仿宋_GB2312" w:cs="Times New Roman"/>
          <w:color w:val="000000"/>
          <w:kern w:val="0"/>
          <w:sz w:val="32"/>
          <w:szCs w:val="32"/>
        </w:rPr>
        <w:t>线</w:t>
      </w:r>
      <w:r>
        <w:rPr>
          <w:rFonts w:ascii="Times New Roman" w:hAnsi="Times New Roman" w:eastAsia="仿宋_GB2312" w:cs="Times New Roman"/>
          <w:color w:val="000000"/>
          <w:kern w:val="0"/>
          <w:sz w:val="32"/>
          <w:szCs w:val="32"/>
        </w:rPr>
        <w:t>有</w:t>
      </w:r>
      <w:r>
        <w:rPr>
          <w:rFonts w:hint="eastAsia" w:ascii="Times New Roman" w:hAnsi="Times New Roman" w:eastAsia="仿宋_GB2312" w:cs="Times New Roman"/>
          <w:color w:val="000000"/>
          <w:kern w:val="0"/>
          <w:sz w:val="32"/>
          <w:szCs w:val="32"/>
        </w:rPr>
        <w:t>少量专业卖场和</w:t>
      </w:r>
      <w:r>
        <w:rPr>
          <w:rFonts w:ascii="Times New Roman" w:hAnsi="Times New Roman" w:eastAsia="仿宋_GB2312" w:cs="Times New Roman"/>
          <w:color w:val="000000"/>
          <w:kern w:val="0"/>
          <w:sz w:val="32"/>
          <w:szCs w:val="32"/>
        </w:rPr>
        <w:t>酒店宾馆</w:t>
      </w:r>
      <w:r>
        <w:rPr>
          <w:rFonts w:hint="eastAsia" w:ascii="Times New Roman" w:hAnsi="Times New Roman" w:eastAsia="仿宋_GB2312" w:cs="Times New Roman"/>
          <w:color w:val="000000"/>
          <w:kern w:val="0"/>
          <w:sz w:val="32"/>
          <w:szCs w:val="32"/>
        </w:rPr>
        <w:t>分布</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auto"/>
          <w:kern w:val="0"/>
          <w:sz w:val="32"/>
          <w:szCs w:val="32"/>
        </w:rPr>
        <w:t>东北部大量区域缺乏现代商业布局，智慧城核心区、智谷片区、金融城片区等重大平台内产业和商业配比不匹配，在产城融合、职住平衡、多层次商业体系布局方面还有待优化。</w:t>
      </w:r>
      <w:r>
        <w:rPr>
          <w:rStyle w:val="35"/>
          <w:rFonts w:hint="default" w:ascii="Times New Roman" w:hAnsi="Times New Roman" w:cs="Times New Roman"/>
          <w:color w:val="auto"/>
        </w:rPr>
        <w:t>部分社区商业发展不足，商业业态较为单一，体验性消费业态偏少。核心商圈对其他区县、其他城市的辐射带动能力有限，各大商贸载体尚未突破地理空间限制形成有机整体。</w:t>
      </w:r>
    </w:p>
    <w:p>
      <w:pPr>
        <w:keepNext/>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3686810" cy="392176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09355" cy="3945628"/>
                    </a:xfrm>
                    <a:prstGeom prst="rect">
                      <a:avLst/>
                    </a:prstGeom>
                    <a:noFill/>
                  </pic:spPr>
                </pic:pic>
              </a:graphicData>
            </a:graphic>
          </wp:inline>
        </w:drawing>
      </w:r>
    </w:p>
    <w:p>
      <w:pPr>
        <w:pStyle w:val="8"/>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cs="Times New Roman"/>
          <w:color w:val="auto"/>
        </w:rPr>
        <w:t xml:space="preserve">图 </w:t>
      </w:r>
      <w:r>
        <w:rPr>
          <w:rFonts w:ascii="Times New Roman" w:hAnsi="Times New Roman" w:cs="Times New Roman"/>
          <w:color w:val="auto"/>
        </w:rPr>
        <w:fldChar w:fldCharType="begin"/>
      </w:r>
      <w:r>
        <w:rPr>
          <w:rFonts w:ascii="Times New Roman" w:hAnsi="Times New Roman" w:cs="Times New Roman"/>
          <w:color w:val="auto"/>
        </w:rPr>
        <w:instrText xml:space="preserve"> SEQ 图 \* ARABIC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t xml:space="preserve"> 天河区商业资源分布情况</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4" w:name="_Toc12425"/>
      <w:r>
        <w:rPr>
          <w:rFonts w:ascii="Times New Roman" w:hAnsi="Times New Roman" w:cs="Times New Roman"/>
          <w:color w:val="auto"/>
        </w:rPr>
        <w:t>（三）“十四五”面临的形势</w:t>
      </w:r>
      <w:bookmarkEnd w:id="14"/>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firstLine="420"/>
        <w:rPr>
          <w:rFonts w:ascii="Times New Roman" w:hAnsi="Times New Roman" w:cs="Times New Roman"/>
          <w:color w:val="auto"/>
        </w:rPr>
      </w:pPr>
      <w:bookmarkStart w:id="15" w:name="_Toc2060"/>
      <w:r>
        <w:rPr>
          <w:rFonts w:ascii="Times New Roman" w:hAnsi="Times New Roman" w:cs="Times New Roman"/>
          <w:color w:val="auto"/>
        </w:rPr>
        <w:t>1、国际格局调整和疫情影响突显商贸业纽带桥梁作用</w:t>
      </w:r>
      <w:bookmarkEnd w:id="15"/>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32"/>
          <w:shd w:val="clear" w:color="auto" w:fill="FFFFFF"/>
        </w:rPr>
      </w:pPr>
      <w:r>
        <w:rPr>
          <w:rFonts w:ascii="Times New Roman" w:hAnsi="Times New Roman" w:eastAsia="仿宋_GB2312" w:cs="Times New Roman"/>
          <w:color w:val="auto"/>
          <w:sz w:val="32"/>
          <w:szCs w:val="32"/>
          <w:shd w:val="clear" w:color="auto" w:fill="FFFFFF"/>
        </w:rPr>
        <w:t>国际政治力量平衡加速演变，逆全球化和科技冷战暗流涌动，产业链分工、经贸格局、货币金融体系及元治理体系加快重塑，同时叠加疫情影响，我国经济面临需求收缩、供给冲击、预期转弱三重压力。商贸流通体系链接国内国际两个市场，通过构建全球供应链、跨境电商平台等，打通国内外市场边界，推动国内外两个体系有效对接、深度接轨，同时贯穿国内市场运行体系，畅通生产、分配、流通、消费等各环节，成为内外需市场体系的强大支撑，其纽带和桥梁作用将更加凸显。天河区作为广州的经济第一强区，具备很强的区域经济支配力、主导力和控制力，是广州链接和畅通国际国内两个循环的核心枢纽节点，推动商贸业结构优化和能级提升，强化商贸业资源配置能力建设，是天河全面融入双循环新发展格局和粤港澳大湾区一体化建设的重要支撑。</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firstLine="420"/>
        <w:rPr>
          <w:rFonts w:ascii="Times New Roman" w:hAnsi="Times New Roman" w:cs="Times New Roman"/>
          <w:color w:val="auto"/>
        </w:rPr>
      </w:pPr>
      <w:bookmarkStart w:id="16" w:name="_Toc19552"/>
      <w:r>
        <w:rPr>
          <w:rFonts w:ascii="Times New Roman" w:hAnsi="Times New Roman" w:cs="Times New Roman"/>
          <w:color w:val="auto"/>
        </w:rPr>
        <w:t>2、新型消费成为</w:t>
      </w:r>
      <w:r>
        <w:rPr>
          <w:rFonts w:ascii="Times New Roman" w:hAnsi="Times New Roman" w:cs="Times New Roman"/>
          <w:color w:val="auto"/>
          <w:shd w:val="clear" w:color="auto" w:fill="FFFFFF"/>
        </w:rPr>
        <w:t>消费扩容和引领消费创新的重要支撑</w:t>
      </w:r>
      <w:bookmarkEnd w:id="16"/>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32"/>
          <w:shd w:val="clear" w:color="auto" w:fill="FFFFFF"/>
        </w:rPr>
      </w:pPr>
      <w:r>
        <w:rPr>
          <w:rFonts w:ascii="Times New Roman" w:hAnsi="Times New Roman" w:eastAsia="仿宋_GB2312" w:cs="Times New Roman"/>
          <w:color w:val="auto"/>
          <w:sz w:val="32"/>
          <w:szCs w:val="32"/>
        </w:rPr>
        <w:t>我国是全球第二大商品消费市场，2020年全国社会消费品零售总额突破39万亿元，最终消费支出对经济增长的贡献率高达54.3%。</w:t>
      </w:r>
      <w:r>
        <w:rPr>
          <w:rFonts w:ascii="Times New Roman" w:hAnsi="Times New Roman" w:eastAsia="仿宋_GB2312" w:cs="Times New Roman"/>
          <w:color w:val="auto"/>
          <w:sz w:val="32"/>
          <w:szCs w:val="32"/>
          <w:shd w:val="clear" w:color="auto" w:fill="FFFFFF"/>
        </w:rPr>
        <w:t>随着人民生活水平不断提高，对消费的需求更加注重商品和服务的品质，更加注重消费环境和体验，消费更趋品质化、多元化。</w:t>
      </w:r>
      <w:r>
        <w:rPr>
          <w:rFonts w:ascii="Times New Roman" w:hAnsi="Times New Roman" w:eastAsia="仿宋_GB2312" w:cs="Times New Roman"/>
          <w:b/>
          <w:bCs/>
          <w:color w:val="auto"/>
          <w:sz w:val="32"/>
          <w:szCs w:val="32"/>
          <w:shd w:val="clear" w:color="auto" w:fill="FFFFFF"/>
        </w:rPr>
        <w:t>线上与线下、业态与场景</w:t>
      </w:r>
      <w:r>
        <w:rPr>
          <w:rFonts w:ascii="Times New Roman" w:hAnsi="Times New Roman" w:eastAsia="仿宋_GB2312" w:cs="Times New Roman"/>
          <w:color w:val="auto"/>
          <w:sz w:val="32"/>
          <w:szCs w:val="32"/>
          <w:shd w:val="clear" w:color="auto" w:fill="FFFFFF"/>
        </w:rPr>
        <w:t>的融合消费日益成为</w:t>
      </w:r>
      <w:r>
        <w:rPr>
          <w:rFonts w:ascii="Times New Roman" w:hAnsi="Times New Roman" w:eastAsia="仿宋_GB2312" w:cs="Times New Roman"/>
          <w:b/>
          <w:bCs/>
          <w:color w:val="auto"/>
          <w:sz w:val="32"/>
          <w:szCs w:val="32"/>
          <w:shd w:val="clear" w:color="auto" w:fill="FFFFFF"/>
        </w:rPr>
        <w:t>主导消费模式</w:t>
      </w:r>
      <w:r>
        <w:rPr>
          <w:rFonts w:ascii="Times New Roman" w:hAnsi="Times New Roman" w:eastAsia="仿宋_GB2312" w:cs="Times New Roman"/>
          <w:color w:val="auto"/>
          <w:sz w:val="32"/>
          <w:szCs w:val="32"/>
          <w:shd w:val="clear" w:color="auto" w:fill="FFFFFF"/>
        </w:rPr>
        <w:t>，直播带货、短视频销售和社交零售等网络购物已成为</w:t>
      </w:r>
      <w:r>
        <w:rPr>
          <w:rFonts w:ascii="Times New Roman" w:hAnsi="Times New Roman" w:eastAsia="仿宋_GB2312" w:cs="Times New Roman"/>
          <w:b/>
          <w:bCs/>
          <w:color w:val="auto"/>
          <w:sz w:val="32"/>
          <w:szCs w:val="32"/>
          <w:shd w:val="clear" w:color="auto" w:fill="FFFFFF"/>
        </w:rPr>
        <w:t>主要</w:t>
      </w:r>
      <w:r>
        <w:rPr>
          <w:rFonts w:hint="eastAsia" w:ascii="Times New Roman" w:hAnsi="Times New Roman" w:eastAsia="仿宋_GB2312" w:cs="Times New Roman"/>
          <w:b/>
          <w:bCs/>
          <w:color w:val="auto"/>
          <w:sz w:val="32"/>
          <w:szCs w:val="32"/>
          <w:shd w:val="clear" w:color="auto" w:fill="FFFFFF"/>
          <w:lang w:eastAsia="zh-CN"/>
        </w:rPr>
        <w:t>线上</w:t>
      </w:r>
      <w:r>
        <w:rPr>
          <w:rFonts w:ascii="Times New Roman" w:hAnsi="Times New Roman" w:eastAsia="仿宋_GB2312" w:cs="Times New Roman"/>
          <w:b/>
          <w:bCs/>
          <w:color w:val="auto"/>
          <w:sz w:val="32"/>
          <w:szCs w:val="32"/>
          <w:shd w:val="clear" w:color="auto" w:fill="FFFFFF"/>
        </w:rPr>
        <w:t>消费模式</w:t>
      </w:r>
      <w:r>
        <w:rPr>
          <w:rFonts w:ascii="Times New Roman" w:hAnsi="Times New Roman" w:eastAsia="仿宋_GB2312" w:cs="Times New Roman"/>
          <w:color w:val="auto"/>
          <w:sz w:val="32"/>
          <w:szCs w:val="32"/>
          <w:shd w:val="clear" w:color="auto" w:fill="FFFFFF"/>
        </w:rPr>
        <w:t>，在线健康医疗服务、云旅游、云赏剧、云看展、云赛事、智能健身、虚拟运动等成为</w:t>
      </w:r>
      <w:r>
        <w:rPr>
          <w:rFonts w:ascii="Times New Roman" w:hAnsi="Times New Roman" w:eastAsia="仿宋_GB2312" w:cs="Times New Roman"/>
          <w:b/>
          <w:bCs/>
          <w:color w:val="auto"/>
          <w:sz w:val="32"/>
          <w:szCs w:val="32"/>
          <w:shd w:val="clear" w:color="auto" w:fill="FFFFFF"/>
        </w:rPr>
        <w:t>消费恢复性增长的新动力和新空间，</w:t>
      </w:r>
      <w:r>
        <w:rPr>
          <w:rFonts w:ascii="Times New Roman" w:hAnsi="Times New Roman" w:eastAsia="仿宋_GB2312" w:cs="Times New Roman"/>
          <w:color w:val="auto"/>
          <w:sz w:val="32"/>
          <w:szCs w:val="32"/>
          <w:shd w:val="clear" w:color="auto" w:fill="FFFFFF"/>
        </w:rPr>
        <w:t>智慧超市、智慧商店、智慧餐厅、智慧商圈等无接触式商业模式和业态</w:t>
      </w:r>
      <w:r>
        <w:rPr>
          <w:rFonts w:ascii="Times New Roman" w:hAnsi="Times New Roman" w:eastAsia="仿宋_GB2312" w:cs="Times New Roman"/>
          <w:b/>
          <w:bCs/>
          <w:color w:val="auto"/>
          <w:sz w:val="32"/>
          <w:szCs w:val="32"/>
          <w:shd w:val="clear" w:color="auto" w:fill="FFFFFF"/>
        </w:rPr>
        <w:t>提升消费安全性和便利性</w:t>
      </w:r>
      <w:r>
        <w:rPr>
          <w:rFonts w:ascii="Times New Roman" w:hAnsi="Times New Roman" w:eastAsia="仿宋_GB2312" w:cs="Times New Roman"/>
          <w:color w:val="auto"/>
          <w:sz w:val="32"/>
          <w:szCs w:val="32"/>
          <w:shd w:val="clear" w:color="auto" w:fill="FFFFFF"/>
        </w:rPr>
        <w:t>，外卖配送、网约车、即时速递、共享住宿等平台型和共享型消费新业态</w:t>
      </w:r>
      <w:r>
        <w:rPr>
          <w:rFonts w:ascii="Times New Roman" w:hAnsi="Times New Roman" w:eastAsia="仿宋_GB2312" w:cs="Times New Roman"/>
          <w:b/>
          <w:bCs/>
          <w:color w:val="auto"/>
          <w:sz w:val="32"/>
          <w:szCs w:val="32"/>
          <w:shd w:val="clear" w:color="auto" w:fill="FFFFFF"/>
        </w:rPr>
        <w:t>不断释放消费潜力和提升生活品质</w:t>
      </w:r>
      <w:r>
        <w:rPr>
          <w:rFonts w:ascii="Times New Roman" w:hAnsi="Times New Roman" w:eastAsia="仿宋_GB2312" w:cs="Times New Roman"/>
          <w:color w:val="auto"/>
          <w:sz w:val="32"/>
          <w:szCs w:val="32"/>
          <w:shd w:val="clear" w:color="auto" w:fill="FFFFFF"/>
        </w:rPr>
        <w:t>，新国货、免税零售、绿色新消费持续</w:t>
      </w:r>
      <w:r>
        <w:rPr>
          <w:rFonts w:ascii="Times New Roman" w:hAnsi="Times New Roman" w:eastAsia="仿宋_GB2312" w:cs="Times New Roman"/>
          <w:b/>
          <w:bCs/>
          <w:color w:val="auto"/>
          <w:sz w:val="32"/>
          <w:szCs w:val="32"/>
          <w:shd w:val="clear" w:color="auto" w:fill="FFFFFF"/>
        </w:rPr>
        <w:t>促进消费转型和可持续发展</w:t>
      </w:r>
      <w:r>
        <w:rPr>
          <w:rFonts w:ascii="Times New Roman" w:hAnsi="Times New Roman" w:eastAsia="仿宋_GB2312" w:cs="Times New Roman"/>
          <w:color w:val="auto"/>
          <w:sz w:val="32"/>
          <w:szCs w:val="32"/>
          <w:shd w:val="clear" w:color="auto" w:fill="FFFFFF"/>
        </w:rPr>
        <w:t>。新型消费已成为促进消费扩容和引领消费创新的重要支撑，将推动消费市场在</w:t>
      </w:r>
      <w:r>
        <w:rPr>
          <w:rFonts w:hint="eastAsia" w:ascii="Times New Roman" w:hAnsi="Times New Roman" w:eastAsia="仿宋_GB2312" w:cs="Times New Roman"/>
          <w:color w:val="auto"/>
          <w:sz w:val="32"/>
          <w:szCs w:val="32"/>
          <w:shd w:val="clear" w:color="auto" w:fill="FFFFFF"/>
        </w:rPr>
        <w:t>孕育新发展机遇</w:t>
      </w:r>
      <w:r>
        <w:rPr>
          <w:rFonts w:ascii="Times New Roman" w:hAnsi="Times New Roman" w:eastAsia="仿宋_GB2312" w:cs="Times New Roman"/>
          <w:color w:val="auto"/>
          <w:sz w:val="32"/>
          <w:szCs w:val="32"/>
          <w:shd w:val="clear" w:color="auto" w:fill="FFFFFF"/>
        </w:rPr>
        <w:t>，形成消费重要增长点。天河社会消费品零售总额占全市20%左右，拥有全市最多的高端购物中心，抓住消费新业态新模式发展契机，推动消费整体提质升级是天河区增强国际商贸中心功能，支撑广州国际消费中心城市建设的关键。</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firstLine="420"/>
        <w:rPr>
          <w:rFonts w:ascii="Times New Roman" w:hAnsi="Times New Roman" w:cs="Times New Roman"/>
          <w:color w:val="auto"/>
        </w:rPr>
      </w:pPr>
      <w:bookmarkStart w:id="17" w:name="_Toc32571"/>
      <w:r>
        <w:rPr>
          <w:rFonts w:ascii="Times New Roman" w:hAnsi="Times New Roman" w:cs="Times New Roman"/>
          <w:color w:val="auto"/>
        </w:rPr>
        <w:t>3、技术赋能促进商贸业数字化、网络化和智能化转型</w:t>
      </w:r>
      <w:bookmarkEnd w:id="17"/>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大数据、云计算、物联网、人工智能、区块链等数字技术的突破和广泛应用，推动</w:t>
      </w:r>
      <w:r>
        <w:rPr>
          <w:rFonts w:hint="eastAsia" w:ascii="Times New Roman" w:hAnsi="Times New Roman" w:eastAsia="仿宋_GB2312" w:cs="Times New Roman"/>
          <w:color w:val="auto"/>
          <w:sz w:val="32"/>
          <w:szCs w:val="32"/>
          <w:lang w:eastAsia="zh-CN"/>
        </w:rPr>
        <w:t>了</w:t>
      </w:r>
      <w:r>
        <w:rPr>
          <w:rFonts w:ascii="Times New Roman" w:hAnsi="Times New Roman" w:eastAsia="仿宋_GB2312" w:cs="Times New Roman"/>
          <w:color w:val="auto"/>
          <w:sz w:val="32"/>
          <w:szCs w:val="32"/>
        </w:rPr>
        <w:t>商贸业产品及模式创新，重构</w:t>
      </w:r>
      <w:r>
        <w:rPr>
          <w:rFonts w:hint="eastAsia" w:ascii="Times New Roman" w:hAnsi="Times New Roman" w:eastAsia="仿宋_GB2312" w:cs="Times New Roman"/>
          <w:color w:val="auto"/>
          <w:sz w:val="32"/>
          <w:szCs w:val="32"/>
          <w:lang w:eastAsia="zh-CN"/>
        </w:rPr>
        <w:t>了</w:t>
      </w:r>
      <w:r>
        <w:rPr>
          <w:rFonts w:ascii="Times New Roman" w:hAnsi="Times New Roman" w:eastAsia="仿宋_GB2312" w:cs="Times New Roman"/>
          <w:color w:val="auto"/>
          <w:sz w:val="32"/>
          <w:szCs w:val="32"/>
        </w:rPr>
        <w:t>传统商业模式和消费模式，</w:t>
      </w:r>
      <w:r>
        <w:rPr>
          <w:rFonts w:hint="eastAsia" w:ascii="Times New Roman" w:hAnsi="Times New Roman" w:eastAsia="仿宋_GB2312" w:cs="Times New Roman"/>
          <w:color w:val="auto"/>
          <w:sz w:val="32"/>
          <w:szCs w:val="32"/>
          <w:lang w:eastAsia="zh-CN"/>
        </w:rPr>
        <w:t>对</w:t>
      </w:r>
      <w:r>
        <w:rPr>
          <w:rFonts w:ascii="Times New Roman" w:hAnsi="Times New Roman" w:eastAsia="仿宋_GB2312" w:cs="Times New Roman"/>
          <w:color w:val="auto"/>
          <w:sz w:val="32"/>
          <w:szCs w:val="32"/>
        </w:rPr>
        <w:t>供需、产销高效匹配</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智能管理、扁平化交易</w:t>
      </w:r>
      <w:r>
        <w:rPr>
          <w:rFonts w:hint="eastAsia" w:ascii="Times New Roman" w:hAnsi="Times New Roman" w:eastAsia="仿宋_GB2312" w:cs="Times New Roman"/>
          <w:color w:val="auto"/>
          <w:sz w:val="32"/>
          <w:szCs w:val="32"/>
          <w:lang w:eastAsia="zh-CN"/>
        </w:rPr>
        <w:t>均有促进</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也</w:t>
      </w:r>
      <w:r>
        <w:rPr>
          <w:rFonts w:ascii="Times New Roman" w:hAnsi="Times New Roman" w:eastAsia="仿宋_GB2312" w:cs="Times New Roman"/>
          <w:color w:val="auto"/>
          <w:sz w:val="32"/>
          <w:szCs w:val="32"/>
        </w:rPr>
        <w:t>提高</w:t>
      </w:r>
      <w:r>
        <w:rPr>
          <w:rFonts w:hint="eastAsia" w:ascii="Times New Roman" w:hAnsi="Times New Roman" w:eastAsia="仿宋_GB2312" w:cs="Times New Roman"/>
          <w:color w:val="auto"/>
          <w:sz w:val="32"/>
          <w:szCs w:val="32"/>
          <w:lang w:eastAsia="zh-CN"/>
        </w:rPr>
        <w:t>了</w:t>
      </w:r>
      <w:r>
        <w:rPr>
          <w:rFonts w:ascii="Times New Roman" w:hAnsi="Times New Roman" w:eastAsia="仿宋_GB2312" w:cs="Times New Roman"/>
          <w:color w:val="auto"/>
          <w:sz w:val="32"/>
          <w:szCs w:val="32"/>
        </w:rPr>
        <w:t>产品和服务附加值。基于数字技术，生产端和流通端及时响应消费端需求新变化，推动需求数据可追踪、可预测，实现供需两端高效对接；营销、物流、支付等环节数字化推动供应链创新，推动流通环节数字化、智能化升级，促进打通堵点、联接断点，提升流通效率；智慧商圈建设释放消费潜力和提升服务品质。技术创新与融合应用不断重构商贸业的业态格局，呈现出产业交叉融合、边界日趋模糊、领域不断延伸的特点，推动消费市场在分化重组中育新机，</w:t>
      </w:r>
      <w:r>
        <w:rPr>
          <w:rFonts w:ascii="Times New Roman" w:hAnsi="Times New Roman" w:eastAsia="仿宋_GB2312" w:cs="Times New Roman"/>
          <w:color w:val="auto"/>
          <w:sz w:val="32"/>
          <w:szCs w:val="32"/>
          <w:shd w:val="clear" w:color="auto" w:fill="FFFFFF"/>
        </w:rPr>
        <w:t>直播带货、无人便利店、社区团购等多样化数字化新模式不断涌现，</w:t>
      </w:r>
      <w:r>
        <w:rPr>
          <w:rFonts w:ascii="Times New Roman" w:hAnsi="Times New Roman" w:eastAsia="仿宋_GB2312" w:cs="Times New Roman"/>
          <w:color w:val="auto"/>
          <w:sz w:val="32"/>
          <w:szCs w:val="32"/>
        </w:rPr>
        <w:t>共享经济、平台经济、服务经济等新业态迅猛发展，“文旅+购物”“文旅+康养”“娱乐+购物”等消费业态的跨界发展为消费者提供更丰富的选择。天河区新一代信息技术产业基础雄厚，推动新一代信息技术与区内商圈、商贸企业深度融合，打造新型消费场景和数字化供应链平台，是天河推动商贸业数字化转型，推动商贸业持续高质量发展的重要抓手。</w:t>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8" w:name="_Toc1491"/>
      <w:r>
        <w:rPr>
          <w:rFonts w:ascii="Times New Roman" w:hAnsi="Times New Roman" w:cs="Times New Roman"/>
          <w:color w:val="auto"/>
        </w:rPr>
        <w:t>第二章 发展总体要求</w:t>
      </w:r>
      <w:bookmarkEnd w:id="18"/>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9" w:name="_Toc30851"/>
      <w:r>
        <w:rPr>
          <w:rFonts w:ascii="Times New Roman" w:hAnsi="Times New Roman" w:cs="Times New Roman"/>
          <w:color w:val="auto"/>
        </w:rPr>
        <w:t>（一）指导思想</w:t>
      </w:r>
      <w:bookmarkEnd w:id="19"/>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以习近平新时代中国特色社会主义思想为指导，学习贯彻党的十九大和十九届历次全会及中央经济工作会议精神，深入贯彻习近平总书记视察广东重要讲话精神以及对广州提出的实现老城市新活力、“四个出新出彩”的重要指示精神，立足新发展阶段，坚定不移贯彻新发展理念，服务构建新发展格局，以推动高质量发展为主题，以深化供给侧结构性改革为主线，以改革创新为根本动力，以满足人民日益增长的美好生活需要为根本目的，牢牢把握扩大内需战略基点，全面推动产业转型升级，提升资源配置能力，促进消费提质扩容，坚持商品消费与服务消费融合、国际市场与国内市场融合、线上与线下融合、时尚与传统融合，打造国际消费中心城市建设核心承载区，为广州实现老城市新活力、“四个出新出彩”作出更大贡献。</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20" w:name="_Toc8509"/>
      <w:r>
        <w:rPr>
          <w:rFonts w:ascii="Times New Roman" w:hAnsi="Times New Roman" w:cs="Times New Roman"/>
          <w:color w:val="auto"/>
        </w:rPr>
        <w:t>（二）发展原则</w:t>
      </w:r>
      <w:bookmarkEnd w:id="20"/>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——开放协同，高端引领</w:t>
      </w:r>
      <w:r>
        <w:rPr>
          <w:rFonts w:ascii="Times New Roman" w:hAnsi="Times New Roman" w:eastAsia="仿宋_GB2312" w:cs="Times New Roman"/>
          <w:color w:val="auto"/>
          <w:sz w:val="32"/>
          <w:szCs w:val="32"/>
        </w:rPr>
        <w:t>。统筹利用国内国际两个市场、两种资源，主动谋划融入共建“一带一路”、粤港澳大湾区、区域全面经济伙伴关系协定（RCEP）等发展战略，更好联通内外、对接产销，推进更高水平开放型经济发展。巩固发展优势，强化使命担当，做大做强天河路-珠江新城世界级地标商圈，建设世界级城市中轴，打造国际消费中心城市核心承载区，着力形成更高能级、更高浓度、更高混合度的全球城市核心高端消费功能集聚区。</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——创新发展，提质升级</w:t>
      </w:r>
      <w:r>
        <w:rPr>
          <w:rFonts w:ascii="Times New Roman" w:hAnsi="Times New Roman" w:eastAsia="仿宋_GB2312" w:cs="Times New Roman"/>
          <w:color w:val="auto"/>
          <w:sz w:val="32"/>
          <w:szCs w:val="32"/>
        </w:rPr>
        <w:t>。以数字化变革为动力，充分结合大数据、物联网、人工智能、5G、AR/VR/MR等数字技术，促进传统商业智能化、场景化、电商化转型升级。加快推动商贸业国际化、体验化、融合化发展，链接全球商贸业资源，云集国际知名品牌和优质市场主体；融入文化、科技、创意体验，加快推动产品及模式创新；促进商贸业与文化旅游、体育、健康、新一代信息技术等产业融合发展，不断丰富商贸业内涵。</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——以人为本，均衡发展</w:t>
      </w:r>
      <w:r>
        <w:rPr>
          <w:rFonts w:ascii="Times New Roman" w:hAnsi="Times New Roman" w:eastAsia="仿宋_GB2312" w:cs="Times New Roman"/>
          <w:color w:val="auto"/>
          <w:sz w:val="32"/>
          <w:szCs w:val="32"/>
        </w:rPr>
        <w:t>。坚持以人民为中心，把人民对美好生活的向往作为奋斗目标，不断增强优质商品和服务供给，更好更快满足人民日益增长的美好生活需要，增强人民的获得感、幸福感。加快促进商贸业布局均衡化，以服务生产、生活为目标，围绕产业发展和人民生活需要，持续优化商业配套，助力打造宜商、宜业、宜居、宜游的中央活力区。</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21" w:name="_Toc10273"/>
      <w:r>
        <w:rPr>
          <w:rFonts w:ascii="Times New Roman" w:hAnsi="Times New Roman" w:cs="Times New Roman"/>
          <w:color w:val="auto"/>
        </w:rPr>
        <w:t>（三）发展定位</w:t>
      </w:r>
      <w:bookmarkEnd w:id="21"/>
    </w:p>
    <w:p>
      <w:pPr>
        <w:pStyle w:val="7"/>
        <w:pageBreakBefore w:val="0"/>
        <w:kinsoku/>
        <w:wordWrap/>
        <w:overflowPunct/>
        <w:topLinePunct w:val="0"/>
        <w:autoSpaceDE/>
        <w:autoSpaceDN/>
        <w:bidi w:val="0"/>
        <w:adjustRightInd/>
        <w:snapToGrid/>
        <w:spacing w:beforeAutospacing="0" w:afterAutospacing="0" w:line="560" w:lineRule="exact"/>
        <w:ind w:right="0" w:rightChars="0" w:firstLine="6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立足区位优势和产业基础，围绕商贸业提质升级主线，对标最好最优，全面提升国际知名度、业态丰富度、消费繁荣度、区域发展引领度、营商环境舒适度，着力</w:t>
      </w:r>
      <w:bookmarkStart w:id="22" w:name="_Hlk117546417"/>
      <w:r>
        <w:rPr>
          <w:rFonts w:ascii="Times New Roman" w:hAnsi="Times New Roman" w:eastAsia="仿宋_GB2312" w:cs="Times New Roman"/>
          <w:color w:val="auto"/>
          <w:sz w:val="32"/>
          <w:szCs w:val="32"/>
        </w:rPr>
        <w:t>打造广州国际消费中心城市核心承载区、国内中心城区商贸业提质升级示范区、“双循环”新发展格局下资源配置枢纽</w:t>
      </w:r>
      <w:bookmarkEnd w:id="22"/>
      <w:r>
        <w:rPr>
          <w:rFonts w:ascii="Times New Roman" w:hAnsi="Times New Roman" w:eastAsia="仿宋_GB2312" w:cs="Times New Roman"/>
          <w:color w:val="auto"/>
          <w:sz w:val="32"/>
          <w:szCs w:val="32"/>
        </w:rPr>
        <w:t>。</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bookmarkStart w:id="23" w:name="_Hlk117546486"/>
      <w:r>
        <w:rPr>
          <w:rFonts w:ascii="Times New Roman" w:hAnsi="Times New Roman" w:eastAsia="仿宋_GB2312" w:cs="Times New Roman"/>
          <w:b/>
          <w:bCs/>
          <w:color w:val="auto"/>
          <w:sz w:val="32"/>
          <w:szCs w:val="32"/>
        </w:rPr>
        <w:t>广州国际消费中心城市核心承载区</w:t>
      </w:r>
      <w:r>
        <w:rPr>
          <w:rFonts w:ascii="Times New Roman" w:hAnsi="Times New Roman" w:eastAsia="仿宋_GB2312" w:cs="Times New Roman"/>
          <w:color w:val="auto"/>
          <w:sz w:val="32"/>
          <w:szCs w:val="32"/>
        </w:rPr>
        <w:t>。充分发挥广州经济第一区优势，做大做强天河路-珠江新城世界级地标商圈，提升中轴商业连贯性及整体景观性，打造时尚消费地标集聚地。加快珠江新城、金融城及周边商业消费功能区建设，沿珠江前航道积极拓展优质商业增量。推动首店经济、夜间经济、直播经济、时尚定制发展，加快培育新型消费，加强品牌培育，发挥现代化城市形象和传统岭南文化的集聚窗口作用，促进文商旅深度融合，增强商品和服务高质量供给，成为国际文化旅游消费中心地，以及优质商品、服务、品牌输出地。</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国内中心城区商贸业提质升级示范区</w:t>
      </w:r>
      <w:r>
        <w:rPr>
          <w:rFonts w:ascii="Times New Roman" w:hAnsi="Times New Roman" w:eastAsia="仿宋_GB2312" w:cs="Times New Roman"/>
          <w:color w:val="auto"/>
          <w:sz w:val="32"/>
          <w:szCs w:val="32"/>
        </w:rPr>
        <w:t>。以招商引资和企业培育、集聚发展、科技赋能等为手段，促进产业结构优化和企业能级提升。以总部经济和营商环境优势，加大力度引进和培育国内外高能级商业投资商和运营商、中高端消费品牌企业、供应链企业、品牌连锁企业等；积极推动优质细分领域集群发展，最大化资源利用效率，集中力量集成要素促进产业成链成群；加强数字技术赋能，全面提升商贸主体信息化水平，加快推动线上服务、线下体验深度融合，以线上化、电商化转型积极拓展市场空间。</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“双循环”新发展格局下资源配置枢纽</w:t>
      </w:r>
      <w:r>
        <w:rPr>
          <w:rFonts w:ascii="Times New Roman" w:hAnsi="Times New Roman" w:eastAsia="仿宋_GB2312" w:cs="Times New Roman"/>
          <w:color w:val="auto"/>
          <w:sz w:val="32"/>
          <w:szCs w:val="32"/>
        </w:rPr>
        <w:t>。以天河路-珠江新城商圈为引领，协同金融城—黄埔湾、广州塔—琶洲商圈等，联合打造珠江世界级消费服务业发展带、全球高端功能引领地；加强粤港澳合作，引进先进理念、模式、运营团队，促进商贸业国际化高质量发展；加强对内循环和外循环的链接作用，以“一带一路”、RCEP为契机，优化进出口商品结构，推动服务贸易出口，对内引进优质全球商品和服务，对外输出本土品牌和服务，成为链接内外循环的枢纽支点。</w:t>
      </w:r>
    </w:p>
    <w:bookmarkEnd w:id="23"/>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24" w:name="_Toc17904"/>
      <w:r>
        <w:rPr>
          <w:rFonts w:ascii="Times New Roman" w:hAnsi="Times New Roman" w:cs="Times New Roman"/>
          <w:color w:val="auto"/>
        </w:rPr>
        <w:t>（四）发展目标</w:t>
      </w:r>
      <w:bookmarkEnd w:id="24"/>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以产业提质升级、消费扩容提质、企业活力迸发为目标，到“十四五”期末，商贸业产业结构优化成效显现，产业集聚和辐射带动能力全面增强，新业态新模式引领作用不断凸显，资源配置能力显著提升，商业空间布局逐步优化，成为建设广州国际消费中心城市和全面增强广州</w:t>
      </w:r>
      <w:r>
        <w:rPr>
          <w:rFonts w:ascii="Times New Roman" w:hAnsi="Times New Roman" w:eastAsia="仿宋_GB2312" w:cs="Times New Roman"/>
          <w:color w:val="auto"/>
          <w:sz w:val="32"/>
          <w:szCs w:val="32"/>
        </w:rPr>
        <w:t>国际商贸中心功能</w:t>
      </w:r>
      <w:r>
        <w:rPr>
          <w:rFonts w:ascii="Times New Roman" w:hAnsi="Times New Roman" w:eastAsia="仿宋_GB2312" w:cs="Times New Roman"/>
          <w:color w:val="auto"/>
          <w:kern w:val="0"/>
          <w:sz w:val="32"/>
          <w:szCs w:val="32"/>
        </w:rPr>
        <w:t>的核心力量。</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b/>
          <w:bCs/>
          <w:color w:val="auto"/>
          <w:kern w:val="0"/>
          <w:sz w:val="32"/>
          <w:szCs w:val="32"/>
          <w:lang w:eastAsia="zh-CN"/>
        </w:rPr>
        <w:t>产业</w:t>
      </w:r>
      <w:r>
        <w:rPr>
          <w:rFonts w:ascii="Times New Roman" w:hAnsi="Times New Roman" w:eastAsia="仿宋_GB2312" w:cs="Times New Roman"/>
          <w:b/>
          <w:bCs/>
          <w:color w:val="auto"/>
          <w:kern w:val="0"/>
          <w:sz w:val="32"/>
          <w:szCs w:val="32"/>
        </w:rPr>
        <w:t>规模不断提升</w:t>
      </w:r>
      <w:r>
        <w:rPr>
          <w:rFonts w:ascii="Times New Roman" w:hAnsi="Times New Roman" w:eastAsia="仿宋_GB2312" w:cs="Times New Roman"/>
          <w:color w:val="auto"/>
          <w:kern w:val="0"/>
          <w:sz w:val="32"/>
          <w:szCs w:val="32"/>
        </w:rPr>
        <w:t>。到2025年，商贸业增加值占地区生产总值比重达15%，通过网络销售商品零售额年均增长达15%以上，商品销售总额突破15000亿元，社会消费品零售总额达到2500亿元，世界级地标商圈、文商旅体融合发展第一圈建设成效显著，增强对国内外游客、商务人士、留学生等各类人群的吸引力，稳步提升消费客群人数和消费支出。</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商业布局不断优化</w:t>
      </w:r>
      <w:r>
        <w:rPr>
          <w:rFonts w:ascii="Times New Roman" w:hAnsi="Times New Roman" w:eastAsia="仿宋_GB2312" w:cs="Times New Roman"/>
          <w:color w:val="auto"/>
          <w:kern w:val="0"/>
          <w:sz w:val="32"/>
          <w:szCs w:val="32"/>
        </w:rPr>
        <w:t xml:space="preserve">。培育销售额超过十亿元的商贸载体10家左右，积极推进新增大型购物中心，区内商业网点空间布局更加合理，“都会级-区域级-社区级”综合商业体系进一步完善。加快建设智慧商圈，培育一批夜间文化和旅游消费集聚区、文商旅体融合发展示范性项目。 </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市场主体能级提升</w:t>
      </w:r>
      <w:r>
        <w:rPr>
          <w:rFonts w:ascii="Times New Roman" w:hAnsi="Times New Roman" w:eastAsia="仿宋_GB2312" w:cs="Times New Roman"/>
          <w:color w:val="auto"/>
          <w:kern w:val="0"/>
          <w:sz w:val="32"/>
          <w:szCs w:val="32"/>
        </w:rPr>
        <w:t>。围绕百货、大宗商品、汽车销售、电子商务、医药流通、高端酒店餐饮等细分领域，大力引进高能级龙头企业和项目，新增商贸业总部型企业或项目10个以上；积极挖掘存量潜力，引培并重，新增销售额百亿级企业10家左右，培育一批在大湾区和全国具有引领性和示范性的品牌企业。</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营商环境持续改善</w:t>
      </w:r>
      <w:r>
        <w:rPr>
          <w:rFonts w:ascii="Times New Roman" w:hAnsi="Times New Roman" w:eastAsia="仿宋_GB2312" w:cs="Times New Roman"/>
          <w:color w:val="auto"/>
          <w:kern w:val="0"/>
          <w:sz w:val="32"/>
          <w:szCs w:val="32"/>
        </w:rPr>
        <w:t>。积极推动现代化国际化营商环境出新出彩，构建近悦远来的营商环境。加强政策支持，积极举办和培育品牌活动，搭建行业沟通和异业联盟合作渠道；强化空间规划引领，加强重大商业项目和商圈改造用地保障；建立开放包容审慎执法机制，激励新业态、新模式发展，在优化监管的前提下，进一步放宽准入和资质审批条件；不断完善商务诚信体系和消费信用环境。</w:t>
      </w:r>
    </w:p>
    <w:p>
      <w:pPr>
        <w:pStyle w:val="8"/>
        <w:keepNext/>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cs="Times New Roman"/>
          <w:color w:val="auto"/>
        </w:rPr>
        <w:t xml:space="preserve">表 </w:t>
      </w:r>
      <w:r>
        <w:rPr>
          <w:rFonts w:ascii="Times New Roman" w:hAnsi="Times New Roman" w:cs="Times New Roman"/>
          <w:color w:val="auto"/>
        </w:rPr>
        <w:fldChar w:fldCharType="begin"/>
      </w:r>
      <w:r>
        <w:rPr>
          <w:rFonts w:ascii="Times New Roman" w:hAnsi="Times New Roman" w:cs="Times New Roman"/>
          <w:color w:val="auto"/>
        </w:rPr>
        <w:instrText xml:space="preserve"> SEQ 表 \* ARABIC </w:instrText>
      </w:r>
      <w:r>
        <w:rPr>
          <w:rFonts w:ascii="Times New Roman" w:hAnsi="Times New Roman" w:cs="Times New Roman"/>
          <w:color w:val="auto"/>
        </w:rPr>
        <w:fldChar w:fldCharType="separate"/>
      </w:r>
      <w:r>
        <w:rPr>
          <w:rFonts w:ascii="Times New Roman" w:hAnsi="Times New Roman" w:cs="Times New Roman"/>
          <w:color w:val="auto"/>
        </w:rPr>
        <w:t>2</w:t>
      </w:r>
      <w:r>
        <w:rPr>
          <w:rFonts w:ascii="Times New Roman" w:hAnsi="Times New Roman" w:cs="Times New Roman"/>
          <w:color w:val="auto"/>
        </w:rPr>
        <w:fldChar w:fldCharType="end"/>
      </w:r>
      <w:r>
        <w:rPr>
          <w:rFonts w:ascii="Times New Roman" w:hAnsi="Times New Roman" w:cs="Times New Roman"/>
          <w:color w:val="auto"/>
        </w:rPr>
        <w:t xml:space="preserve"> 天河区现代商贸业“十四五”发展目标</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970"/>
        <w:gridCol w:w="127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8"/>
              </w:rPr>
            </w:pPr>
          </w:p>
        </w:tc>
        <w:tc>
          <w:tcPr>
            <w:tcW w:w="3970"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b/>
                <w:bCs/>
                <w:color w:val="auto"/>
                <w:kern w:val="0"/>
                <w:szCs w:val="28"/>
              </w:rPr>
              <w:t>指标名称</w:t>
            </w:r>
          </w:p>
        </w:tc>
        <w:tc>
          <w:tcPr>
            <w:tcW w:w="127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b/>
                <w:bCs/>
                <w:color w:val="auto"/>
                <w:kern w:val="0"/>
                <w:szCs w:val="28"/>
              </w:rPr>
              <w:t>单位</w:t>
            </w:r>
          </w:p>
        </w:tc>
        <w:tc>
          <w:tcPr>
            <w:tcW w:w="206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b/>
                <w:bCs/>
                <w:color w:val="auto"/>
                <w:kern w:val="0"/>
                <w:szCs w:val="28"/>
              </w:rPr>
              <w:t>2025年目标值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w:t>
            </w:r>
          </w:p>
        </w:tc>
        <w:tc>
          <w:tcPr>
            <w:tcW w:w="397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商贸业增加值占生产总值比重</w:t>
            </w:r>
          </w:p>
        </w:tc>
        <w:tc>
          <w:tcPr>
            <w:tcW w:w="127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w:t>
            </w:r>
          </w:p>
        </w:tc>
        <w:tc>
          <w:tcPr>
            <w:tcW w:w="206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2</w:t>
            </w:r>
          </w:p>
        </w:tc>
        <w:tc>
          <w:tcPr>
            <w:tcW w:w="397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网络销售商品零售额年均增速</w:t>
            </w:r>
          </w:p>
        </w:tc>
        <w:tc>
          <w:tcPr>
            <w:tcW w:w="127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w:t>
            </w:r>
          </w:p>
        </w:tc>
        <w:tc>
          <w:tcPr>
            <w:tcW w:w="206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3</w:t>
            </w:r>
          </w:p>
        </w:tc>
        <w:tc>
          <w:tcPr>
            <w:tcW w:w="3970"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商品销售总额</w:t>
            </w:r>
          </w:p>
        </w:tc>
        <w:tc>
          <w:tcPr>
            <w:tcW w:w="127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亿元</w:t>
            </w:r>
          </w:p>
        </w:tc>
        <w:tc>
          <w:tcPr>
            <w:tcW w:w="206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4</w:t>
            </w:r>
          </w:p>
        </w:tc>
        <w:tc>
          <w:tcPr>
            <w:tcW w:w="3970"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社会消费品零售总额</w:t>
            </w:r>
          </w:p>
        </w:tc>
        <w:tc>
          <w:tcPr>
            <w:tcW w:w="127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亿元</w:t>
            </w:r>
          </w:p>
        </w:tc>
        <w:tc>
          <w:tcPr>
            <w:tcW w:w="206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5</w:t>
            </w:r>
          </w:p>
        </w:tc>
        <w:tc>
          <w:tcPr>
            <w:tcW w:w="397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销售额超十亿元的商贸载体</w:t>
            </w:r>
          </w:p>
        </w:tc>
        <w:tc>
          <w:tcPr>
            <w:tcW w:w="127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个</w:t>
            </w:r>
          </w:p>
        </w:tc>
        <w:tc>
          <w:tcPr>
            <w:tcW w:w="206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6</w:t>
            </w:r>
          </w:p>
        </w:tc>
        <w:tc>
          <w:tcPr>
            <w:tcW w:w="397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新增商贸业总部型企业或项目</w:t>
            </w:r>
          </w:p>
        </w:tc>
        <w:tc>
          <w:tcPr>
            <w:tcW w:w="127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个</w:t>
            </w:r>
          </w:p>
        </w:tc>
        <w:tc>
          <w:tcPr>
            <w:tcW w:w="206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7</w:t>
            </w:r>
          </w:p>
        </w:tc>
        <w:tc>
          <w:tcPr>
            <w:tcW w:w="397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新增销售额百亿级企业</w:t>
            </w:r>
          </w:p>
        </w:tc>
        <w:tc>
          <w:tcPr>
            <w:tcW w:w="127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家</w:t>
            </w:r>
          </w:p>
        </w:tc>
        <w:tc>
          <w:tcPr>
            <w:tcW w:w="206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8"/>
              </w:rPr>
            </w:pPr>
            <w:r>
              <w:rPr>
                <w:rFonts w:ascii="Times New Roman" w:hAnsi="Times New Roman" w:eastAsia="仿宋_GB2312" w:cs="Times New Roman"/>
                <w:color w:val="auto"/>
                <w:kern w:val="0"/>
                <w:szCs w:val="28"/>
              </w:rPr>
              <w:t>10</w:t>
            </w:r>
          </w:p>
        </w:tc>
      </w:tr>
    </w:tbl>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25" w:name="_Toc29698"/>
      <w:r>
        <w:rPr>
          <w:rFonts w:ascii="Times New Roman" w:hAnsi="Times New Roman" w:cs="Times New Roman"/>
          <w:color w:val="auto"/>
        </w:rPr>
        <w:t>第三章 推动商贸业可持续高质量发展</w:t>
      </w:r>
      <w:bookmarkEnd w:id="25"/>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Cs w:val="32"/>
        </w:rPr>
      </w:pPr>
      <w:r>
        <w:rPr>
          <w:rFonts w:ascii="Times New Roman" w:hAnsi="Times New Roman" w:eastAsia="仿宋_GB2312" w:cs="Times New Roman"/>
          <w:color w:val="auto"/>
          <w:kern w:val="0"/>
          <w:sz w:val="32"/>
          <w:szCs w:val="32"/>
        </w:rPr>
        <w:t>全力推动商贸业产业结构优化调整，</w:t>
      </w:r>
      <w:r>
        <w:rPr>
          <w:color w:val="auto"/>
        </w:rPr>
        <w:fldChar w:fldCharType="begin"/>
      </w:r>
      <w:r>
        <w:rPr>
          <w:color w:val="auto"/>
        </w:rPr>
        <w:instrText xml:space="preserve"> HYPERLINK "http://www.baidu.com/link?url=qoFuNN8HECZpM3JGqOBxtuHdOfuD7eNpQED4u8x2HlGXdcOuCSrO3GG1Cjo3bjowb8mDN2pIImJJV1ob-c1n7K" \t "_blank" </w:instrText>
      </w:r>
      <w:r>
        <w:rPr>
          <w:color w:val="auto"/>
        </w:rPr>
        <w:fldChar w:fldCharType="separate"/>
      </w:r>
      <w:r>
        <w:rPr>
          <w:rFonts w:ascii="Times New Roman" w:hAnsi="Times New Roman" w:eastAsia="仿宋_GB2312" w:cs="Times New Roman"/>
          <w:color w:val="auto"/>
          <w:kern w:val="0"/>
          <w:sz w:val="32"/>
          <w:szCs w:val="32"/>
        </w:rPr>
        <w:t>提升商贸业发展质量和效益</w:t>
      </w:r>
      <w:r>
        <w:rPr>
          <w:rFonts w:ascii="Times New Roman" w:hAnsi="Times New Roman" w:eastAsia="仿宋_GB2312" w:cs="Times New Roman"/>
          <w:color w:val="auto"/>
          <w:kern w:val="0"/>
          <w:sz w:val="32"/>
          <w:szCs w:val="32"/>
        </w:rPr>
        <w:fldChar w:fldCharType="end"/>
      </w:r>
      <w:r>
        <w:rPr>
          <w:rFonts w:ascii="Times New Roman" w:hAnsi="Times New Roman" w:eastAsia="仿宋_GB2312" w:cs="Times New Roman"/>
          <w:color w:val="auto"/>
          <w:kern w:val="0"/>
          <w:sz w:val="32"/>
          <w:szCs w:val="32"/>
        </w:rPr>
        <w:t>。招引并举，提升批发业主体能级，力促专业市场品牌化平台化发展，推动批发业向产业链价值链高端化发展。以数字化、国际化、高端化为核心，全面提升消费供给质量，丰富消费供给领域，推动零售消费提质扩容，加快推动以时尚定制、沉浸体验等新业态新模式引领的新型消费，进一步释放消费潜力，补齐消费短板。积极扩大住餐市场供给范围，推动产业集聚化发展和文商旅体融合发展，进一步挖掘消费潜力。以汽车销售、药品</w:t>
      </w:r>
      <w:r>
        <w:rPr>
          <w:rFonts w:hint="eastAsia" w:ascii="Times New Roman" w:hAnsi="Times New Roman" w:eastAsia="仿宋_GB2312" w:cs="Times New Roman"/>
          <w:color w:val="auto"/>
          <w:kern w:val="0"/>
          <w:sz w:val="32"/>
          <w:szCs w:val="32"/>
        </w:rPr>
        <w:t>和医疗器械</w:t>
      </w:r>
      <w:r>
        <w:rPr>
          <w:rFonts w:ascii="Times New Roman" w:hAnsi="Times New Roman" w:eastAsia="仿宋_GB2312" w:cs="Times New Roman"/>
          <w:color w:val="auto"/>
          <w:kern w:val="0"/>
          <w:sz w:val="32"/>
          <w:szCs w:val="32"/>
        </w:rPr>
        <w:t>流通、定制家居为突破口，推动消费升级，培育新增长极；积极推动生活性服务业多元化发展，扩大消费领域容量。</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26" w:name="_Toc13950"/>
      <w:r>
        <w:rPr>
          <w:rFonts w:ascii="Times New Roman" w:hAnsi="Times New Roman" w:cs="Times New Roman"/>
          <w:color w:val="auto"/>
        </w:rPr>
        <w:t>（一）力促批发业转型升级，推动向价值链高端延伸</w:t>
      </w:r>
      <w:bookmarkEnd w:id="26"/>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b w:val="0"/>
          <w:bCs w:val="0"/>
          <w:color w:val="auto"/>
          <w:kern w:val="0"/>
        </w:rPr>
      </w:pPr>
      <w:bookmarkStart w:id="27" w:name="_Toc8035"/>
      <w:r>
        <w:rPr>
          <w:rFonts w:ascii="Times New Roman" w:hAnsi="Times New Roman" w:cs="Times New Roman"/>
          <w:color w:val="auto"/>
        </w:rPr>
        <w:t>1、引进和培育高能级市场主体</w:t>
      </w:r>
      <w:bookmarkEnd w:id="27"/>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加大招商引资力度</w:t>
      </w:r>
      <w:r>
        <w:rPr>
          <w:rFonts w:hint="eastAsia" w:ascii="Times New Roman" w:hAnsi="Times New Roman" w:eastAsia="仿宋_GB2312" w:cs="Times New Roman"/>
          <w:b/>
          <w:bCs/>
          <w:color w:val="auto"/>
          <w:kern w:val="0"/>
          <w:sz w:val="32"/>
          <w:szCs w:val="32"/>
        </w:rPr>
        <w:t>。</w:t>
      </w:r>
      <w:r>
        <w:rPr>
          <w:rFonts w:ascii="Times New Roman" w:hAnsi="Times New Roman" w:eastAsia="仿宋_GB2312" w:cs="Times New Roman"/>
          <w:color w:val="auto"/>
          <w:kern w:val="0"/>
          <w:sz w:val="32"/>
          <w:szCs w:val="32"/>
        </w:rPr>
        <w:t>引进知名品牌批发企业在天河设立全国性、区域性总部，引导具备条件的国有企业布局商贸批发业，发展连锁批发经营，打造商品流通平台，强化批发业总部枢纽功能。紧抓广州制造业立市、天河CBD“四个出新出彩”和粤港澳大湾区金融合作示范区建设等机遇，积极对接原材料和工业品贸易市场，加强引进供应链总部企业、央企总部及其二级机构，增强天河在大宗商品等批发业领域的竞争力和话语权。发挥油品、金属、化工等优势领域现有骨干企业作用，以商招商，引进一批具有核心竞争力的大宗商品贸易总部“链主”企业</w:t>
      </w:r>
      <w:r>
        <w:rPr>
          <w:rFonts w:hint="eastAsia" w:ascii="Times New Roman" w:hAnsi="Times New Roman" w:eastAsia="仿宋_GB2312" w:cs="Times New Roman"/>
          <w:color w:val="auto"/>
          <w:kern w:val="0"/>
          <w:sz w:val="32"/>
          <w:szCs w:val="32"/>
        </w:rPr>
        <w:t>和产业链上下游重点企业</w:t>
      </w:r>
      <w:r>
        <w:rPr>
          <w:rFonts w:ascii="Times New Roman" w:hAnsi="Times New Roman" w:eastAsia="仿宋_GB2312" w:cs="Times New Roman"/>
          <w:color w:val="auto"/>
          <w:kern w:val="0"/>
          <w:sz w:val="32"/>
          <w:szCs w:val="32"/>
        </w:rPr>
        <w:t>。依托广州期货交易所建设，围绕期货产品链和交易链实施靶向招商，吸引拥有大宗知名品牌产品国内总分销权、总代理权的企业落户。</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bookmarkStart w:id="28" w:name="_Hlk119252370"/>
      <w:bookmarkStart w:id="29" w:name="_Hlk119252421"/>
      <w:bookmarkStart w:id="30" w:name="_Hlk119252396"/>
      <w:r>
        <w:rPr>
          <w:rFonts w:hint="eastAsia" w:ascii="Times New Roman" w:hAnsi="Times New Roman" w:eastAsia="仿宋_GB2312" w:cs="Times New Roman"/>
          <w:b/>
          <w:bCs/>
          <w:color w:val="auto"/>
          <w:kern w:val="0"/>
          <w:sz w:val="32"/>
          <w:szCs w:val="32"/>
        </w:rPr>
        <w:t>推动市场主体做大做强</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鼓励大宗商品企业延链、补链</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向</w:t>
      </w:r>
      <w:r>
        <w:rPr>
          <w:rFonts w:hint="eastAsia" w:ascii="Times New Roman" w:hAnsi="Times New Roman" w:eastAsia="仿宋_GB2312" w:cs="Times New Roman"/>
          <w:color w:val="auto"/>
          <w:kern w:val="0"/>
          <w:sz w:val="32"/>
          <w:szCs w:val="32"/>
        </w:rPr>
        <w:t>加工、</w:t>
      </w:r>
      <w:r>
        <w:rPr>
          <w:rFonts w:ascii="Times New Roman" w:hAnsi="Times New Roman" w:eastAsia="仿宋_GB2312" w:cs="Times New Roman"/>
          <w:color w:val="auto"/>
          <w:kern w:val="0"/>
          <w:sz w:val="32"/>
          <w:szCs w:val="32"/>
        </w:rPr>
        <w:t>供应链金融、物流增值服务等环节延伸，积极拓展新产品和新市场</w:t>
      </w:r>
      <w:r>
        <w:rPr>
          <w:rFonts w:hint="eastAsia" w:ascii="Times New Roman" w:hAnsi="Times New Roman" w:eastAsia="仿宋_GB2312" w:cs="Times New Roman"/>
          <w:color w:val="auto"/>
          <w:kern w:val="0"/>
          <w:sz w:val="32"/>
          <w:szCs w:val="32"/>
        </w:rPr>
        <w:t>。</w:t>
      </w:r>
      <w:r>
        <w:rPr>
          <w:rFonts w:hint="eastAsia" w:ascii="Times New Roman" w:hAnsi="Times New Roman" w:eastAsia="仿宋_GB2312" w:cs="Times New Roman"/>
          <w:b/>
          <w:bCs/>
          <w:color w:val="auto"/>
          <w:kern w:val="0"/>
          <w:sz w:val="32"/>
          <w:szCs w:val="32"/>
        </w:rPr>
        <w:t>支持骨干企业拓展新赛道</w:t>
      </w:r>
      <w:r>
        <w:rPr>
          <w:rFonts w:ascii="Times New Roman" w:hAnsi="Times New Roman" w:eastAsia="仿宋_GB2312" w:cs="Times New Roman"/>
          <w:color w:val="auto"/>
          <w:kern w:val="0"/>
          <w:sz w:val="32"/>
          <w:szCs w:val="32"/>
        </w:rPr>
        <w:t>。</w:t>
      </w:r>
      <w:r>
        <w:rPr>
          <w:rFonts w:hint="eastAsia" w:ascii="Times New Roman" w:hAnsi="Times New Roman" w:eastAsia="仿宋_GB2312" w:cs="Times New Roman"/>
          <w:color w:val="auto"/>
          <w:kern w:val="0"/>
          <w:sz w:val="32"/>
          <w:szCs w:val="32"/>
        </w:rPr>
        <w:t>鼓励建发、象屿、中石化等</w:t>
      </w:r>
      <w:r>
        <w:rPr>
          <w:rFonts w:ascii="Times New Roman" w:hAnsi="Times New Roman" w:eastAsia="仿宋_GB2312" w:cs="Times New Roman"/>
          <w:color w:val="auto"/>
          <w:kern w:val="0"/>
          <w:sz w:val="32"/>
          <w:szCs w:val="32"/>
        </w:rPr>
        <w:t>龙头企业</w:t>
      </w:r>
      <w:r>
        <w:rPr>
          <w:rFonts w:hint="eastAsia" w:ascii="Times New Roman" w:hAnsi="Times New Roman" w:eastAsia="仿宋_GB2312" w:cs="Times New Roman"/>
          <w:color w:val="auto"/>
          <w:kern w:val="0"/>
          <w:sz w:val="32"/>
          <w:szCs w:val="32"/>
        </w:rPr>
        <w:t>顺应产业发展趋势，积极拓展新能源、新材料、高科技产品等新领域，形成一批二次增长新赛道，积极推动与企业对接。</w:t>
      </w:r>
      <w:r>
        <w:rPr>
          <w:rFonts w:hint="eastAsia" w:ascii="Times New Roman" w:hAnsi="Times New Roman" w:eastAsia="仿宋_GB2312" w:cs="Times New Roman"/>
          <w:b/>
          <w:bCs/>
          <w:color w:val="auto"/>
          <w:kern w:val="0"/>
          <w:sz w:val="32"/>
          <w:szCs w:val="32"/>
        </w:rPr>
        <w:t>支持企业从产业“中游”向“上下游”延伸</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支持企业开展投资和并购业务，</w:t>
      </w:r>
      <w:r>
        <w:rPr>
          <w:rFonts w:hint="eastAsia" w:ascii="Times New Roman" w:hAnsi="Times New Roman" w:eastAsia="仿宋_GB2312" w:cs="Times New Roman"/>
          <w:color w:val="auto"/>
          <w:kern w:val="0"/>
          <w:sz w:val="32"/>
          <w:szCs w:val="32"/>
        </w:rPr>
        <w:t>通过战略投资，</w:t>
      </w:r>
      <w:r>
        <w:rPr>
          <w:rFonts w:ascii="Times New Roman" w:hAnsi="Times New Roman" w:eastAsia="仿宋_GB2312" w:cs="Times New Roman"/>
          <w:color w:val="auto"/>
          <w:kern w:val="0"/>
          <w:sz w:val="32"/>
          <w:szCs w:val="32"/>
        </w:rPr>
        <w:t>增强对</w:t>
      </w:r>
      <w:r>
        <w:rPr>
          <w:rFonts w:hint="eastAsia" w:ascii="Times New Roman" w:hAnsi="Times New Roman" w:eastAsia="仿宋_GB2312" w:cs="Times New Roman"/>
          <w:color w:val="auto"/>
          <w:kern w:val="0"/>
          <w:sz w:val="32"/>
          <w:szCs w:val="32"/>
        </w:rPr>
        <w:t>矿产资源</w:t>
      </w:r>
      <w:r>
        <w:rPr>
          <w:rFonts w:ascii="Times New Roman" w:hAnsi="Times New Roman" w:eastAsia="仿宋_GB2312" w:cs="Times New Roman"/>
          <w:color w:val="auto"/>
          <w:kern w:val="0"/>
          <w:sz w:val="32"/>
          <w:szCs w:val="32"/>
        </w:rPr>
        <w:t>、港口等</w:t>
      </w:r>
      <w:r>
        <w:rPr>
          <w:rFonts w:hint="eastAsia" w:ascii="Times New Roman" w:hAnsi="Times New Roman" w:eastAsia="仿宋_GB2312" w:cs="Times New Roman"/>
          <w:color w:val="auto"/>
          <w:kern w:val="0"/>
          <w:sz w:val="32"/>
          <w:szCs w:val="32"/>
        </w:rPr>
        <w:t>上游</w:t>
      </w:r>
      <w:r>
        <w:rPr>
          <w:rFonts w:ascii="Times New Roman" w:hAnsi="Times New Roman" w:eastAsia="仿宋_GB2312" w:cs="Times New Roman"/>
          <w:color w:val="auto"/>
          <w:kern w:val="0"/>
          <w:sz w:val="32"/>
          <w:szCs w:val="32"/>
        </w:rPr>
        <w:t>实体供应链把控能力；</w:t>
      </w:r>
      <w:r>
        <w:rPr>
          <w:rFonts w:hint="eastAsia" w:ascii="Times New Roman" w:hAnsi="Times New Roman" w:eastAsia="仿宋_GB2312" w:cs="Times New Roman"/>
          <w:color w:val="auto"/>
          <w:kern w:val="0"/>
          <w:sz w:val="32"/>
          <w:szCs w:val="32"/>
        </w:rPr>
        <w:t>支持企业加大加工制造占比，从原料供应向高价值加工产品拓展；支持大宗商品企业利用信息优势，加强与银行等金融机构合作，发展仓单质押融资、保理等供应链金融业务。</w:t>
      </w:r>
      <w:r>
        <w:rPr>
          <w:rFonts w:hint="eastAsia" w:ascii="Times New Roman" w:hAnsi="Times New Roman" w:eastAsia="仿宋_GB2312" w:cs="Times New Roman"/>
          <w:b/>
          <w:bCs/>
          <w:color w:val="auto"/>
          <w:kern w:val="0"/>
          <w:sz w:val="32"/>
          <w:szCs w:val="32"/>
        </w:rPr>
        <w:t>支持扩大经营。</w:t>
      </w:r>
      <w:r>
        <w:rPr>
          <w:rFonts w:hint="eastAsia" w:ascii="Times New Roman" w:hAnsi="Times New Roman" w:eastAsia="仿宋_GB2312" w:cs="Times New Roman"/>
          <w:color w:val="auto"/>
          <w:kern w:val="0"/>
          <w:sz w:val="32"/>
          <w:szCs w:val="32"/>
        </w:rPr>
        <w:t>鼓励服装、烟酒、粮油</w:t>
      </w:r>
      <w:r>
        <w:rPr>
          <w:rFonts w:ascii="Times New Roman" w:hAnsi="Times New Roman" w:eastAsia="仿宋_GB2312" w:cs="Times New Roman"/>
          <w:color w:val="auto"/>
          <w:kern w:val="0"/>
          <w:sz w:val="32"/>
          <w:szCs w:val="32"/>
        </w:rPr>
        <w:t>、食品、</w:t>
      </w:r>
      <w:r>
        <w:rPr>
          <w:rFonts w:hint="eastAsia" w:ascii="Times New Roman" w:hAnsi="Times New Roman" w:eastAsia="仿宋_GB2312" w:cs="Times New Roman"/>
          <w:color w:val="auto"/>
          <w:kern w:val="0"/>
          <w:sz w:val="32"/>
          <w:szCs w:val="32"/>
        </w:rPr>
        <w:t>办公用品、金银珠宝</w:t>
      </w:r>
      <w:r>
        <w:rPr>
          <w:rFonts w:ascii="Times New Roman" w:hAnsi="Times New Roman" w:eastAsia="仿宋_GB2312" w:cs="Times New Roman"/>
          <w:color w:val="auto"/>
          <w:kern w:val="0"/>
          <w:sz w:val="32"/>
          <w:szCs w:val="32"/>
        </w:rPr>
        <w:t>等</w:t>
      </w:r>
      <w:r>
        <w:rPr>
          <w:rFonts w:hint="eastAsia" w:ascii="Times New Roman" w:hAnsi="Times New Roman" w:eastAsia="仿宋_GB2312" w:cs="Times New Roman"/>
          <w:color w:val="auto"/>
          <w:kern w:val="0"/>
          <w:sz w:val="32"/>
          <w:szCs w:val="32"/>
        </w:rPr>
        <w:t>领域</w:t>
      </w:r>
      <w:r>
        <w:rPr>
          <w:rFonts w:ascii="Times New Roman" w:hAnsi="Times New Roman" w:eastAsia="仿宋_GB2312" w:cs="Times New Roman"/>
          <w:color w:val="auto"/>
          <w:kern w:val="0"/>
          <w:sz w:val="32"/>
          <w:szCs w:val="32"/>
        </w:rPr>
        <w:t>经销商</w:t>
      </w:r>
      <w:r>
        <w:rPr>
          <w:rFonts w:hint="eastAsia" w:ascii="Times New Roman" w:hAnsi="Times New Roman" w:eastAsia="仿宋_GB2312" w:cs="Times New Roman"/>
          <w:color w:val="auto"/>
          <w:kern w:val="0"/>
          <w:sz w:val="32"/>
          <w:szCs w:val="32"/>
        </w:rPr>
        <w:t>拓展资源库，代理更多优质品牌；支持</w:t>
      </w:r>
      <w:r>
        <w:rPr>
          <w:rFonts w:hint="eastAsia" w:eastAsia="仿宋_GB2312"/>
          <w:color w:val="auto"/>
          <w:kern w:val="0"/>
          <w:sz w:val="32"/>
          <w:szCs w:val="32"/>
        </w:rPr>
        <w:t>石油批发企业以扩大经营规模为导向，积极新设分支机构，推进油库和智慧物流平台建设；加强油企多领域协同，支持通过成品油互供、润滑油和成品油销售合作等方式实现跨区域资源共享、优势互补、互利共赢；</w:t>
      </w:r>
      <w:r>
        <w:rPr>
          <w:rFonts w:hint="eastAsia" w:ascii="Times New Roman" w:hAnsi="Times New Roman" w:eastAsia="仿宋_GB2312" w:cs="Times New Roman"/>
          <w:color w:val="auto"/>
          <w:kern w:val="0"/>
          <w:sz w:val="32"/>
          <w:szCs w:val="32"/>
        </w:rPr>
        <w:t>鼓励企业积极“出海”，设立海外办事处，积极利用区内领事馆集聚优势，举办产品会展活动，对接当地资源，联合挖掘当地好产品，争取代理权，推动优质商品“引进来”。</w:t>
      </w:r>
      <w:r>
        <w:rPr>
          <w:rFonts w:hint="eastAsia" w:ascii="Times New Roman" w:hAnsi="Times New Roman" w:eastAsia="仿宋_GB2312" w:cs="Times New Roman"/>
          <w:b/>
          <w:bCs/>
          <w:color w:val="auto"/>
          <w:kern w:val="0"/>
          <w:sz w:val="32"/>
          <w:szCs w:val="32"/>
        </w:rPr>
        <w:t>支持加强科技赋能</w:t>
      </w:r>
      <w:r>
        <w:rPr>
          <w:rFonts w:hint="eastAsia" w:ascii="Times New Roman" w:hAnsi="Times New Roman" w:eastAsia="仿宋_GB2312" w:cs="Times New Roman"/>
          <w:color w:val="auto"/>
          <w:kern w:val="0"/>
          <w:sz w:val="32"/>
          <w:szCs w:val="32"/>
        </w:rPr>
        <w:t>。利用区内软件业优势，推动企业加强信息系统建设，提升内外部系统对接效率；</w:t>
      </w:r>
      <w:r>
        <w:rPr>
          <w:rFonts w:ascii="Times New Roman" w:hAnsi="Times New Roman" w:eastAsia="仿宋_GB2312" w:cs="Times New Roman"/>
          <w:color w:val="auto"/>
          <w:kern w:val="0"/>
          <w:sz w:val="32"/>
          <w:szCs w:val="32"/>
        </w:rPr>
        <w:t>鼓励</w:t>
      </w:r>
      <w:r>
        <w:rPr>
          <w:rFonts w:hint="eastAsia" w:ascii="Times New Roman" w:hAnsi="Times New Roman" w:eastAsia="仿宋_GB2312" w:cs="Times New Roman"/>
          <w:color w:val="auto"/>
          <w:kern w:val="0"/>
          <w:sz w:val="32"/>
          <w:szCs w:val="32"/>
          <w:lang w:eastAsia="zh-CN"/>
        </w:rPr>
        <w:t>零售</w:t>
      </w:r>
      <w:r>
        <w:rPr>
          <w:rFonts w:ascii="Times New Roman" w:hAnsi="Times New Roman" w:eastAsia="仿宋_GB2312" w:cs="Times New Roman"/>
          <w:color w:val="auto"/>
          <w:kern w:val="0"/>
          <w:sz w:val="32"/>
          <w:szCs w:val="32"/>
        </w:rPr>
        <w:t>企业电商化发展，探索</w:t>
      </w:r>
      <w:r>
        <w:rPr>
          <w:rFonts w:hint="eastAsia" w:ascii="Times New Roman" w:hAnsi="Times New Roman" w:eastAsia="仿宋_GB2312" w:cs="Times New Roman"/>
          <w:color w:val="auto"/>
          <w:kern w:val="0"/>
          <w:sz w:val="32"/>
          <w:szCs w:val="32"/>
          <w:lang w:eastAsia="zh-CN"/>
        </w:rPr>
        <w:t>鼓励</w:t>
      </w:r>
      <w:r>
        <w:rPr>
          <w:rFonts w:ascii="Times New Roman" w:hAnsi="Times New Roman" w:eastAsia="仿宋_GB2312" w:cs="Times New Roman"/>
          <w:color w:val="auto"/>
          <w:kern w:val="0"/>
          <w:sz w:val="32"/>
          <w:szCs w:val="32"/>
        </w:rPr>
        <w:t>大宗商品</w:t>
      </w:r>
      <w:r>
        <w:rPr>
          <w:rFonts w:hint="eastAsia" w:ascii="Times New Roman" w:hAnsi="Times New Roman" w:eastAsia="仿宋_GB2312" w:cs="Times New Roman"/>
          <w:color w:val="auto"/>
          <w:kern w:val="0"/>
          <w:sz w:val="32"/>
          <w:szCs w:val="32"/>
          <w:lang w:eastAsia="zh-CN"/>
        </w:rPr>
        <w:t>供应链企业平台化发展并提供系统化增值服务</w:t>
      </w:r>
      <w:r>
        <w:rPr>
          <w:rFonts w:hint="eastAsia" w:ascii="Times New Roman" w:hAnsi="Times New Roman" w:eastAsia="仿宋_GB2312" w:cs="Times New Roman"/>
          <w:color w:val="auto"/>
          <w:kern w:val="0"/>
          <w:sz w:val="32"/>
          <w:szCs w:val="32"/>
        </w:rPr>
        <w:t>；探索加强与</w:t>
      </w:r>
      <w:r>
        <w:rPr>
          <w:rFonts w:ascii="Times New Roman" w:hAnsi="Times New Roman" w:eastAsia="仿宋_GB2312" w:cs="Times New Roman"/>
          <w:color w:val="auto"/>
          <w:kern w:val="0"/>
          <w:sz w:val="32"/>
          <w:szCs w:val="32"/>
        </w:rPr>
        <w:t>国有投资机构和产业上下游龙头企业</w:t>
      </w:r>
      <w:r>
        <w:rPr>
          <w:rFonts w:hint="eastAsia" w:ascii="Times New Roman" w:hAnsi="Times New Roman" w:eastAsia="仿宋_GB2312" w:cs="Times New Roman"/>
          <w:color w:val="auto"/>
          <w:kern w:val="0"/>
          <w:sz w:val="32"/>
          <w:szCs w:val="32"/>
        </w:rPr>
        <w:t>合作，</w:t>
      </w:r>
      <w:r>
        <w:rPr>
          <w:rFonts w:ascii="Times New Roman" w:hAnsi="Times New Roman" w:eastAsia="仿宋_GB2312" w:cs="Times New Roman"/>
          <w:color w:val="auto"/>
          <w:kern w:val="0"/>
          <w:sz w:val="32"/>
          <w:szCs w:val="32"/>
        </w:rPr>
        <w:t>推动平台做大做强产业数据，由区域服务商向全国服务</w:t>
      </w:r>
      <w:r>
        <w:rPr>
          <w:rFonts w:hint="eastAsia" w:ascii="Times New Roman" w:hAnsi="Times New Roman" w:eastAsia="仿宋_GB2312" w:cs="Times New Roman"/>
          <w:color w:val="auto"/>
          <w:kern w:val="0"/>
          <w:sz w:val="32"/>
          <w:szCs w:val="32"/>
          <w:lang w:eastAsia="zh-CN"/>
        </w:rPr>
        <w:t>商</w:t>
      </w:r>
      <w:r>
        <w:rPr>
          <w:rFonts w:ascii="Times New Roman" w:hAnsi="Times New Roman" w:eastAsia="仿宋_GB2312" w:cs="Times New Roman"/>
          <w:color w:val="auto"/>
          <w:kern w:val="0"/>
          <w:sz w:val="32"/>
          <w:szCs w:val="32"/>
        </w:rPr>
        <w:t>升级。</w:t>
      </w:r>
      <w:r>
        <w:rPr>
          <w:rFonts w:hint="eastAsia" w:ascii="Times New Roman" w:hAnsi="Times New Roman" w:eastAsia="仿宋_GB2312" w:cs="Times New Roman"/>
          <w:b/>
          <w:bCs/>
          <w:color w:val="auto"/>
          <w:kern w:val="0"/>
          <w:sz w:val="32"/>
          <w:szCs w:val="32"/>
        </w:rPr>
        <w:t>加大金融支持</w:t>
      </w:r>
      <w:r>
        <w:rPr>
          <w:rFonts w:hint="eastAsia" w:ascii="Times New Roman" w:hAnsi="Times New Roman" w:eastAsia="仿宋_GB2312" w:cs="Times New Roman"/>
          <w:color w:val="auto"/>
          <w:kern w:val="0"/>
          <w:sz w:val="32"/>
          <w:szCs w:val="32"/>
        </w:rPr>
        <w:t>。鼓励银行等金融机构，对优质企业适当扩大授信、降低利率；依托上交所南方中心和专业服务业资源，加强对企业上市辅导，积极推动企业进一步做大做强；积极举办期货类讲座，建立与广期所的联系，加强业务对接。</w:t>
      </w:r>
      <w:bookmarkEnd w:id="28"/>
      <w:bookmarkEnd w:id="29"/>
    </w:p>
    <w:bookmarkEnd w:id="30"/>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专栏1 打造大宗商品交易供应链平台</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利用广期所在能源品种，中证商品指数、能源化工、饲料养殖、钢厂利润等商品指数类创新型品种，以及工业硅、多晶硅、锂、稀土、铂、钯、咖啡、高粱、籼米等产业特色品种的布局，结合珠江新城现有企业基础，支持龙头企业牵头，</w:t>
            </w:r>
            <w:bookmarkStart w:id="31" w:name="_Hlk115388775"/>
            <w:r>
              <w:rPr>
                <w:rFonts w:ascii="Times New Roman" w:hAnsi="Times New Roman" w:eastAsia="仿宋_GB2312" w:cs="Times New Roman"/>
                <w:color w:val="auto"/>
                <w:kern w:val="0"/>
                <w:sz w:val="24"/>
              </w:rPr>
              <w:t>在广期所周边选择合适楼宇打造大宗商品供应链平台，</w:t>
            </w:r>
            <w:r>
              <w:rPr>
                <w:rFonts w:hint="eastAsia" w:ascii="Times New Roman" w:hAnsi="Times New Roman" w:eastAsia="仿宋_GB2312" w:cs="Times New Roman"/>
                <w:color w:val="auto"/>
                <w:kern w:val="0"/>
                <w:sz w:val="24"/>
              </w:rPr>
              <w:t>为上下游企业提供价格信息、智慧物流、交易撮合、金融服务、融资担保、线上销售、海外业务、品牌建设、资产证券化咨询、信息化平台建设等服务。</w:t>
            </w:r>
            <w:r>
              <w:rPr>
                <w:rFonts w:ascii="Times New Roman" w:hAnsi="Times New Roman" w:eastAsia="仿宋_GB2312" w:cs="Times New Roman"/>
                <w:color w:val="auto"/>
                <w:kern w:val="0"/>
                <w:sz w:val="24"/>
              </w:rPr>
              <w:t>对符合条件的平台入驻企业，按其当年实际销售合同金额的0.6‰给予资金扶持</w:t>
            </w:r>
            <w:bookmarkEnd w:id="31"/>
            <w:r>
              <w:rPr>
                <w:rFonts w:ascii="Times New Roman" w:hAnsi="Times New Roman" w:eastAsia="仿宋_GB2312" w:cs="Times New Roman"/>
                <w:color w:val="auto"/>
                <w:kern w:val="0"/>
                <w:sz w:val="24"/>
              </w:rPr>
              <w:t>，大力聚集一批大宗商品贸易龙头企业、上下游配套服务企业，培育期现结合经营的大宗商品交易商，积极推动大宗商品供应链金融创新和电商化发展。</w:t>
            </w:r>
          </w:p>
        </w:tc>
      </w:tr>
    </w:tbl>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2" w:name="_Toc20573"/>
      <w:r>
        <w:rPr>
          <w:rFonts w:ascii="Times New Roman" w:hAnsi="Times New Roman" w:cs="Times New Roman"/>
          <w:color w:val="auto"/>
        </w:rPr>
        <w:t>2、推动批发</w:t>
      </w:r>
      <w:r>
        <w:rPr>
          <w:rFonts w:hint="eastAsia" w:ascii="Times New Roman" w:hAnsi="Times New Roman" w:cs="Times New Roman"/>
          <w:color w:val="auto"/>
          <w:lang w:eastAsia="zh-CN"/>
        </w:rPr>
        <w:t>业</w:t>
      </w:r>
      <w:r>
        <w:rPr>
          <w:rFonts w:ascii="Times New Roman" w:hAnsi="Times New Roman" w:cs="Times New Roman"/>
          <w:color w:val="auto"/>
        </w:rPr>
        <w:t>品牌化</w:t>
      </w:r>
      <w:r>
        <w:rPr>
          <w:rFonts w:hint="eastAsia" w:ascii="Times New Roman" w:hAnsi="Times New Roman" w:cs="Times New Roman"/>
          <w:color w:val="auto"/>
          <w:lang w:eastAsia="zh-CN"/>
        </w:rPr>
        <w:t>专业</w:t>
      </w:r>
      <w:r>
        <w:rPr>
          <w:rFonts w:ascii="Times New Roman" w:hAnsi="Times New Roman" w:cs="Times New Roman"/>
          <w:color w:val="auto"/>
        </w:rPr>
        <w:t>化发展</w:t>
      </w:r>
      <w:bookmarkEnd w:id="32"/>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Style w:val="35"/>
          <w:rFonts w:hint="default" w:ascii="Times New Roman" w:hAnsi="Times New Roman" w:cs="Times New Roman"/>
        </w:rPr>
      </w:pPr>
      <w:r>
        <w:rPr>
          <w:rStyle w:val="35"/>
          <w:rFonts w:hint="default" w:ascii="Times New Roman" w:hAnsi="Times New Roman" w:cs="Times New Roman"/>
          <w:b/>
          <w:bCs/>
        </w:rPr>
        <w:t>推动批发业线上线下融合。</w:t>
      </w:r>
      <w:r>
        <w:rPr>
          <w:rStyle w:val="35"/>
          <w:rFonts w:hint="default" w:ascii="Times New Roman" w:hAnsi="Times New Roman" w:cs="Times New Roman"/>
        </w:rPr>
        <w:t>依托区内软件和信息技术服务优势，加强SaaS服务运营商赋能，推动符合条件的批发</w:t>
      </w:r>
      <w:r>
        <w:rPr>
          <w:rStyle w:val="35"/>
          <w:rFonts w:ascii="Times New Roman" w:hAnsi="Times New Roman" w:cs="Times New Roman"/>
        </w:rPr>
        <w:t>业主体</w:t>
      </w:r>
      <w:r>
        <w:rPr>
          <w:rStyle w:val="35"/>
          <w:rFonts w:hint="default" w:ascii="Times New Roman" w:hAnsi="Times New Roman" w:cs="Times New Roman"/>
        </w:rPr>
        <w:t>上平台，加快线下转线上。引导传统专业</w:t>
      </w:r>
      <w:r>
        <w:rPr>
          <w:rStyle w:val="35"/>
          <w:rFonts w:ascii="Times New Roman" w:hAnsi="Times New Roman" w:cs="Times New Roman"/>
        </w:rPr>
        <w:t>批发主体</w:t>
      </w:r>
      <w:r>
        <w:rPr>
          <w:rStyle w:val="35"/>
          <w:rFonts w:hint="default" w:ascii="Times New Roman" w:hAnsi="Times New Roman" w:cs="Times New Roman"/>
        </w:rPr>
        <w:t>发展直播电商新业态，鼓励开展直播专场活动；创新打造直播电商基地，支持建设主题直播街区，推动</w:t>
      </w:r>
      <w:r>
        <w:rPr>
          <w:rStyle w:val="35"/>
          <w:rFonts w:ascii="Times New Roman" w:hAnsi="Times New Roman" w:cs="Times New Roman"/>
        </w:rPr>
        <w:t>批发企业</w:t>
      </w:r>
      <w:r>
        <w:rPr>
          <w:rStyle w:val="35"/>
          <w:rFonts w:hint="default" w:ascii="Times New Roman" w:hAnsi="Times New Roman" w:cs="Times New Roman"/>
        </w:rPr>
        <w:t>与大型线上直播平台深度对接；举办直播电商对接会，建立行业直播电商服务自律公约，推动</w:t>
      </w:r>
      <w:r>
        <w:rPr>
          <w:rStyle w:val="35"/>
          <w:rFonts w:ascii="Times New Roman" w:hAnsi="Times New Roman" w:cs="Times New Roman"/>
        </w:rPr>
        <w:t>批发</w:t>
      </w:r>
      <w:r>
        <w:rPr>
          <w:rStyle w:val="35"/>
          <w:rFonts w:hint="default" w:ascii="Times New Roman" w:hAnsi="Times New Roman" w:cs="Times New Roman"/>
        </w:rPr>
        <w:t>和直播业态深度融合与规范发展。鼓励将图像处理、AI捕捉、数据挖掘等数字技术与商品产业大数据结合，预测行业发展趋势，实现“消费引导供应链”；推动行业资源高效整合，为研发、设计人员提供共性AI技术支持；积极推动</w:t>
      </w:r>
      <w:r>
        <w:rPr>
          <w:rStyle w:val="35"/>
          <w:rFonts w:ascii="Times New Roman" w:hAnsi="Times New Roman" w:cs="Times New Roman"/>
        </w:rPr>
        <w:t>批发企业</w:t>
      </w:r>
      <w:r>
        <w:rPr>
          <w:rStyle w:val="35"/>
          <w:rFonts w:hint="default" w:ascii="Times New Roman" w:hAnsi="Times New Roman" w:cs="Times New Roman"/>
        </w:rPr>
        <w:t>与京东、淘宝等平台合作，依托平台在物流、云计算、大数据等领域的优势，探索在建设智慧物流和商流融合的云物流基础设施平台，为</w:t>
      </w:r>
      <w:r>
        <w:rPr>
          <w:rStyle w:val="35"/>
          <w:rFonts w:ascii="Times New Roman" w:hAnsi="Times New Roman" w:cs="Times New Roman"/>
        </w:rPr>
        <w:t>批发业主体</w:t>
      </w:r>
      <w:r>
        <w:rPr>
          <w:rStyle w:val="35"/>
          <w:rFonts w:hint="default" w:ascii="Times New Roman" w:hAnsi="Times New Roman" w:cs="Times New Roman"/>
        </w:rPr>
        <w:t>提供一站式物流服务，打造平台化数字化生态体系，有效畅通供应链上下游。</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Style w:val="35"/>
          <w:rFonts w:hint="default" w:ascii="Times New Roman" w:hAnsi="Times New Roman" w:cs="Times New Roman"/>
        </w:rPr>
      </w:pPr>
      <w:r>
        <w:rPr>
          <w:rStyle w:val="35"/>
          <w:rFonts w:hint="default" w:ascii="Times New Roman" w:hAnsi="Times New Roman" w:cs="Times New Roman"/>
          <w:b/>
          <w:bCs/>
        </w:rPr>
        <w:t>促进</w:t>
      </w:r>
      <w:r>
        <w:rPr>
          <w:rStyle w:val="35"/>
          <w:rFonts w:ascii="Times New Roman" w:hAnsi="Times New Roman" w:cs="Times New Roman"/>
          <w:b/>
          <w:bCs/>
        </w:rPr>
        <w:t>批发</w:t>
      </w:r>
      <w:r>
        <w:rPr>
          <w:rStyle w:val="35"/>
          <w:rFonts w:hint="default" w:ascii="Times New Roman" w:hAnsi="Times New Roman" w:cs="Times New Roman"/>
          <w:b/>
          <w:bCs/>
        </w:rPr>
        <w:t>业态升级。</w:t>
      </w:r>
      <w:r>
        <w:rPr>
          <w:rStyle w:val="35"/>
          <w:rFonts w:hint="default" w:ascii="Times New Roman"/>
        </w:rPr>
        <w:t>引导</w:t>
      </w:r>
      <w:r>
        <w:rPr>
          <w:rStyle w:val="35"/>
          <w:rFonts w:ascii="Times New Roman"/>
        </w:rPr>
        <w:t>批发主体</w:t>
      </w:r>
      <w:r>
        <w:rPr>
          <w:rStyle w:val="35"/>
          <w:rFonts w:hint="default" w:ascii="Times New Roman"/>
        </w:rPr>
        <w:t>依托</w:t>
      </w:r>
      <w:r>
        <w:rPr>
          <w:rStyle w:val="35"/>
          <w:rFonts w:ascii="Times New Roman"/>
        </w:rPr>
        <w:t>区内</w:t>
      </w:r>
      <w:r>
        <w:rPr>
          <w:rStyle w:val="35"/>
          <w:rFonts w:hint="default" w:ascii="Times New Roman"/>
        </w:rPr>
        <w:t>上游时尚类优势产业，链接下游消费端需求，培育时尚创意、个性设计、创新孵化等新产业，</w:t>
      </w:r>
      <w:r>
        <w:rPr>
          <w:rStyle w:val="35"/>
          <w:rFonts w:hint="default" w:ascii="Times New Roman" w:hAnsi="Times New Roman" w:cs="Times New Roman"/>
        </w:rPr>
        <w:t>鼓励以原创设计为核心，通过设计互联、数据共享、柔性智造、智慧引流为辅助，形成以商品资讯、小单快反、网红中心、国际秀场、原创俱乐部等为特色的服务体系，推动以“服务提升、品牌打造、模式创新”为主的高质量发展模式。打造“</w:t>
      </w:r>
      <w:r>
        <w:rPr>
          <w:rStyle w:val="35"/>
          <w:rFonts w:ascii="Times New Roman" w:hAnsi="Times New Roman" w:cs="Times New Roman"/>
        </w:rPr>
        <w:t>批发</w:t>
      </w:r>
      <w:r>
        <w:rPr>
          <w:rStyle w:val="35"/>
          <w:rFonts w:hint="default" w:ascii="Times New Roman" w:hAnsi="Times New Roman" w:cs="Times New Roman"/>
        </w:rPr>
        <w:t>+潮流新零售”模式，引进品牌旗舰店、体验店，将传统专业市场打造成为集新零售、艺术体验、摄影基地、商品批发于一体的大型专业市场，成为新兴消费群体探店、视频创作、个性IP的社交展示新平台，培育一批品牌化</w:t>
      </w:r>
      <w:r>
        <w:rPr>
          <w:rStyle w:val="35"/>
          <w:rFonts w:ascii="Times New Roman" w:hAnsi="Times New Roman" w:cs="Times New Roman"/>
        </w:rPr>
        <w:t>、专业化</w:t>
      </w:r>
      <w:r>
        <w:rPr>
          <w:rStyle w:val="35"/>
          <w:rFonts w:hint="default" w:ascii="Times New Roman" w:hAnsi="Times New Roman" w:cs="Times New Roman"/>
        </w:rPr>
        <w:t>批发</w:t>
      </w:r>
      <w:r>
        <w:rPr>
          <w:rStyle w:val="35"/>
          <w:rFonts w:ascii="Times New Roman" w:hAnsi="Times New Roman" w:cs="Times New Roman"/>
        </w:rPr>
        <w:t>综合体</w:t>
      </w:r>
      <w:r>
        <w:rPr>
          <w:rStyle w:val="35"/>
          <w:rFonts w:hint="default" w:ascii="Times New Roman" w:hAnsi="Times New Roman" w:cs="Times New Roman"/>
        </w:rPr>
        <w:t>。</w:t>
      </w:r>
      <w:r>
        <w:rPr>
          <w:rStyle w:val="35"/>
          <w:rFonts w:hint="default" w:ascii="Times New Roman"/>
        </w:rPr>
        <w:t>开展专业市场转型升级共创空间试点，引导传统批发市场由个体零散经营转变为品牌化、集约化经营模式，并积极向研发、设计、展会、出口等产业链环节延伸，构建一站式产业服务平台，提升产业服务和全渠道能力，促进市场实现从传统单一的“商品交易场所”向现代综合型的“产业服务供应方”转变。</w:t>
      </w:r>
      <w:r>
        <w:rPr>
          <w:rStyle w:val="35"/>
          <w:rFonts w:hint="default" w:ascii="Times New Roman" w:hAnsi="Times New Roman" w:cs="Times New Roman"/>
        </w:rPr>
        <w:t>鼓励区内棉麻、纺织品、建材、零配件等领域骨干批发企业加强与批发市场联动，抓住产业互联机遇，建设产业生态圈，探索转型升级新模式。推动内外贸融合发展，将外贸综合服务企业引入</w:t>
      </w:r>
      <w:r>
        <w:rPr>
          <w:rStyle w:val="35"/>
          <w:rFonts w:ascii="Times New Roman" w:hAnsi="Times New Roman" w:cs="Times New Roman"/>
        </w:rPr>
        <w:t>行业主要集聚区域</w:t>
      </w:r>
      <w:r>
        <w:rPr>
          <w:rStyle w:val="35"/>
          <w:rFonts w:hint="default" w:ascii="Times New Roman" w:hAnsi="Times New Roman" w:cs="Times New Roman"/>
        </w:rPr>
        <w:t>，帮助中小微企业、商户运用新模式开展市场采购出口业务。</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Calibri" w:hAnsi="Calibri" w:eastAsia="仿宋_GB2312" w:cs="Times New Roman"/>
                <w:b/>
                <w:bCs/>
                <w:color w:val="auto"/>
                <w:kern w:val="0"/>
                <w:sz w:val="24"/>
              </w:rPr>
            </w:pPr>
            <w:r>
              <w:rPr>
                <w:rFonts w:ascii="Calibri" w:hAnsi="Calibri" w:eastAsia="仿宋_GB2312" w:cs="Times New Roman"/>
                <w:b/>
                <w:bCs/>
                <w:color w:val="auto"/>
                <w:kern w:val="0"/>
                <w:sz w:val="24"/>
              </w:rPr>
              <w:t xml:space="preserve">专栏2 </w:t>
            </w:r>
            <w:r>
              <w:rPr>
                <w:rFonts w:hint="eastAsia" w:ascii="Calibri" w:hAnsi="Calibri" w:eastAsia="仿宋_GB2312" w:cs="Times New Roman"/>
                <w:b/>
                <w:bCs/>
                <w:color w:val="auto"/>
                <w:kern w:val="0"/>
                <w:sz w:val="24"/>
              </w:rPr>
              <w:t>沙河服装批发</w:t>
            </w:r>
            <w:r>
              <w:rPr>
                <w:rStyle w:val="35"/>
                <w:rFonts w:hint="default" w:ascii="Calibri" w:hAnsi="Calibri" w:cs="Times New Roman"/>
                <w:b/>
                <w:bCs/>
                <w:color w:val="auto"/>
                <w:kern w:val="0"/>
                <w:sz w:val="24"/>
              </w:rPr>
              <w:t>市场转型升级共创空间试点</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eastAsia="仿宋_GB2312"/>
                <w:color w:val="auto"/>
                <w:kern w:val="0"/>
                <w:sz w:val="24"/>
              </w:rPr>
            </w:pPr>
            <w:r>
              <w:rPr>
                <w:rStyle w:val="35"/>
                <w:rFonts w:hint="default" w:ascii="Calibri" w:hAnsi="Calibri" w:cs="Times New Roman"/>
                <w:color w:val="auto"/>
                <w:kern w:val="0"/>
                <w:sz w:val="24"/>
              </w:rPr>
              <w:t>鼓励沙河服装批发市场打造以“服装+设计”为主题的共创空间，</w:t>
            </w:r>
            <w:r>
              <w:rPr>
                <w:rFonts w:hint="eastAsia" w:ascii="Calibri" w:hAnsi="Calibri" w:eastAsia="仿宋_GB2312" w:cs="Times New Roman"/>
                <w:color w:val="auto"/>
                <w:kern w:val="0"/>
                <w:sz w:val="24"/>
              </w:rPr>
              <w:t>设置</w:t>
            </w:r>
            <w:r>
              <w:rPr>
                <w:rStyle w:val="35"/>
                <w:rFonts w:hint="default" w:ascii="Calibri" w:hAnsi="Calibri" w:cs="Times New Roman"/>
                <w:color w:val="auto"/>
                <w:kern w:val="0"/>
                <w:sz w:val="24"/>
              </w:rPr>
              <w:t>商品区、流行展示区、时尚路演厅和共享办公区等，引入培训、设计师俱乐部</w:t>
            </w:r>
            <w:r>
              <w:rPr>
                <w:rFonts w:hint="eastAsia" w:ascii="Calibri" w:hAnsi="Calibri" w:eastAsia="仿宋_GB2312" w:cs="Times New Roman"/>
                <w:color w:val="auto"/>
                <w:kern w:val="0"/>
                <w:sz w:val="24"/>
              </w:rPr>
              <w:t>等功能单位</w:t>
            </w:r>
            <w:r>
              <w:rPr>
                <w:rStyle w:val="35"/>
                <w:rFonts w:hint="default" w:ascii="Calibri" w:hAnsi="Calibri" w:cs="Times New Roman"/>
                <w:color w:val="auto"/>
                <w:kern w:val="0"/>
                <w:sz w:val="24"/>
              </w:rPr>
              <w:t>，支持场内企业和设计师在面料创新开发、服装设计等环节进行精准研发和高效决策，举办多类型时尚发布活动，带动市场功能定位向产业链价值链高端提升。</w:t>
            </w:r>
          </w:p>
        </w:tc>
      </w:tr>
    </w:tbl>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3" w:name="_Toc17504"/>
      <w:r>
        <w:rPr>
          <w:rFonts w:ascii="Times New Roman" w:hAnsi="Times New Roman" w:cs="Times New Roman"/>
          <w:color w:val="auto"/>
        </w:rPr>
        <w:t>（二）丰富零售</w:t>
      </w:r>
      <w:r>
        <w:rPr>
          <w:rFonts w:hint="eastAsia" w:ascii="Times New Roman" w:hAnsi="Times New Roman" w:cs="Times New Roman"/>
          <w:color w:val="auto"/>
        </w:rPr>
        <w:t>端供给</w:t>
      </w:r>
      <w:r>
        <w:rPr>
          <w:rFonts w:ascii="Times New Roman" w:hAnsi="Times New Roman" w:cs="Times New Roman"/>
          <w:color w:val="auto"/>
        </w:rPr>
        <w:t>，推动消费提质扩容</w:t>
      </w:r>
      <w:bookmarkEnd w:id="33"/>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4" w:name="_Toc13743"/>
      <w:r>
        <w:rPr>
          <w:rFonts w:ascii="Times New Roman" w:hAnsi="Times New Roman" w:cs="Times New Roman"/>
          <w:color w:val="auto"/>
        </w:rPr>
        <w:t>1、丰富商品</w:t>
      </w:r>
      <w:r>
        <w:rPr>
          <w:rFonts w:hint="eastAsia" w:ascii="Times New Roman" w:hAnsi="Times New Roman" w:cs="Times New Roman"/>
          <w:color w:val="auto"/>
        </w:rPr>
        <w:t>消费</w:t>
      </w:r>
      <w:r>
        <w:rPr>
          <w:rFonts w:ascii="Times New Roman" w:hAnsi="Times New Roman" w:cs="Times New Roman"/>
          <w:color w:val="auto"/>
        </w:rPr>
        <w:t>供给</w:t>
      </w:r>
      <w:bookmarkEnd w:id="34"/>
    </w:p>
    <w:p>
      <w:pPr>
        <w:pageBreakBefore w:val="0"/>
        <w:widowControl/>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加快汇聚全球高端消费资源。</w:t>
      </w:r>
      <w:r>
        <w:rPr>
          <w:rFonts w:ascii="Times New Roman" w:hAnsi="Times New Roman" w:eastAsia="仿宋_GB2312" w:cs="Times New Roman"/>
          <w:color w:val="auto"/>
          <w:kern w:val="0"/>
          <w:sz w:val="32"/>
          <w:szCs w:val="32"/>
        </w:rPr>
        <w:t>依托珠江新城、天河路、金融城等重点商圈和正佳广场、太古汇等核心综合载体，支持全球消费品牌在区内设立旗舰店、全场景体验中心、服务中心等，</w:t>
      </w:r>
      <w:r>
        <w:rPr>
          <w:rFonts w:ascii="Times New Roman" w:hAnsi="Times New Roman" w:eastAsia="仿宋_GB2312" w:cs="Times New Roman"/>
          <w:color w:val="auto"/>
          <w:sz w:val="32"/>
          <w:szCs w:val="32"/>
          <w:lang w:bidi="ar"/>
        </w:rPr>
        <w:t>围绕</w:t>
      </w:r>
      <w:r>
        <w:rPr>
          <w:rFonts w:ascii="Times New Roman" w:hAnsi="Times New Roman" w:eastAsia="仿宋_GB2312" w:cs="Times New Roman"/>
          <w:color w:val="auto"/>
          <w:sz w:val="32"/>
          <w:szCs w:val="32"/>
        </w:rPr>
        <w:t>国际一二线品牌、海外小众高端品牌、国内潮牌和知名品牌等，构建品牌汇集、品质高端、品位独特的优质商品供给体系</w:t>
      </w:r>
      <w:r>
        <w:rPr>
          <w:rFonts w:ascii="Times New Roman" w:hAnsi="Times New Roman" w:eastAsia="仿宋_GB2312" w:cs="Times New Roman"/>
          <w:color w:val="auto"/>
          <w:kern w:val="0"/>
          <w:sz w:val="32"/>
          <w:szCs w:val="32"/>
        </w:rPr>
        <w:t>；主动承接香港国际一线品牌外溢，吸引顶级奢侈品品牌和国际一线品牌落地，打造华南高端消费地标，推动高端消费回流；支持商业运营机构担当海外优质品牌捕手，迎合消费者差异化和个性化的消费需求，引进</w:t>
      </w:r>
      <w:r>
        <w:rPr>
          <w:rFonts w:ascii="Times New Roman" w:hAnsi="Times New Roman" w:eastAsia="仿宋_GB2312" w:cs="Times New Roman"/>
          <w:color w:val="auto"/>
          <w:sz w:val="32"/>
          <w:szCs w:val="32"/>
        </w:rPr>
        <w:t>海外小众高端品牌，设立</w:t>
      </w:r>
      <w:r>
        <w:rPr>
          <w:rFonts w:ascii="Times New Roman" w:hAnsi="Times New Roman" w:eastAsia="仿宋_GB2312" w:cs="Times New Roman"/>
          <w:color w:val="auto"/>
          <w:kern w:val="0"/>
          <w:sz w:val="32"/>
          <w:szCs w:val="32"/>
        </w:rPr>
        <w:t>沙龙、全球概念店和形象旗舰店等全新体验门店。</w:t>
      </w:r>
      <w:r>
        <w:rPr>
          <w:rFonts w:ascii="Times New Roman" w:hAnsi="Times New Roman" w:eastAsia="仿宋_GB2312" w:cs="Times New Roman"/>
          <w:b/>
          <w:bCs/>
          <w:color w:val="auto"/>
          <w:kern w:val="0"/>
          <w:sz w:val="32"/>
          <w:szCs w:val="32"/>
        </w:rPr>
        <w:t>提升国际消费氛围。</w:t>
      </w:r>
      <w:r>
        <w:rPr>
          <w:rFonts w:ascii="Times New Roman" w:hAnsi="Times New Roman" w:eastAsia="仿宋_GB2312" w:cs="Times New Roman"/>
          <w:color w:val="auto"/>
          <w:kern w:val="0"/>
          <w:sz w:val="32"/>
          <w:szCs w:val="32"/>
        </w:rPr>
        <w:t>充分发挥领事馆、国际组织、跨国公司集聚优势，积极打造具有国际影响力的消费场景、消费环境，探索打造具有不同国别、地区特色的消费场所和风情夜市；积极推动免税新业态发展，探索在天河路商圈、珠江新城商圈创建离境退税示范街区，开展离境退税“即买即退”试点，探索“电子退税”政策试点。</w:t>
      </w:r>
      <w:r>
        <w:rPr>
          <w:rFonts w:ascii="Times New Roman" w:hAnsi="Times New Roman" w:eastAsia="仿宋_GB2312" w:cs="Times New Roman"/>
          <w:b/>
          <w:bCs/>
          <w:color w:val="auto"/>
          <w:kern w:val="0"/>
          <w:sz w:val="32"/>
          <w:szCs w:val="32"/>
        </w:rPr>
        <w:t>集聚国内老字号、国潮品牌</w:t>
      </w:r>
      <w:r>
        <w:rPr>
          <w:rFonts w:ascii="Times New Roman" w:hAnsi="Times New Roman" w:eastAsia="仿宋_GB2312" w:cs="Times New Roman"/>
          <w:color w:val="auto"/>
          <w:kern w:val="0"/>
          <w:sz w:val="32"/>
          <w:szCs w:val="32"/>
        </w:rPr>
        <w:t>。支持老字号与新兴品牌、商圈重点载体、文化机构、知名IP等开展跨界合作，推出跨界联名产品；联动大湾区及粤东西北城市战略性新兴产业集群，积极引进国潮“新广货”品牌，助力打响“湾区制造”品牌。强化宣传推广，全力打造消费升级新高地，不断强化集聚辐射和吸引带动能力，引领消费潮流风尚。</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做强首店首发经济。</w:t>
      </w:r>
      <w:r>
        <w:rPr>
          <w:rFonts w:ascii="Times New Roman" w:hAnsi="Times New Roman" w:eastAsia="仿宋_GB2312" w:cs="Times New Roman"/>
          <w:color w:val="auto"/>
          <w:kern w:val="0"/>
          <w:sz w:val="32"/>
          <w:szCs w:val="32"/>
        </w:rPr>
        <w:t>强化品牌和业态规划，夯实多层次、多能级首店布局配置基础，差异化布局国际中高端品牌、海外小众品牌、国内原创潮牌、省市内老字号、本地新兴品牌，构筑有辨识度的首店格局。发挥天河路商圈、珠江新城商圈高端商业载体集聚优势，吸引国内外知名品牌在区内开设亚洲首店、全国首店、华南首店，鼓励国际知名品牌在区内首发或同步上市全球新品，打造国际商品、服务和新型消费体验登陆中国和华南的首选地。跨部门协调解决首店落户过程中检验检疫、安全监管、消防等问题，提升新品通关速度；为新品首发品牌提供更便捷高效的专利、商标注册申请、质押登记咨询服务；给予大型新品首发活动场地、宣传等支持。建立首店经济项目库，支持企业在领取营业执照或举办活动前进行备案入库，对入库企业给予政策指导和支持；探索建立首店经济综合评价体系，</w:t>
      </w:r>
      <w:r>
        <w:rPr>
          <w:rFonts w:eastAsia="仿宋_GB2312"/>
          <w:color w:val="auto"/>
          <w:kern w:val="0"/>
          <w:sz w:val="32"/>
          <w:szCs w:val="32"/>
        </w:rPr>
        <w:t>定期评估引进品牌首店首发等情况，结合区域功能和商圈定位有针对性引导商圈</w:t>
      </w:r>
      <w:r>
        <w:rPr>
          <w:rFonts w:hint="eastAsia" w:eastAsia="仿宋_GB2312"/>
          <w:color w:val="auto"/>
          <w:kern w:val="0"/>
          <w:sz w:val="32"/>
          <w:szCs w:val="32"/>
        </w:rPr>
        <w:t>在首店布局方面的</w:t>
      </w:r>
      <w:r>
        <w:rPr>
          <w:rFonts w:eastAsia="仿宋_GB2312"/>
          <w:color w:val="auto"/>
          <w:kern w:val="0"/>
          <w:sz w:val="32"/>
          <w:szCs w:val="32"/>
        </w:rPr>
        <w:t>差异化、特色化发展</w:t>
      </w:r>
      <w:r>
        <w:rPr>
          <w:rFonts w:ascii="Times New Roman" w:hAnsi="Times New Roman" w:eastAsia="仿宋_GB2312" w:cs="Times New Roman"/>
          <w:color w:val="auto"/>
          <w:kern w:val="0"/>
          <w:sz w:val="32"/>
          <w:szCs w:val="32"/>
        </w:rPr>
        <w:t>。</w:t>
      </w:r>
    </w:p>
    <w:p>
      <w:pPr>
        <w:pageBreakBefore w:val="0"/>
        <w:widowControl/>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b/>
          <w:bCs/>
          <w:color w:val="auto"/>
          <w:kern w:val="0"/>
          <w:sz w:val="32"/>
          <w:szCs w:val="32"/>
        </w:rPr>
        <w:t>支持连锁品牌发展</w:t>
      </w:r>
      <w:r>
        <w:rPr>
          <w:rFonts w:hint="eastAsia" w:ascii="Times New Roman" w:hAnsi="Times New Roman" w:eastAsia="仿宋_GB2312" w:cs="Times New Roman"/>
          <w:color w:val="auto"/>
          <w:kern w:val="0"/>
          <w:sz w:val="32"/>
          <w:szCs w:val="32"/>
        </w:rPr>
        <w:t>，积极推动跨国连锁企业、中国连锁</w:t>
      </w:r>
      <w:r>
        <w:rPr>
          <w:rFonts w:ascii="Times New Roman" w:hAnsi="Times New Roman" w:eastAsia="仿宋_GB2312" w:cs="Times New Roman"/>
          <w:color w:val="auto"/>
          <w:kern w:val="0"/>
          <w:sz w:val="32"/>
          <w:szCs w:val="32"/>
        </w:rPr>
        <w:t>100强等大型知名连锁企业在天河设立总部或区域总部</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引导品牌连锁企业设立超市、便利店、</w:t>
      </w:r>
      <w:r>
        <w:rPr>
          <w:rFonts w:hint="eastAsia" w:ascii="Times New Roman" w:hAnsi="Times New Roman" w:eastAsia="仿宋_GB2312" w:cs="Times New Roman"/>
          <w:color w:val="auto"/>
          <w:kern w:val="0"/>
          <w:sz w:val="32"/>
          <w:szCs w:val="32"/>
        </w:rPr>
        <w:t>服装、电子产品、珠宝首饰</w:t>
      </w:r>
      <w:r>
        <w:rPr>
          <w:rFonts w:ascii="Times New Roman" w:hAnsi="Times New Roman" w:eastAsia="仿宋_GB2312" w:cs="Times New Roman"/>
          <w:color w:val="auto"/>
          <w:kern w:val="0"/>
          <w:sz w:val="32"/>
          <w:szCs w:val="32"/>
        </w:rPr>
        <w:t>等商业网点。</w:t>
      </w:r>
      <w:r>
        <w:rPr>
          <w:rFonts w:ascii="Times New Roman" w:hAnsi="Times New Roman" w:eastAsia="仿宋_GB2312" w:cs="Times New Roman"/>
          <w:b/>
          <w:bCs/>
          <w:color w:val="auto"/>
          <w:kern w:val="0"/>
          <w:sz w:val="32"/>
          <w:szCs w:val="32"/>
        </w:rPr>
        <w:t>加强自主品牌、原创品牌孵化。</w:t>
      </w:r>
      <w:r>
        <w:rPr>
          <w:rFonts w:ascii="Times New Roman" w:hAnsi="Times New Roman" w:eastAsia="仿宋_GB2312" w:cs="Times New Roman"/>
          <w:color w:val="auto"/>
          <w:kern w:val="0"/>
          <w:sz w:val="32"/>
          <w:szCs w:val="32"/>
        </w:rPr>
        <w:t>支持各类外贸加工企业、大型商业连锁企业等利用自身基础，结合天河区产业优势，在区内建立新品研发中心、新品牌孵化中心，加大内部裂变和创新，在消费电子、时尚服饰、黄金珠宝、钟表眼镜、国潮新品、美颜美妆、饮料食品等细分领域孵化一批新品牌、发展一批新品类、开设一批新门店。</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5" w:name="_Toc4907"/>
      <w:r>
        <w:rPr>
          <w:rFonts w:ascii="Times New Roman" w:hAnsi="Times New Roman" w:cs="Times New Roman"/>
          <w:color w:val="auto"/>
        </w:rPr>
        <w:t>2、</w:t>
      </w:r>
      <w:r>
        <w:rPr>
          <w:rFonts w:hint="eastAsia" w:ascii="Times New Roman" w:hAnsi="Times New Roman" w:cs="Times New Roman"/>
          <w:color w:val="auto"/>
        </w:rPr>
        <w:t>打造</w:t>
      </w:r>
      <w:r>
        <w:rPr>
          <w:rFonts w:ascii="Times New Roman" w:hAnsi="Times New Roman" w:cs="Times New Roman"/>
          <w:color w:val="auto"/>
        </w:rPr>
        <w:t>消费</w:t>
      </w:r>
      <w:r>
        <w:rPr>
          <w:rFonts w:hint="eastAsia" w:ascii="Times New Roman" w:hAnsi="Times New Roman" w:cs="Times New Roman"/>
          <w:color w:val="auto"/>
        </w:rPr>
        <w:t>新</w:t>
      </w:r>
      <w:r>
        <w:rPr>
          <w:rFonts w:ascii="Times New Roman" w:hAnsi="Times New Roman" w:cs="Times New Roman"/>
          <w:color w:val="auto"/>
        </w:rPr>
        <w:t>场景</w:t>
      </w:r>
      <w:bookmarkEnd w:id="35"/>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加强繁荣夜间经济。</w:t>
      </w:r>
      <w:r>
        <w:rPr>
          <w:rFonts w:ascii="Times New Roman" w:hAnsi="Times New Roman" w:eastAsia="仿宋_GB2312" w:cs="Times New Roman"/>
          <w:color w:val="auto"/>
          <w:kern w:val="0"/>
          <w:sz w:val="32"/>
          <w:szCs w:val="32"/>
        </w:rPr>
        <w:t>依托正佳广场国家级夜间文化和旅游消费集聚区、花城广场、天德广场等载体，充分利用“YOUNG城YEAH市”品牌化运作契机，有效整合商圈、综合体资源，策划举办系列夜间活动，推动夜宵、夜购与夜游、夜娱、夜赏、夜跑、夜读等融合发展，丰富夜间消费业态，打造“夜之天河”品牌。鼓励商业载体及各类食、住、游、购、娱等企业和场馆开展夜间延时服务；支持商业载体推出各具特色的夜间消费促销活动；支持商业载体开辟自有广场和天台空间，发展趣味游逛、夜景观赏等夜间活动；加大品牌连锁24小时便利店和书店建设布局力度；支持天河南路“美食后街”商家延长经营时间，打造“深夜食堂”，做大夜间餐饮市场。借助广州夜间消费地图，打造一批“夜广州”消费地标；串联天河路商圈、珠江新城商圈及广州塔-琶洲商圈重点夜生活站点，联动线路周边商户共同推出优惠促销活动，做活做大夜间经济。优化提升线上夜间消费服务，支持开展22时后夜间到家服务，在居民集聚的生活区域发展餐饮外卖等“互联网+生活服务”。</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推动文商旅体融合发展。</w:t>
      </w:r>
      <w:r>
        <w:rPr>
          <w:rFonts w:ascii="Times New Roman" w:hAnsi="Times New Roman" w:eastAsia="仿宋_GB2312" w:cs="Times New Roman"/>
          <w:color w:val="auto"/>
          <w:kern w:val="0"/>
          <w:sz w:val="32"/>
          <w:szCs w:val="32"/>
        </w:rPr>
        <w:t>以建成集聚高端文化、旅游、体育、商业要素相结合的创新高地为目标，形成一批品牌知名度高、旅游吸引力强的文商旅城融合示范项目。</w:t>
      </w:r>
      <w:r>
        <w:rPr>
          <w:rFonts w:ascii="Times New Roman" w:hAnsi="Times New Roman" w:eastAsia="仿宋_GB2312" w:cs="Times New Roman"/>
          <w:b/>
          <w:bCs/>
          <w:color w:val="auto"/>
          <w:kern w:val="0"/>
          <w:sz w:val="32"/>
          <w:szCs w:val="32"/>
        </w:rPr>
        <w:t>加强文化消费供给</w:t>
      </w:r>
      <w:r>
        <w:rPr>
          <w:rFonts w:ascii="Times New Roman" w:hAnsi="Times New Roman" w:eastAsia="仿宋_GB2312" w:cs="Times New Roman"/>
          <w:color w:val="auto"/>
          <w:kern w:val="0"/>
          <w:sz w:val="32"/>
          <w:szCs w:val="32"/>
        </w:rPr>
        <w:t>。依托省博物馆、市歌剧院、海心沙、花城广场等，引入亲子、音乐、舞蹈、脱口秀、话剧等多种形式的文艺演出，推动文化载体与商业载体、市场主体联动，实现以文促商、以文促旅。依托外国领事机构和商会资源集聚的优势，链接全球文化创意总部企业资源，举办更多高品质国际文化盛事，打造高端人文艺术生活中心和国际时尚发布中心。</w:t>
      </w:r>
      <w:r>
        <w:rPr>
          <w:rFonts w:ascii="Times New Roman" w:hAnsi="Times New Roman" w:eastAsia="仿宋_GB2312" w:cs="Times New Roman"/>
          <w:b/>
          <w:bCs/>
          <w:color w:val="auto"/>
          <w:kern w:val="0"/>
          <w:sz w:val="32"/>
          <w:szCs w:val="32"/>
        </w:rPr>
        <w:t>加强户外体验供给。</w:t>
      </w:r>
      <w:r>
        <w:rPr>
          <w:rFonts w:ascii="Times New Roman" w:hAnsi="Times New Roman" w:eastAsia="仿宋_GB2312" w:cs="Times New Roman"/>
          <w:color w:val="auto"/>
          <w:kern w:val="0"/>
          <w:sz w:val="32"/>
          <w:szCs w:val="32"/>
        </w:rPr>
        <w:t>依托华南植物园等具有户外空旷草坪的场地，推动露营业发展，鼓励露营音乐会、露营集市等活动，打造城市文旅综合消费空间，培育一批有竞争力的露营装备贸易企业。推进猎德涌、沙河涌、车陂涌等河涌改造提升，增加水上步行栈道、休闲长廊、跨涌廊桥，科学布局河涌两侧消费业态，全面打响端午龙舟活动品牌，打造夜游互动光影景观，探索推出日常岭南风格游船项目。</w:t>
      </w:r>
      <w:r>
        <w:rPr>
          <w:rFonts w:ascii="Times New Roman" w:hAnsi="Times New Roman" w:eastAsia="仿宋_GB2312" w:cs="Times New Roman"/>
          <w:b/>
          <w:bCs/>
          <w:color w:val="auto"/>
          <w:kern w:val="0"/>
          <w:sz w:val="32"/>
          <w:szCs w:val="32"/>
        </w:rPr>
        <w:t>加强体育消费供给。</w:t>
      </w:r>
      <w:r>
        <w:rPr>
          <w:rFonts w:ascii="Times New Roman" w:hAnsi="Times New Roman" w:eastAsia="仿宋_GB2312" w:cs="Times New Roman"/>
          <w:color w:val="auto"/>
          <w:kern w:val="0"/>
          <w:sz w:val="32"/>
          <w:szCs w:val="32"/>
        </w:rPr>
        <w:t>挖掘天河体育中心、海心沙体育场等潜力，借助中超、广马、广网等大型赛事，以及电竞、垂直马拉松等特色赛事，联动广东奥体中心，抓住2025年第十五届全运会机遇，做好</w:t>
      </w:r>
      <w:bookmarkStart w:id="36" w:name="_Hlk117547422"/>
      <w:r>
        <w:rPr>
          <w:rFonts w:ascii="Times New Roman" w:hAnsi="Times New Roman" w:eastAsia="仿宋_GB2312" w:cs="Times New Roman"/>
          <w:color w:val="auto"/>
          <w:kern w:val="0"/>
          <w:sz w:val="32"/>
          <w:szCs w:val="32"/>
        </w:rPr>
        <w:t>赛事周边产品开发和产业联动，拉动商圈住宿、餐饮、旅游、体育用品消费</w:t>
      </w:r>
      <w:bookmarkEnd w:id="36"/>
      <w:r>
        <w:rPr>
          <w:rFonts w:ascii="Times New Roman" w:hAnsi="Times New Roman" w:eastAsia="仿宋_GB2312" w:cs="Times New Roman"/>
          <w:color w:val="auto"/>
          <w:kern w:val="0"/>
          <w:sz w:val="32"/>
          <w:szCs w:val="32"/>
        </w:rPr>
        <w:t>；加快提升体育运动周边衍生产品和体育服务业发展，培育一批有竞争力的体育用品、健身休闲、竞赛表演、场馆服务、中介培训等体育企业。加强与全市旅游资源的整合，</w:t>
      </w:r>
      <w:r>
        <w:rPr>
          <w:rFonts w:ascii="Times New Roman" w:hAnsi="Times New Roman" w:eastAsia="仿宋_GB2312" w:cs="Times New Roman"/>
          <w:color w:val="auto"/>
          <w:sz w:val="32"/>
          <w:szCs w:val="32"/>
        </w:rPr>
        <w:t>探索设计涵盖美食、购物、体育、文化体验的多种主题citywalk线路</w:t>
      </w:r>
      <w:r>
        <w:rPr>
          <w:rFonts w:ascii="Times New Roman" w:hAnsi="Times New Roman" w:eastAsia="仿宋_GB2312" w:cs="Times New Roman"/>
          <w:color w:val="auto"/>
          <w:kern w:val="0"/>
          <w:sz w:val="32"/>
          <w:szCs w:val="32"/>
        </w:rPr>
        <w:t>，加强接驳和联动促销。</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7" w:name="_Toc23084"/>
      <w:r>
        <w:rPr>
          <w:rFonts w:ascii="Times New Roman" w:hAnsi="Times New Roman" w:cs="Times New Roman"/>
          <w:color w:val="auto"/>
        </w:rPr>
        <w:t>3、挖掘</w:t>
      </w:r>
      <w:r>
        <w:rPr>
          <w:rFonts w:hint="eastAsia" w:ascii="Times New Roman" w:hAnsi="Times New Roman" w:cs="Times New Roman"/>
          <w:color w:val="auto"/>
        </w:rPr>
        <w:t>新</w:t>
      </w:r>
      <w:r>
        <w:rPr>
          <w:rFonts w:ascii="Times New Roman" w:hAnsi="Times New Roman" w:cs="Times New Roman"/>
          <w:color w:val="auto"/>
        </w:rPr>
        <w:t>消费</w:t>
      </w:r>
      <w:r>
        <w:rPr>
          <w:rFonts w:hint="eastAsia" w:ascii="Times New Roman" w:hAnsi="Times New Roman" w:cs="Times New Roman"/>
          <w:color w:val="auto"/>
        </w:rPr>
        <w:t>潜力</w:t>
      </w:r>
      <w:bookmarkEnd w:id="37"/>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发力时尚与定制消费。</w:t>
      </w:r>
      <w:r>
        <w:rPr>
          <w:rFonts w:ascii="Times New Roman" w:hAnsi="Times New Roman" w:eastAsia="仿宋_GB2312" w:cs="Times New Roman"/>
          <w:b/>
          <w:bCs/>
          <w:color w:val="auto"/>
          <w:sz w:val="32"/>
          <w:szCs w:val="32"/>
        </w:rPr>
        <w:t>积极举办时尚活动。</w:t>
      </w:r>
      <w:r>
        <w:rPr>
          <w:rFonts w:ascii="Times New Roman" w:hAnsi="Times New Roman" w:eastAsia="仿宋_GB2312" w:cs="Times New Roman"/>
          <w:color w:val="auto"/>
          <w:sz w:val="32"/>
          <w:szCs w:val="32"/>
        </w:rPr>
        <w:t>抓住广州市将城市新中轴拓展提升为时尚消费地标集聚地机遇，</w:t>
      </w:r>
      <w:r>
        <w:rPr>
          <w:rFonts w:ascii="Times New Roman" w:hAnsi="Times New Roman" w:eastAsia="仿宋_GB2312" w:cs="Times New Roman"/>
          <w:color w:val="auto"/>
          <w:kern w:val="0"/>
          <w:sz w:val="32"/>
          <w:szCs w:val="32"/>
        </w:rPr>
        <w:t>建立与香港、伦敦、巴黎、米兰等国际时尚策源地合作交流机制，依托花城广场、海心沙等，建设国际时尚发布中心，积极支持广州国际时尚产业大会举办，争取国际知名时装周、品牌展会落户，策划一批顶级时尚发布活动。</w:t>
      </w:r>
      <w:r>
        <w:rPr>
          <w:rFonts w:ascii="Times New Roman" w:hAnsi="Times New Roman" w:eastAsia="仿宋_GB2312" w:cs="Times New Roman"/>
          <w:b/>
          <w:bCs/>
          <w:color w:val="auto"/>
          <w:kern w:val="0"/>
          <w:sz w:val="32"/>
          <w:szCs w:val="32"/>
        </w:rPr>
        <w:t>构建</w:t>
      </w:r>
      <w:r>
        <w:rPr>
          <w:rFonts w:ascii="Times New Roman" w:hAnsi="Times New Roman" w:eastAsia="仿宋_GB2312" w:cs="Times New Roman"/>
          <w:b/>
          <w:bCs/>
          <w:color w:val="auto"/>
          <w:sz w:val="32"/>
          <w:szCs w:val="32"/>
        </w:rPr>
        <w:t>新品发布专业服务体系。</w:t>
      </w:r>
      <w:r>
        <w:rPr>
          <w:rFonts w:ascii="Times New Roman" w:hAnsi="Times New Roman" w:eastAsia="仿宋_GB2312" w:cs="Times New Roman"/>
          <w:color w:val="auto"/>
          <w:sz w:val="32"/>
          <w:szCs w:val="32"/>
        </w:rPr>
        <w:t>借助珠江新城高端专业服务业集聚优势，支持海心沙、花城广场、正佳广场、天河城、太古汇、天环广场、K11、天德广场等标志性场地完善配套设施，建立集研发创新、品牌咨询、广告设计、营销推广、展会活动等于一体的新品发布专业服务体系，健全新品发布专业服务链，打造全球新品首发首秀活动平台，举办服装、美妆、汽车、珠宝等各类产品发布活动，在新品发布资源对接、活动审批、宣传推广等方面提供便利化服务。</w:t>
      </w:r>
      <w:r>
        <w:rPr>
          <w:rFonts w:ascii="Times New Roman" w:hAnsi="Times New Roman" w:eastAsia="仿宋_GB2312" w:cs="Times New Roman"/>
          <w:b/>
          <w:bCs/>
          <w:color w:val="auto"/>
          <w:kern w:val="0"/>
          <w:sz w:val="32"/>
          <w:szCs w:val="32"/>
        </w:rPr>
        <w:t>加强培育自主时尚品牌。</w:t>
      </w:r>
      <w:r>
        <w:rPr>
          <w:rFonts w:ascii="Times New Roman" w:hAnsi="Times New Roman" w:eastAsia="仿宋_GB2312" w:cs="Times New Roman"/>
          <w:color w:val="auto"/>
          <w:kern w:val="0"/>
          <w:sz w:val="32"/>
          <w:szCs w:val="32"/>
        </w:rPr>
        <w:t>推动培育一批时尚品牌，支持各类品牌开展跨界联名合作。</w:t>
      </w:r>
      <w:r>
        <w:rPr>
          <w:rFonts w:ascii="Times New Roman" w:hAnsi="Times New Roman" w:eastAsia="仿宋_GB2312" w:cs="Times New Roman"/>
          <w:color w:val="auto"/>
          <w:sz w:val="32"/>
          <w:szCs w:val="32"/>
        </w:rPr>
        <w:t>抓住广州市打造“定制之都”契机，</w:t>
      </w:r>
      <w:r>
        <w:rPr>
          <w:rFonts w:ascii="Times New Roman" w:hAnsi="Times New Roman" w:eastAsia="仿宋_GB2312" w:cs="Times New Roman"/>
          <w:color w:val="auto"/>
          <w:kern w:val="0"/>
          <w:sz w:val="32"/>
          <w:szCs w:val="32"/>
        </w:rPr>
        <w:t>打造时尚消费“定制体验中心”，</w:t>
      </w:r>
      <w:r>
        <w:rPr>
          <w:rFonts w:ascii="Times New Roman" w:hAnsi="Times New Roman" w:eastAsia="仿宋_GB2312" w:cs="Times New Roman"/>
          <w:color w:val="auto"/>
          <w:sz w:val="32"/>
          <w:szCs w:val="32"/>
        </w:rPr>
        <w:t>推动服装、珠宝、箱包、家居等领域时尚与定制融合发展</w:t>
      </w:r>
      <w:r>
        <w:rPr>
          <w:rFonts w:ascii="Times New Roman" w:hAnsi="Times New Roman" w:eastAsia="仿宋_GB2312" w:cs="Times New Roman"/>
          <w:color w:val="auto"/>
          <w:kern w:val="0"/>
          <w:sz w:val="32"/>
          <w:szCs w:val="32"/>
        </w:rPr>
        <w:t>。</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多维度发展美丽经济。</w:t>
      </w:r>
      <w:r>
        <w:rPr>
          <w:rFonts w:hint="eastAsia" w:ascii="Times New Roman" w:hAnsi="Times New Roman" w:eastAsia="仿宋_GB2312" w:cs="Times New Roman"/>
          <w:b/>
          <w:bCs/>
          <w:color w:val="auto"/>
          <w:kern w:val="0"/>
          <w:sz w:val="32"/>
          <w:szCs w:val="32"/>
        </w:rPr>
        <w:t>打造医美特色街区，</w:t>
      </w:r>
      <w:r>
        <w:rPr>
          <w:rFonts w:ascii="Times New Roman" w:hAnsi="Times New Roman" w:eastAsia="仿宋_GB2312" w:cs="Times New Roman"/>
          <w:color w:val="auto"/>
          <w:kern w:val="0"/>
          <w:sz w:val="32"/>
          <w:szCs w:val="32"/>
        </w:rPr>
        <w:t>依托中心城区优势，大力支持紫馨、华美、美莱等医美机构发展壮大，</w:t>
      </w:r>
      <w:r>
        <w:rPr>
          <w:rFonts w:hint="eastAsia" w:ascii="Times New Roman" w:hAnsi="Times New Roman" w:eastAsia="仿宋_GB2312" w:cs="Times New Roman"/>
          <w:color w:val="auto"/>
          <w:kern w:val="0"/>
          <w:sz w:val="32"/>
          <w:szCs w:val="32"/>
        </w:rPr>
        <w:t>在珠江新城片区及相邻黄埔大道沿街，引进国际国内高端医疗美容机构；</w:t>
      </w:r>
      <w:r>
        <w:rPr>
          <w:rFonts w:ascii="Times New Roman" w:hAnsi="Times New Roman" w:eastAsia="仿宋_GB2312" w:cs="Times New Roman"/>
          <w:color w:val="auto"/>
          <w:kern w:val="0"/>
          <w:sz w:val="32"/>
          <w:szCs w:val="32"/>
        </w:rPr>
        <w:t>鼓励传统美容外科机构加速轻医美赛道布局，支持医美机构在二三线城市布局社区化、轻量化医美门店，通过辖区外门店，将外科手术等高技术需求客户导流至天河总店或旗舰店，间接推动区内住宿和餐饮业消费；鼓励医美机构与女性车友会、高端箱包卖场等女性高端消费行业开展异业合作。</w:t>
      </w:r>
      <w:r>
        <w:rPr>
          <w:rFonts w:hint="eastAsia" w:ascii="Times New Roman" w:hAnsi="Times New Roman" w:eastAsia="仿宋_GB2312" w:cs="Times New Roman"/>
          <w:b/>
          <w:bCs/>
          <w:color w:val="auto"/>
          <w:kern w:val="0"/>
          <w:sz w:val="32"/>
          <w:szCs w:val="32"/>
        </w:rPr>
        <w:t>推动美妆产业发展</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支持诺德溯源等美妆品牌对标国际国内一流品牌，提高管理水平，开拓主流市场，加快实现在国内市场占有率的突破和提升；充分发挥商圈高端商业载体密集优势，引进国内外美妆品牌，鼓励商圈举办“美妆节”，探索在商圈开设品牌美妆时尚体验街区，开辟旅游购物专线，做强美妆新零售，建设知名美妆品牌的消费风向标</w:t>
      </w:r>
      <w:r>
        <w:rPr>
          <w:rFonts w:hint="eastAsia" w:ascii="Times New Roman" w:hAnsi="Times New Roman" w:eastAsia="仿宋_GB2312" w:cs="Times New Roman"/>
          <w:color w:val="auto"/>
          <w:kern w:val="0"/>
          <w:sz w:val="32"/>
          <w:szCs w:val="32"/>
        </w:rPr>
        <w:t>；推动线上配送平台、美妆品牌、线下渠道三方融合，推进美妆即时零售业态发展；积极引进美妆集合店，打造网红美妆门店</w:t>
      </w:r>
      <w:r>
        <w:rPr>
          <w:rFonts w:ascii="Times New Roman" w:hAnsi="Times New Roman" w:eastAsia="仿宋_GB2312" w:cs="Times New Roman"/>
          <w:color w:val="auto"/>
          <w:kern w:val="0"/>
          <w:sz w:val="32"/>
          <w:szCs w:val="32"/>
        </w:rPr>
        <w:t>。</w:t>
      </w:r>
      <w:r>
        <w:rPr>
          <w:rFonts w:hint="eastAsia" w:ascii="Times New Roman" w:hAnsi="Times New Roman" w:eastAsia="仿宋_GB2312" w:cs="Times New Roman"/>
          <w:b/>
          <w:bCs/>
          <w:color w:val="auto"/>
          <w:kern w:val="0"/>
          <w:sz w:val="32"/>
          <w:szCs w:val="32"/>
        </w:rPr>
        <w:t>探索发展形象设计</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依托珠江新城周边写字楼密集优势，做大做强商务形象设计，支持商务形象设计企业“走进”写字楼，为商务人士提供时尚形象设计，加强与商业载体内中高端服饰、珠宝、美妆、美容等门店联动，共同打造内涵丰富的“美丽经济”发展高地。</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8" w:name="_Toc19389"/>
      <w:r>
        <w:rPr>
          <w:rFonts w:hint="eastAsia" w:ascii="Times New Roman" w:hAnsi="Times New Roman" w:cs="Times New Roman"/>
          <w:color w:val="auto"/>
        </w:rPr>
        <w:t>4、发展</w:t>
      </w:r>
      <w:r>
        <w:rPr>
          <w:rFonts w:ascii="Times New Roman" w:hAnsi="Times New Roman" w:cs="Times New Roman"/>
          <w:color w:val="auto"/>
        </w:rPr>
        <w:t>消费新模式</w:t>
      </w:r>
      <w:bookmarkEnd w:id="38"/>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进一步增强体验消费。</w:t>
      </w:r>
      <w:r>
        <w:rPr>
          <w:rFonts w:ascii="Times New Roman" w:hAnsi="Times New Roman" w:eastAsia="仿宋_GB2312" w:cs="Times New Roman"/>
          <w:color w:val="auto"/>
          <w:kern w:val="0"/>
          <w:sz w:val="32"/>
          <w:szCs w:val="32"/>
        </w:rPr>
        <w:t>加快元宇宙沉浸式应用场景落地，鼓励零售企业打造数字购物体验店，720度全景虚拟店铺，通过3D技术，创建多元化、全场景、可交互的数字商品，创建虚拟场景与虚拟客服，实现“身临其境”的体验商品与服务。支持商业载体结合自身条件，以动漫、游戏、电竞等为主题打造沉浸式商业空间，加强与区内游戏企业合作，联合打造游戏实景体验空间。支持商业载体引入缝纫、烹饪、烘培、陶艺、香薰等动手类体验业态；支持打造屋顶儿童乐园、跑道、农场、花园等，促进亲子交流业态发展；支持沉浸式展览、创意声光电演出、AR/VR体验发展。支持老旧小区、旧厂房等大空间、低成本区域加强改造，推出剧本杀、密室逃脱等活动，加强情节设计优化，融入特色文化元素。</w:t>
      </w:r>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cs="Times New Roman"/>
          <w:color w:val="auto"/>
        </w:rPr>
      </w:pPr>
      <w:r>
        <w:rPr>
          <w:rStyle w:val="35"/>
          <w:rFonts w:hint="default" w:ascii="Times New Roman" w:hAnsi="Times New Roman" w:cs="Times New Roman"/>
          <w:b/>
          <w:bCs/>
          <w:color w:val="auto"/>
        </w:rPr>
        <w:t>技术赋能新零售</w:t>
      </w:r>
      <w:r>
        <w:rPr>
          <w:rStyle w:val="35"/>
          <w:rFonts w:hint="default" w:ascii="Times New Roman" w:hAnsi="Times New Roman" w:cs="Times New Roman"/>
          <w:color w:val="auto"/>
        </w:rPr>
        <w:t>。</w:t>
      </w:r>
      <w:r>
        <w:rPr>
          <w:rFonts w:ascii="Times New Roman" w:hAnsi="Times New Roman" w:eastAsia="仿宋_GB2312" w:cs="Times New Roman"/>
          <w:color w:val="auto"/>
          <w:kern w:val="0"/>
          <w:sz w:val="32"/>
          <w:szCs w:val="32"/>
        </w:rPr>
        <w:t>深挖私域流量价值，鼓励针对医美、体育、文学、母婴等具有共同兴趣爱好社群的精准需求，建立更有针对性的社群交流和分享场景，为社群粉丝提供高匹配度、高满意度、高认可度的产品和内容，以妈妈网等为依托，打造一批“小而美”的社群品牌。支持正佳广场</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太古汇等大型综合体内购群、会员群、粉丝群等平台，强化用户管理和服务。鼓励社区电商充分利用社区私域流量搭建社区交流服务平台，针对社区体育群体、文化群体、宝妈群体、老人群体等具有共同生活需求的特定群体，提供集社交场景与消费场景于一体的社群服务，拓展社交电商融合发展新模式。鼓励直播平台与重点载体、特色商业街加强合作，共同设立区域共享直播间。促进首店经济、小店经济与直播电商融合发展，打造专业直播发布平台，在宣传、推广、发布等方面提供线上支持。引导住宿、餐饮、旅游、会展等企业开展直播电商业务。</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39" w:name="_Toc13442"/>
      <w:r>
        <w:rPr>
          <w:rFonts w:ascii="Times New Roman" w:hAnsi="Times New Roman" w:cs="Times New Roman"/>
          <w:color w:val="auto"/>
        </w:rPr>
        <w:t>5、</w:t>
      </w:r>
      <w:r>
        <w:rPr>
          <w:rFonts w:hint="eastAsia" w:ascii="Times New Roman" w:hAnsi="Times New Roman" w:cs="Times New Roman"/>
          <w:color w:val="auto"/>
        </w:rPr>
        <w:t>积极举办</w:t>
      </w:r>
      <w:r>
        <w:rPr>
          <w:rFonts w:ascii="Times New Roman" w:hAnsi="Times New Roman" w:cs="Times New Roman"/>
          <w:color w:val="auto"/>
        </w:rPr>
        <w:t>促消费活动</w:t>
      </w:r>
      <w:bookmarkEnd w:id="39"/>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32"/>
        </w:rPr>
      </w:pPr>
      <w:r>
        <w:rPr>
          <w:rFonts w:hint="eastAsia" w:eastAsia="仿宋_GB2312"/>
          <w:color w:val="auto"/>
          <w:sz w:val="32"/>
          <w:szCs w:val="32"/>
        </w:rPr>
        <w:t>持续推动</w:t>
      </w:r>
      <w:r>
        <w:rPr>
          <w:rFonts w:eastAsia="仿宋_GB2312"/>
          <w:b/>
          <w:bCs/>
          <w:color w:val="auto"/>
          <w:sz w:val="32"/>
          <w:szCs w:val="32"/>
        </w:rPr>
        <w:t>广州国际购物节</w:t>
      </w:r>
      <w:r>
        <w:rPr>
          <w:rFonts w:eastAsia="仿宋_GB2312"/>
          <w:color w:val="auto"/>
          <w:sz w:val="32"/>
          <w:szCs w:val="32"/>
        </w:rPr>
        <w:t>探索创新，</w:t>
      </w:r>
      <w:r>
        <w:rPr>
          <w:rFonts w:hint="eastAsia" w:ascii="Times New Roman" w:hAnsi="Times New Roman" w:eastAsia="仿宋_GB2312" w:cs="Times New Roman"/>
          <w:color w:val="auto"/>
          <w:sz w:val="32"/>
          <w:szCs w:val="32"/>
        </w:rPr>
        <w:t>引导天河路商圈各载体及商贸企业</w:t>
      </w:r>
      <w:r>
        <w:rPr>
          <w:rFonts w:hint="eastAsia" w:eastAsia="仿宋_GB2312"/>
          <w:color w:val="auto"/>
          <w:sz w:val="32"/>
          <w:szCs w:val="32"/>
        </w:rPr>
        <w:t>组织开展覆盖零售、住宿、餐饮、文化旅游等领域的主题营销活动，推出消费优惠，</w:t>
      </w:r>
      <w:r>
        <w:rPr>
          <w:rFonts w:eastAsia="仿宋_GB2312"/>
          <w:color w:val="auto"/>
          <w:sz w:val="32"/>
          <w:szCs w:val="32"/>
        </w:rPr>
        <w:t>通过</w:t>
      </w:r>
      <w:r>
        <w:rPr>
          <w:rFonts w:hint="eastAsia" w:eastAsia="仿宋_GB2312"/>
          <w:color w:val="auto"/>
          <w:sz w:val="32"/>
          <w:szCs w:val="32"/>
        </w:rPr>
        <w:t>与</w:t>
      </w:r>
      <w:r>
        <w:rPr>
          <w:rFonts w:eastAsia="仿宋_GB2312"/>
          <w:color w:val="auto"/>
          <w:sz w:val="32"/>
          <w:szCs w:val="32"/>
        </w:rPr>
        <w:t>品牌经济、夜间经济、商旅文体融合等方式</w:t>
      </w:r>
      <w:r>
        <w:rPr>
          <w:rFonts w:hint="eastAsia" w:eastAsia="仿宋_GB2312"/>
          <w:color w:val="auto"/>
          <w:sz w:val="32"/>
          <w:szCs w:val="32"/>
        </w:rPr>
        <w:t>进一步</w:t>
      </w:r>
      <w:r>
        <w:rPr>
          <w:rFonts w:eastAsia="仿宋_GB2312"/>
          <w:color w:val="auto"/>
          <w:sz w:val="32"/>
          <w:szCs w:val="32"/>
        </w:rPr>
        <w:t>激发消费潜力</w:t>
      </w:r>
      <w:r>
        <w:rPr>
          <w:rFonts w:hint="eastAsia" w:eastAsia="仿宋_GB2312"/>
          <w:color w:val="auto"/>
          <w:sz w:val="32"/>
          <w:szCs w:val="32"/>
        </w:rPr>
        <w:t>，打造</w:t>
      </w:r>
      <w:r>
        <w:rPr>
          <w:rFonts w:ascii="Times New Roman" w:hAnsi="Times New Roman" w:eastAsia="仿宋_GB2312" w:cs="Times New Roman"/>
          <w:color w:val="auto"/>
          <w:sz w:val="32"/>
          <w:szCs w:val="32"/>
        </w:rPr>
        <w:t>购物狂欢嘉年华</w:t>
      </w:r>
      <w:r>
        <w:rPr>
          <w:rFonts w:hint="eastAsia" w:eastAsia="仿宋_GB2312"/>
          <w:color w:val="auto"/>
          <w:sz w:val="32"/>
          <w:szCs w:val="32"/>
        </w:rPr>
        <w:t>。继续做好</w:t>
      </w:r>
      <w:r>
        <w:rPr>
          <w:rFonts w:hint="eastAsia" w:eastAsia="仿宋_GB2312"/>
          <w:b/>
          <w:bCs/>
          <w:color w:val="auto"/>
          <w:sz w:val="32"/>
          <w:szCs w:val="32"/>
        </w:rPr>
        <w:t>天河汽车消费节</w:t>
      </w:r>
      <w:r>
        <w:rPr>
          <w:rFonts w:hint="eastAsia" w:eastAsia="仿宋_GB2312"/>
          <w:color w:val="auto"/>
          <w:sz w:val="32"/>
          <w:szCs w:val="32"/>
        </w:rPr>
        <w:t>，邀请高端燃油车和新能源车品牌，增强汽车文化、音乐、露营体验，打造</w:t>
      </w:r>
      <w:r>
        <w:rPr>
          <w:rFonts w:eastAsia="仿宋_GB2312"/>
          <w:color w:val="auto"/>
          <w:sz w:val="32"/>
          <w:szCs w:val="32"/>
        </w:rPr>
        <w:t>小而美、小而精的特色智联展会</w:t>
      </w:r>
      <w:r>
        <w:rPr>
          <w:rFonts w:ascii="Times New Roman" w:hAnsi="Times New Roman" w:eastAsia="仿宋_GB2312" w:cs="Times New Roman"/>
          <w:color w:val="auto"/>
          <w:sz w:val="32"/>
          <w:szCs w:val="32"/>
        </w:rPr>
        <w:t>。</w:t>
      </w:r>
      <w:r>
        <w:rPr>
          <w:rFonts w:hint="eastAsia" w:ascii="Times New Roman" w:hAnsi="Times New Roman" w:eastAsia="仿宋_GB2312" w:cs="Times New Roman"/>
          <w:b/>
          <w:bCs/>
          <w:color w:val="000000"/>
          <w:sz w:val="32"/>
          <w:szCs w:val="32"/>
        </w:rPr>
        <w:t>做大做强天河直播购物节</w:t>
      </w:r>
      <w:r>
        <w:rPr>
          <w:rFonts w:hint="eastAsia" w:ascii="Times New Roman" w:hAnsi="Times New Roman" w:eastAsia="仿宋_GB2312" w:cs="Times New Roman"/>
          <w:color w:val="000000"/>
          <w:sz w:val="32"/>
          <w:szCs w:val="32"/>
        </w:rPr>
        <w:t>，按照“政府搭台，企业参与，市场化运作”的原则，充分调动天河直播节活动分会场、各大商圈载体、电商平台、直播电商基地、电子商务</w:t>
      </w:r>
      <w:r>
        <w:rPr>
          <w:rFonts w:ascii="Times New Roman" w:hAnsi="Times New Roman" w:eastAsia="仿宋_GB2312" w:cs="Times New Roman"/>
          <w:color w:val="000000"/>
          <w:sz w:val="32"/>
          <w:szCs w:val="32"/>
        </w:rPr>
        <w:t>MCN机构以及品牌商家直播间等，实现线上线下联动、多点全域直播、全网全平台互动。</w:t>
      </w:r>
      <w:r>
        <w:rPr>
          <w:rFonts w:hint="eastAsia" w:ascii="Times New Roman" w:hAnsi="Times New Roman" w:eastAsia="仿宋_GB2312" w:cs="Times New Roman"/>
          <w:color w:val="auto"/>
          <w:sz w:val="32"/>
          <w:szCs w:val="32"/>
        </w:rPr>
        <w:t>配合办好</w:t>
      </w:r>
      <w:r>
        <w:rPr>
          <w:rFonts w:hint="eastAsia" w:ascii="Times New Roman" w:hAnsi="Times New Roman" w:eastAsia="仿宋_GB2312" w:cs="Times New Roman"/>
          <w:b/>
          <w:bCs/>
          <w:color w:val="auto"/>
          <w:sz w:val="32"/>
          <w:szCs w:val="32"/>
        </w:rPr>
        <w:t>广州</w:t>
      </w:r>
      <w:r>
        <w:rPr>
          <w:rFonts w:ascii="Times New Roman" w:hAnsi="Times New Roman" w:eastAsia="仿宋_GB2312" w:cs="Times New Roman"/>
          <w:b/>
          <w:bCs/>
          <w:color w:val="auto"/>
          <w:sz w:val="32"/>
          <w:szCs w:val="32"/>
        </w:rPr>
        <w:t>时尚产业大会</w:t>
      </w:r>
      <w:r>
        <w:rPr>
          <w:rFonts w:ascii="Times New Roman" w:hAnsi="Times New Roman" w:eastAsia="仿宋_GB2312" w:cs="Times New Roman"/>
          <w:color w:val="auto"/>
          <w:sz w:val="32"/>
          <w:szCs w:val="32"/>
        </w:rPr>
        <w:t>，通过</w:t>
      </w:r>
      <w:r>
        <w:rPr>
          <w:rFonts w:hint="eastAsia" w:ascii="Times New Roman" w:hAnsi="Times New Roman" w:eastAsia="仿宋_GB2312" w:cs="Times New Roman"/>
          <w:color w:val="auto"/>
          <w:sz w:val="32"/>
          <w:szCs w:val="32"/>
        </w:rPr>
        <w:t>专业分论坛、联合秀、名师名品发布、品牌独立秀、静态展、露营展等系列活动</w:t>
      </w:r>
      <w:r>
        <w:rPr>
          <w:rFonts w:ascii="Times New Roman" w:hAnsi="Times New Roman" w:eastAsia="仿宋_GB2312" w:cs="Times New Roman"/>
          <w:color w:val="auto"/>
          <w:sz w:val="32"/>
          <w:szCs w:val="32"/>
        </w:rPr>
        <w:t>，着力打造国际品牌的</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聚集地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、时尚潮流的</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引领地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、中国制造的</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展示地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、岭南文化的</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传承地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、消费创新的</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策源地”。</w:t>
      </w:r>
      <w:r>
        <w:rPr>
          <w:rFonts w:hint="eastAsia" w:ascii="Times New Roman" w:hAnsi="Times New Roman" w:eastAsia="仿宋_GB2312" w:cs="Times New Roman"/>
          <w:color w:val="auto"/>
          <w:sz w:val="32"/>
          <w:szCs w:val="32"/>
        </w:rPr>
        <w:t>积极培育</w:t>
      </w:r>
      <w:r>
        <w:rPr>
          <w:rFonts w:ascii="Times New Roman" w:hAnsi="Times New Roman" w:eastAsia="仿宋_GB2312" w:cs="Times New Roman"/>
          <w:b/>
          <w:bCs/>
          <w:color w:val="auto"/>
          <w:sz w:val="32"/>
          <w:szCs w:val="32"/>
        </w:rPr>
        <w:t>“天河优选”</w:t>
      </w:r>
      <w:r>
        <w:rPr>
          <w:rFonts w:hint="eastAsia" w:ascii="Times New Roman" w:hAnsi="Times New Roman" w:eastAsia="仿宋_GB2312" w:cs="Times New Roman"/>
          <w:b/>
          <w:bCs/>
          <w:color w:val="auto"/>
          <w:sz w:val="32"/>
          <w:szCs w:val="32"/>
        </w:rPr>
        <w:t>品牌活动</w:t>
      </w:r>
      <w:r>
        <w:rPr>
          <w:rFonts w:hint="eastAsia" w:ascii="Times New Roman" w:hAnsi="Times New Roman" w:eastAsia="仿宋_GB2312" w:cs="Times New Roman"/>
          <w:color w:val="auto"/>
          <w:sz w:val="32"/>
          <w:szCs w:val="32"/>
        </w:rPr>
        <w:t>，按照“政府搭台、企业联动、市场运作”的方式，利用区内消费供给和需求优势，搭建促销平台，优选</w:t>
      </w:r>
      <w:r>
        <w:rPr>
          <w:rFonts w:ascii="Times New Roman" w:hAnsi="Times New Roman" w:eastAsia="仿宋_GB2312" w:cs="Times New Roman"/>
          <w:color w:val="auto"/>
          <w:sz w:val="32"/>
          <w:szCs w:val="32"/>
        </w:rPr>
        <w:t>3C产品、首饰、百货日用品、汽车</w:t>
      </w:r>
      <w:r>
        <w:rPr>
          <w:rFonts w:hint="eastAsia" w:ascii="Times New Roman" w:hAnsi="Times New Roman" w:eastAsia="仿宋_GB2312" w:cs="Times New Roman"/>
          <w:color w:val="auto"/>
          <w:sz w:val="32"/>
          <w:szCs w:val="32"/>
        </w:rPr>
        <w:t>等领域优质供应商，对接企事业单位、产业园区、专业楼宇，开展定向</w:t>
      </w:r>
      <w:r>
        <w:rPr>
          <w:rFonts w:ascii="Times New Roman" w:hAnsi="Times New Roman" w:eastAsia="仿宋_GB2312" w:cs="Times New Roman"/>
          <w:color w:val="auto"/>
          <w:sz w:val="32"/>
          <w:szCs w:val="32"/>
        </w:rPr>
        <w:t>促消费活动</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促进天河内循环，扩大消费，稳定增长。</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0" w:name="_Toc20024"/>
      <w:r>
        <w:rPr>
          <w:rFonts w:ascii="Times New Roman" w:hAnsi="Times New Roman" w:cs="Times New Roman"/>
          <w:color w:val="auto"/>
        </w:rPr>
        <w:t>（三）拓展住宿餐饮业内涵，挖掘</w:t>
      </w:r>
      <w:r>
        <w:rPr>
          <w:rFonts w:hint="eastAsia" w:ascii="Times New Roman" w:hAnsi="Times New Roman" w:cs="Times New Roman"/>
          <w:color w:val="auto"/>
        </w:rPr>
        <w:t>消费新增长点</w:t>
      </w:r>
      <w:bookmarkEnd w:id="40"/>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专栏3 天河</w:t>
            </w:r>
            <w:r>
              <w:rPr>
                <w:rFonts w:hint="eastAsia" w:ascii="Times New Roman" w:hAnsi="Times New Roman" w:eastAsia="仿宋_GB2312" w:cs="Times New Roman"/>
                <w:b/>
                <w:bCs/>
                <w:color w:val="auto"/>
                <w:kern w:val="0"/>
                <w:sz w:val="24"/>
              </w:rPr>
              <w:t>区住宿餐饮业</w:t>
            </w:r>
            <w:r>
              <w:rPr>
                <w:rFonts w:ascii="Times New Roman" w:hAnsi="Times New Roman" w:eastAsia="仿宋_GB2312" w:cs="Times New Roman"/>
                <w:b/>
                <w:bCs/>
                <w:color w:val="auto"/>
                <w:kern w:val="0"/>
                <w:sz w:val="24"/>
              </w:rPr>
              <w:t>发展现状及存在问题</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发展现状</w:t>
            </w:r>
            <w:r>
              <w:rPr>
                <w:rFonts w:ascii="Times New Roman" w:hAnsi="Times New Roman" w:eastAsia="仿宋_GB2312" w:cs="Times New Roman"/>
                <w:color w:val="auto"/>
                <w:kern w:val="0"/>
                <w:sz w:val="24"/>
              </w:rPr>
              <w:t>：2020年，</w:t>
            </w:r>
            <w:r>
              <w:rPr>
                <w:rFonts w:hint="eastAsia" w:ascii="Times New Roman" w:hAnsi="Times New Roman" w:eastAsia="仿宋_GB2312" w:cs="Times New Roman"/>
                <w:color w:val="auto"/>
                <w:kern w:val="0"/>
                <w:sz w:val="24"/>
              </w:rPr>
              <w:t>完成</w:t>
            </w:r>
            <w:r>
              <w:rPr>
                <w:rFonts w:ascii="Times New Roman" w:hAnsi="Times New Roman" w:eastAsia="仿宋_GB2312" w:cs="Times New Roman"/>
                <w:color w:val="auto"/>
                <w:kern w:val="0"/>
                <w:sz w:val="24"/>
              </w:rPr>
              <w:t>营业额156.46亿元，总量排名全市第1，占全市比重18.3%，其中，住宿业营业成32.10亿元，</w:t>
            </w:r>
            <w:r>
              <w:rPr>
                <w:rFonts w:hint="eastAsia" w:ascii="Times New Roman" w:hAnsi="Times New Roman" w:eastAsia="仿宋_GB2312" w:cs="Times New Roman"/>
                <w:color w:val="auto"/>
                <w:kern w:val="0"/>
                <w:sz w:val="24"/>
              </w:rPr>
              <w:t>同比</w:t>
            </w:r>
            <w:r>
              <w:rPr>
                <w:rFonts w:ascii="Times New Roman" w:hAnsi="Times New Roman" w:eastAsia="仿宋_GB2312" w:cs="Times New Roman"/>
                <w:color w:val="auto"/>
                <w:kern w:val="0"/>
                <w:sz w:val="24"/>
              </w:rPr>
              <w:t>下降34.5%，餐饮业营业额124.36亿元，</w:t>
            </w:r>
            <w:r>
              <w:rPr>
                <w:rFonts w:hint="eastAsia" w:ascii="Times New Roman" w:hAnsi="Times New Roman" w:eastAsia="仿宋_GB2312" w:cs="Times New Roman"/>
                <w:color w:val="auto"/>
                <w:kern w:val="0"/>
                <w:sz w:val="24"/>
              </w:rPr>
              <w:t>同比</w:t>
            </w:r>
            <w:r>
              <w:rPr>
                <w:rFonts w:ascii="Times New Roman" w:hAnsi="Times New Roman" w:eastAsia="仿宋_GB2312" w:cs="Times New Roman"/>
                <w:color w:val="auto"/>
                <w:kern w:val="0"/>
                <w:sz w:val="24"/>
              </w:rPr>
              <w:t>下降13.4%。</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存在问题</w:t>
            </w:r>
            <w:r>
              <w:rPr>
                <w:rFonts w:ascii="Times New Roman" w:hAnsi="Times New Roman" w:eastAsia="仿宋_GB2312" w:cs="Times New Roman"/>
                <w:color w:val="auto"/>
                <w:kern w:val="0"/>
                <w:sz w:val="24"/>
              </w:rPr>
              <w:t>：</w:t>
            </w:r>
            <w:r>
              <w:rPr>
                <w:rFonts w:hint="eastAsia" w:ascii="Times New Roman" w:hAnsi="Times New Roman" w:eastAsia="仿宋_GB2312" w:cs="Times New Roman"/>
                <w:b/>
                <w:bCs/>
                <w:color w:val="auto"/>
                <w:kern w:val="0"/>
                <w:sz w:val="24"/>
              </w:rPr>
              <w:t>一是企业规模整体偏小</w:t>
            </w:r>
            <w:r>
              <w:rPr>
                <w:rFonts w:hint="eastAsia" w:ascii="Times New Roman" w:hAnsi="Times New Roman" w:eastAsia="仿宋_GB2312" w:cs="Times New Roman"/>
                <w:color w:val="auto"/>
                <w:kern w:val="0"/>
                <w:sz w:val="24"/>
              </w:rPr>
              <w:t>。以中小型企业为主，</w:t>
            </w:r>
            <w:r>
              <w:rPr>
                <w:rFonts w:ascii="Times New Roman" w:hAnsi="Times New Roman" w:eastAsia="仿宋_GB2312" w:cs="Times New Roman"/>
                <w:color w:val="auto"/>
                <w:kern w:val="0"/>
                <w:sz w:val="24"/>
              </w:rPr>
              <w:t>2021年1-9月，全市住宿业排名前十企业，越秀区4家，海珠区2家，天河区仅1家</w:t>
            </w:r>
            <w:r>
              <w:rPr>
                <w:rFonts w:hint="eastAsia" w:ascii="Times New Roman" w:hAnsi="Times New Roman" w:eastAsia="仿宋_GB2312" w:cs="Times New Roman"/>
                <w:color w:val="auto"/>
                <w:kern w:val="0"/>
                <w:sz w:val="24"/>
              </w:rPr>
              <w:t>（</w:t>
            </w:r>
            <w:r>
              <w:rPr>
                <w:rFonts w:ascii="Times New Roman" w:hAnsi="Times New Roman" w:eastAsia="仿宋_GB2312" w:cs="Times New Roman"/>
                <w:color w:val="auto"/>
                <w:kern w:val="0"/>
                <w:sz w:val="24"/>
              </w:rPr>
              <w:t>W酒店</w:t>
            </w:r>
            <w:r>
              <w:rPr>
                <w:rFonts w:hint="eastAsia" w:ascii="Times New Roman" w:hAnsi="Times New Roman" w:eastAsia="仿宋_GB2312" w:cs="Times New Roman"/>
                <w:color w:val="auto"/>
                <w:kern w:val="0"/>
                <w:sz w:val="24"/>
              </w:rPr>
              <w:t>，</w:t>
            </w:r>
            <w:r>
              <w:rPr>
                <w:rFonts w:ascii="Times New Roman" w:hAnsi="Times New Roman" w:eastAsia="仿宋_GB2312" w:cs="Times New Roman"/>
                <w:color w:val="auto"/>
                <w:kern w:val="0"/>
                <w:sz w:val="24"/>
              </w:rPr>
              <w:t>营业额1.5亿元</w:t>
            </w:r>
            <w:r>
              <w:rPr>
                <w:rFonts w:hint="eastAsia" w:ascii="Times New Roman" w:hAnsi="Times New Roman" w:eastAsia="仿宋_GB2312" w:cs="Times New Roman"/>
                <w:color w:val="auto"/>
                <w:kern w:val="0"/>
                <w:sz w:val="24"/>
              </w:rPr>
              <w:t>，排名第</w:t>
            </w:r>
            <w:r>
              <w:rPr>
                <w:rFonts w:ascii="Times New Roman" w:hAnsi="Times New Roman" w:eastAsia="仿宋_GB2312" w:cs="Times New Roman"/>
                <w:color w:val="auto"/>
                <w:kern w:val="0"/>
                <w:sz w:val="24"/>
              </w:rPr>
              <w:t>7</w:t>
            </w:r>
            <w:r>
              <w:rPr>
                <w:rFonts w:hint="eastAsia" w:ascii="Times New Roman" w:hAnsi="Times New Roman" w:eastAsia="仿宋_GB2312" w:cs="Times New Roman"/>
                <w:color w:val="auto"/>
                <w:kern w:val="0"/>
                <w:sz w:val="24"/>
              </w:rPr>
              <w:t>）</w:t>
            </w:r>
            <w:r>
              <w:rPr>
                <w:rFonts w:ascii="Times New Roman" w:hAnsi="Times New Roman" w:eastAsia="仿宋_GB2312" w:cs="Times New Roman"/>
                <w:color w:val="auto"/>
                <w:kern w:val="0"/>
                <w:sz w:val="24"/>
              </w:rPr>
              <w:t>。全市餐饮业排名前十企业，荔湾区3家、越秀区2家、天河区4家（分别排4、6、7、10），排名第4的太二餐饮，营业额20亿元，全市排名第1的企业营业额超过30亿元。</w:t>
            </w:r>
            <w:r>
              <w:rPr>
                <w:rFonts w:hint="eastAsia" w:ascii="Times New Roman" w:hAnsi="Times New Roman" w:eastAsia="仿宋_GB2312" w:cs="Times New Roman"/>
                <w:b/>
                <w:bCs/>
                <w:color w:val="auto"/>
                <w:kern w:val="0"/>
                <w:sz w:val="24"/>
              </w:rPr>
              <w:t>二是高端酒店无法纳统。</w:t>
            </w:r>
            <w:r>
              <w:rPr>
                <w:rFonts w:hint="eastAsia" w:ascii="Times New Roman" w:hAnsi="Times New Roman" w:eastAsia="仿宋_GB2312" w:cs="Times New Roman"/>
                <w:color w:val="auto"/>
                <w:kern w:val="0"/>
                <w:sz w:val="24"/>
              </w:rPr>
              <w:t>根据统计制度，限额以上住宿和餐饮业统计范围是达到限额标准的独立法人单位，因此，以房地产公司附营的分公司形式注册的酒店无法纳入限额以上住宿和餐饮业统计范围。我区高端酒店如瑰丽酒店、四季酒店、丽思卡尔顿、圣丰索菲特、四季、威斯汀、文华东方、粤海喜来登等酒店均因属房地产公司的产业活动单位，无法纳入限上住宿业统计。</w:t>
            </w:r>
            <w:r>
              <w:rPr>
                <w:rFonts w:hint="eastAsia" w:ascii="Times New Roman" w:hAnsi="Times New Roman" w:eastAsia="仿宋_GB2312" w:cs="Times New Roman"/>
                <w:b/>
                <w:bCs/>
                <w:color w:val="auto"/>
                <w:kern w:val="0"/>
                <w:sz w:val="24"/>
              </w:rPr>
              <w:t>三是创新能力不足。</w:t>
            </w:r>
            <w:r>
              <w:rPr>
                <w:rFonts w:hint="eastAsia" w:ascii="Times New Roman" w:hAnsi="Times New Roman" w:eastAsia="仿宋_GB2312" w:cs="Times New Roman"/>
                <w:color w:val="auto"/>
                <w:kern w:val="0"/>
                <w:sz w:val="24"/>
              </w:rPr>
              <w:t>目前我区住宿和餐饮业企业法人仍是传统劳动密集型产业，且以小微企业为主，智能化水平相对落后，新科技运用能力和信息化水平相对较弱，运营管理模式缺乏创新。面对日益增长的人工、租金成本压力及主力消费人群需求转变等多种挑战，传统住宿和餐饮业缺乏与科技的融合，在企业经营管理模式、提供产品服务内容、服务标准与水平等方面同质化经营比较普遍，企业创新意识不强、创新能力不足。</w:t>
            </w:r>
          </w:p>
        </w:tc>
      </w:tr>
    </w:tbl>
    <w:p>
      <w:pPr>
        <w:pageBreakBefore w:val="0"/>
        <w:kinsoku/>
        <w:wordWrap/>
        <w:overflowPunct/>
        <w:topLinePunct w:val="0"/>
        <w:autoSpaceDE/>
        <w:autoSpaceDN/>
        <w:bidi w:val="0"/>
        <w:adjustRightInd/>
        <w:snapToGrid/>
        <w:spacing w:beforeAutospacing="0" w:afterAutospacing="0" w:line="560" w:lineRule="exact"/>
        <w:ind w:right="0" w:rightChars="0"/>
        <w:rPr>
          <w:color w:val="auto"/>
        </w:rPr>
      </w:pP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1" w:name="_Toc8113"/>
      <w:r>
        <w:rPr>
          <w:rFonts w:ascii="Times New Roman" w:hAnsi="Times New Roman" w:cs="Times New Roman"/>
          <w:color w:val="auto"/>
        </w:rPr>
        <w:t>1、积极</w:t>
      </w:r>
      <w:r>
        <w:rPr>
          <w:rFonts w:hint="eastAsia" w:ascii="Times New Roman" w:hAnsi="Times New Roman" w:cs="Times New Roman"/>
          <w:color w:val="auto"/>
        </w:rPr>
        <w:t>增加</w:t>
      </w:r>
      <w:r>
        <w:rPr>
          <w:rFonts w:ascii="Times New Roman" w:hAnsi="Times New Roman" w:cs="Times New Roman"/>
          <w:color w:val="auto"/>
        </w:rPr>
        <w:t>市场供给</w:t>
      </w:r>
      <w:bookmarkEnd w:id="41"/>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b/>
          <w:bCs/>
          <w:color w:val="auto"/>
          <w:kern w:val="0"/>
          <w:sz w:val="32"/>
          <w:szCs w:val="32"/>
        </w:rPr>
        <w:t>增加</w:t>
      </w:r>
      <w:r>
        <w:rPr>
          <w:rFonts w:ascii="Times New Roman" w:hAnsi="Times New Roman" w:eastAsia="仿宋_GB2312" w:cs="Times New Roman"/>
          <w:b/>
          <w:bCs/>
          <w:color w:val="auto"/>
          <w:kern w:val="0"/>
          <w:sz w:val="32"/>
          <w:szCs w:val="32"/>
        </w:rPr>
        <w:t>高端住宿供给。</w:t>
      </w:r>
      <w:r>
        <w:rPr>
          <w:rFonts w:ascii="Times New Roman" w:hAnsi="Times New Roman" w:eastAsia="仿宋_GB2312" w:cs="Times New Roman"/>
          <w:color w:val="auto"/>
          <w:kern w:val="0"/>
          <w:sz w:val="32"/>
          <w:szCs w:val="32"/>
        </w:rPr>
        <w:t>大力发展商业商务型、展会会议型、旅游度假型等星级酒店</w:t>
      </w:r>
      <w:r>
        <w:rPr>
          <w:rFonts w:hint="eastAsia" w:ascii="Times New Roman" w:hAnsi="Times New Roman" w:eastAsia="仿宋_GB2312" w:cs="Times New Roman"/>
          <w:color w:val="auto"/>
          <w:kern w:val="0"/>
          <w:sz w:val="32"/>
          <w:szCs w:val="32"/>
        </w:rPr>
        <w:t>，运用区位和消费市场优势，积极引进国内外知名高端品牌开设华南首店、广州首店</w:t>
      </w:r>
      <w:r>
        <w:rPr>
          <w:rFonts w:ascii="Times New Roman" w:hAnsi="Times New Roman" w:eastAsia="仿宋_GB2312" w:cs="Times New Roman"/>
          <w:color w:val="auto"/>
          <w:kern w:val="0"/>
          <w:sz w:val="32"/>
          <w:szCs w:val="32"/>
        </w:rPr>
        <w:t>。鼓励开展评星定级，支持不同行业、不同类型的酒店申请星级旅游酒店，鼓励已达到四、五星级标准的现有酒店积极申报星级评定</w:t>
      </w:r>
      <w:r>
        <w:rPr>
          <w:rFonts w:hint="eastAsia" w:ascii="Times New Roman" w:hAnsi="Times New Roman" w:eastAsia="仿宋_GB2312" w:cs="Times New Roman"/>
          <w:color w:val="auto"/>
          <w:kern w:val="0"/>
          <w:sz w:val="32"/>
          <w:szCs w:val="32"/>
        </w:rPr>
        <w:t>，大力推动高质量住宿企业入统</w:t>
      </w:r>
      <w:r>
        <w:rPr>
          <w:rFonts w:ascii="Times New Roman" w:hAnsi="Times New Roman" w:eastAsia="仿宋_GB2312" w:cs="Times New Roman"/>
          <w:color w:val="auto"/>
          <w:kern w:val="0"/>
          <w:sz w:val="32"/>
          <w:szCs w:val="32"/>
        </w:rPr>
        <w:t>。</w:t>
      </w:r>
      <w:r>
        <w:rPr>
          <w:rFonts w:ascii="Times New Roman" w:hAnsi="Times New Roman" w:eastAsia="仿宋_GB2312" w:cs="Times New Roman"/>
          <w:b/>
          <w:color w:val="auto"/>
          <w:kern w:val="0"/>
          <w:sz w:val="32"/>
          <w:szCs w:val="32"/>
        </w:rPr>
        <w:t>大力发展经济型酒店。</w:t>
      </w:r>
      <w:r>
        <w:rPr>
          <w:rFonts w:ascii="Times New Roman" w:hAnsi="Times New Roman" w:eastAsia="仿宋_GB2312" w:cs="Times New Roman"/>
          <w:color w:val="auto"/>
          <w:kern w:val="0"/>
          <w:sz w:val="32"/>
          <w:szCs w:val="32"/>
        </w:rPr>
        <w:t>按照存量转化和集约发展原则，加快品牌培育、引进，加强资源整合，促进经济型酒店品牌化、连锁化、集团化发展。支持知名品牌企业通过入股、引入管理等模式，围绕在建拟建大型房地产项目、城市商圈、城市综合体、旅游景区等投资、托管酒店，加快经济型酒店布局扩容。支持对现有酒店实施改扩建，提升酒店品质和服务功能，打造精品酒店、主题文化酒店。积极推动国有中小型住宿企业改制，鼓励和支持社会资本参与国有中小型住宿企业改革，实现投资主体多元化。</w:t>
      </w:r>
      <w:r>
        <w:rPr>
          <w:rFonts w:ascii="Times New Roman" w:hAnsi="Times New Roman" w:eastAsia="仿宋_GB2312" w:cs="Times New Roman"/>
          <w:b/>
          <w:color w:val="auto"/>
          <w:kern w:val="0"/>
          <w:sz w:val="32"/>
          <w:szCs w:val="32"/>
        </w:rPr>
        <w:t>实施精品民宿品牌培育工程。</w:t>
      </w:r>
      <w:r>
        <w:rPr>
          <w:rFonts w:ascii="Times New Roman" w:hAnsi="Times New Roman" w:eastAsia="仿宋_GB2312" w:cs="Times New Roman"/>
          <w:color w:val="auto"/>
          <w:kern w:val="0"/>
          <w:sz w:val="32"/>
          <w:szCs w:val="32"/>
        </w:rPr>
        <w:t>依托本地优势资源，培育一批有特色的民宿区域品牌。支持经营业户创新发展，突出单体民宿的个性化、主题化，培育打造一批知名高端民宿品牌。积极引进知名品牌企业参与全市民宿建设，培育民宿品牌，实现品牌化、连锁化、专业化发展。</w:t>
      </w:r>
    </w:p>
    <w:p>
      <w:pPr>
        <w:pStyle w:val="8"/>
        <w:keepNext/>
        <w:pageBreakBefore w:val="0"/>
        <w:kinsoku/>
        <w:wordWrap/>
        <w:overflowPunct/>
        <w:topLinePunct w:val="0"/>
        <w:autoSpaceDE/>
        <w:autoSpaceDN/>
        <w:bidi w:val="0"/>
        <w:adjustRightInd/>
        <w:snapToGrid/>
        <w:spacing w:beforeAutospacing="0" w:afterAutospacing="0" w:line="560" w:lineRule="exact"/>
        <w:ind w:right="0" w:rightChars="0"/>
        <w:rPr>
          <w:color w:val="auto"/>
        </w:rPr>
      </w:pPr>
      <w:r>
        <w:rPr>
          <w:color w:val="auto"/>
        </w:rPr>
        <w:t xml:space="preserve">表 </w:t>
      </w:r>
      <w:r>
        <w:rPr>
          <w:color w:val="auto"/>
        </w:rPr>
        <w:fldChar w:fldCharType="begin"/>
      </w:r>
      <w:r>
        <w:rPr>
          <w:color w:val="auto"/>
        </w:rPr>
        <w:instrText xml:space="preserve"> SEQ 表 \* ARABIC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“十四五”期间新建高端酒店情况</w:t>
      </w:r>
    </w:p>
    <w:tbl>
      <w:tblPr>
        <w:tblStyle w:val="26"/>
        <w:tblW w:w="53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酒店</w:t>
            </w:r>
            <w:r>
              <w:rPr>
                <w:rFonts w:ascii="Times New Roman" w:hAnsi="Times New Roman" w:eastAsia="仿宋_GB2312" w:cs="Times New Roman"/>
                <w:b/>
                <w:bCs/>
                <w:color w:val="auto"/>
                <w:kern w:val="0"/>
                <w:sz w:val="24"/>
              </w:rPr>
              <w:t>名称</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（拟）开业时间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美豪丽致酒店（广州东站店）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From</w:t>
            </w:r>
            <w:r>
              <w:rPr>
                <w:rFonts w:ascii="Times New Roman" w:hAnsi="Times New Roman" w:eastAsia="仿宋_GB2312" w:cs="Times New Roman"/>
                <w:color w:val="auto"/>
                <w:kern w:val="0"/>
                <w:sz w:val="24"/>
              </w:rPr>
              <w:t xml:space="preserve"> K</w:t>
            </w:r>
            <w:r>
              <w:rPr>
                <w:rFonts w:hint="eastAsia" w:ascii="Times New Roman" w:hAnsi="Times New Roman" w:eastAsia="仿宋_GB2312" w:cs="Times New Roman"/>
                <w:color w:val="auto"/>
                <w:kern w:val="0"/>
                <w:sz w:val="24"/>
              </w:rPr>
              <w:t>欢凯酒店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广州天河体育中心美居酒店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广州</w:t>
            </w:r>
            <w:r>
              <w:rPr>
                <w:rFonts w:ascii="Times New Roman" w:hAnsi="Times New Roman" w:eastAsia="仿宋_GB2312" w:cs="Times New Roman"/>
                <w:color w:val="auto"/>
                <w:kern w:val="0"/>
                <w:sz w:val="24"/>
              </w:rPr>
              <w:t>KIRINE琪林里酒店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广州嘉裕J</w:t>
            </w:r>
            <w:r>
              <w:rPr>
                <w:rFonts w:ascii="Times New Roman" w:hAnsi="Times New Roman" w:eastAsia="仿宋_GB2312" w:cs="Times New Roman"/>
                <w:color w:val="auto"/>
                <w:kern w:val="0"/>
                <w:sz w:val="24"/>
              </w:rPr>
              <w:t>W</w:t>
            </w:r>
            <w:r>
              <w:rPr>
                <w:rFonts w:hint="eastAsia" w:ascii="Times New Roman" w:hAnsi="Times New Roman" w:eastAsia="仿宋_GB2312" w:cs="Times New Roman"/>
                <w:color w:val="auto"/>
                <w:kern w:val="0"/>
                <w:sz w:val="24"/>
              </w:rPr>
              <w:t>万豪酒店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广州海心沙英迪格酒店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鹏瑞地产金融城地块拟建酒店</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7"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悦榕庄</w:t>
            </w:r>
          </w:p>
        </w:tc>
        <w:tc>
          <w:tcPr>
            <w:tcW w:w="1985"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2023</w:t>
            </w:r>
            <w:r>
              <w:rPr>
                <w:rFonts w:hint="eastAsia" w:ascii="Times New Roman" w:hAnsi="Times New Roman" w:eastAsia="仿宋_GB2312" w:cs="Times New Roman"/>
                <w:color w:val="auto"/>
                <w:kern w:val="0"/>
                <w:sz w:val="24"/>
              </w:rPr>
              <w:t>或</w:t>
            </w:r>
            <w:r>
              <w:rPr>
                <w:rFonts w:ascii="Times New Roman" w:hAnsi="Times New Roman" w:eastAsia="仿宋_GB2312" w:cs="Times New Roman"/>
                <w:color w:val="auto"/>
                <w:kern w:val="0"/>
                <w:sz w:val="24"/>
              </w:rPr>
              <w:t>2024</w:t>
            </w:r>
          </w:p>
        </w:tc>
      </w:tr>
    </w:tbl>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kern w:val="0"/>
          <w:sz w:val="32"/>
          <w:szCs w:val="32"/>
        </w:rPr>
        <w:t>加强餐饮首店引进和新品孵化</w:t>
      </w:r>
      <w:r>
        <w:rPr>
          <w:rFonts w:hint="eastAsia" w:ascii="Times New Roman" w:hAnsi="Times New Roman" w:eastAsia="仿宋_GB2312" w:cs="Times New Roman"/>
          <w:color w:val="auto"/>
          <w:kern w:val="0"/>
          <w:sz w:val="32"/>
          <w:szCs w:val="32"/>
        </w:rPr>
        <w:t>。依托国际消费中心城市建设，聚力培育和发展餐饮首店经济，大力引进知名、特色、网红餐饮品牌，提升消费供给丰富度，增强消费活力。结合天河区产业优势，</w:t>
      </w:r>
      <w:r>
        <w:rPr>
          <w:rFonts w:ascii="Times New Roman" w:hAnsi="Times New Roman" w:eastAsia="仿宋_GB2312" w:cs="Times New Roman"/>
          <w:color w:val="auto"/>
          <w:sz w:val="32"/>
          <w:szCs w:val="32"/>
        </w:rPr>
        <w:t>加</w:t>
      </w:r>
      <w:r>
        <w:rPr>
          <w:rFonts w:hint="eastAsia" w:ascii="Times New Roman" w:hAnsi="Times New Roman" w:eastAsia="仿宋_GB2312" w:cs="Times New Roman"/>
          <w:color w:val="auto"/>
          <w:sz w:val="32"/>
          <w:szCs w:val="32"/>
        </w:rPr>
        <w:t>强</w:t>
      </w:r>
      <w:r>
        <w:rPr>
          <w:rFonts w:ascii="Times New Roman" w:hAnsi="Times New Roman" w:eastAsia="仿宋_GB2312" w:cs="Times New Roman"/>
          <w:color w:val="auto"/>
          <w:sz w:val="32"/>
          <w:szCs w:val="32"/>
        </w:rPr>
        <w:t>内部裂变和创新</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kern w:val="0"/>
          <w:sz w:val="32"/>
          <w:szCs w:val="32"/>
        </w:rPr>
        <w:t>在区内建立新品研发中心、新品牌孵化中心，在茶饮、火锅、烧烤、中式正餐等领域</w:t>
      </w:r>
      <w:r>
        <w:rPr>
          <w:rFonts w:ascii="Times New Roman" w:hAnsi="Times New Roman" w:eastAsia="仿宋_GB2312" w:cs="Times New Roman"/>
          <w:color w:val="auto"/>
          <w:sz w:val="32"/>
          <w:szCs w:val="32"/>
        </w:rPr>
        <w:t>孵化一批新品牌</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鼓励社会资本与专业孵化机构联动，打造餐饮</w:t>
      </w:r>
      <w:r>
        <w:rPr>
          <w:rFonts w:hint="eastAsia" w:ascii="Times New Roman" w:hAnsi="Times New Roman" w:eastAsia="仿宋_GB2312" w:cs="Times New Roman"/>
          <w:color w:val="auto"/>
          <w:sz w:val="32"/>
          <w:szCs w:val="32"/>
        </w:rPr>
        <w:t>领域</w:t>
      </w:r>
      <w:r>
        <w:rPr>
          <w:rFonts w:ascii="Times New Roman" w:hAnsi="Times New Roman" w:eastAsia="仿宋_GB2312" w:cs="Times New Roman"/>
          <w:color w:val="auto"/>
          <w:sz w:val="32"/>
          <w:szCs w:val="32"/>
        </w:rPr>
        <w:t>创业孵化器，为创业者提供品类定位、单店模型、产品研发、渠道拓展、加盟连锁、供应链整合等一系列深度全程扶持孵化，</w:t>
      </w:r>
      <w:r>
        <w:rPr>
          <w:rFonts w:ascii="Times New Roman" w:hAnsi="Times New Roman" w:eastAsia="仿宋_GB2312" w:cs="Times New Roman"/>
          <w:color w:val="auto"/>
          <w:kern w:val="0"/>
          <w:sz w:val="32"/>
          <w:szCs w:val="32"/>
        </w:rPr>
        <w:t>加快孵化本土潜力品牌。</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2" w:name="_Toc16229"/>
      <w:r>
        <w:rPr>
          <w:rFonts w:ascii="Times New Roman" w:hAnsi="Times New Roman" w:cs="Times New Roman"/>
          <w:color w:val="auto"/>
        </w:rPr>
        <w:t>2、鼓励</w:t>
      </w:r>
      <w:r>
        <w:rPr>
          <w:rFonts w:hint="eastAsia" w:ascii="Times New Roman" w:hAnsi="Times New Roman" w:cs="Times New Roman"/>
          <w:color w:val="auto"/>
        </w:rPr>
        <w:t>拓展</w:t>
      </w:r>
      <w:r>
        <w:rPr>
          <w:rFonts w:ascii="Times New Roman" w:hAnsi="Times New Roman" w:cs="Times New Roman"/>
          <w:color w:val="auto"/>
        </w:rPr>
        <w:t>新模式新领域</w:t>
      </w:r>
      <w:bookmarkEnd w:id="42"/>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color w:val="auto"/>
          <w:kern w:val="0"/>
          <w:sz w:val="32"/>
          <w:szCs w:val="32"/>
        </w:rPr>
        <w:t>鼓励行业跨界融合发展。</w:t>
      </w:r>
      <w:r>
        <w:rPr>
          <w:rFonts w:ascii="Times New Roman" w:hAnsi="Times New Roman" w:eastAsia="仿宋_GB2312" w:cs="Times New Roman"/>
          <w:color w:val="auto"/>
          <w:kern w:val="0"/>
          <w:sz w:val="32"/>
          <w:szCs w:val="32"/>
        </w:rPr>
        <w:t>积极引育住餐业新模式新业态，促进住餐业与重点产业融合发展，推动住餐产业提质增效、转型升级。推进“住餐+文化”，</w:t>
      </w:r>
      <w:r>
        <w:rPr>
          <w:rFonts w:ascii="Times New Roman" w:hAnsi="Times New Roman" w:eastAsia="仿宋_GB2312" w:cs="Times New Roman"/>
          <w:color w:val="auto"/>
          <w:sz w:val="32"/>
          <w:szCs w:val="32"/>
        </w:rPr>
        <w:t>应用新理念、新技术、新设计进行改造提升，向场景化、体验式转型，推出亲子房、星空房等创意化房型，探索与广东博物馆、广州图书馆等联动，增加酒店文物、书籍、文创产品等文化元素；增强天河餐饮文化内涵，以</w:t>
      </w:r>
      <w:r>
        <w:rPr>
          <w:rFonts w:ascii="Times New Roman" w:hAnsi="Times New Roman" w:eastAsia="仿宋_GB2312" w:cs="Times New Roman"/>
          <w:color w:val="auto"/>
          <w:kern w:val="0"/>
          <w:sz w:val="32"/>
          <w:szCs w:val="32"/>
        </w:rPr>
        <w:t>广州建设世界美食之都为契机，大力支持餐饮企业增强门店和品牌文化内涵、科技体验，加大“名菜、名店、名人、名厨”培养和引进。推进“住餐+旅游”，与专业第三方旅游平台合作，围绕“小蛮腰”夜景、网红酒店和餐饮集聚区、</w:t>
      </w:r>
      <w:r>
        <w:rPr>
          <w:rFonts w:hint="eastAsia" w:ascii="Times New Roman" w:hAnsi="Times New Roman" w:eastAsia="仿宋_GB2312" w:cs="Times New Roman"/>
          <w:color w:val="auto"/>
          <w:kern w:val="0"/>
          <w:sz w:val="32"/>
          <w:szCs w:val="32"/>
        </w:rPr>
        <w:t>购物中心、</w:t>
      </w:r>
      <w:r>
        <w:rPr>
          <w:rFonts w:ascii="Times New Roman" w:hAnsi="Times New Roman" w:eastAsia="仿宋_GB2312" w:cs="Times New Roman"/>
          <w:color w:val="auto"/>
          <w:kern w:val="0"/>
          <w:sz w:val="32"/>
          <w:szCs w:val="32"/>
        </w:rPr>
        <w:t>医美集聚等核心要素，分</w:t>
      </w:r>
      <w:r>
        <w:rPr>
          <w:rFonts w:hint="eastAsia" w:ascii="Times New Roman" w:hAnsi="Times New Roman" w:eastAsia="仿宋_GB2312" w:cs="Times New Roman"/>
          <w:color w:val="auto"/>
          <w:kern w:val="0"/>
          <w:sz w:val="32"/>
          <w:szCs w:val="32"/>
        </w:rPr>
        <w:t>主题</w:t>
      </w:r>
      <w:r>
        <w:rPr>
          <w:rFonts w:ascii="Times New Roman" w:hAnsi="Times New Roman" w:eastAsia="仿宋_GB2312" w:cs="Times New Roman"/>
          <w:color w:val="auto"/>
          <w:kern w:val="0"/>
          <w:sz w:val="32"/>
          <w:szCs w:val="32"/>
        </w:rPr>
        <w:t>打造</w:t>
      </w:r>
      <w:r>
        <w:rPr>
          <w:rFonts w:hint="eastAsia" w:ascii="Times New Roman" w:hAnsi="Times New Roman" w:eastAsia="仿宋_GB2312" w:cs="Times New Roman"/>
          <w:color w:val="auto"/>
          <w:kern w:val="0"/>
          <w:sz w:val="32"/>
          <w:szCs w:val="32"/>
        </w:rPr>
        <w:t>一批</w:t>
      </w:r>
      <w:r>
        <w:rPr>
          <w:rFonts w:ascii="Times New Roman" w:hAnsi="Times New Roman" w:eastAsia="仿宋_GB2312" w:cs="Times New Roman"/>
          <w:color w:val="auto"/>
          <w:kern w:val="0"/>
          <w:sz w:val="32"/>
          <w:szCs w:val="32"/>
        </w:rPr>
        <w:t>住餐一体化精品旅游线路。</w:t>
      </w:r>
      <w:r>
        <w:rPr>
          <w:rFonts w:hint="eastAsia" w:eastAsia="仿宋_GB2312"/>
          <w:color w:val="auto"/>
          <w:kern w:val="0"/>
          <w:sz w:val="32"/>
          <w:szCs w:val="32"/>
        </w:rPr>
        <w:t>推进“住餐+商务”，积极承接广交会等大型会议、广州市商务往来等中高端住宿餐饮需求，</w:t>
      </w:r>
      <w:r>
        <w:rPr>
          <w:rFonts w:eastAsia="仿宋_GB2312"/>
          <w:color w:val="auto"/>
          <w:kern w:val="0"/>
          <w:sz w:val="32"/>
          <w:szCs w:val="32"/>
        </w:rPr>
        <w:t>引导“客商流”转化为“消费流”</w:t>
      </w:r>
      <w:r>
        <w:rPr>
          <w:rFonts w:hint="eastAsia" w:eastAsia="仿宋_GB2312"/>
          <w:color w:val="auto"/>
          <w:kern w:val="0"/>
          <w:sz w:val="32"/>
          <w:szCs w:val="32"/>
        </w:rPr>
        <w:t>。</w:t>
      </w:r>
      <w:r>
        <w:rPr>
          <w:rFonts w:hint="eastAsia" w:ascii="Times New Roman" w:hAnsi="Times New Roman" w:eastAsia="仿宋_GB2312" w:cs="Times New Roman"/>
          <w:color w:val="auto"/>
          <w:kern w:val="0"/>
          <w:sz w:val="32"/>
          <w:szCs w:val="32"/>
        </w:rPr>
        <w:t>积极拓展研学旅行、康养旅游、体育及户外运动旅游、科技</w:t>
      </w:r>
      <w:r>
        <w:rPr>
          <w:rFonts w:ascii="Times New Roman" w:hAnsi="Times New Roman" w:eastAsia="仿宋_GB2312" w:cs="Times New Roman"/>
          <w:color w:val="auto"/>
          <w:kern w:val="0"/>
          <w:sz w:val="32"/>
          <w:szCs w:val="32"/>
        </w:rPr>
        <w:t>+旅游等市场</w:t>
      </w:r>
      <w:r>
        <w:rPr>
          <w:rFonts w:hint="eastAsia" w:ascii="Times New Roman" w:hAnsi="Times New Roman" w:eastAsia="仿宋_GB2312" w:cs="Times New Roman"/>
          <w:color w:val="auto"/>
          <w:kern w:val="0"/>
          <w:sz w:val="32"/>
          <w:szCs w:val="32"/>
        </w:rPr>
        <w:t>，抢占住餐业发展新机遇</w:t>
      </w:r>
      <w:r>
        <w:rPr>
          <w:rFonts w:ascii="Times New Roman" w:hAnsi="Times New Roman" w:eastAsia="仿宋_GB2312" w:cs="Times New Roman"/>
          <w:color w:val="auto"/>
          <w:kern w:val="0"/>
          <w:sz w:val="32"/>
          <w:szCs w:val="32"/>
        </w:rPr>
        <w:t>。</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专栏4 天河</w:t>
            </w:r>
            <w:r>
              <w:rPr>
                <w:rFonts w:hint="eastAsia" w:ascii="Times New Roman" w:hAnsi="Times New Roman" w:eastAsia="仿宋_GB2312" w:cs="Times New Roman"/>
                <w:b/>
                <w:bCs/>
                <w:color w:val="auto"/>
                <w:kern w:val="0"/>
                <w:sz w:val="24"/>
              </w:rPr>
              <w:t>区住宿餐饮业精品主题线路建议</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hint="eastAsia" w:ascii="Times New Roman" w:hAnsi="Times New Roman" w:eastAsia="仿宋_GB2312" w:cs="Times New Roman"/>
                <w:b/>
                <w:bCs/>
                <w:color w:val="auto"/>
                <w:kern w:val="0"/>
                <w:sz w:val="24"/>
              </w:rPr>
              <w:t>购物+美食</w:t>
            </w:r>
            <w:r>
              <w:rPr>
                <w:rFonts w:ascii="Times New Roman" w:hAnsi="Times New Roman" w:eastAsia="仿宋_GB2312" w:cs="Times New Roman"/>
                <w:color w:val="auto"/>
                <w:kern w:val="0"/>
                <w:sz w:val="24"/>
              </w:rPr>
              <w:t>：</w:t>
            </w:r>
            <w:r>
              <w:rPr>
                <w:rFonts w:hint="eastAsia" w:ascii="Times New Roman" w:hAnsi="Times New Roman" w:eastAsia="仿宋_GB2312" w:cs="Times New Roman"/>
                <w:color w:val="auto"/>
                <w:kern w:val="0"/>
                <w:sz w:val="24"/>
              </w:rPr>
              <w:t>把握我区高端酒店与购物中心融合发展特征，依托正佳广场、天河城、太古汇、K</w:t>
            </w:r>
            <w:r>
              <w:rPr>
                <w:rFonts w:ascii="Times New Roman" w:hAnsi="Times New Roman" w:eastAsia="仿宋_GB2312" w:cs="Times New Roman"/>
                <w:color w:val="auto"/>
                <w:kern w:val="0"/>
                <w:sz w:val="24"/>
              </w:rPr>
              <w:t>11</w:t>
            </w:r>
            <w:r>
              <w:rPr>
                <w:rFonts w:hint="eastAsia" w:ascii="Times New Roman" w:hAnsi="Times New Roman" w:eastAsia="仿宋_GB2312" w:cs="Times New Roman"/>
                <w:color w:val="auto"/>
                <w:kern w:val="0"/>
                <w:sz w:val="24"/>
              </w:rPr>
              <w:t>、国金中心、天汇广场、天德广场等大型商业综合体，推动万豪、喜来登、文华东方、瑰丽、四季、康莱德、雅致等高端酒店结合自身高档餐厅，推出集购物、美食、地标美景为主题的专题线路</w:t>
            </w:r>
            <w:r>
              <w:rPr>
                <w:rFonts w:ascii="Times New Roman" w:hAnsi="Times New Roman" w:eastAsia="仿宋_GB2312" w:cs="Times New Roman"/>
                <w:color w:val="auto"/>
                <w:kern w:val="0"/>
                <w:sz w:val="24"/>
              </w:rPr>
              <w:t>。</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hint="eastAsia" w:ascii="Times New Roman" w:hAnsi="Times New Roman" w:eastAsia="仿宋_GB2312" w:cs="Times New Roman"/>
                <w:b/>
                <w:bCs/>
                <w:color w:val="auto"/>
                <w:kern w:val="0"/>
                <w:sz w:val="24"/>
              </w:rPr>
              <w:t>旅游</w:t>
            </w:r>
            <w:r>
              <w:rPr>
                <w:rFonts w:ascii="Times New Roman" w:hAnsi="Times New Roman" w:eastAsia="仿宋_GB2312" w:cs="Times New Roman"/>
                <w:color w:val="auto"/>
                <w:kern w:val="0"/>
                <w:sz w:val="24"/>
              </w:rPr>
              <w:t>：</w:t>
            </w:r>
            <w:r>
              <w:rPr>
                <w:rFonts w:hint="eastAsia" w:ascii="Times New Roman" w:hAnsi="Times New Roman" w:eastAsia="仿宋_GB2312" w:cs="Times New Roman"/>
                <w:color w:val="auto"/>
                <w:kern w:val="0"/>
                <w:sz w:val="24"/>
              </w:rPr>
              <w:t>利用广东省博物馆、广州大剧院、广州粤剧院、广州图书馆、海心沙、花城广场、红线女艺术中心等文化旅游资源，以及广州马拉松、中超</w:t>
            </w:r>
            <w:r>
              <w:rPr>
                <w:rFonts w:ascii="Times New Roman" w:hAnsi="Times New Roman" w:eastAsia="仿宋_GB2312" w:cs="Times New Roman"/>
                <w:color w:val="auto"/>
                <w:kern w:val="0"/>
                <w:sz w:val="24"/>
              </w:rPr>
              <w:t>/亚冠足球赛、世界羽毛球巡回赛总决赛、广州国际女子网球公开赛</w:t>
            </w:r>
            <w:r>
              <w:rPr>
                <w:rFonts w:hint="eastAsia" w:ascii="Times New Roman" w:hAnsi="Times New Roman" w:eastAsia="仿宋_GB2312" w:cs="Times New Roman"/>
                <w:color w:val="auto"/>
                <w:kern w:val="0"/>
                <w:sz w:val="24"/>
              </w:rPr>
              <w:t>、中国男子篮球职业联赛、世界斯诺克中国锦标赛等大型体育赛事，推出“文旅+赛事”主题路线</w:t>
            </w:r>
            <w:r>
              <w:rPr>
                <w:rFonts w:ascii="Times New Roman" w:hAnsi="Times New Roman" w:eastAsia="仿宋_GB2312" w:cs="Times New Roman"/>
                <w:color w:val="auto"/>
                <w:kern w:val="0"/>
                <w:sz w:val="24"/>
              </w:rPr>
              <w:t>。</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hint="eastAsia" w:ascii="Times New Roman" w:hAnsi="Times New Roman" w:eastAsia="仿宋_GB2312" w:cs="Times New Roman"/>
                <w:b/>
                <w:bCs/>
                <w:color w:val="auto"/>
                <w:kern w:val="0"/>
                <w:sz w:val="24"/>
              </w:rPr>
              <w:t>医美</w:t>
            </w:r>
            <w:r>
              <w:rPr>
                <w:rFonts w:ascii="Times New Roman" w:hAnsi="Times New Roman" w:eastAsia="仿宋_GB2312" w:cs="Times New Roman"/>
                <w:color w:val="auto"/>
                <w:kern w:val="0"/>
                <w:sz w:val="24"/>
              </w:rPr>
              <w:t>：</w:t>
            </w:r>
            <w:r>
              <w:rPr>
                <w:rFonts w:hint="eastAsia" w:ascii="Times New Roman" w:hAnsi="Times New Roman" w:eastAsia="仿宋_GB2312" w:cs="Times New Roman"/>
                <w:color w:val="auto"/>
                <w:kern w:val="0"/>
                <w:sz w:val="24"/>
              </w:rPr>
              <w:t>立足珠江新城片区医美机构集聚优势，着力打造医美特色街区，推出美丽经济主题路线，联动购物、住宿、餐饮、旅游等业态，实现融合互促发展</w:t>
            </w:r>
            <w:r>
              <w:rPr>
                <w:rFonts w:ascii="Times New Roman" w:hAnsi="Times New Roman" w:eastAsia="仿宋_GB2312" w:cs="Times New Roman"/>
                <w:color w:val="auto"/>
                <w:kern w:val="0"/>
                <w:sz w:val="24"/>
              </w:rPr>
              <w:t>。</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hint="eastAsia" w:ascii="Times New Roman" w:hAnsi="Times New Roman" w:eastAsia="仿宋_GB2312" w:cs="Times New Roman"/>
                <w:b/>
                <w:bCs/>
                <w:color w:val="auto"/>
                <w:kern w:val="0"/>
                <w:sz w:val="24"/>
              </w:rPr>
              <w:t>研学</w:t>
            </w:r>
            <w:r>
              <w:rPr>
                <w:rFonts w:hint="eastAsia" w:ascii="Times New Roman" w:hAnsi="Times New Roman" w:eastAsia="仿宋_GB2312" w:cs="Times New Roman"/>
                <w:color w:val="auto"/>
                <w:kern w:val="0"/>
                <w:sz w:val="24"/>
              </w:rPr>
              <w:t>：利用我区高校、科研机构、科技企业集聚，以及华南国家植物园、广东省博物馆、广州粤剧院、广州图书馆等重要资源集中优势，大力拓展面向青少年的研学旅行市场，推出研学旅行主题线路。</w:t>
            </w:r>
          </w:p>
        </w:tc>
      </w:tr>
    </w:tbl>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b/>
          <w:bCs/>
          <w:color w:val="auto"/>
          <w:kern w:val="0"/>
          <w:sz w:val="32"/>
          <w:szCs w:val="32"/>
        </w:rPr>
        <w:t>支持拓宽业态内涵</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推动住宿主体运营创新，从最核心的住宿及过夜市场延伸到休闲、娱乐、社交等领域，培育一批</w:t>
      </w:r>
      <w:bookmarkStart w:id="43" w:name="_Hlk117633496"/>
      <w:r>
        <w:rPr>
          <w:rFonts w:ascii="Times New Roman" w:hAnsi="Times New Roman" w:eastAsia="仿宋_GB2312" w:cs="Times New Roman"/>
          <w:color w:val="auto"/>
          <w:kern w:val="0"/>
          <w:sz w:val="32"/>
          <w:szCs w:val="32"/>
        </w:rPr>
        <w:t>电竞酒店、电影酒店、健身酒店、剧本杀酒店</w:t>
      </w:r>
      <w:bookmarkEnd w:id="43"/>
      <w:r>
        <w:rPr>
          <w:rFonts w:ascii="Times New Roman" w:hAnsi="Times New Roman" w:eastAsia="仿宋_GB2312" w:cs="Times New Roman"/>
          <w:color w:val="auto"/>
          <w:kern w:val="0"/>
          <w:sz w:val="32"/>
          <w:szCs w:val="32"/>
        </w:rPr>
        <w:t>等非标准住宿业多元化新业态。紧抓直播风口，加强酒店宾馆宣传的广度和深度，提升住宿业主体的声量和曝光率，积极种草，打造一批住宿业“网红店”。</w:t>
      </w:r>
      <w:r>
        <w:rPr>
          <w:rFonts w:hint="eastAsia" w:ascii="Times New Roman" w:hAnsi="Times New Roman" w:eastAsia="仿宋_GB2312" w:cs="Times New Roman"/>
          <w:color w:val="auto"/>
          <w:kern w:val="0"/>
          <w:sz w:val="32"/>
          <w:szCs w:val="32"/>
        </w:rPr>
        <w:t>聚焦无界餐饮，鼓励打破产品品类和业态界限，推出“火锅</w:t>
      </w:r>
      <w:r>
        <w:rPr>
          <w:rFonts w:ascii="Times New Roman" w:hAnsi="Times New Roman" w:eastAsia="仿宋_GB2312" w:cs="Times New Roman"/>
          <w:color w:val="auto"/>
          <w:kern w:val="0"/>
          <w:sz w:val="32"/>
          <w:szCs w:val="32"/>
        </w:rPr>
        <w:t>+奶茶” “吃饭+亲子乐园” “堂食+自营外卖+第三方平台外卖+零售”</w:t>
      </w:r>
      <w:r>
        <w:rPr>
          <w:rFonts w:hint="eastAsia" w:ascii="Times New Roman" w:hAnsi="Times New Roman" w:eastAsia="仿宋_GB2312" w:cs="Times New Roman"/>
          <w:color w:val="auto"/>
          <w:kern w:val="0"/>
          <w:sz w:val="32"/>
          <w:szCs w:val="32"/>
        </w:rPr>
        <w:t>等混搭产品和场景；抓住餐饮零售化趋势，支持餐饮品牌建立以品牌为</w:t>
      </w:r>
      <w:r>
        <w:rPr>
          <w:rFonts w:ascii="Times New Roman" w:hAnsi="Times New Roman" w:eastAsia="仿宋_GB2312" w:cs="Times New Roman"/>
          <w:color w:val="auto"/>
          <w:kern w:val="0"/>
          <w:sz w:val="32"/>
          <w:szCs w:val="32"/>
        </w:rPr>
        <w:t>IP的销售门店</w:t>
      </w:r>
      <w:r>
        <w:rPr>
          <w:rFonts w:hint="eastAsia" w:ascii="Times New Roman" w:hAnsi="Times New Roman" w:eastAsia="仿宋_GB2312" w:cs="Times New Roman"/>
          <w:color w:val="auto"/>
          <w:kern w:val="0"/>
          <w:sz w:val="32"/>
          <w:szCs w:val="32"/>
        </w:rPr>
        <w:t>，销售</w:t>
      </w:r>
      <w:r>
        <w:rPr>
          <w:rFonts w:ascii="Times New Roman" w:hAnsi="Times New Roman" w:eastAsia="仿宋_GB2312" w:cs="Times New Roman"/>
          <w:color w:val="auto"/>
          <w:kern w:val="0"/>
          <w:sz w:val="32"/>
          <w:szCs w:val="32"/>
        </w:rPr>
        <w:t>预包装产品、半成品等</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结合行业发展新趋势，引导住宿餐饮企业开展开发适应绿色经济、亲子经济、一人经济、银发经济、颜值经济、社交经济等特色住宿餐饮产品。</w:t>
      </w:r>
    </w:p>
    <w:p>
      <w:pPr>
        <w:pStyle w:val="20"/>
        <w:pageBreakBefore w:val="0"/>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探索切入发展预制菜领域。</w:t>
      </w:r>
      <w:r>
        <w:rPr>
          <w:rFonts w:ascii="Times New Roman" w:hAnsi="Times New Roman" w:eastAsia="仿宋_GB2312" w:cs="Times New Roman"/>
          <w:color w:val="auto"/>
          <w:sz w:val="32"/>
          <w:szCs w:val="32"/>
        </w:rPr>
        <w:t>依托区内华南农大、省农科院、华南植物园等科研院所，探索建设预制菜联合研发平台，构建预制菜质量安全监管规范体系，招引和培育一批预制菜产品研发、除菌、冷链等关键技术的卡位企业，打造预制菜研学高地。鼓励九毛九、摩打餐饮等龙头餐饮企业，内部孵化组建独立部门，加强明星菜品的预制化发展。鼓励各大载体、超市、餐饮门店等开设预制菜专区，加强预制菜体验、展示、销售。充分利用中心城区需求优势，支持在老旧低效楼宇、住宅集中区等地新建小型终端配送冷链仓库。</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4" w:name="_Toc5152"/>
      <w:r>
        <w:rPr>
          <w:rFonts w:ascii="Times New Roman" w:hAnsi="Times New Roman" w:cs="Times New Roman"/>
          <w:color w:val="auto"/>
        </w:rPr>
        <w:t>4、有力推动产业集聚发展</w:t>
      </w:r>
      <w:bookmarkEnd w:id="44"/>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eastAsia="仿宋_GB2312"/>
          <w:color w:val="auto"/>
          <w:sz w:val="32"/>
          <w:szCs w:val="32"/>
        </w:rPr>
      </w:pPr>
      <w:bookmarkStart w:id="45" w:name="_Hlk117633417"/>
      <w:r>
        <w:rPr>
          <w:rFonts w:ascii="Times New Roman" w:hAnsi="Times New Roman" w:eastAsia="仿宋_GB2312" w:cs="Times New Roman"/>
          <w:b/>
          <w:bCs/>
          <w:color w:val="auto"/>
          <w:sz w:val="32"/>
          <w:szCs w:val="32"/>
        </w:rPr>
        <w:t>打造广州市高端住餐集聚区</w:t>
      </w:r>
      <w:bookmarkEnd w:id="45"/>
      <w:r>
        <w:rPr>
          <w:rFonts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用好区位优势，发展名店、培育名厨、推出名品、打造名节，依托思卡尔顿、四季、瑰丽等存量高端酒店和御宝轩、丽轩、宋、悦景轩等米其林星级或黑珍珠钻级餐厅，在珠江新城打造高端住餐集聚区；大力推动英迪格酒店华南首店落地运营，打造海心沙高端住餐业新标杆；积极在金融城片区引进国内外高端酒店品牌，进一步推动高端酒店集聚发展。</w:t>
      </w:r>
      <w:r>
        <w:rPr>
          <w:rFonts w:ascii="Times New Roman" w:hAnsi="Times New Roman" w:eastAsia="仿宋_GB2312" w:cs="Times New Roman"/>
          <w:b/>
          <w:bCs/>
          <w:color w:val="auto"/>
          <w:sz w:val="32"/>
          <w:szCs w:val="32"/>
        </w:rPr>
        <w:t>打造“美食后街”。</w:t>
      </w:r>
      <w:r>
        <w:rPr>
          <w:rFonts w:ascii="Times New Roman" w:hAnsi="Times New Roman" w:eastAsia="仿宋_GB2312" w:cs="Times New Roman"/>
          <w:color w:val="auto"/>
          <w:sz w:val="32"/>
          <w:szCs w:val="32"/>
        </w:rPr>
        <w:t>依托天河南一路、天河南二路、体育西横街等具有良好餐饮业发展基础的后街，打造</w:t>
      </w:r>
      <w:r>
        <w:rPr>
          <w:rFonts w:hint="eastAsia" w:ascii="Times New Roman" w:hAnsi="Times New Roman" w:eastAsia="仿宋_GB2312" w:cs="Times New Roman"/>
          <w:color w:val="auto"/>
          <w:sz w:val="32"/>
          <w:szCs w:val="32"/>
        </w:rPr>
        <w:t>美食街区；</w:t>
      </w:r>
      <w:r>
        <w:rPr>
          <w:rFonts w:ascii="Times New Roman" w:hAnsi="Times New Roman" w:eastAsia="仿宋_GB2312" w:cs="Times New Roman"/>
          <w:color w:val="auto"/>
          <w:sz w:val="32"/>
          <w:szCs w:val="32"/>
        </w:rPr>
        <w:t>依托六运小区现有咖啡店、茶馆、西餐店等轻餐饮网红店，打造“网红</w:t>
      </w:r>
      <w:r>
        <w:rPr>
          <w:rFonts w:hint="eastAsia" w:ascii="Times New Roman" w:hAnsi="Times New Roman" w:eastAsia="仿宋_GB2312" w:cs="Times New Roman"/>
          <w:color w:val="auto"/>
          <w:sz w:val="32"/>
          <w:szCs w:val="32"/>
        </w:rPr>
        <w:t>美食</w:t>
      </w:r>
      <w:r>
        <w:rPr>
          <w:rFonts w:ascii="Times New Roman" w:hAnsi="Times New Roman" w:eastAsia="仿宋_GB2312" w:cs="Times New Roman"/>
          <w:color w:val="auto"/>
          <w:sz w:val="32"/>
          <w:szCs w:val="32"/>
        </w:rPr>
        <w:t>街区”。</w:t>
      </w:r>
      <w:r>
        <w:rPr>
          <w:rFonts w:ascii="Times New Roman" w:hAnsi="Times New Roman" w:eastAsia="仿宋_GB2312" w:cs="Times New Roman"/>
          <w:color w:val="auto"/>
          <w:kern w:val="0"/>
          <w:sz w:val="32"/>
          <w:szCs w:val="32"/>
        </w:rPr>
        <w:t>适时举办专项、专题及综合性美食节，讲好广州美食故事，打造“食在广州”美食情怀</w:t>
      </w:r>
      <w:r>
        <w:rPr>
          <w:rFonts w:hint="eastAsia" w:ascii="Times New Roman" w:hAnsi="Times New Roman" w:eastAsia="仿宋_GB2312" w:cs="Times New Roman"/>
          <w:color w:val="auto"/>
          <w:kern w:val="0"/>
          <w:sz w:val="32"/>
          <w:szCs w:val="32"/>
        </w:rPr>
        <w:t>，</w:t>
      </w:r>
      <w:r>
        <w:rPr>
          <w:rFonts w:hint="eastAsia" w:eastAsia="仿宋_GB2312"/>
          <w:color w:val="auto"/>
          <w:sz w:val="32"/>
          <w:szCs w:val="32"/>
        </w:rPr>
        <w:t>依托国际美食节，立足本辖区内各商圈美食街区资源，通过天河分会场活动，鼓励辖内商圈、餐饮企业分季节开展餐饮促消费活动，发放消费券，助力美食街区升级发展，进一步打造“食尚天河”文化名片。</w:t>
      </w:r>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32"/>
        </w:rPr>
      </w:pP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w:t>
            </w:r>
            <w:bookmarkStart w:id="46" w:name="_Hlk117634290"/>
            <w:r>
              <w:rPr>
                <w:rFonts w:ascii="Times New Roman" w:hAnsi="Times New Roman" w:eastAsia="仿宋_GB2312" w:cs="Times New Roman"/>
                <w:b/>
                <w:bCs/>
                <w:color w:val="auto"/>
                <w:kern w:val="0"/>
                <w:sz w:val="24"/>
              </w:rPr>
              <w:t>5天河住餐集聚区</w:t>
            </w:r>
            <w:bookmarkEnd w:id="46"/>
            <w:r>
              <w:rPr>
                <w:rFonts w:ascii="Times New Roman" w:hAnsi="Times New Roman" w:eastAsia="仿宋_GB2312" w:cs="Times New Roman"/>
                <w:b/>
                <w:bCs/>
                <w:color w:val="auto"/>
                <w:kern w:val="0"/>
                <w:sz w:val="24"/>
              </w:rPr>
              <w:t>打造重点</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bookmarkStart w:id="47" w:name="_Hlk117634257"/>
            <w:r>
              <w:rPr>
                <w:rFonts w:ascii="Times New Roman" w:hAnsi="Times New Roman" w:eastAsia="仿宋_GB2312" w:cs="Times New Roman"/>
                <w:b/>
                <w:bCs/>
                <w:color w:val="auto"/>
                <w:kern w:val="0"/>
                <w:sz w:val="24"/>
              </w:rPr>
              <w:t>珠江新城高端集聚区：</w:t>
            </w:r>
            <w:r>
              <w:rPr>
                <w:rFonts w:ascii="Times New Roman" w:hAnsi="Times New Roman" w:eastAsia="仿宋_GB2312" w:cs="Times New Roman"/>
                <w:color w:val="auto"/>
                <w:kern w:val="0"/>
                <w:sz w:val="24"/>
              </w:rPr>
              <w:t>建设一批与广州“国际消费中心城市”地位匹配的顶级住餐地标，积极引进国际高端酒店和权威美食评级机构，支持米其林、La liste等国际美食指南进驻，依托思卡尔顿、四季、瑰丽等存量高端酒店和御宝轩、丽轩、宋、悦景轩等米其林星级或黑珍珠钻级餐厅，在珠江新城打造高端住餐集聚区。</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天河南路“美食后街”：</w:t>
            </w:r>
            <w:r>
              <w:rPr>
                <w:rFonts w:ascii="Times New Roman" w:hAnsi="Times New Roman" w:eastAsia="仿宋_GB2312" w:cs="Times New Roman"/>
                <w:color w:val="auto"/>
                <w:kern w:val="0"/>
                <w:sz w:val="24"/>
              </w:rPr>
              <w:t>依托天河南一路、天河南二路、体育西横街等具有良好餐饮业发展基础的后街，通过“美食后街”品牌建设，打造美食文化示范街、食品安全示范街，为广州市打造世界美食之都提供有力支撑。</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六运小区“网红街区”</w:t>
            </w:r>
            <w:bookmarkEnd w:id="47"/>
            <w:r>
              <w:rPr>
                <w:rFonts w:ascii="Times New Roman" w:hAnsi="Times New Roman" w:eastAsia="仿宋_GB2312" w:cs="Times New Roman"/>
                <w:b/>
                <w:bCs/>
                <w:color w:val="auto"/>
                <w:kern w:val="0"/>
                <w:sz w:val="24"/>
              </w:rPr>
              <w:t>：</w:t>
            </w:r>
            <w:r>
              <w:rPr>
                <w:rFonts w:ascii="Times New Roman" w:hAnsi="Times New Roman" w:eastAsia="仿宋_GB2312" w:cs="Times New Roman"/>
                <w:color w:val="auto"/>
                <w:kern w:val="0"/>
                <w:sz w:val="24"/>
              </w:rPr>
              <w:t>依托六运小区现有咖啡店、茶馆、西餐店类网红店，出台商业业态引导、运营管理的指导性政策，聘请专业的物业管理公司，提升商业管理工作和氛围，发展创意零售、书店、特色咖啡厅、艺术摄影等轻餐饮和文化创意休闲业态，打造“网红街区”。</w:t>
            </w:r>
          </w:p>
        </w:tc>
      </w:tr>
    </w:tbl>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8" w:name="_Toc27103"/>
      <w:r>
        <w:rPr>
          <w:rFonts w:ascii="Times New Roman" w:hAnsi="Times New Roman" w:cs="Times New Roman"/>
          <w:color w:val="auto"/>
        </w:rPr>
        <w:t>（四）抓住消费升级趋势，着力培育新增长动能</w:t>
      </w:r>
      <w:bookmarkEnd w:id="48"/>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49" w:name="_Toc24191"/>
      <w:r>
        <w:rPr>
          <w:rFonts w:ascii="Times New Roman" w:hAnsi="Times New Roman" w:cs="Times New Roman"/>
          <w:color w:val="auto"/>
        </w:rPr>
        <w:t>1、</w:t>
      </w:r>
      <w:r>
        <w:rPr>
          <w:rFonts w:ascii="Times New Roman" w:hAnsi="Times New Roman" w:cs="Times New Roman"/>
          <w:color w:val="auto"/>
          <w:kern w:val="0"/>
        </w:rPr>
        <w:t>构建湾区汽车展示销售推广高地</w:t>
      </w:r>
      <w:bookmarkEnd w:id="49"/>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加强汽车产品展示推广</w:t>
      </w:r>
      <w:r>
        <w:rPr>
          <w:rFonts w:ascii="Times New Roman" w:hAnsi="Times New Roman" w:eastAsia="仿宋_GB2312" w:cs="Times New Roman"/>
          <w:color w:val="auto"/>
          <w:kern w:val="0"/>
          <w:sz w:val="32"/>
          <w:szCs w:val="32"/>
        </w:rPr>
        <w:t>。鼓励正佳广场、太古汇、天环广场、高德置地、美林天地等商业载体积极引进新能源及高端汽车品牌，设置临时展示位或常驻体验店；借助</w:t>
      </w:r>
      <w:r>
        <w:rPr>
          <w:rFonts w:ascii="Times New Roman" w:hAnsi="Times New Roman" w:eastAsia="仿宋_GB2312" w:cs="Times New Roman"/>
          <w:color w:val="auto"/>
          <w:sz w:val="32"/>
          <w:szCs w:val="32"/>
        </w:rPr>
        <w:t>城市中轴，</w:t>
      </w:r>
      <w:r>
        <w:rPr>
          <w:rFonts w:ascii="Times New Roman" w:hAnsi="Times New Roman" w:eastAsia="仿宋_GB2312" w:cs="Times New Roman"/>
          <w:color w:val="auto"/>
          <w:kern w:val="0"/>
          <w:sz w:val="32"/>
          <w:szCs w:val="32"/>
        </w:rPr>
        <w:t>在海心沙、花城汇选址打造临时性汽车展示中心，联动广州车展等，举办时尚、高端车型首发活动；支持在珠江新城、天河路等商圈在户外人流密集区设置多车辆、多品牌大型商业展出，并加强展出与游戏、潮玩、美妆等结合，加强汽车文化、艺术文化、潮流文化、餐饮文化、娱乐文化相互渗透，创造多元体验场景，提升汽车品牌与商圈人气；积极推动区内充换电桩、加氢站、新能源汽车专用车位等设施建设，加快构建绿色交通基础设施网络。</w:t>
      </w:r>
      <w:r>
        <w:rPr>
          <w:rFonts w:ascii="Times New Roman" w:hAnsi="Times New Roman" w:eastAsia="仿宋_GB2312" w:cs="Times New Roman"/>
          <w:b/>
          <w:bCs/>
          <w:color w:val="auto"/>
          <w:kern w:val="0"/>
          <w:sz w:val="32"/>
          <w:szCs w:val="32"/>
        </w:rPr>
        <w:t>推动汽车销售商家与相关主体联动。</w:t>
      </w:r>
      <w:r>
        <w:rPr>
          <w:rFonts w:ascii="Times New Roman" w:hAnsi="Times New Roman" w:eastAsia="仿宋_GB2312" w:cs="Times New Roman"/>
          <w:color w:val="auto"/>
          <w:kern w:val="0"/>
          <w:sz w:val="32"/>
          <w:szCs w:val="32"/>
        </w:rPr>
        <w:t>支持汽车销售企业与商圈、商业载体、大型企业等主体联动，共同举办近距离试驾、飞盘、露营、亲子、足球等活动，建立联络沟通机制，定期推广优秀活动合作案例。</w:t>
      </w:r>
      <w:r>
        <w:rPr>
          <w:rFonts w:ascii="Times New Roman" w:hAnsi="Times New Roman" w:eastAsia="仿宋_GB2312" w:cs="Times New Roman"/>
          <w:b/>
          <w:bCs/>
          <w:color w:val="auto"/>
          <w:kern w:val="0"/>
          <w:sz w:val="32"/>
          <w:szCs w:val="32"/>
        </w:rPr>
        <w:t>推动汽车销售集聚发展</w:t>
      </w:r>
      <w:r>
        <w:rPr>
          <w:rFonts w:ascii="Times New Roman" w:hAnsi="Times New Roman" w:eastAsia="仿宋_GB2312" w:cs="Times New Roman"/>
          <w:color w:val="auto"/>
          <w:kern w:val="0"/>
          <w:sz w:val="32"/>
          <w:szCs w:val="32"/>
        </w:rPr>
        <w:t>。抓住广东省建设县域汽车综合卖场机遇，在高德置地打造微型汽车集聚地；探索在奥体中心周边及优托邦打造新能源汽车集中展示、服务区，搭建汽车社群，创建汽车媒体矩阵，通过精准的用户画像，为消费者推荐专业的品车、选车、买车、用车、养车一站式体验；谋划整合广汕路沿线资源，探索旧批发市场或城中村改造，打造汽车4S店、维修中心集聚区，形成规模化发展。</w:t>
      </w:r>
      <w:r>
        <w:rPr>
          <w:rFonts w:ascii="Times New Roman" w:hAnsi="Times New Roman" w:eastAsia="仿宋_GB2312" w:cs="Times New Roman"/>
          <w:b/>
          <w:bCs/>
          <w:color w:val="auto"/>
          <w:kern w:val="0"/>
          <w:sz w:val="32"/>
          <w:szCs w:val="32"/>
        </w:rPr>
        <w:t>推动</w:t>
      </w:r>
      <w:r>
        <w:rPr>
          <w:rFonts w:hint="eastAsia" w:ascii="Times New Roman" w:hAnsi="Times New Roman" w:eastAsia="仿宋_GB2312" w:cs="Times New Roman"/>
          <w:b/>
          <w:bCs/>
          <w:color w:val="auto"/>
          <w:kern w:val="0"/>
          <w:sz w:val="32"/>
          <w:szCs w:val="32"/>
        </w:rPr>
        <w:t>新建</w:t>
      </w:r>
      <w:r>
        <w:rPr>
          <w:rFonts w:ascii="Times New Roman" w:hAnsi="Times New Roman" w:eastAsia="仿宋_GB2312" w:cs="Times New Roman"/>
          <w:b/>
          <w:bCs/>
          <w:color w:val="auto"/>
          <w:kern w:val="0"/>
          <w:sz w:val="32"/>
          <w:szCs w:val="32"/>
        </w:rPr>
        <w:t>汽车主题综合体</w:t>
      </w:r>
      <w:r>
        <w:rPr>
          <w:rFonts w:ascii="Times New Roman" w:hAnsi="Times New Roman" w:eastAsia="仿宋_GB2312" w:cs="Times New Roman"/>
          <w:color w:val="auto"/>
          <w:kern w:val="0"/>
          <w:sz w:val="32"/>
          <w:szCs w:val="32"/>
        </w:rPr>
        <w:t>。鼓励专业商业地产商参与，选址合适地块，打造标杆汽车主题综合体，围绕车与出行未来趋势的前瞻性判断，以消费需求为核心，提供一站式全方位、全链条汽车销售+商业零售及服务，实现汽车产业生态、服务生态、会员生态与商业多业态融合。</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专栏6  打造汽车展示销售集聚区</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以集聚集约发展为导向，探索打造汽车展示销售集聚区，提升业态承载能力，</w:t>
            </w:r>
            <w:r>
              <w:rPr>
                <w:rFonts w:hint="eastAsia" w:ascii="Times New Roman" w:hAnsi="Times New Roman" w:eastAsia="仿宋_GB2312" w:cs="Times New Roman"/>
                <w:color w:val="auto"/>
                <w:kern w:val="0"/>
                <w:sz w:val="24"/>
              </w:rPr>
              <w:t>探索</w:t>
            </w:r>
            <w:r>
              <w:rPr>
                <w:rFonts w:ascii="Times New Roman" w:hAnsi="Times New Roman" w:eastAsia="仿宋_GB2312" w:cs="Times New Roman"/>
                <w:color w:val="auto"/>
                <w:kern w:val="0"/>
                <w:sz w:val="24"/>
              </w:rPr>
              <w:t>在</w:t>
            </w:r>
            <w:bookmarkStart w:id="50" w:name="_Hlk117625639"/>
            <w:r>
              <w:rPr>
                <w:rFonts w:ascii="Times New Roman" w:hAnsi="Times New Roman" w:eastAsia="仿宋_GB2312" w:cs="Times New Roman"/>
                <w:color w:val="auto"/>
                <w:kern w:val="0"/>
                <w:sz w:val="24"/>
              </w:rPr>
              <w:t>奥体中心周边选址打造新能源汽车展示销售集聚区，突出科技感、体验感、文化感、运动感，推动新能源汽车销售；在天河智慧城核心区科韵路东侧地块打造高端汽车展示销售集聚区，引进国内外豪华汽车品牌，联动小鹏汽车，利用广佛环线智慧城站优势，吸引辐射珠三角地区；在火炉山公园北侧，依托广物物产林机汽贸项目</w:t>
            </w:r>
            <w:bookmarkEnd w:id="50"/>
            <w:r>
              <w:rPr>
                <w:rFonts w:ascii="Times New Roman" w:hAnsi="Times New Roman" w:eastAsia="仿宋_GB2312" w:cs="Times New Roman"/>
                <w:color w:val="auto"/>
                <w:kern w:val="0"/>
                <w:sz w:val="24"/>
              </w:rPr>
              <w:t>，打造汽车智联综合体，建设集汽车展销、汽车后市场、汽车文化等于一体的综合汽车主题园区，推动“展、销、创、旅、娱”融合发展。</w:t>
            </w:r>
          </w:p>
        </w:tc>
      </w:tr>
    </w:tbl>
    <w:p>
      <w:pPr>
        <w:pStyle w:val="10"/>
        <w:pageBreakBefore w:val="0"/>
        <w:kinsoku/>
        <w:wordWrap/>
        <w:overflowPunct/>
        <w:topLinePunct w:val="0"/>
        <w:autoSpaceDE/>
        <w:autoSpaceDN/>
        <w:bidi w:val="0"/>
        <w:adjustRightInd/>
        <w:snapToGrid/>
        <w:spacing w:beforeAutospacing="0" w:afterAutospacing="0" w:line="560" w:lineRule="exact"/>
        <w:ind w:right="0" w:rightChars="0" w:firstLine="643"/>
        <w:rPr>
          <w:rFonts w:ascii="Times New Roman" w:hAnsi="Times New Roman" w:cs="Times New Roman"/>
          <w:color w:val="auto"/>
        </w:rPr>
      </w:pPr>
      <w:r>
        <w:rPr>
          <w:rFonts w:hint="eastAsia" w:ascii="Times New Roman" w:hAnsi="Times New Roman" w:cs="Times New Roman"/>
          <w:b/>
          <w:bCs w:val="0"/>
          <w:color w:val="auto"/>
          <w:kern w:val="0"/>
        </w:rPr>
        <w:t>加强品牌车企招引</w:t>
      </w:r>
      <w:r>
        <w:rPr>
          <w:rFonts w:ascii="Times New Roman" w:hAnsi="Times New Roman" w:cs="Times New Roman"/>
          <w:b/>
          <w:bCs w:val="0"/>
          <w:color w:val="auto"/>
          <w:kern w:val="0"/>
        </w:rPr>
        <w:t>。</w:t>
      </w:r>
      <w:r>
        <w:rPr>
          <w:rFonts w:hint="eastAsia"/>
          <w:color w:val="auto"/>
          <w:kern w:val="0"/>
        </w:rPr>
        <w:t>以高端企业和新能源汽车为重点，</w:t>
      </w:r>
      <w:r>
        <w:rPr>
          <w:rFonts w:ascii="Times New Roman" w:hAnsi="Times New Roman" w:cs="Times New Roman"/>
          <w:color w:val="auto"/>
          <w:kern w:val="0"/>
        </w:rPr>
        <w:t>充分利用天河的人流优势，</w:t>
      </w:r>
      <w:r>
        <w:rPr>
          <w:rFonts w:hint="eastAsia"/>
          <w:color w:val="auto"/>
          <w:kern w:val="0"/>
        </w:rPr>
        <w:t>招引龙头企业设立零售公司，推动小鹏等存量批发企业新设零售公司，</w:t>
      </w:r>
      <w:r>
        <w:rPr>
          <w:rFonts w:ascii="Times New Roman" w:hAnsi="Times New Roman" w:cs="Times New Roman"/>
          <w:color w:val="auto"/>
          <w:kern w:val="0"/>
        </w:rPr>
        <w:t>进一步做大做强零售端。</w:t>
      </w:r>
      <w:r>
        <w:rPr>
          <w:rFonts w:hint="eastAsia" w:ascii="Times New Roman" w:hAnsi="Times New Roman" w:cs="Times New Roman"/>
          <w:b/>
          <w:bCs w:val="0"/>
          <w:color w:val="auto"/>
          <w:kern w:val="0"/>
        </w:rPr>
        <w:t>推动油、电等能源零售发展。</w:t>
      </w:r>
      <w:r>
        <w:rPr>
          <w:rFonts w:ascii="Times New Roman" w:hAnsi="Times New Roman" w:cs="Times New Roman"/>
          <w:color w:val="auto"/>
        </w:rPr>
        <w:t>鼓励引导有条件的</w:t>
      </w:r>
      <w:r>
        <w:rPr>
          <w:rFonts w:hint="eastAsia" w:ascii="Times New Roman" w:hAnsi="Times New Roman" w:cs="Times New Roman"/>
          <w:color w:val="auto"/>
        </w:rPr>
        <w:t>加油站</w:t>
      </w:r>
      <w:r>
        <w:rPr>
          <w:rFonts w:ascii="Times New Roman" w:hAnsi="Times New Roman" w:cs="Times New Roman"/>
          <w:color w:val="auto"/>
        </w:rPr>
        <w:t>，按照相关法律法规和标准规范要求，有序</w:t>
      </w:r>
      <w:r>
        <w:rPr>
          <w:rFonts w:hint="eastAsia" w:ascii="Times New Roman" w:hAnsi="Times New Roman" w:cs="Times New Roman"/>
          <w:color w:val="auto"/>
        </w:rPr>
        <w:t>完善综合服务，实现</w:t>
      </w:r>
      <w:r>
        <w:rPr>
          <w:rFonts w:ascii="Times New Roman" w:hAnsi="Times New Roman" w:cs="Times New Roman"/>
          <w:color w:val="auto"/>
        </w:rPr>
        <w:t>加油、加气、充电、加氢等多种能源供给，满足客户多样化需求</w:t>
      </w:r>
      <w:r>
        <w:rPr>
          <w:rFonts w:hint="eastAsia" w:ascii="Times New Roman" w:hAnsi="Times New Roman" w:cs="Times New Roman"/>
          <w:color w:val="auto"/>
        </w:rPr>
        <w:t>；</w:t>
      </w:r>
      <w:r>
        <w:rPr>
          <w:rFonts w:ascii="Times New Roman" w:hAnsi="Times New Roman" w:cs="Times New Roman"/>
          <w:color w:val="auto"/>
        </w:rPr>
        <w:t>推进智慧加油站建设，结合互联网、大数据、云平台等技术运用，推行自助结算、扫码支付、刷脸支付、ETC支付等支付方式，提高服务效率，改善消费体验</w:t>
      </w:r>
      <w:r>
        <w:rPr>
          <w:rFonts w:hint="eastAsia" w:ascii="Times New Roman" w:hAnsi="Times New Roman" w:cs="Times New Roman"/>
          <w:color w:val="auto"/>
        </w:rPr>
        <w:t>；</w:t>
      </w:r>
      <w:r>
        <w:rPr>
          <w:rFonts w:ascii="Times New Roman" w:hAnsi="Times New Roman" w:cs="Times New Roman"/>
          <w:color w:val="auto"/>
        </w:rPr>
        <w:t>鼓励企业依托加油站平台，整合各类资源，促进汽配服务、保险、零售、休闲、旅游、租车等多业态协同发展，实现油品和非油业务有机融合，持续提升核心竞争力和可持续发展能力</w:t>
      </w:r>
      <w:r>
        <w:rPr>
          <w:rFonts w:hint="eastAsia" w:ascii="Times New Roman" w:hAnsi="Times New Roman" w:cs="Times New Roman"/>
          <w:color w:val="auto"/>
        </w:rPr>
        <w:t>；</w:t>
      </w:r>
      <w:r>
        <w:rPr>
          <w:rFonts w:ascii="Times New Roman" w:hAnsi="Times New Roman" w:cs="Times New Roman"/>
          <w:color w:val="auto"/>
        </w:rPr>
        <w:t>引导有条件的企业根据加油站周边居民需要，研究增加便民服务项目，推进加油站向综合服务站转型</w:t>
      </w:r>
      <w:r>
        <w:rPr>
          <w:rFonts w:hint="eastAsia" w:ascii="Times New Roman" w:hAnsi="Times New Roman" w:cs="Times New Roman"/>
          <w:color w:val="auto"/>
        </w:rPr>
        <w:t>；</w:t>
      </w:r>
      <w:r>
        <w:rPr>
          <w:rFonts w:hint="eastAsia"/>
          <w:color w:val="auto"/>
          <w:kern w:val="0"/>
        </w:rPr>
        <w:t>支持新能源企业开展机动车充电销售服务；</w:t>
      </w:r>
      <w:r>
        <w:rPr>
          <w:rFonts w:ascii="Times New Roman" w:hAnsi="Times New Roman" w:cs="Times New Roman"/>
          <w:color w:val="auto"/>
        </w:rPr>
        <w:t>支持</w:t>
      </w:r>
      <w:r>
        <w:rPr>
          <w:rFonts w:hint="eastAsia" w:ascii="Times New Roman" w:hAnsi="Times New Roman" w:cs="Times New Roman"/>
          <w:color w:val="auto"/>
        </w:rPr>
        <w:t>企业</w:t>
      </w:r>
      <w:r>
        <w:rPr>
          <w:rFonts w:ascii="Times New Roman" w:hAnsi="Times New Roman" w:cs="Times New Roman"/>
          <w:color w:val="auto"/>
        </w:rPr>
        <w:t>“走出去”，在辖区外设立分支站点，</w:t>
      </w:r>
      <w:r>
        <w:rPr>
          <w:rFonts w:hint="eastAsia" w:ascii="Times New Roman" w:hAnsi="Times New Roman" w:cs="Times New Roman"/>
          <w:color w:val="auto"/>
        </w:rPr>
        <w:t>进一步加强</w:t>
      </w:r>
      <w:r>
        <w:rPr>
          <w:rFonts w:ascii="Times New Roman" w:hAnsi="Times New Roman" w:cs="Times New Roman"/>
          <w:color w:val="auto"/>
        </w:rPr>
        <w:t>连锁化运营。</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1" w:name="_Toc2550"/>
      <w:r>
        <w:rPr>
          <w:rFonts w:ascii="Times New Roman" w:hAnsi="Times New Roman" w:cs="Times New Roman"/>
          <w:color w:val="auto"/>
        </w:rPr>
        <w:t>2、培育药品</w:t>
      </w:r>
      <w:r>
        <w:rPr>
          <w:rFonts w:hint="eastAsia" w:ascii="Times New Roman" w:hAnsi="Times New Roman" w:cs="Times New Roman"/>
          <w:color w:val="auto"/>
        </w:rPr>
        <w:t>与医疗器械</w:t>
      </w:r>
      <w:r>
        <w:rPr>
          <w:rFonts w:ascii="Times New Roman" w:hAnsi="Times New Roman" w:cs="Times New Roman"/>
          <w:color w:val="auto"/>
        </w:rPr>
        <w:t>流通新增长点</w:t>
      </w:r>
      <w:bookmarkEnd w:id="51"/>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支持医药零售终端多元化发展</w:t>
      </w:r>
      <w:r>
        <w:rPr>
          <w:rFonts w:ascii="Times New Roman" w:hAnsi="Times New Roman" w:eastAsia="仿宋_GB2312" w:cs="Times New Roman"/>
          <w:color w:val="auto"/>
          <w:kern w:val="0"/>
          <w:sz w:val="32"/>
          <w:szCs w:val="32"/>
        </w:rPr>
        <w:t>。积极探索“药+便利店”模式，拓展保健食品、功能饮料、药妆、日化用品等领域，全方位满足周边社区需求，提高非药产品销售占比。鼓励企业延伸产业链条，探索由零售转为综合健康服务商，积极推出</w:t>
      </w:r>
      <w:bookmarkStart w:id="52" w:name="_Hlk117629819"/>
      <w:r>
        <w:rPr>
          <w:rFonts w:ascii="Times New Roman" w:hAnsi="Times New Roman" w:eastAsia="仿宋_GB2312" w:cs="Times New Roman"/>
          <w:color w:val="auto"/>
          <w:kern w:val="0"/>
          <w:sz w:val="32"/>
          <w:szCs w:val="32"/>
        </w:rPr>
        <w:t>中药养生特色产品和服务</w:t>
      </w:r>
      <w:bookmarkEnd w:id="52"/>
      <w:r>
        <w:rPr>
          <w:rFonts w:ascii="Times New Roman" w:hAnsi="Times New Roman" w:eastAsia="仿宋_GB2312" w:cs="Times New Roman"/>
          <w:color w:val="auto"/>
          <w:kern w:val="0"/>
          <w:sz w:val="32"/>
          <w:szCs w:val="32"/>
        </w:rPr>
        <w:t>。</w:t>
      </w:r>
      <w:r>
        <w:rPr>
          <w:rFonts w:ascii="Times New Roman" w:hAnsi="Times New Roman" w:eastAsia="仿宋_GB2312" w:cs="Times New Roman"/>
          <w:b/>
          <w:bCs/>
          <w:color w:val="auto"/>
          <w:kern w:val="0"/>
          <w:sz w:val="32"/>
          <w:szCs w:val="32"/>
        </w:rPr>
        <w:t>积极布局新业态新模式。</w:t>
      </w:r>
      <w:r>
        <w:rPr>
          <w:rFonts w:ascii="Times New Roman" w:hAnsi="Times New Roman" w:eastAsia="仿宋_GB2312" w:cs="Times New Roman"/>
          <w:color w:val="auto"/>
          <w:kern w:val="0"/>
          <w:sz w:val="32"/>
          <w:szCs w:val="32"/>
        </w:rPr>
        <w:t>借助“双通道”、处方外流机遇，鼓励医药连锁品牌以院边店为依托，积极布局DTP专业药房</w:t>
      </w:r>
      <w:r>
        <w:rPr>
          <w:rStyle w:val="24"/>
          <w:rFonts w:ascii="Times New Roman" w:hAnsi="Times New Roman" w:eastAsia="仿宋_GB2312" w:cs="Times New Roman"/>
          <w:color w:val="auto"/>
          <w:kern w:val="0"/>
          <w:sz w:val="32"/>
          <w:szCs w:val="32"/>
        </w:rPr>
        <w:footnoteReference w:id="0"/>
      </w:r>
      <w:r>
        <w:rPr>
          <w:rFonts w:ascii="Times New Roman" w:hAnsi="Times New Roman" w:eastAsia="仿宋_GB2312" w:cs="Times New Roman"/>
          <w:color w:val="auto"/>
          <w:kern w:val="0"/>
          <w:sz w:val="32"/>
          <w:szCs w:val="32"/>
        </w:rPr>
        <w:t>、“双通道”医保定点药房；积极布局电子处方业务，对接各级政府及医院处方流转平台，加快处方流转平台合作，实现从医生到门店到患者的药品流转循环，逐步建立门诊患者集群，形成医院处方流转闭环。</w:t>
      </w:r>
      <w:r>
        <w:rPr>
          <w:rFonts w:ascii="Times New Roman" w:hAnsi="Times New Roman" w:eastAsia="仿宋_GB2312" w:cs="Times New Roman"/>
          <w:b/>
          <w:bCs/>
          <w:color w:val="auto"/>
          <w:kern w:val="0"/>
          <w:sz w:val="32"/>
          <w:szCs w:val="32"/>
        </w:rPr>
        <w:t>大力支持医药电商发展</w:t>
      </w:r>
      <w:r>
        <w:rPr>
          <w:rFonts w:ascii="Times New Roman" w:hAnsi="Times New Roman" w:eastAsia="仿宋_GB2312" w:cs="Times New Roman"/>
          <w:color w:val="auto"/>
          <w:kern w:val="0"/>
          <w:sz w:val="32"/>
          <w:szCs w:val="32"/>
        </w:rPr>
        <w:t>。支持区内医药流通企业、软件企业等联合搭建医药企业数字化升级服务平台，便利医药企业开拓电商业务，降低成本；支持国药控股广东恒兴、广东融泰等发展医药B2B业务；抓住国家拟“禁止第三方平台直接参与药品网售”的契机，推动广东融泰等做大药品B2C业务。</w:t>
      </w:r>
      <w:r>
        <w:rPr>
          <w:rFonts w:hint="eastAsia" w:ascii="Times New Roman" w:hAnsi="Times New Roman" w:eastAsia="仿宋_GB2312" w:cs="Times New Roman"/>
          <w:b/>
          <w:bCs/>
          <w:color w:val="auto"/>
          <w:kern w:val="0"/>
          <w:sz w:val="32"/>
          <w:szCs w:val="32"/>
        </w:rPr>
        <w:t>大力引进医疗器械经销商。</w:t>
      </w:r>
      <w:r>
        <w:rPr>
          <w:rFonts w:hint="eastAsia" w:ascii="Times New Roman" w:hAnsi="Times New Roman" w:eastAsia="仿宋_GB2312" w:cs="Times New Roman"/>
          <w:color w:val="auto"/>
          <w:kern w:val="0"/>
          <w:sz w:val="32"/>
          <w:szCs w:val="32"/>
        </w:rPr>
        <w:t>依托区内医院和医疗机构集聚、交通便利等优势，招引高附加值医疗器械经销商，在天河中央商务区形成集聚</w:t>
      </w:r>
      <w:r>
        <w:rPr>
          <w:rFonts w:ascii="Times New Roman" w:hAnsi="Times New Roman" w:eastAsia="仿宋_GB2312" w:cs="Times New Roman"/>
          <w:color w:val="auto"/>
          <w:kern w:val="0"/>
          <w:sz w:val="32"/>
          <w:szCs w:val="32"/>
        </w:rPr>
        <w:t>。</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3" w:name="_Toc27325"/>
      <w:r>
        <w:rPr>
          <w:rFonts w:ascii="Times New Roman" w:hAnsi="Times New Roman" w:cs="Times New Roman"/>
          <w:color w:val="auto"/>
        </w:rPr>
        <w:t>3、打造总部型定制家居集聚区</w:t>
      </w:r>
      <w:bookmarkEnd w:id="53"/>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专栏7  天河家居行业现状</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sz w:val="24"/>
              </w:rPr>
            </w:pPr>
            <w:r>
              <w:rPr>
                <w:rFonts w:ascii="Times New Roman" w:hAnsi="Times New Roman" w:eastAsia="仿宋_GB2312" w:cs="Times New Roman"/>
                <w:b/>
                <w:color w:val="auto"/>
                <w:sz w:val="24"/>
              </w:rPr>
              <w:t>销售初步形成近百亿级规模。</w:t>
            </w:r>
            <w:r>
              <w:rPr>
                <w:rFonts w:ascii="Times New Roman" w:hAnsi="Times New Roman" w:eastAsia="仿宋_GB2312" w:cs="Times New Roman"/>
                <w:color w:val="auto"/>
                <w:sz w:val="24"/>
              </w:rPr>
              <w:t>天河家居行业主要以批零业企业为支撑，制造业企业规模较小。2020年，天河批零业家居企业127家，累计完成商品销售额152.68亿元，占全区销售总额比重1.8%。其中，家具类销售额84.34亿元，占据天河家居批零业半壁江山，接近形成百亿级规模。工业家具制造业“四上”企业4家，合计产值3.71亿元，增长52%。</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sz w:val="24"/>
              </w:rPr>
            </w:pPr>
            <w:r>
              <w:rPr>
                <w:rFonts w:ascii="Times New Roman" w:hAnsi="Times New Roman" w:eastAsia="仿宋_GB2312" w:cs="Times New Roman"/>
                <w:b/>
                <w:color w:val="auto"/>
                <w:sz w:val="24"/>
              </w:rPr>
              <w:t>定制家居企业引领天河家居行业发展。</w:t>
            </w:r>
            <w:r>
              <w:rPr>
                <w:rFonts w:ascii="Times New Roman" w:hAnsi="Times New Roman" w:eastAsia="仿宋_GB2312" w:cs="Times New Roman"/>
                <w:color w:val="auto"/>
                <w:sz w:val="24"/>
              </w:rPr>
              <w:t>天河家居批零销售额前五名中，排名前两位的均为定制家具企业（分别为广州尚品宅配家居股份有限公司、索菲亚建筑装饰有限公司），这两家企业充分利用数字化手段提升设计和服务能力，在品牌影响力及产品销售额等方面远超其他销售企业。</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sz w:val="24"/>
              </w:rPr>
            </w:pPr>
            <w:r>
              <w:rPr>
                <w:rFonts w:ascii="Times New Roman" w:hAnsi="Times New Roman" w:eastAsia="仿宋_GB2312" w:cs="Times New Roman"/>
                <w:b/>
                <w:color w:val="auto"/>
                <w:sz w:val="24"/>
              </w:rPr>
              <w:t>珠江沿岸（天河段）已形成家居行业集聚区。</w:t>
            </w:r>
            <w:r>
              <w:rPr>
                <w:rFonts w:ascii="Times New Roman" w:hAnsi="Times New Roman" w:eastAsia="仿宋_GB2312" w:cs="Times New Roman"/>
                <w:color w:val="auto"/>
                <w:sz w:val="24"/>
              </w:rPr>
              <w:t>目前，珠江沿岸（天河段）已集聚罗浮宫、居然之家、宜家家居、维家思广场、马会家居等众多家居卖场，以及东方国际建材城、百安居、瀛富五金装饰建材商贸广场、东宏装饰材料城等大型专业建材市场。各类卖场的错位发展，囊括了高中低端不同层次的产品种类，可有效满足消费者的不同需求。</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sz w:val="24"/>
              </w:rPr>
            </w:pPr>
            <w:r>
              <w:rPr>
                <w:rFonts w:ascii="Times New Roman" w:hAnsi="Times New Roman" w:eastAsia="仿宋_GB2312" w:cs="Times New Roman"/>
                <w:b/>
                <w:color w:val="auto"/>
                <w:sz w:val="24"/>
              </w:rPr>
              <w:t>新模式引领新消费加快发展。</w:t>
            </w:r>
            <w:r>
              <w:rPr>
                <w:rFonts w:ascii="Times New Roman" w:hAnsi="Times New Roman" w:eastAsia="仿宋_GB2312" w:cs="Times New Roman"/>
                <w:color w:val="auto"/>
                <w:sz w:val="24"/>
              </w:rPr>
              <w:t>家居卖场结合自身特点向数字化消费转型发展。宜家家居锁定追求年轻时尚的中低端消费群体，运用数字化工具简化线下购物体验，打造更生动便捷的线上购物方式。居然之家和阿里巴巴集团联合探索新零售布局，引入儿童游乐、教育培训、电影院、生鲜超市等多种生活消费业态，不断优化消费者体验，成为有别于传统家居卖场的消费空间。罗浮宫定位高端，面向高端消费人群，打造业界首个融合家居、设计、艺术三大核心要素的顶尖家居主题商贸艺术综合体。百安居打破原有仓储卖场模式，引入家居设计师，向家居新零售全面转型。</w:t>
            </w:r>
          </w:p>
        </w:tc>
      </w:tr>
    </w:tbl>
    <w:p>
      <w:pPr>
        <w:pStyle w:val="10"/>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Style w:val="10"/>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cs="Times New Roman"/>
          <w:color w:val="auto"/>
        </w:rPr>
        <w:t>抓住广州打造“定制之都”机遇，以尚品宅配、好太太科技、好莱客等定制家居龙头企业为核心，培育定制家居服务“链主”企业，加大产业链企业引进力度，打造集研发设计、展示体验、文化艺术、销售管理于一体的规模化定制家居企业总部集聚区。支持龙头企业、协会商会积极主导和参与“广州定制”标准研制工作，建立面向中小企业的公共服务平台，为企业提供创意设计、检验检测、知识产权保护、人才培训等应用支持和技术支撑。积极引导罗浮宫、宜家家居、居然之家等家居卖场扩大经营业态，支持建设新品发布中心、智慧家居体验中心，拓展“人工智能+数字经济”应用新场景，集中展示优秀示范项目和解决方案，加强定制家居品牌推广。</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4" w:name="_Toc24912"/>
      <w:r>
        <w:rPr>
          <w:rFonts w:ascii="Times New Roman" w:hAnsi="Times New Roman" w:cs="Times New Roman"/>
          <w:color w:val="auto"/>
        </w:rPr>
        <w:t>（五）品质化发展生活性服务业，满足人民美好生活需要</w:t>
      </w:r>
      <w:bookmarkEnd w:id="54"/>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5" w:name="_Toc11155"/>
      <w:r>
        <w:rPr>
          <w:rFonts w:ascii="Times New Roman" w:hAnsi="Times New Roman" w:cs="Times New Roman"/>
          <w:color w:val="auto"/>
        </w:rPr>
        <w:t>1、增强生活服务优质供给</w:t>
      </w:r>
      <w:bookmarkEnd w:id="55"/>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围绕满足群众多样化多层次需求，推进生活性服务业规范化、连锁化、便利化、品牌化、特色化、智能化发展，加快发展健康、养老、育幼、文化、旅游、体育、家政、物业等服务业，加强公益性、基础性服务业供给，通过挖掘“老需求”、激发“新需求”持续推动消费结构升级。</w:t>
      </w:r>
      <w:r>
        <w:rPr>
          <w:rFonts w:ascii="Times New Roman" w:hAnsi="Times New Roman" w:eastAsia="仿宋_GB2312" w:cs="Times New Roman"/>
          <w:b/>
          <w:bCs/>
          <w:color w:val="auto"/>
          <w:kern w:val="0"/>
          <w:sz w:val="32"/>
          <w:szCs w:val="32"/>
        </w:rPr>
        <w:t>加强服务质量和品牌建设。</w:t>
      </w:r>
      <w:r>
        <w:rPr>
          <w:rFonts w:ascii="Times New Roman" w:hAnsi="Times New Roman" w:eastAsia="仿宋_GB2312" w:cs="Times New Roman"/>
          <w:color w:val="auto"/>
          <w:kern w:val="0"/>
          <w:sz w:val="32"/>
          <w:szCs w:val="32"/>
        </w:rPr>
        <w:t>鼓励拥有优质资源的生活服务供给主体，通过合作、连锁经营等多种方式，设置服务网点、参与服务供给，共享先进服务技术和管理模式，持续放大品牌效应；支持中央厨房企业自行建设或与第三方线上销售平台合作，通过“中央厨房+线下配送”“社区团购+集中配送” 等模式，向社会团体和社区居民提供安全便捷、常态化的餐饮配送服务；借助广州市家政服务业提质扩容“领跑者”行动，以及“粤菜师傅”“广东技工”“南粤家政”三大工程，支持家政服务领跑企业健康快速发展，培育智慧家政、国际家政等高端家政服务，打造具有引领和示范效应的龙头企业和家政服务品牌；推进学前教育普惠健康发展和基础教育优质均衡发展，引进国际优质教育资源，合作开办国际学校，扩大港澳子弟班办学规模；发展个性化、多元化、高端化医疗服务，推动医疗集团、独立医学中心发展，积极引导名医工作室、名中医馆、连锁门诊店等布局，着力引进港澳优质医疗机构，鼓励发展精准医疗、智能诊疗、个人健康管家、医疗美容等健康服务新业态，形成高端医疗服务供给优势；支持多形式多渠道加强优质服务品牌推介宣传，研究创新优质服务承诺标识制度和失信惩戒机制。</w:t>
      </w:r>
      <w:r>
        <w:rPr>
          <w:rFonts w:ascii="Times New Roman" w:hAnsi="Times New Roman" w:eastAsia="仿宋_GB2312" w:cs="Times New Roman"/>
          <w:b/>
          <w:bCs/>
          <w:color w:val="auto"/>
          <w:kern w:val="0"/>
          <w:sz w:val="32"/>
          <w:szCs w:val="32"/>
        </w:rPr>
        <w:t>推进生活性服务业数字化升级</w:t>
      </w:r>
      <w:r>
        <w:rPr>
          <w:rFonts w:ascii="Times New Roman" w:hAnsi="Times New Roman" w:eastAsia="仿宋_GB2312" w:cs="Times New Roman"/>
          <w:color w:val="auto"/>
          <w:kern w:val="0"/>
          <w:sz w:val="32"/>
          <w:szCs w:val="32"/>
        </w:rPr>
        <w:t>。创新服务方式，提升服务功能，丰富服务品类，增强行业发展新动能。加快线上线下融合发展，发展基于新技术的“无人经济”，推广无人超市、智能便利店等新零售模式，完善智能取餐柜、智能快递柜、智能自助服务等终端布局，通过预约服务、无接触服务、沉浸式体验等扩大优质服务覆盖面；加强一体化综合性数字生活平台建设，推动旅游、体育、家政等领域公共数据开放共享，分领域探索建设服务质量用户评价分享平台，实现服务精准供给；加快提升重点应用场景数字化水平，培育互联网医院、24小时“网订店送”药房新业态，促进“旅游＋”融合创新，打造“智能健身器材+运动健康服务”、“体育器材制造＋场馆数字管理”等定制化应用场景“产品＋服务”模式。</w:t>
      </w:r>
    </w:p>
    <w:p>
      <w:pPr>
        <w:pStyle w:val="4"/>
        <w:pageBreakBefore w:val="0"/>
        <w:numPr>
          <w:ilvl w:val="0"/>
          <w:numId w:val="1"/>
        </w:numPr>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6" w:name="_Toc6342"/>
      <w:r>
        <w:rPr>
          <w:rFonts w:ascii="Times New Roman" w:hAnsi="Times New Roman" w:cs="Times New Roman"/>
          <w:color w:val="auto"/>
        </w:rPr>
        <w:t>打造一刻钟便民生活圈</w:t>
      </w:r>
      <w:bookmarkEnd w:id="56"/>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以社区为基本依托，顺应居民消费升级趋势，规划打造多层级、多类型、网络化的便民服务设施体系，通过构建功能齐备、优质便捷、管理有序、运营高效的生活性服务体系，打造“一刻钟便民生活圈”，满足不同类型、不同规模的便民服务需求。</w:t>
      </w:r>
      <w:r>
        <w:rPr>
          <w:rFonts w:ascii="Times New Roman" w:hAnsi="Times New Roman" w:eastAsia="仿宋_GB2312" w:cs="Times New Roman"/>
          <w:b/>
          <w:bCs/>
          <w:color w:val="auto"/>
          <w:kern w:val="0"/>
          <w:sz w:val="32"/>
          <w:szCs w:val="32"/>
        </w:rPr>
        <w:t>丰富社区商业业态</w:t>
      </w:r>
      <w:r>
        <w:rPr>
          <w:rFonts w:ascii="Times New Roman" w:hAnsi="Times New Roman" w:eastAsia="仿宋_GB2312" w:cs="Times New Roman"/>
          <w:color w:val="auto"/>
          <w:kern w:val="0"/>
          <w:sz w:val="32"/>
          <w:szCs w:val="32"/>
        </w:rPr>
        <w:t>。通过政府购买服务、公建民营、民办公助等方式引入社会力量发展质量有保障、价格可承受的普惠性生活服务；探索在税费、水电气费用等方面给予适当扶持优惠，吸引低利润便民生活性服务企业入驻；提升餐饮、生活服务、购物、医疗保健等基本生活类，及金融服务、科教文化服务、体育休闲服务等提质生活类设施覆盖，配建从基础健身到专业训练等各类全民健身场所，发展社区图书馆、文化活动室、棋牌室、阅览室等文化服务，培育花艺培训、琴艺交流、绘画沙龙、养生美容等品质消费。</w:t>
      </w:r>
      <w:r>
        <w:rPr>
          <w:rFonts w:ascii="Times New Roman" w:hAnsi="Times New Roman" w:eastAsia="仿宋_GB2312" w:cs="Times New Roman"/>
          <w:b/>
          <w:bCs/>
          <w:color w:val="auto"/>
          <w:kern w:val="0"/>
          <w:sz w:val="32"/>
          <w:szCs w:val="32"/>
        </w:rPr>
        <w:t>推动社区商业创新升级。</w:t>
      </w:r>
      <w:r>
        <w:rPr>
          <w:rFonts w:ascii="Times New Roman" w:hAnsi="Times New Roman" w:eastAsia="仿宋_GB2312" w:cs="Times New Roman"/>
          <w:color w:val="auto"/>
          <w:kern w:val="0"/>
          <w:sz w:val="32"/>
          <w:szCs w:val="32"/>
        </w:rPr>
        <w:t>推进“互联网+社区商业”，推广社区团购、线上消费、互动交流等应用发展，实现网上预定、上门取送、到家服务等便捷服务；拓展社区体验式电商、社区无人零售、无接触配送、无接触消费等新业态，改善居民购物休闲体验；加快社区智能设施建设，引导建设社区级前置仓、配送仓、自提柜、末端智能配送设施等社区末端商业仓储设施，提升最后一公里民生产品供应效率和覆盖率。</w:t>
      </w:r>
      <w:r>
        <w:rPr>
          <w:rFonts w:ascii="Times New Roman" w:hAnsi="Times New Roman" w:eastAsia="仿宋_GB2312" w:cs="Times New Roman"/>
          <w:b/>
          <w:bCs/>
          <w:color w:val="auto"/>
          <w:kern w:val="0"/>
          <w:sz w:val="32"/>
          <w:szCs w:val="32"/>
        </w:rPr>
        <w:t>提升社区商业夜间服务水平。</w:t>
      </w:r>
      <w:r>
        <w:rPr>
          <w:rFonts w:ascii="Times New Roman" w:hAnsi="Times New Roman" w:eastAsia="仿宋_GB2312" w:cs="Times New Roman"/>
          <w:color w:val="auto"/>
          <w:kern w:val="0"/>
          <w:sz w:val="32"/>
          <w:szCs w:val="32"/>
        </w:rPr>
        <w:t>加大品牌连锁24小时便利店布局建设，优化提升线上夜间消费服务，支持开展22时后夜间到家服务；打造一批夜间消费分类地图、夜间消费名店榜单等，通过夜间消费精品活动提升广州“YOUNG城YEAH市”品牌知名度和美誉度；推动夜宵、夜购、夜游、夜娱、夜赏、夜跑、夜读等融合发展，鼓励食、住、行、游、购延时服务，支持商场、购物中心在店庆日、节假日期间开展“不打烊”等晚间促销活动。</w:t>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57" w:name="_Toc11119"/>
      <w:r>
        <w:rPr>
          <w:rFonts w:ascii="Times New Roman" w:hAnsi="Times New Roman" w:cs="Times New Roman"/>
          <w:color w:val="auto"/>
        </w:rPr>
        <w:t>第四章  构建以世界级地标商圈为核心的多层次商业空间体系</w:t>
      </w:r>
      <w:bookmarkEnd w:id="57"/>
    </w:p>
    <w:p>
      <w:pPr>
        <w:pStyle w:val="7"/>
        <w:pageBreakBefore w:val="0"/>
        <w:kinsoku/>
        <w:wordWrap/>
        <w:overflowPunct/>
        <w:topLinePunct w:val="0"/>
        <w:autoSpaceDE/>
        <w:autoSpaceDN/>
        <w:bidi w:val="0"/>
        <w:adjustRightInd/>
        <w:snapToGrid/>
        <w:spacing w:beforeAutospacing="0" w:afterAutospacing="0" w:line="560" w:lineRule="exact"/>
        <w:ind w:right="0" w:rightChars="0" w:firstLine="64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结合广州市加快培育国际消费中心城市中连片提升广州东站、天河体育中心、“六运”小区、花城广场、海心沙、海心桥等消费地标、景观节点，</w:t>
      </w:r>
      <w:bookmarkStart w:id="58" w:name="_Hlk117547677"/>
      <w:r>
        <w:rPr>
          <w:rFonts w:ascii="Times New Roman" w:hAnsi="Times New Roman" w:eastAsia="仿宋_GB2312" w:cs="Times New Roman"/>
          <w:color w:val="auto"/>
          <w:kern w:val="0"/>
          <w:sz w:val="32"/>
          <w:szCs w:val="32"/>
        </w:rPr>
        <w:t>做强做大和培育天河路-珠江新城、金融城-黄埔湾世界级地标商圈等重点工作，全面推动天河路商圈、珠江新城商圈和金融城商圈高质量发展，加快存量商业载体提质升级，引入国内外头部商业运营商新建高能级商业综合体，大力优化商圈环境品质，加强商圈间协同联动发展</w:t>
      </w:r>
      <w:bookmarkEnd w:id="58"/>
      <w:bookmarkStart w:id="59" w:name="_Hlk117547698"/>
      <w:r>
        <w:rPr>
          <w:rFonts w:ascii="Times New Roman" w:hAnsi="Times New Roman" w:eastAsia="仿宋_GB2312" w:cs="Times New Roman"/>
          <w:color w:val="auto"/>
          <w:kern w:val="0"/>
          <w:sz w:val="32"/>
          <w:szCs w:val="32"/>
        </w:rPr>
        <w:t>，形成梯次发展格局，进一步巩固在广州市的引领地位。坚持以人为本、均衡发展原则，以人民为中心，围绕产业发展和人民生活需要，促进商业环境与居民消费需求相匹配，与城市功能相协调，与重大平台发展相协同，形成定位精准、分工合理、特色鲜明、适度均衡的“都会级-区域级-社区级”分层分类商业布局。</w:t>
      </w:r>
    </w:p>
    <w:bookmarkEnd w:id="59"/>
    <w:p>
      <w:pPr>
        <w:pStyle w:val="3"/>
        <w:pageBreakBefore w:val="0"/>
        <w:numPr>
          <w:ilvl w:val="0"/>
          <w:numId w:val="2"/>
        </w:numPr>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0" w:name="_Toc27163"/>
      <w:r>
        <w:rPr>
          <w:rFonts w:ascii="Times New Roman" w:hAnsi="Times New Roman" w:cs="Times New Roman"/>
          <w:color w:val="auto"/>
        </w:rPr>
        <w:t>推进天河路商圈打造世界顶级商圈</w:t>
      </w:r>
      <w:bookmarkEnd w:id="60"/>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bookmarkStart w:id="61" w:name="_Hlk118236176"/>
            <w:r>
              <w:rPr>
                <w:rFonts w:ascii="Times New Roman" w:hAnsi="Times New Roman" w:eastAsia="仿宋_GB2312" w:cs="Times New Roman"/>
                <w:b/>
                <w:bCs/>
                <w:color w:val="auto"/>
                <w:kern w:val="0"/>
                <w:sz w:val="24"/>
              </w:rPr>
              <w:t>专栏8 天河路商圈发展现状及存在问题</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发展现状</w:t>
            </w:r>
            <w:r>
              <w:rPr>
                <w:rFonts w:ascii="Times New Roman" w:hAnsi="Times New Roman" w:eastAsia="仿宋_GB2312" w:cs="Times New Roman"/>
                <w:color w:val="auto"/>
                <w:kern w:val="0"/>
                <w:sz w:val="24"/>
              </w:rPr>
              <w:t>：天河路商圈是华南第一商圈，总面积约4.5平方公里，2020年实现商品销售总额4739.01亿元，社会消费品零售总额467.20亿元（占全区比重超26%）；汇聚四上企业1853家（占全区比重超27%），总营收超6000亿元；集聚了正佳广场、天河城、太古汇、天环广场、万菱汇等超20家大型购物中心，文华东方、万豪、喜来登等13家高端酒店，是国内少有的集商业、体育、文化、商务载体于一身的区域，是天河区、广州市社会和经济发展重要支撑。</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存在问题</w:t>
            </w:r>
            <w:r>
              <w:rPr>
                <w:rFonts w:ascii="Times New Roman" w:hAnsi="Times New Roman" w:eastAsia="仿宋_GB2312" w:cs="Times New Roman"/>
                <w:color w:val="auto"/>
                <w:kern w:val="0"/>
                <w:sz w:val="24"/>
              </w:rPr>
              <w:t>：</w:t>
            </w:r>
            <w:r>
              <w:rPr>
                <w:rFonts w:ascii="Times New Roman" w:hAnsi="Times New Roman" w:eastAsia="仿宋_GB2312" w:cs="Times New Roman"/>
                <w:b/>
                <w:bCs/>
                <w:color w:val="auto"/>
                <w:kern w:val="0"/>
                <w:sz w:val="24"/>
              </w:rPr>
              <w:t>一是基础设施及环境配套略有滞后，整体环境有待提升</w:t>
            </w:r>
            <w:r>
              <w:rPr>
                <w:rFonts w:ascii="Times New Roman" w:hAnsi="Times New Roman" w:eastAsia="仿宋_GB2312" w:cs="Times New Roman"/>
                <w:color w:val="auto"/>
                <w:kern w:val="0"/>
                <w:sz w:val="24"/>
              </w:rPr>
              <w:t>，消费者普遍反映存在人流拥挤、指示不清晰、交通拥挤、停车难等问题；地下连廊、人行横道、停车场等硬件设施建设有待加快和优化；交通标识指引体系、智慧交通体系建设有待加强；还未形成具有自身特色的景观体系，标志性建筑和景点缺乏。</w:t>
            </w:r>
            <w:r>
              <w:rPr>
                <w:rFonts w:ascii="Times New Roman" w:hAnsi="Times New Roman" w:eastAsia="仿宋_GB2312" w:cs="Times New Roman"/>
                <w:b/>
                <w:bCs/>
                <w:color w:val="auto"/>
                <w:kern w:val="0"/>
                <w:sz w:val="24"/>
              </w:rPr>
              <w:t>二是商圈引领度及影响力不足，对外辐射能力有待增强</w:t>
            </w:r>
            <w:r>
              <w:rPr>
                <w:rFonts w:ascii="Times New Roman" w:hAnsi="Times New Roman" w:eastAsia="仿宋_GB2312" w:cs="Times New Roman"/>
                <w:color w:val="auto"/>
                <w:kern w:val="0"/>
                <w:sz w:val="24"/>
              </w:rPr>
              <w:t>，商圈在龙头购物商场体量、国际知名品牌门店数量、品牌注册数量、首店品牌影响力方面，与北京和上海的核心商圈存在较大的差距；商圈吸引的主要是省内周边城市的客群，对省外客群的吸引力较弱。</w:t>
            </w:r>
            <w:r>
              <w:rPr>
                <w:rFonts w:ascii="Times New Roman" w:hAnsi="Times New Roman" w:eastAsia="仿宋_GB2312" w:cs="Times New Roman"/>
                <w:b/>
                <w:bCs/>
                <w:color w:val="auto"/>
                <w:kern w:val="0"/>
                <w:sz w:val="24"/>
              </w:rPr>
              <w:t>三是商贸载体间未形成合力发展，后街经济潜能待激发</w:t>
            </w:r>
            <w:r>
              <w:rPr>
                <w:rFonts w:ascii="Times New Roman" w:hAnsi="Times New Roman" w:eastAsia="仿宋_GB2312" w:cs="Times New Roman"/>
                <w:color w:val="auto"/>
                <w:kern w:val="0"/>
                <w:sz w:val="24"/>
              </w:rPr>
              <w:t>，商圈内载体在结构调整、产品促销、形象宣传、招商引资、基础设施建设等方面没有形成合力；商圈重要载体主要集中在天河路从岗顶到天河城沿线的核心聚集区，周边后街或支马路却多以低端的零售和餐饮为主，没有和核心区域业态形成优势互补、资源共享的良性发展态势。</w:t>
            </w:r>
            <w:r>
              <w:rPr>
                <w:rFonts w:ascii="Times New Roman" w:hAnsi="Times New Roman" w:eastAsia="仿宋_GB2312" w:cs="Times New Roman"/>
                <w:b/>
                <w:bCs/>
                <w:color w:val="auto"/>
                <w:kern w:val="0"/>
                <w:sz w:val="24"/>
              </w:rPr>
              <w:t>四是业种丰富程度不够，新业态新模式有待进一步拓展，</w:t>
            </w:r>
            <w:r>
              <w:rPr>
                <w:rFonts w:ascii="Times New Roman" w:hAnsi="Times New Roman" w:eastAsia="仿宋_GB2312" w:cs="Times New Roman"/>
                <w:color w:val="auto"/>
                <w:kern w:val="0"/>
                <w:sz w:val="24"/>
              </w:rPr>
              <w:t>休闲旅游业态、文化艺术业态等占比较低，文商旅体融合发展模式尚未成熟；以岗顶为代表的传统IT产品批发市场转型升级有待进一步加快；社群营销、直播卖货、云逛街等消费新模式电子商务、新零售等领域商贸主体有待培育。</w:t>
            </w:r>
          </w:p>
        </w:tc>
      </w:tr>
      <w:bookmarkEnd w:id="61"/>
    </w:tbl>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2" w:name="_Toc31182"/>
      <w:r>
        <w:rPr>
          <w:rFonts w:ascii="Times New Roman" w:hAnsi="Times New Roman" w:cs="Times New Roman"/>
          <w:color w:val="auto"/>
        </w:rPr>
        <w:t>1、促进内生增长，构建国内领先优质商业载体集群</w:t>
      </w:r>
      <w:bookmarkEnd w:id="62"/>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对标国际一流商圈和商业街，坚持高端高质发展，以存量改造优化的内生增长模式为主，推动载体丰富消费资源，加强业态升级，形成发展合力。</w:t>
      </w:r>
      <w:r>
        <w:rPr>
          <w:rFonts w:ascii="Times New Roman" w:hAnsi="Times New Roman" w:eastAsia="仿宋_GB2312" w:cs="Times New Roman"/>
          <w:b/>
          <w:bCs/>
          <w:color w:val="auto"/>
          <w:kern w:val="0"/>
          <w:sz w:val="32"/>
          <w:szCs w:val="32"/>
        </w:rPr>
        <w:t>着力增强消费资源供给，</w:t>
      </w:r>
      <w:r>
        <w:rPr>
          <w:rFonts w:ascii="Times New Roman" w:hAnsi="Times New Roman" w:eastAsia="仿宋_GB2312" w:cs="Times New Roman"/>
          <w:color w:val="auto"/>
          <w:kern w:val="0"/>
          <w:sz w:val="32"/>
          <w:szCs w:val="32"/>
        </w:rPr>
        <w:t>发挥正佳广场、天河城、太古汇、天环广场等商业载体作用，加强引进国内外高端、优质商业品牌，积极承接香港奢侈品资源转移，着力引进首店，鼓励在商圈同步上市全球新品，开展产品首发首秀，全面提升产品丰富度、引领度。</w:t>
      </w:r>
      <w:r>
        <w:rPr>
          <w:rFonts w:ascii="Times New Roman" w:hAnsi="Times New Roman" w:eastAsia="仿宋_GB2312" w:cs="Times New Roman"/>
          <w:b/>
          <w:bCs/>
          <w:color w:val="auto"/>
          <w:kern w:val="0"/>
          <w:sz w:val="32"/>
          <w:szCs w:val="32"/>
        </w:rPr>
        <w:t>加快推动业态转型升级</w:t>
      </w:r>
      <w:r>
        <w:rPr>
          <w:rFonts w:ascii="Times New Roman" w:hAnsi="Times New Roman" w:eastAsia="仿宋_GB2312" w:cs="Times New Roman"/>
          <w:color w:val="auto"/>
          <w:kern w:val="0"/>
          <w:sz w:val="32"/>
          <w:szCs w:val="32"/>
        </w:rPr>
        <w:t>，深化文商旅融合，大力发展夜间经济、品牌经济、时尚经济、免税经济，不断引入创新业态和新型消费模式；支持正佳广场、天河城、太古汇、天环广场等载体优化升级，坚持产品创新和场景创新并重，打造链接城市-自然-人文-商业、文商产游功能高度融合的创新消费场景，构建满足多元消费需求的新消费空间，不断提升在全国商业载体中的位次，打造国内领先的大型商业综合体集群；加快推动岗顶改造升级，依托天河电脑城、展望数码广场、百脑汇广州店、总统数码港等数码零售综合体，发展科技体验、消费电子、游戏娱乐等业态，打造“体验式主题潮流区”。</w:t>
      </w:r>
      <w:r>
        <w:rPr>
          <w:rFonts w:ascii="Times New Roman" w:hAnsi="Times New Roman" w:eastAsia="仿宋_GB2312" w:cs="Times New Roman"/>
          <w:b/>
          <w:bCs/>
          <w:color w:val="auto"/>
          <w:kern w:val="0"/>
          <w:sz w:val="32"/>
          <w:szCs w:val="32"/>
        </w:rPr>
        <w:t>积极推进商业载体联动发展</w:t>
      </w:r>
      <w:r>
        <w:rPr>
          <w:rFonts w:ascii="Times New Roman" w:hAnsi="Times New Roman" w:eastAsia="仿宋_GB2312" w:cs="Times New Roman"/>
          <w:color w:val="auto"/>
          <w:kern w:val="0"/>
          <w:sz w:val="32"/>
          <w:szCs w:val="32"/>
        </w:rPr>
        <w:t>，用好 “天河路（Tinho town）”、VI、logo等形象标识体系，打造高度统一的品牌识别系统，加强天河路商圈品牌形象传播；以广州国际购物节等为契机，发挥天河路商圈管理委员会和天河路商会协调作用，推动天河路商圈各大载体开展联合促销，联合举办主题活动，打响天河路商圈购物品牌；动态发布商圈消费地图、美食榜单、旅游指南等，利用抖音、快手、小红书、微信、微博等新媒体平台，加强天河路商圈品牌宣传和活动推广。</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专栏9 推动天河路商圈主要商业载体优化升级</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正佳广场：</w:t>
            </w:r>
            <w:r>
              <w:rPr>
                <w:rFonts w:ascii="Times New Roman" w:hAnsi="Times New Roman" w:eastAsia="仿宋_GB2312" w:cs="Times New Roman"/>
                <w:color w:val="auto"/>
                <w:kern w:val="0"/>
                <w:sz w:val="24"/>
              </w:rPr>
              <w:t>发挥国家级4A级景区、夜间文化和旅游消费集聚区优势，进一步促进文商旅融合发展，用好三馆一街、演艺剧院，增加蜡像馆、科技馆、天文馆、冰雪乐园等文旅业态，策划一批特色主题活动、文艺演出；加大力度推进夜间经济发展，探索推出夜宿、夜游等活动；发挥优势，积极引进国内外知名奢侈品、中高端品牌、国风国潮特色品牌首店；整合文旅资源和商户资源，优化超级VIP联卡体系，实现入驻商家联动发展，增强消费吸引力。</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天河城</w:t>
            </w:r>
            <w:r>
              <w:rPr>
                <w:rFonts w:ascii="Times New Roman" w:hAnsi="Times New Roman" w:eastAsia="仿宋_GB2312" w:cs="Times New Roman"/>
                <w:color w:val="auto"/>
                <w:kern w:val="0"/>
                <w:sz w:val="24"/>
              </w:rPr>
              <w:t>：着力推进品牌升级、业态调整优化，引进国内外知名中高端品牌设立首店，引入符合客群特征的餐饮、生活服务、儿童亲子、文体娱类项目；举办特色活动，加强国粹国风、自然生态类产品推广；加强外立面、公共空间和氛围灯光等硬件更新改造，加强数字化运营改造，全面提升载体形象。</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太古汇</w:t>
            </w:r>
            <w:r>
              <w:rPr>
                <w:rFonts w:ascii="Times New Roman" w:hAnsi="Times New Roman" w:eastAsia="仿宋_GB2312" w:cs="Times New Roman"/>
                <w:color w:val="auto"/>
                <w:kern w:val="0"/>
                <w:sz w:val="24"/>
              </w:rPr>
              <w:t>：利用品牌效应，引进国内外顶奢品牌首店，加强布局优化，腾挪发展空间，着力承接香港奢侈品资源转移；举办品牌“产品秀”“首发式”等各类发布活动，开展时尚品牌和产品的展览展示，打造时尚品牌展示发布地标；联动国内外知名剧团、IP方等，策划沉浸式戏剧、知名IP主题展等特色活动；加强广州太古汇小程序、广州太古汇线上精品店等线上渠道宣传推广，提升载体数字化发展水平。</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天环广场</w:t>
            </w:r>
            <w:r>
              <w:rPr>
                <w:rFonts w:ascii="Times New Roman" w:hAnsi="Times New Roman" w:eastAsia="仿宋_GB2312" w:cs="Times New Roman"/>
                <w:color w:val="auto"/>
                <w:kern w:val="0"/>
                <w:sz w:val="24"/>
              </w:rPr>
              <w:t>：聚焦新生代潮人，引入时尚、科技、餐饮等领域首店，支持概念店、快闪店、城市限定店、品牌跨界联名店发展；策划文化跨界主题展，打造独家特色活动IP，构建客群休闲社交和打卡圣地；发挥新鸿基运营作用，联动香港及内地商业资源，进一步丰富载体品牌和业态，巩固“时尚潮玩空间”与“社交首选地”形象。</w:t>
            </w:r>
          </w:p>
        </w:tc>
      </w:tr>
    </w:tbl>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3" w:name="_Toc6271"/>
      <w:r>
        <w:rPr>
          <w:rFonts w:ascii="Times New Roman" w:hAnsi="Times New Roman" w:cs="Times New Roman"/>
          <w:color w:val="auto"/>
        </w:rPr>
        <w:t>2、加强空间挖潜，激发后街经济潜能增强商业活力</w:t>
      </w:r>
      <w:bookmarkEnd w:id="63"/>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推动以六运小区为核心的体育东西横街区域发展，承接天河路主街功能延伸，与大型综合商业载体形成优势互补，挖掘“后街经济”发展潜能。天河南一路着力布局小众精品店，与正佳广场、天环广场、天河城形成错位互补；依托天河南一路、天河南二路、体育西横街等餐饮业发展基础，加强引入创意式、体验式、多元文化餐饮，打造“美食后街”品牌，塑造广州美食地标；推动六运小区改造，推进街景街容整体升级，发展创意零售、书店、特色咖啡厅、艺术摄影等文化创意休闲业态，打造知名网红街区；参照商务部高品位步行街评价指标体系，加强天河南商业街改造提升，引进国内外特色品牌，积极支持本土品牌培育，加强铺装、喷泉、雕塑、小品和公共休憩空间建设，打造环境优、设施全、业态多、品质高、服务好的城市商业街。</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4" w:name="_Toc64"/>
      <w:r>
        <w:rPr>
          <w:rFonts w:ascii="Times New Roman" w:hAnsi="Times New Roman" w:cs="Times New Roman"/>
          <w:color w:val="auto"/>
        </w:rPr>
        <w:t>3、提升环境品质，打造优质发展空间优化消费体验</w:t>
      </w:r>
      <w:bookmarkEnd w:id="64"/>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推进落实《关于推动天河路商圈高质量发展的工作方案》中各项重点工作，完成《广州市天河路商圈区域综合城市功能提升策划及概念规划方案》编制，推进交通道路优化、特色景观体系打造、信息基础设施建设等工作，有效促进商圈环境提质。</w:t>
      </w:r>
      <w:r>
        <w:rPr>
          <w:rFonts w:ascii="Times New Roman" w:hAnsi="Times New Roman" w:eastAsia="仿宋_GB2312" w:cs="Times New Roman"/>
          <w:b/>
          <w:bCs/>
          <w:color w:val="auto"/>
          <w:kern w:val="0"/>
          <w:sz w:val="32"/>
          <w:szCs w:val="32"/>
        </w:rPr>
        <w:t>提高商圈内部通达性和道路品质</w:t>
      </w:r>
      <w:r>
        <w:rPr>
          <w:rFonts w:ascii="Times New Roman" w:hAnsi="Times New Roman" w:eastAsia="仿宋_GB2312" w:cs="Times New Roman"/>
          <w:color w:val="auto"/>
          <w:kern w:val="0"/>
          <w:sz w:val="32"/>
          <w:szCs w:val="32"/>
        </w:rPr>
        <w:t>。加快推动广园路-五山路等交通节点改造，实施五山路、石牌东路品质化改造；推进华旭街、龙口中路、龙口东路等沥青加铺及交通标线划定，开展非沥青路面整治；加快推进天河路—体育东路人行地道工程建设，推动跨体育东路人行地道及出入口电缆迁改工作；利用天河体育中心，以及支路、内接闲时停车，缓解停车难问题。</w:t>
      </w:r>
      <w:r>
        <w:rPr>
          <w:rFonts w:ascii="Times New Roman" w:hAnsi="Times New Roman" w:eastAsia="仿宋_GB2312" w:cs="Times New Roman"/>
          <w:b/>
          <w:bCs/>
          <w:color w:val="auto"/>
          <w:kern w:val="0"/>
          <w:sz w:val="32"/>
          <w:szCs w:val="32"/>
        </w:rPr>
        <w:t>打造商圈特色景观体系</w:t>
      </w:r>
      <w:r>
        <w:rPr>
          <w:rFonts w:ascii="Times New Roman" w:hAnsi="Times New Roman" w:eastAsia="仿宋_GB2312" w:cs="Times New Roman"/>
          <w:color w:val="auto"/>
          <w:kern w:val="0"/>
          <w:sz w:val="32"/>
          <w:szCs w:val="32"/>
        </w:rPr>
        <w:t>。探索在商圈内合适地点，建设具有特色的数字技术大屏，着力打造“一街一景”，形成商圈标志性场景和网红打卡点；提升夜间形象，做好商圈招牌、橱窗、外立面整体灯光设计，优化夜间雕塑、指引系统展示方式，策划照明艺术装置；加快推进体育中心周边楼宇楼顶绿化美化工作，积极利用绿地、闲置空间建设一批口袋公园；推动商圈范围内的城中村微改造，提升居住环境和社区配套，与商圈整体风貌和谐共生。</w:t>
      </w:r>
      <w:r>
        <w:rPr>
          <w:rFonts w:ascii="Times New Roman" w:hAnsi="Times New Roman" w:eastAsia="仿宋_GB2312" w:cs="Times New Roman"/>
          <w:b/>
          <w:bCs/>
          <w:color w:val="auto"/>
          <w:kern w:val="0"/>
          <w:sz w:val="32"/>
          <w:szCs w:val="32"/>
        </w:rPr>
        <w:t>加快推进智慧商圈信息基础设施建设</w:t>
      </w:r>
      <w:r>
        <w:rPr>
          <w:rFonts w:ascii="Times New Roman" w:hAnsi="Times New Roman" w:eastAsia="仿宋_GB2312" w:cs="Times New Roman"/>
          <w:color w:val="auto"/>
          <w:kern w:val="0"/>
          <w:sz w:val="32"/>
          <w:szCs w:val="32"/>
        </w:rPr>
        <w:t>。实现区域WiFi全覆盖，持续做好5G网络优化；铺设智慧灯杆，提供智慧照明、无线WiFi、一键报警、信息交互、智慧充电等服务。</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专栏10 天河路商圈智慧商圈建设</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 xml:space="preserve">天河路商圈已实现5G全覆盖，光纤覆盖率达100%；公共区域共建设有公共安全视频智能感知前端178个、智能交通监拍前端点2个，在商圈重点区域重点路段实现视频监控100%全覆盖；各商业综合体出入口均配备客流摄像头进行实时人体数据统计及分析；商圈内提供有超十种便民服务智能终端，包括智慧灯杆、智能导视牌、智能图书借阅机、政务服务自助设备、自助手机回收设备、智能公共厕所、智能导购屏等，为消费者提供触手可及的便捷服务；已有智慧健身镜、智能LED触摸互动屏、新能源品牌汽车自助定制、自助停车查询系统、智能支付等各类智慧场景，总体智慧商圈建设基础良好。 </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“十四五”期间，天河路商圈将进一步收集整合数据，加强商业运营数据分析模型研发，进一步集成各类公共服务功能，加强用信息化手段激发商业发展活力，推动智慧商圈建设，并积极申报全国示范智慧商圈。</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2022年，完成天河路智慧商圈平台、小程序、智能设施设备等建设，实现1.0版本的智慧商圈，促进商圈客流量增长5.1%、营业额增长4.8%、空置率降低1.2%。</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2023年，将进一步推进天河路商圈智慧化、智能化建设，整合各有关公共数据，加强信息共享，强化商业运营数据分析，形成2.0版本的智慧商圈，实施精准营销，商圈年营业额、人流量将实现5%增长，商业空置率将降低至5%以下。</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 xml:space="preserve">2024年，持续优化提升天河路商圈智能设施、设备，进一步激发商业发展活力，优质商品和服务供给水平大幅提升，打造便民惠商的智慧体系，推动天河路商圈向世界级地标商圈发展。 </w:t>
            </w:r>
          </w:p>
        </w:tc>
      </w:tr>
    </w:tbl>
    <w:p>
      <w:pPr>
        <w:pStyle w:val="3"/>
        <w:pageBreakBefore w:val="0"/>
        <w:numPr>
          <w:ilvl w:val="0"/>
          <w:numId w:val="2"/>
        </w:numPr>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5" w:name="_Toc13811"/>
      <w:r>
        <w:rPr>
          <w:rFonts w:ascii="Times New Roman" w:hAnsi="Times New Roman" w:cs="Times New Roman"/>
          <w:color w:val="auto"/>
        </w:rPr>
        <w:t>推进珠江新城商圈打造世界级中央活力商圈</w:t>
      </w:r>
      <w:bookmarkEnd w:id="65"/>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专栏11 珠江新城商圈发展现状及存在问题</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发展现状</w:t>
            </w:r>
            <w:r>
              <w:rPr>
                <w:rFonts w:ascii="Times New Roman" w:hAnsi="Times New Roman" w:eastAsia="仿宋_GB2312" w:cs="Times New Roman"/>
                <w:color w:val="auto"/>
                <w:kern w:val="0"/>
                <w:sz w:val="24"/>
              </w:rPr>
              <w:t>：天河路商圈总面积6平方公里，2020年实现商品销售总额2601.89亿元，社会消费品零售总额375.25亿元（占全区比重超21%）；汇聚四上企业1221家（占全区比重超17%），总营收超3600亿元；集聚了K11、天汇广场、天德广场等9家大型购物中心，丽思卡尔顿、四季、瑰丽等多家高端酒店，是是广州市高端酒店最为密集的区域；商圈内有67栋商务楼宇，办公面积超500万平方米，其中税收超十亿元楼宇8栋，超亿元楼宇39栋，广州市认定的超甲级写字楼12栋（占全市7成），商务特征明显。</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存在问题</w:t>
            </w:r>
            <w:r>
              <w:rPr>
                <w:rFonts w:ascii="Times New Roman" w:hAnsi="Times New Roman" w:eastAsia="仿宋_GB2312" w:cs="Times New Roman"/>
                <w:color w:val="auto"/>
                <w:kern w:val="0"/>
                <w:sz w:val="24"/>
              </w:rPr>
              <w:t>：</w:t>
            </w:r>
            <w:r>
              <w:rPr>
                <w:rFonts w:ascii="Times New Roman" w:hAnsi="Times New Roman" w:eastAsia="仿宋_GB2312" w:cs="Times New Roman"/>
                <w:b/>
                <w:bCs/>
                <w:color w:val="auto"/>
                <w:kern w:val="0"/>
                <w:sz w:val="24"/>
              </w:rPr>
              <w:t>一是商业载体分散且营运水平不高，与区域形象定位略不相称。</w:t>
            </w:r>
            <w:r>
              <w:rPr>
                <w:rFonts w:ascii="Times New Roman" w:hAnsi="Times New Roman" w:eastAsia="仿宋_GB2312" w:cs="Times New Roman"/>
                <w:color w:val="auto"/>
                <w:kern w:val="0"/>
                <w:sz w:val="24"/>
              </w:rPr>
              <w:t>商圈现有商业载体位置比较分散、规模较小、业态重合度高，目前商圈内最大的单体商场仅有10万平方米，且多以写字楼配套商业为主，商业规模较小；各商业综合体品牌重复入驻、产品丰富度低、业态发展单一，为迎合商圈内白领群体的工作日就餐和商务宴请需求，商圈内餐饮占比较高；缺乏具有强大运营能力的国内外头部商业地产运营商，部分载体运营水平有待提升。</w:t>
            </w:r>
            <w:r>
              <w:rPr>
                <w:rFonts w:ascii="Times New Roman" w:hAnsi="Times New Roman" w:eastAsia="仿宋_GB2312" w:cs="Times New Roman"/>
                <w:b/>
                <w:bCs/>
                <w:color w:val="auto"/>
                <w:kern w:val="0"/>
                <w:sz w:val="24"/>
              </w:rPr>
              <w:t>二是多元消费供给品质和特色不强，多样化国际化水平待提升</w:t>
            </w:r>
            <w:r>
              <w:rPr>
                <w:rFonts w:ascii="Times New Roman" w:hAnsi="Times New Roman" w:eastAsia="仿宋_GB2312" w:cs="Times New Roman"/>
                <w:color w:val="auto"/>
                <w:kern w:val="0"/>
                <w:sz w:val="24"/>
              </w:rPr>
              <w:t>。生活性服务和生产性服务规模较小、竞争力不足，缺乏精细化、个性化供给；高端专业服务业在国际化、高端化、专业化方面能级不高，只能承接附加值较低的中低端业务；产品、品牌丰富度和品质有待提升；消费应用场景多样化不够，目前商圈内多数载体聚焦于单一零售百货或者餐饮+零售的模式，总体上缺乏对新型应用场景的探索；商圈内分布有36个国家总领事馆，外籍人员占全区约1/3，国际化资源丰富，但却缺乏与之相对应的国际化产品供给，国际化消费力远未发挥出应有作用。</w:t>
            </w:r>
            <w:r>
              <w:rPr>
                <w:rFonts w:ascii="Times New Roman" w:hAnsi="Times New Roman" w:eastAsia="仿宋_GB2312" w:cs="Times New Roman"/>
                <w:b/>
                <w:bCs/>
                <w:color w:val="auto"/>
                <w:kern w:val="0"/>
                <w:sz w:val="24"/>
              </w:rPr>
              <w:t>三是文商旅体娱融合发展水平不够，产业互动协同发展待激发</w:t>
            </w:r>
            <w:r>
              <w:rPr>
                <w:rFonts w:ascii="Times New Roman" w:hAnsi="Times New Roman" w:eastAsia="仿宋_GB2312" w:cs="Times New Roman"/>
                <w:color w:val="auto"/>
                <w:kern w:val="0"/>
                <w:sz w:val="24"/>
              </w:rPr>
              <w:t>。作为“城市封面”，商圈在地标建筑、景观环境、文化载体、文化平台等方面具有特殊优势，但目前商业功能发展滞后于“城市客厅”功能，未能将“城市客厅”有效转化为消费目的地。海心沙目前还停留在“市民广场”定位，人流未能转化为客流；广州市大剧院、广东省博物馆等文化平台的产品或服务商业化开发有待丰富，与其他产业的融合度不高；广马、广州国际灯光节等活动赛事资源挖掘开发不足，未能与商业载体建立互动，对服务业的辐射带动作用不强；沉浸式体验型业态或场景在城市空间、商业综合体、文化场馆、景区街区等扩展应用不够。</w:t>
            </w:r>
          </w:p>
        </w:tc>
      </w:tr>
    </w:tbl>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6" w:name="_Toc25769"/>
      <w:r>
        <w:rPr>
          <w:rFonts w:ascii="Times New Roman" w:hAnsi="Times New Roman" w:cs="Times New Roman"/>
          <w:color w:val="auto"/>
        </w:rPr>
        <w:t>1、坚持商品与服务并重，贸易与消费兼顾</w:t>
      </w:r>
      <w:bookmarkEnd w:id="66"/>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kern w:val="0"/>
          <w:sz w:val="32"/>
          <w:szCs w:val="32"/>
        </w:rPr>
        <w:t>加快集聚国内外知名品牌</w:t>
      </w:r>
      <w:r>
        <w:rPr>
          <w:rFonts w:ascii="Times New Roman" w:hAnsi="Times New Roman" w:eastAsia="仿宋_GB2312" w:cs="Times New Roman"/>
          <w:color w:val="auto"/>
          <w:kern w:val="0"/>
          <w:sz w:val="32"/>
          <w:szCs w:val="32"/>
        </w:rPr>
        <w:t>。</w:t>
      </w:r>
      <w:r>
        <w:rPr>
          <w:rFonts w:ascii="Times New Roman" w:hAnsi="Times New Roman" w:eastAsia="仿宋_GB2312" w:cs="Times New Roman"/>
          <w:color w:val="auto"/>
          <w:sz w:val="32"/>
          <w:szCs w:val="32"/>
        </w:rPr>
        <w:t>支持在K11、天汇广场、天德广场等商圈载体内开设首店、旗舰店、体验店、定制中心，发展原创品牌概念店、定制店；构建数字消费场景，在楼宇、住宅、景点布局一批智慧驿站、智慧书店，在K11、天汇广场、高德置地、天德广场等载体引入AR虚拟试穿、VR虚拟购物等体验式消费场景；支持花城广场以及联动周边商业综合体建立专区，为智能家居、智能网联汽车、VR/AR、无人机、可穿戴设备等数字技术企业提供产品展示销售空间。</w:t>
      </w:r>
      <w:r>
        <w:rPr>
          <w:rFonts w:ascii="Times New Roman" w:hAnsi="Times New Roman" w:eastAsia="仿宋_GB2312" w:cs="Times New Roman"/>
          <w:b/>
          <w:bCs/>
          <w:color w:val="auto"/>
          <w:sz w:val="32"/>
          <w:szCs w:val="32"/>
        </w:rPr>
        <w:t>加强生活性服务业供给</w:t>
      </w:r>
      <w:r>
        <w:rPr>
          <w:rFonts w:ascii="Times New Roman" w:hAnsi="Times New Roman" w:eastAsia="仿宋_GB2312" w:cs="Times New Roman"/>
          <w:color w:val="auto"/>
          <w:sz w:val="32"/>
          <w:szCs w:val="32"/>
        </w:rPr>
        <w:t>。促进文化娱乐、休闲旅游、高端医美、体育运动等服务供给，发挥广州大剧院、广州粤剧院作用，引入高规格艺术作品演出，推动小剧场业态导入商场；支持广东省博物馆、广州图书馆等文化平台与商业载体充分联动，联合策划相关展览、讲座、读书会、沙龙等活动；在沿江区域，围绕海心沙、花城广场、珠江等开发休闲旅游线路和旅游项目；依托紫馨、华美等机构，加快推动医美集聚发展，探索在商圈内打造医美街区；推动广州国际马拉松、广州垂直马拉松等赛事发展，探索在花城广场、海心沙、商业综合体引入定向挑战赛、趣味篮球赛、小型电竞赛等特色赛事。</w:t>
      </w:r>
      <w:r>
        <w:rPr>
          <w:rFonts w:ascii="Times New Roman" w:hAnsi="Times New Roman" w:eastAsia="仿宋_GB2312" w:cs="Times New Roman"/>
          <w:b/>
          <w:bCs/>
          <w:color w:val="auto"/>
          <w:sz w:val="32"/>
          <w:szCs w:val="32"/>
        </w:rPr>
        <w:t>加快集聚高能级市场主体。</w:t>
      </w:r>
      <w:r>
        <w:rPr>
          <w:rFonts w:ascii="Times New Roman" w:hAnsi="Times New Roman" w:eastAsia="仿宋_GB2312" w:cs="Times New Roman"/>
          <w:color w:val="auto"/>
          <w:sz w:val="32"/>
          <w:szCs w:val="32"/>
        </w:rPr>
        <w:t>发挥中央商务区总部经济优势，加强全球高能级优质市场主体引育，吸引一批中高端消费品牌跨国企业、贸易总部企业、供应链企业，鼓励设立全球总部、区域性总部和研发设计中心、产品定制中心、采购结算中心、运营管理中心、展示交易中心等，提供针对性政策扶持，助力企业做大市场、做大增量、做强能级，培育一批具有汇聚和配置全球资源能力的优质企业，增强商圈资源配置能力。</w:t>
      </w: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67" w:name="_Toc25868"/>
      <w:r>
        <w:rPr>
          <w:rFonts w:ascii="Times New Roman" w:hAnsi="Times New Roman" w:cs="Times New Roman"/>
          <w:color w:val="auto"/>
        </w:rPr>
        <w:t>2、提升载体运营水平，加快拓展增量空间</w:t>
      </w:r>
      <w:bookmarkEnd w:id="67"/>
      <w:r>
        <w:rPr>
          <w:rFonts w:ascii="Times New Roman" w:hAnsi="Times New Roman" w:cs="Times New Roman"/>
          <w:color w:val="auto"/>
        </w:rPr>
        <w:t xml:space="preserve"> </w:t>
      </w:r>
    </w:p>
    <w:p>
      <w:pPr>
        <w:pageBreakBefore w:val="0"/>
        <w:kinsoku/>
        <w:wordWrap/>
        <w:overflowPunct/>
        <w:topLinePunct w:val="0"/>
        <w:autoSpaceDE/>
        <w:autoSpaceDN/>
        <w:bidi w:val="0"/>
        <w:adjustRightInd/>
        <w:snapToGrid/>
        <w:spacing w:beforeAutospacing="0" w:afterAutospacing="0" w:line="560" w:lineRule="exact"/>
        <w:ind w:right="0" w:rightChars="0" w:firstLine="56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统筹指导商圈招商工作</w:t>
      </w:r>
      <w:r>
        <w:rPr>
          <w:rFonts w:ascii="Times New Roman" w:hAnsi="Times New Roman" w:eastAsia="仿宋_GB2312" w:cs="Times New Roman"/>
          <w:color w:val="auto"/>
          <w:sz w:val="32"/>
          <w:szCs w:val="32"/>
        </w:rPr>
        <w:t>，促进商业综合体之间在品牌、业态上形成错位互补，发展多元化业态，提升品牌和产品丰富度；鼓励商业载体引进全国、华南、广州首店，以及特色、原创、小众品牌，建立起多样化、特色化的业态和品牌体系，不断扩大消费目标群体。</w:t>
      </w:r>
      <w:r>
        <w:rPr>
          <w:rFonts w:ascii="Times New Roman" w:hAnsi="Times New Roman" w:eastAsia="仿宋_GB2312" w:cs="Times New Roman"/>
          <w:b/>
          <w:bCs/>
          <w:color w:val="auto"/>
          <w:sz w:val="32"/>
          <w:szCs w:val="32"/>
        </w:rPr>
        <w:t>支持商业载体委托国内外头部商业运营商提升运营管理水平</w:t>
      </w:r>
      <w:r>
        <w:rPr>
          <w:rFonts w:ascii="Times New Roman" w:hAnsi="Times New Roman" w:eastAsia="仿宋_GB2312" w:cs="Times New Roman"/>
          <w:color w:val="auto"/>
          <w:sz w:val="32"/>
          <w:szCs w:val="32"/>
        </w:rPr>
        <w:t>，结合自身发展战略和特色，打造购物、展览、美食体验等品牌活动；加强载体界面管理，优化导识、物料、照明等硬件环境；优化载体动线设计，打破内部分割现状；引导基于大数据的客群画像分析有针对性地动态调整业态布局、招商、宣传、营销等系列动作，探索店面数字化、运营数字化、供应链管理数字化和消费场景数字化。借助冼村旧改和马场更新机遇，</w:t>
      </w:r>
      <w:r>
        <w:rPr>
          <w:rFonts w:ascii="Times New Roman" w:hAnsi="Times New Roman" w:eastAsia="仿宋_GB2312" w:cs="Times New Roman"/>
          <w:b/>
          <w:bCs/>
          <w:color w:val="auto"/>
          <w:sz w:val="32"/>
          <w:szCs w:val="32"/>
        </w:rPr>
        <w:t>加快引入国内外头部企业建设全业态大型商业综合体，</w:t>
      </w:r>
      <w:r>
        <w:rPr>
          <w:rFonts w:ascii="Times New Roman" w:hAnsi="Times New Roman" w:eastAsia="仿宋_GB2312" w:cs="Times New Roman"/>
          <w:color w:val="auto"/>
          <w:sz w:val="32"/>
          <w:szCs w:val="32"/>
        </w:rPr>
        <w:t>打造具有消费引领力的高品质商业载体，盘活黄埔大道西和商圈东部的商业氛围。抓住支持天河中央商务区建设“四个出新出彩”示范区机遇，积极配合市级规划，对海心沙进行改造设计和活化利用，在西侧建设湾区音乐博物馆，东侧建设英迪格精品酒店；谋划建设世界级现代艺术展览馆，结合现有文化载体共同构建现代文化地标群。</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bookmarkStart w:id="68" w:name="_Hlk111415196"/>
            <w:r>
              <w:rPr>
                <w:rFonts w:ascii="Times New Roman" w:hAnsi="Times New Roman" w:eastAsia="仿宋_GB2312" w:cs="Times New Roman"/>
                <w:b/>
                <w:bCs/>
                <w:color w:val="auto"/>
                <w:kern w:val="0"/>
                <w:sz w:val="24"/>
              </w:rPr>
              <w:t>专栏12珠江新城商圈商业载体提质增效策略建议</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K11：</w:t>
            </w:r>
            <w:r>
              <w:rPr>
                <w:rFonts w:ascii="Times New Roman" w:hAnsi="Times New Roman" w:eastAsia="仿宋_GB2312" w:cs="Times New Roman"/>
                <w:color w:val="auto"/>
                <w:kern w:val="0"/>
                <w:sz w:val="24"/>
              </w:rPr>
              <w:t>强化艺术、人文、自然融合，增强与广东省博物馆、广州图书馆和大剧院等合作，策划主题展览、沙龙、文艺演出等，进一步丰富文化体验；瞄准金领、白领、高端居住人群，引进国内外知名奢侈品、中高端品牌，积极引入各类首店。</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高德置地</w:t>
            </w:r>
            <w:r>
              <w:rPr>
                <w:rFonts w:ascii="Times New Roman" w:hAnsi="Times New Roman" w:eastAsia="仿宋_GB2312" w:cs="Times New Roman"/>
                <w:color w:val="auto"/>
                <w:kern w:val="0"/>
                <w:sz w:val="24"/>
              </w:rPr>
              <w:t>：高端商务配套为主，引入知名写字楼配套商业运营商，重塑春、夏、秋、冬四大板块定位，形成既特色突出又有机统一发展格局，结合消费业态，提升场内动线设计与消费习惯的融合度；瞄准周边居住人群及商务人士，增加个性化、体验式、场景化、跨界消费业态；结合场地特性，打造时尚展示空间，举办时装秀、新品发布秀等，积极发展时尚产业；抓住广东省建设县域汽车综合卖场机遇，着力打造微型汽车集聚地。</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花城汇</w:t>
            </w:r>
            <w:r>
              <w:rPr>
                <w:rFonts w:ascii="Times New Roman" w:hAnsi="Times New Roman" w:eastAsia="仿宋_GB2312" w:cs="Times New Roman"/>
                <w:color w:val="auto"/>
                <w:kern w:val="0"/>
                <w:sz w:val="24"/>
              </w:rPr>
              <w:t>：引进优质运营机构，对北区、中区、南区进行统一运营管理，统筹规划招商、营销、活动策划、标识指引等，同时实现区域之间的互联互通，联动K11、高德置地等推动整体片区的转型升级；瞄准白领、游客，重点发展优质中高端简餐、特色品牌餐饮、咖啡厅，以及特色商品和新兴体验业态，利用下沉广场举办促销、产品发布、快闪等活动。</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天德广场</w:t>
            </w:r>
            <w:r>
              <w:rPr>
                <w:rFonts w:ascii="Times New Roman" w:hAnsi="Times New Roman" w:eastAsia="仿宋_GB2312" w:cs="Times New Roman"/>
                <w:color w:val="auto"/>
                <w:kern w:val="0"/>
                <w:sz w:val="24"/>
              </w:rPr>
              <w:t>：以餐饮、酒吧、KTV等为主，融入快闪街文化，着力发展时尚、潮流消费，成为集城市会客厅、岭南风情步行街、配套商业、休闲娱乐、空中观光旅游于一体的全新综合体地标。联动猎德涌，串联天河路商圈、珠江新城商圈和广州塔-琶洲商圈最受欢迎夜生活打卡点，打造广州市地标性夜间经济集聚区。</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天汇广场</w:t>
            </w:r>
            <w:r>
              <w:rPr>
                <w:rFonts w:ascii="Times New Roman" w:hAnsi="Times New Roman" w:eastAsia="仿宋_GB2312" w:cs="Times New Roman"/>
                <w:color w:val="auto"/>
                <w:kern w:val="0"/>
                <w:sz w:val="24"/>
              </w:rPr>
              <w:t>：瞄准住宅人群、商务人士、游客等，实现全业态发展，打造中高端商业综合体。持续引入特色品牌，打造超级IP人气活动，以“轻奢时尚风向标”为定位，与K11一起成为珠江新城商圈首店“双子星”。</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bookmarkStart w:id="69" w:name="_Hlk111416422"/>
            <w:r>
              <w:rPr>
                <w:rFonts w:ascii="Times New Roman" w:hAnsi="Times New Roman" w:eastAsia="仿宋_GB2312" w:cs="Times New Roman"/>
                <w:b/>
                <w:bCs/>
                <w:color w:val="auto"/>
                <w:kern w:val="0"/>
                <w:sz w:val="24"/>
              </w:rPr>
              <w:t>维家思广场</w:t>
            </w:r>
            <w:bookmarkEnd w:id="69"/>
            <w:r>
              <w:rPr>
                <w:rFonts w:ascii="Times New Roman" w:hAnsi="Times New Roman" w:eastAsia="仿宋_GB2312" w:cs="Times New Roman"/>
                <w:color w:val="auto"/>
                <w:kern w:val="0"/>
                <w:sz w:val="24"/>
              </w:rPr>
              <w:t>：开展外立面改造，提升载体形象，优化载体内部空间布局，加大体验式业态占比，以精品家居为重点，借助城市客厅，打造家居展示、体验、销售窗口，积极探索建设定制家居体验中心。</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优托邦CBD</w:t>
            </w:r>
            <w:r>
              <w:rPr>
                <w:rFonts w:ascii="Times New Roman" w:hAnsi="Times New Roman" w:eastAsia="仿宋_GB2312" w:cs="Times New Roman"/>
                <w:color w:val="auto"/>
                <w:kern w:val="0"/>
                <w:sz w:val="24"/>
              </w:rPr>
              <w:t>：瞄准社区经济，以高端家庭配套为主，重点发展医美、中医、健身、艺术培训、影院、美妆、生鲜超市等生活服务。面向高收入群体打造艺术空间、画廊等业态；探索打造屋顶儿童乐园、跑道、农场、花园等，拓展亲子客户，促进社区居民交流与互动；重点针对体验式消费，发展烹饪、烘培、自制手工皂、插花等业态。</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国金天地</w:t>
            </w:r>
            <w:r>
              <w:rPr>
                <w:rFonts w:ascii="Times New Roman" w:hAnsi="Times New Roman" w:eastAsia="仿宋_GB2312" w:cs="Times New Roman"/>
                <w:color w:val="auto"/>
                <w:kern w:val="0"/>
                <w:sz w:val="24"/>
              </w:rPr>
              <w:t>：联动周边写字楼、酒店、公寓，瞄准商务人士和写字楼白领，探索百货式业态转型升级。针对商务人士特征和需求，发展高端美妆、商务形象设计等业态，积极引入轻奢、科技品牌，探索阶梯自习室、大咖分享/主题阅读型读书会等创新业态。</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太阳新天地</w:t>
            </w:r>
            <w:r>
              <w:rPr>
                <w:rFonts w:ascii="Times New Roman" w:hAnsi="Times New Roman" w:eastAsia="仿宋_GB2312" w:cs="Times New Roman"/>
                <w:color w:val="auto"/>
                <w:kern w:val="0"/>
                <w:sz w:val="24"/>
              </w:rPr>
              <w:t>：以年轻家庭客群为主，周边写字楼人群为辅，加快推进业态调整，围绕运动、文化、科技、品质教培等引进更多生活服务、文体娱乐、创新体验类业态，满足家庭客的“全业态”需求，探索打造亲子中心、全龄段儿童活动区、宠物主题馆等；加强与广东省博物馆等机构合作，打造创意展览、科普游园会等主题活动；引入知名动漫、电影IP，打造IP主题展、动漫展厅等体验性设施；面向家长完善购物、美容美发、咖啡厅、科技产品体验等业态。</w:t>
            </w:r>
          </w:p>
        </w:tc>
      </w:tr>
      <w:bookmarkEnd w:id="68"/>
    </w:tbl>
    <w:p>
      <w:pPr>
        <w:pageBreakBefore w:val="0"/>
        <w:kinsoku/>
        <w:wordWrap/>
        <w:overflowPunct/>
        <w:topLinePunct w:val="0"/>
        <w:autoSpaceDE/>
        <w:autoSpaceDN/>
        <w:bidi w:val="0"/>
        <w:adjustRightInd/>
        <w:snapToGrid/>
        <w:spacing w:beforeAutospacing="0" w:afterAutospacing="0" w:line="560" w:lineRule="exact"/>
        <w:ind w:right="0" w:rightChars="0" w:firstLine="420" w:firstLineChars="200"/>
        <w:rPr>
          <w:rFonts w:ascii="Times New Roman" w:hAnsi="Times New Roman" w:cs="Times New Roman"/>
          <w:color w:val="auto"/>
        </w:rPr>
      </w:pPr>
    </w:p>
    <w:p>
      <w:pPr>
        <w:pageBreakBefore w:val="0"/>
        <w:kinsoku/>
        <w:wordWrap/>
        <w:overflowPunct/>
        <w:topLinePunct w:val="0"/>
        <w:autoSpaceDE/>
        <w:autoSpaceDN/>
        <w:bidi w:val="0"/>
        <w:adjustRightInd/>
        <w:snapToGrid/>
        <w:spacing w:beforeAutospacing="0" w:afterAutospacing="0" w:line="560" w:lineRule="exact"/>
        <w:ind w:right="0" w:rightChars="0" w:firstLine="420" w:firstLineChars="200"/>
        <w:rPr>
          <w:rFonts w:ascii="Times New Roman" w:hAnsi="Times New Roman" w:cs="Times New Roman"/>
          <w:color w:val="auto"/>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专栏13珠江新城商圈新增载体情况</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粤海金融中心</w:t>
            </w:r>
            <w:r>
              <w:rPr>
                <w:rFonts w:ascii="Times New Roman" w:hAnsi="Times New Roman" w:eastAsia="仿宋_GB2312" w:cs="Times New Roman"/>
                <w:color w:val="auto"/>
                <w:kern w:val="0"/>
                <w:sz w:val="24"/>
              </w:rPr>
              <w:t>：总面积30万平方米，其中写字楼面积23万平方米，商业面积3万平方米。</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冼村旧改</w:t>
            </w:r>
            <w:r>
              <w:rPr>
                <w:rFonts w:ascii="Times New Roman" w:hAnsi="Times New Roman" w:eastAsia="仿宋_GB2312" w:cs="Times New Roman"/>
                <w:color w:val="auto"/>
                <w:kern w:val="0"/>
                <w:sz w:val="24"/>
              </w:rPr>
              <w:t>：总面积107.67平方米，其中可释放商业面积33.1万平方米。</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英迪格（Indigo）酒店</w:t>
            </w:r>
            <w:r>
              <w:rPr>
                <w:rFonts w:ascii="Times New Roman" w:hAnsi="Times New Roman" w:eastAsia="仿宋_GB2312" w:cs="Times New Roman"/>
                <w:color w:val="auto"/>
                <w:kern w:val="0"/>
                <w:sz w:val="24"/>
              </w:rPr>
              <w:t>：位于海心沙东侧，洲际酒店旗下精品品牌（华南首店），总建筑面积2万平方米，规划客房约150 间，预计2023 年第一季度开业。</w:t>
            </w:r>
          </w:p>
          <w:p>
            <w:pPr>
              <w:pStyle w:val="7"/>
              <w:pageBreakBefore w:val="0"/>
              <w:kinsoku/>
              <w:wordWrap/>
              <w:overflowPunct/>
              <w:topLinePunct w:val="0"/>
              <w:autoSpaceDE/>
              <w:autoSpaceDN/>
              <w:bidi w:val="0"/>
              <w:adjustRightInd/>
              <w:snapToGrid/>
              <w:spacing w:beforeAutospacing="0" w:afterAutospacing="0" w:line="560" w:lineRule="exact"/>
              <w:ind w:right="0" w:rightChars="0" w:firstLine="482"/>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湾区音乐博物馆</w:t>
            </w:r>
            <w:r>
              <w:rPr>
                <w:rFonts w:ascii="Times New Roman" w:hAnsi="Times New Roman" w:eastAsia="仿宋_GB2312" w:cs="Times New Roman"/>
                <w:color w:val="auto"/>
                <w:kern w:val="0"/>
                <w:sz w:val="24"/>
              </w:rPr>
              <w:t>：位于海心沙西侧，室内总建筑面积约6000平方米，主要功能包括静态展陈、活态展演及研究教育，设置固定展览和临时展览（主题展览）、小型沙龙式交流场地、实验剧场、琴房及音乐家工作室、录音棚等，建成后将成为粤港澳大湾区的“音乐航母”，成为粤港澳、全国乃至世界文化旅游新地标。</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世界级现代艺术展览馆</w:t>
            </w:r>
            <w:r>
              <w:rPr>
                <w:rFonts w:ascii="Times New Roman" w:hAnsi="Times New Roman" w:eastAsia="仿宋_GB2312" w:cs="Times New Roman"/>
                <w:color w:val="auto"/>
                <w:kern w:val="0"/>
                <w:sz w:val="24"/>
              </w:rPr>
              <w:t>：暂缺</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马场改造</w:t>
            </w:r>
            <w:r>
              <w:rPr>
                <w:rFonts w:ascii="Times New Roman" w:hAnsi="Times New Roman" w:eastAsia="仿宋_GB2312" w:cs="Times New Roman"/>
                <w:color w:val="auto"/>
                <w:kern w:val="0"/>
                <w:sz w:val="24"/>
              </w:rPr>
              <w:t>：预计总面积90-120平方米，暂缺</w:t>
            </w:r>
          </w:p>
        </w:tc>
      </w:tr>
    </w:tbl>
    <w:p>
      <w:pPr>
        <w:pageBreakBefore w:val="0"/>
        <w:kinsoku/>
        <w:wordWrap/>
        <w:overflowPunct/>
        <w:topLinePunct w:val="0"/>
        <w:autoSpaceDE/>
        <w:autoSpaceDN/>
        <w:bidi w:val="0"/>
        <w:adjustRightInd/>
        <w:snapToGrid/>
        <w:spacing w:beforeAutospacing="0" w:afterAutospacing="0" w:line="560" w:lineRule="exact"/>
        <w:ind w:right="0" w:rightChars="0" w:firstLine="420" w:firstLineChars="200"/>
        <w:rPr>
          <w:rFonts w:ascii="Times New Roman" w:hAnsi="Times New Roman" w:cs="Times New Roman"/>
          <w:color w:val="auto"/>
        </w:rPr>
      </w:pP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0" w:name="_Toc2690"/>
      <w:r>
        <w:rPr>
          <w:rFonts w:ascii="Times New Roman" w:hAnsi="Times New Roman" w:cs="Times New Roman"/>
          <w:color w:val="auto"/>
        </w:rPr>
        <w:t>3、联动天河路商圈，打造文商旅体融合发展第一圈</w:t>
      </w:r>
      <w:bookmarkEnd w:id="70"/>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sz w:val="32"/>
          <w:szCs w:val="32"/>
        </w:rPr>
        <w:t>连片提升广州东站、天河体育中心、“六运”小区、花城广场、海心沙、海心桥，将中轴重点节点串珠成链，推动两大商圈在物理空间和商业业态上的无缝链接，塑造一条文化、购物、美食、体育、旅游等主题突出的世界级城市中轴。</w:t>
      </w:r>
      <w:r>
        <w:rPr>
          <w:rFonts w:ascii="Times New Roman" w:hAnsi="Times New Roman" w:eastAsia="仿宋_GB2312" w:cs="Times New Roman"/>
          <w:b/>
          <w:bCs/>
          <w:color w:val="auto"/>
          <w:sz w:val="32"/>
          <w:szCs w:val="32"/>
        </w:rPr>
        <w:t>联动打造“广州综合消费新体验”</w:t>
      </w:r>
      <w:r>
        <w:rPr>
          <w:rFonts w:ascii="Times New Roman" w:hAnsi="Times New Roman" w:eastAsia="仿宋_GB2312" w:cs="Times New Roman"/>
          <w:color w:val="auto"/>
          <w:sz w:val="32"/>
          <w:szCs w:val="32"/>
        </w:rPr>
        <w:t>。整合两大商圈的商品、文化、服务消费资源，发挥天河路商会作用，探索建立联合会员体系，联动重点商业载体及购物、餐饮、住宿、医美、康养、文化等领域商家，以“天河路-珠江新城商圈”为名整体打造购物生态，做好联动促销，推出专享优惠券及丰富免费体验活动</w:t>
      </w:r>
      <w:bookmarkStart w:id="71" w:name="_Hlk101017844"/>
      <w:r>
        <w:rPr>
          <w:rFonts w:ascii="Times New Roman" w:hAnsi="Times New Roman" w:eastAsia="仿宋_GB2312" w:cs="Times New Roman"/>
          <w:color w:val="auto"/>
          <w:sz w:val="32"/>
          <w:szCs w:val="32"/>
        </w:rPr>
        <w:t>。</w:t>
      </w:r>
      <w:bookmarkEnd w:id="71"/>
      <w:bookmarkStart w:id="72" w:name="_Hlk101018628"/>
      <w:r>
        <w:rPr>
          <w:rFonts w:ascii="Times New Roman" w:hAnsi="Times New Roman" w:eastAsia="仿宋_GB2312" w:cs="Times New Roman"/>
          <w:b/>
          <w:bCs/>
          <w:color w:val="auto"/>
          <w:sz w:val="32"/>
          <w:szCs w:val="32"/>
        </w:rPr>
        <w:t>积极举办活动提升消费氛围。</w:t>
      </w:r>
      <w:r>
        <w:rPr>
          <w:rFonts w:ascii="Times New Roman" w:hAnsi="Times New Roman" w:eastAsia="仿宋_GB2312" w:cs="Times New Roman"/>
          <w:color w:val="auto"/>
          <w:sz w:val="32"/>
          <w:szCs w:val="32"/>
        </w:rPr>
        <w:t>继续办好广州国际购物节、美食节，带动购物、住宿、餐饮等关联业态发展；发挥天河CBD作为全球商务区创新联合会副会长单位作用，联合天河路商会，链接全球高端资源渠道，主动或承办一批国际论坛和活动；探索联合“造节”“造爆款”，策划打造一批国潮节、啤酒节、狂欢节、艺术节、汽车节、美食节等“消费购物节”，打造不落幕的消费氛围；支持商圈内品牌跨界联名，推动差异化品牌的跨店联动，重点用好首店和丰富的品牌资源，打造一批网红爆款产品、快闪店、限时店，激活商圈和消费活力。</w:t>
      </w:r>
      <w:bookmarkEnd w:id="72"/>
      <w:r>
        <w:rPr>
          <w:rFonts w:ascii="Times New Roman" w:hAnsi="Times New Roman" w:eastAsia="仿宋_GB2312" w:cs="Times New Roman"/>
          <w:b/>
          <w:bCs/>
          <w:color w:val="auto"/>
          <w:kern w:val="0"/>
          <w:sz w:val="32"/>
          <w:szCs w:val="32"/>
        </w:rPr>
        <w:t>加强文商旅融合发展</w:t>
      </w:r>
      <w:r>
        <w:rPr>
          <w:rFonts w:ascii="Times New Roman" w:hAnsi="Times New Roman" w:eastAsia="仿宋_GB2312" w:cs="Times New Roman"/>
          <w:color w:val="auto"/>
          <w:kern w:val="0"/>
          <w:sz w:val="32"/>
          <w:szCs w:val="32"/>
        </w:rPr>
        <w:t>。依托广州大剧院、广州粤剧院、海心沙、正佳演艺剧院等文化载体，引入各类文艺演出，支持引入知名歌手、乐团、舞团等打造驻场秀，联合港澳艺术团队，探索打造标志性文化演出。对商圈公共文体资源进行全面摸底，制定“商圈文体资源清单”，全面掌握商圈内可供开展文体活动的场地、时段、配套条件等，便利活动策划和举办。</w:t>
      </w:r>
    </w:p>
    <w:p>
      <w:pPr>
        <w:pStyle w:val="3"/>
        <w:pageBreakBefore w:val="0"/>
        <w:numPr>
          <w:ilvl w:val="0"/>
          <w:numId w:val="2"/>
        </w:numPr>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3" w:name="_Toc433"/>
      <w:r>
        <w:rPr>
          <w:rFonts w:ascii="Times New Roman" w:hAnsi="Times New Roman" w:cs="Times New Roman"/>
          <w:color w:val="auto"/>
        </w:rPr>
        <w:t>推进金融城商圈培育都会级商圈</w:t>
      </w:r>
      <w:bookmarkEnd w:id="73"/>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专栏14 金融城商圈发展现状及存在问题</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发展现状</w:t>
            </w:r>
            <w:r>
              <w:rPr>
                <w:rFonts w:ascii="Times New Roman" w:hAnsi="Times New Roman" w:eastAsia="仿宋_GB2312" w:cs="Times New Roman"/>
                <w:color w:val="auto"/>
                <w:kern w:val="0"/>
                <w:sz w:val="24"/>
              </w:rPr>
              <w:t>：新兴商圈，面积7.73平方公里，目前以大型家居卖场和社区商业配套为主，美林天地、居然之家、罗浮宫家居艺术中心、东方国际商业广场等现存商业体量约40万平方米。</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color w:val="auto"/>
                <w:kern w:val="0"/>
                <w:sz w:val="24"/>
              </w:rPr>
            </w:pPr>
            <w:r>
              <w:rPr>
                <w:rFonts w:ascii="Times New Roman" w:hAnsi="Times New Roman" w:eastAsia="仿宋_GB2312" w:cs="Times New Roman"/>
                <w:b/>
                <w:bCs/>
                <w:color w:val="auto"/>
                <w:kern w:val="0"/>
                <w:sz w:val="24"/>
              </w:rPr>
              <w:t>存在问题</w:t>
            </w:r>
            <w:r>
              <w:rPr>
                <w:rFonts w:ascii="Times New Roman" w:hAnsi="Times New Roman" w:eastAsia="仿宋_GB2312" w:cs="Times New Roman"/>
                <w:color w:val="auto"/>
                <w:kern w:val="0"/>
                <w:sz w:val="24"/>
              </w:rPr>
              <w:t>：</w:t>
            </w:r>
            <w:r>
              <w:rPr>
                <w:rFonts w:ascii="Times New Roman" w:hAnsi="Times New Roman" w:eastAsia="仿宋_GB2312" w:cs="Times New Roman"/>
                <w:b/>
                <w:bCs/>
                <w:color w:val="auto"/>
                <w:kern w:val="0"/>
                <w:sz w:val="24"/>
              </w:rPr>
              <w:t>一是商业密度低，外向型商业供应存在较大缺口</w:t>
            </w:r>
            <w:r>
              <w:rPr>
                <w:rFonts w:ascii="Times New Roman" w:hAnsi="Times New Roman" w:eastAsia="仿宋_GB2312" w:cs="Times New Roman"/>
                <w:color w:val="auto"/>
                <w:kern w:val="0"/>
                <w:sz w:val="24"/>
              </w:rPr>
              <w:t>，商圈范围内的商业密度仅为10.44万</w:t>
            </w:r>
            <w:r>
              <w:rPr>
                <w:rFonts w:ascii="Times New Roman" w:hAnsi="Times New Roman" w:eastAsia="Segoe UI Symbol" w:cs="Times New Roman"/>
                <w:color w:val="auto"/>
                <w:kern w:val="0"/>
                <w:sz w:val="24"/>
              </w:rPr>
              <w:t>㎡</w:t>
            </w:r>
            <w:r>
              <w:rPr>
                <w:rFonts w:ascii="Times New Roman" w:hAnsi="Times New Roman" w:eastAsia="仿宋_GB2312" w:cs="Times New Roman"/>
                <w:color w:val="auto"/>
                <w:kern w:val="0"/>
                <w:sz w:val="24"/>
              </w:rPr>
              <w:t>/k</w:t>
            </w:r>
            <w:r>
              <w:rPr>
                <w:rFonts w:ascii="Times New Roman" w:hAnsi="Times New Roman" w:eastAsia="Segoe UI Symbol" w:cs="Times New Roman"/>
                <w:color w:val="auto"/>
                <w:kern w:val="0"/>
                <w:sz w:val="24"/>
              </w:rPr>
              <w:t>㎡</w:t>
            </w:r>
            <w:r>
              <w:rPr>
                <w:rFonts w:ascii="Times New Roman" w:hAnsi="Times New Roman" w:eastAsia="仿宋_GB2312" w:cs="Times New Roman"/>
                <w:color w:val="auto"/>
                <w:kern w:val="0"/>
                <w:sz w:val="24"/>
              </w:rPr>
              <w:t>，相较于国内优质商圈商业密度（＞24万</w:t>
            </w:r>
            <w:r>
              <w:rPr>
                <w:rFonts w:ascii="Times New Roman" w:hAnsi="Times New Roman" w:eastAsia="Segoe UI Symbol" w:cs="Times New Roman"/>
                <w:color w:val="auto"/>
                <w:kern w:val="0"/>
                <w:sz w:val="24"/>
              </w:rPr>
              <w:t>㎡</w:t>
            </w:r>
            <w:r>
              <w:rPr>
                <w:rFonts w:ascii="Times New Roman" w:hAnsi="Times New Roman" w:eastAsia="仿宋_GB2312" w:cs="Times New Roman"/>
                <w:color w:val="auto"/>
                <w:kern w:val="0"/>
                <w:sz w:val="24"/>
              </w:rPr>
              <w:t>/k</w:t>
            </w:r>
            <w:r>
              <w:rPr>
                <w:rFonts w:ascii="Times New Roman" w:hAnsi="Times New Roman" w:eastAsia="Segoe UI Symbol" w:cs="Times New Roman"/>
                <w:color w:val="auto"/>
                <w:kern w:val="0"/>
                <w:sz w:val="24"/>
              </w:rPr>
              <w:t>㎡</w:t>
            </w:r>
            <w:r>
              <w:rPr>
                <w:rFonts w:ascii="Times New Roman" w:hAnsi="Times New Roman" w:eastAsia="仿宋_GB2312" w:cs="Times New Roman"/>
                <w:color w:val="auto"/>
                <w:kern w:val="0"/>
                <w:sz w:val="24"/>
              </w:rPr>
              <w:t xml:space="preserve"> ）存在差距；现有及未来规划商业大部分为大卖场/超市及产业配套，难与世界级商圈定位相匹配。</w:t>
            </w:r>
            <w:r>
              <w:rPr>
                <w:rFonts w:ascii="Times New Roman" w:hAnsi="Times New Roman" w:eastAsia="仿宋_GB2312" w:cs="Times New Roman"/>
                <w:b/>
                <w:bCs/>
                <w:color w:val="auto"/>
                <w:kern w:val="0"/>
                <w:sz w:val="24"/>
              </w:rPr>
              <w:t>二是缺乏明显商业主轴，现有商业主界面难以达到世界级高度</w:t>
            </w:r>
            <w:r>
              <w:rPr>
                <w:rFonts w:ascii="Times New Roman" w:hAnsi="Times New Roman" w:eastAsia="仿宋_GB2312" w:cs="Times New Roman"/>
                <w:color w:val="auto"/>
                <w:kern w:val="0"/>
                <w:sz w:val="24"/>
              </w:rPr>
              <w:t>，由于起步区和东区主要以商务地块为主，且商圈内被快速路和跨江大桥切割城多个阻断，缺乏连贯性强、辨识度高的商业主轴；起步区现有规划“水街”为商业主界面，但运营主体、辨识度、连通性、整体性难以达到世界级商圈商业主轴高度。</w:t>
            </w:r>
            <w:r>
              <w:rPr>
                <w:rFonts w:ascii="Times New Roman" w:hAnsi="Times New Roman" w:eastAsia="仿宋_GB2312" w:cs="Times New Roman"/>
                <w:b/>
                <w:bCs/>
                <w:color w:val="auto"/>
                <w:kern w:val="0"/>
                <w:sz w:val="24"/>
              </w:rPr>
              <w:t>三是商业供应能级低，缺乏核心商业地块吸引头部运营商进驻</w:t>
            </w:r>
            <w:r>
              <w:rPr>
                <w:rFonts w:ascii="Times New Roman" w:hAnsi="Times New Roman" w:eastAsia="仿宋_GB2312" w:cs="Times New Roman"/>
                <w:color w:val="auto"/>
                <w:kern w:val="0"/>
                <w:sz w:val="24"/>
              </w:rPr>
              <w:t>，未来新增商业以广州本土地产开发商和产业企业开发的内向型商业为主，暂无头部商业运营商入驻，商业业态内容和辐射范围发展受限，商圈辐射能级较弱；剩余可出让商业地块呈现少、散、碎的格局，客观上不符合头部运营商进驻条件，难以打造世界级商圈的标杆级商业项目。</w:t>
            </w:r>
            <w:r>
              <w:rPr>
                <w:rFonts w:ascii="Times New Roman" w:hAnsi="Times New Roman" w:eastAsia="仿宋_GB2312" w:cs="Times New Roman"/>
                <w:b/>
                <w:bCs/>
                <w:color w:val="auto"/>
                <w:kern w:val="0"/>
                <w:sz w:val="24"/>
              </w:rPr>
              <w:t>四是商圈东西跨度过长，沿江商业氛围缺失，</w:t>
            </w:r>
            <w:r>
              <w:rPr>
                <w:rFonts w:ascii="Times New Roman" w:hAnsi="Times New Roman" w:eastAsia="仿宋_GB2312" w:cs="Times New Roman"/>
                <w:color w:val="auto"/>
                <w:kern w:val="0"/>
                <w:sz w:val="24"/>
              </w:rPr>
              <w:t>商圈东西跨度长达6.9km，相较于世界级商圈的尺度范畴(＜2km)过长；占据过长的航道线，导致商圈内存在大量的沿江单边商业地块，且被快速路、大桥等切割成多个组团，容易导致商业消费氛围缺失和客群连接性弱。</w:t>
            </w:r>
          </w:p>
        </w:tc>
      </w:tr>
    </w:tbl>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4" w:name="_Toc4900"/>
      <w:r>
        <w:rPr>
          <w:rFonts w:ascii="Times New Roman" w:hAnsi="Times New Roman" w:cs="Times New Roman"/>
          <w:color w:val="auto"/>
        </w:rPr>
        <w:t>1、科学谋篇布局，明确片区功能定位</w:t>
      </w:r>
      <w:bookmarkEnd w:id="74"/>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起步区</w:t>
      </w:r>
      <w:r>
        <w:rPr>
          <w:rFonts w:ascii="Times New Roman" w:hAnsi="Times New Roman" w:eastAsia="仿宋_GB2312" w:cs="Times New Roman"/>
          <w:color w:val="auto"/>
          <w:kern w:val="0"/>
          <w:sz w:val="32"/>
          <w:szCs w:val="32"/>
        </w:rPr>
        <w:t>依托金融方城，以地上岭南风情街、地下商业空间、水街等为抓手，引进国内外优质商业运营商，提升主轴界面的商业形象和消费氛围，打造数字消费创新都会和商务观光魅力之城，成为多元生活方式和数字科技融合的消费高地；</w:t>
      </w:r>
      <w:r>
        <w:rPr>
          <w:rFonts w:ascii="Times New Roman" w:hAnsi="Times New Roman" w:eastAsia="仿宋_GB2312" w:cs="Times New Roman"/>
          <w:b/>
          <w:bCs/>
          <w:color w:val="auto"/>
          <w:kern w:val="0"/>
          <w:sz w:val="32"/>
          <w:szCs w:val="32"/>
        </w:rPr>
        <w:t>东区</w:t>
      </w:r>
      <w:r>
        <w:rPr>
          <w:rFonts w:ascii="Times New Roman" w:hAnsi="Times New Roman" w:eastAsia="仿宋_GB2312" w:cs="Times New Roman"/>
          <w:color w:val="auto"/>
          <w:kern w:val="0"/>
          <w:sz w:val="32"/>
          <w:szCs w:val="32"/>
        </w:rPr>
        <w:t>依托尚品宅配、鹏瑞、美林天地、居然之家等项目，以前进村更新改造为增长机遇点，聚焦“数字+”商业场景打造“智慧家居定制体验”类新型产业观光化业态，发展数字家居购物体验，激活滨水商业地块裙楼空间、公园绿地，以滨水休闲氛围和多元消费场景提升人气，打造高品商务服务走廊智慧体验定制之都，成为年轻化、数字化、定制化的创新产业观光及滨水多元消费体验水岸；</w:t>
      </w:r>
      <w:r>
        <w:rPr>
          <w:rFonts w:ascii="Times New Roman" w:hAnsi="Times New Roman" w:eastAsia="仿宋_GB2312" w:cs="Times New Roman"/>
          <w:b/>
          <w:bCs/>
          <w:color w:val="auto"/>
          <w:kern w:val="0"/>
          <w:sz w:val="32"/>
          <w:szCs w:val="32"/>
        </w:rPr>
        <w:t>北区</w:t>
      </w:r>
      <w:r>
        <w:rPr>
          <w:rFonts w:ascii="Times New Roman" w:hAnsi="Times New Roman" w:eastAsia="仿宋_GB2312" w:cs="Times New Roman"/>
          <w:color w:val="auto"/>
          <w:kern w:val="0"/>
          <w:sz w:val="32"/>
          <w:szCs w:val="32"/>
        </w:rPr>
        <w:t>充分利用棠下涌沿涌空间，打造品质外摆空间营造休闲氛围，扩容提质地下商业，连通起步区商业氛围及人流动线，积极争取优化商业、商务、居住用地的功能配比，作为商圈未来商业供应的重要增长极，打造产居无界活力天地·无界生活试验空间，形成能极高、差异化、品质优的产商居多元功能活力空间；</w:t>
      </w:r>
      <w:r>
        <w:rPr>
          <w:rFonts w:ascii="Times New Roman" w:hAnsi="Times New Roman" w:eastAsia="仿宋_GB2312" w:cs="Times New Roman"/>
          <w:b/>
          <w:bCs/>
          <w:color w:val="auto"/>
          <w:kern w:val="0"/>
          <w:sz w:val="32"/>
          <w:szCs w:val="32"/>
        </w:rPr>
        <w:t>西区</w:t>
      </w:r>
      <w:r>
        <w:rPr>
          <w:rFonts w:ascii="Times New Roman" w:hAnsi="Times New Roman" w:eastAsia="仿宋_GB2312" w:cs="Times New Roman"/>
          <w:color w:val="auto"/>
          <w:kern w:val="0"/>
          <w:sz w:val="32"/>
          <w:szCs w:val="32"/>
        </w:rPr>
        <w:t>发挥临近珠江新城的地理位置优势，沿花城大道打造商业主轴，串联天河路-珠江新城商圈和金融城-黄埔湾商圈，承接双边的人群消费需求，创造符合头部运营商拿地要求的核心商业地块，活化有二棉厂、红砖厂等工业遗址，打造城市高端艺文秀场·国际文化消费部落，形成有文化、有温度、有活力的世界顶流文化艺术图谱新晋地标。</w:t>
      </w:r>
      <w:r>
        <w:rPr>
          <w:rFonts w:ascii="Times New Roman" w:hAnsi="Times New Roman" w:eastAsia="仿宋_GB2312" w:cs="Times New Roman"/>
          <w:b/>
          <w:bCs/>
          <w:color w:val="auto"/>
          <w:kern w:val="0"/>
          <w:sz w:val="32"/>
          <w:szCs w:val="32"/>
        </w:rPr>
        <w:t>沿珠江北岸</w:t>
      </w:r>
      <w:r>
        <w:rPr>
          <w:rFonts w:ascii="Times New Roman" w:hAnsi="Times New Roman" w:eastAsia="仿宋_GB2312" w:cs="Times New Roman"/>
          <w:color w:val="auto"/>
          <w:kern w:val="0"/>
          <w:sz w:val="32"/>
          <w:szCs w:val="32"/>
        </w:rPr>
        <w:t>临江大道打造慢行休闲轴，串联四大片区，分段分主题布局，形成滨江休闲商业消费氛围。</w:t>
      </w:r>
    </w:p>
    <w:p>
      <w:pPr>
        <w:pStyle w:val="8"/>
        <w:keepNext/>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cs="Times New Roman"/>
          <w:color w:val="auto"/>
        </w:rPr>
        <w:t xml:space="preserve">表 </w:t>
      </w:r>
      <w:r>
        <w:rPr>
          <w:rFonts w:ascii="Times New Roman" w:hAnsi="Times New Roman" w:cs="Times New Roman"/>
          <w:color w:val="auto"/>
        </w:rPr>
        <w:fldChar w:fldCharType="begin"/>
      </w:r>
      <w:r>
        <w:rPr>
          <w:rFonts w:ascii="Times New Roman" w:hAnsi="Times New Roman" w:cs="Times New Roman"/>
          <w:color w:val="auto"/>
        </w:rPr>
        <w:instrText xml:space="preserve"> SEQ 表 \* ARABIC </w:instrText>
      </w:r>
      <w:r>
        <w:rPr>
          <w:rFonts w:ascii="Times New Roman" w:hAnsi="Times New Roman" w:cs="Times New Roman"/>
          <w:color w:val="auto"/>
        </w:rPr>
        <w:fldChar w:fldCharType="separate"/>
      </w:r>
      <w:r>
        <w:rPr>
          <w:rFonts w:ascii="Times New Roman" w:hAnsi="Times New Roman" w:cs="Times New Roman"/>
          <w:color w:val="auto"/>
        </w:rPr>
        <w:t>4</w:t>
      </w:r>
      <w:r>
        <w:rPr>
          <w:rFonts w:ascii="Times New Roman" w:hAnsi="Times New Roman" w:cs="Times New Roman"/>
          <w:color w:val="auto"/>
        </w:rPr>
        <w:fldChar w:fldCharType="end"/>
      </w:r>
      <w:r>
        <w:rPr>
          <w:rFonts w:ascii="Times New Roman" w:hAnsi="Times New Roman" w:cs="Times New Roman"/>
          <w:color w:val="auto"/>
        </w:rPr>
        <w:t xml:space="preserve"> 金融城商圈未来可新增商业空间情况</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212"/>
        <w:gridCol w:w="3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项目名称</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商业面积（万</w:t>
            </w:r>
            <w:r>
              <w:rPr>
                <w:rFonts w:ascii="Times New Roman" w:hAnsi="Times New Roman" w:eastAsia="Segoe UI Symbol" w:cs="Times New Roman"/>
                <w:b/>
                <w:bCs/>
                <w:color w:val="auto"/>
                <w:kern w:val="0"/>
                <w:sz w:val="24"/>
              </w:rPr>
              <w:t>㎡</w:t>
            </w:r>
            <w:r>
              <w:rPr>
                <w:rFonts w:ascii="Times New Roman" w:hAnsi="Times New Roman" w:eastAsia="仿宋_GB2312" w:cs="Times New Roman"/>
                <w:b/>
                <w:bCs/>
                <w:color w:val="auto"/>
                <w:kern w:val="0"/>
                <w:sz w:val="24"/>
              </w:rPr>
              <w:t>）</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君超广场</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13</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合生骏景</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13</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鹏瑞</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3.38</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金融城站综合交通枢纽</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4</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枢纽商业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金融城地下商业</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4.9</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岭南风情街</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1.9</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尚品宅配</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1.39</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家居展厅为主的商业综合体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好莱客</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0.38</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家居产业商业综合体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二棉厂地块更新改造</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3.37</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起步区AT090927</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8</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起步区AT091007</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13</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东区AT091410</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3</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商业商务地块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4"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总计</w:t>
            </w:r>
          </w:p>
        </w:tc>
        <w:tc>
          <w:tcPr>
            <w:tcW w:w="221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67.55</w:t>
            </w:r>
          </w:p>
        </w:tc>
        <w:tc>
          <w:tcPr>
            <w:tcW w:w="3340" w:type="dxa"/>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p>
        </w:tc>
      </w:tr>
    </w:tbl>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5" w:name="_Toc12473"/>
      <w:r>
        <w:rPr>
          <w:rFonts w:ascii="Times New Roman" w:hAnsi="Times New Roman" w:cs="Times New Roman"/>
          <w:color w:val="auto"/>
        </w:rPr>
        <w:t>2、用好后发优势，引领数字消费发展</w:t>
      </w:r>
      <w:bookmarkEnd w:id="75"/>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谋划打造产商游居高度融合的数字金融活力城。抓住广州市“定制之都”契机，依托尚品宅配等家居定制企业，在金融城东区建设新品发布中心、智慧家居体验中心，促进线上线下联动，推动定制家居电商发展。建设科技体验主题零售店和旗舰店、数字化无人商店、24小时无人健身舱、智能停车场等，构建高品质数字化商圈。在地上岭南风情街、珠江沿岸积极打造数字化场景，建设智慧喷泉、智能长椅、互动式照明、虚拟花园、数字地板等；支持VR、AR、5G+4K/8K超高清等技术应用，推出一批沉浸式娱乐体验馆和演艺项目；探索推出城市灯光秀、数字烟火场景等沉浸数字体验，打造城市数字打卡地标。加快拓展“数字人民币+智慧商圈”应用范围，在商圈内推动数字人民币终端设备铺设，加强数字人民币线上线下场景应用落地示范和移动应用创新。</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6" w:name="_Toc32098"/>
      <w:r>
        <w:rPr>
          <w:rFonts w:ascii="Times New Roman" w:hAnsi="Times New Roman" w:cs="Times New Roman"/>
          <w:color w:val="auto"/>
        </w:rPr>
        <w:t>（四）加速优化商业空间布局</w:t>
      </w:r>
      <w:bookmarkEnd w:id="76"/>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7" w:name="_Toc5532"/>
      <w:bookmarkStart w:id="78" w:name="_Hlk117547915"/>
      <w:r>
        <w:rPr>
          <w:rFonts w:ascii="Times New Roman" w:hAnsi="Times New Roman" w:cs="Times New Roman"/>
          <w:color w:val="auto"/>
        </w:rPr>
        <w:t>1、打造“1+1+N”多层次商业空间体系</w:t>
      </w:r>
      <w:bookmarkEnd w:id="77"/>
    </w:p>
    <w:p>
      <w:pPr>
        <w:pStyle w:val="7"/>
        <w:pageBreakBefore w:val="0"/>
        <w:kinsoku/>
        <w:wordWrap/>
        <w:overflowPunct/>
        <w:topLinePunct w:val="0"/>
        <w:autoSpaceDE/>
        <w:autoSpaceDN/>
        <w:bidi w:val="0"/>
        <w:adjustRightInd/>
        <w:snapToGrid/>
        <w:spacing w:beforeAutospacing="0" w:afterAutospacing="0" w:line="560" w:lineRule="exact"/>
        <w:ind w:right="0" w:rightChars="0" w:firstLine="64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打造一核引领、一极支撑、多片协同的“1+1+N”商业空间体系。</w:t>
      </w:r>
      <w:r>
        <w:rPr>
          <w:rFonts w:ascii="Times New Roman" w:hAnsi="Times New Roman" w:eastAsia="仿宋_GB2312" w:cs="Times New Roman"/>
          <w:b/>
          <w:bCs/>
          <w:color w:val="auto"/>
          <w:kern w:val="0"/>
          <w:sz w:val="32"/>
          <w:szCs w:val="32"/>
        </w:rPr>
        <w:t>“一核”</w:t>
      </w:r>
      <w:r>
        <w:rPr>
          <w:rFonts w:ascii="Times New Roman" w:hAnsi="Times New Roman" w:eastAsia="仿宋_GB2312" w:cs="Times New Roman"/>
          <w:color w:val="auto"/>
          <w:kern w:val="0"/>
          <w:sz w:val="32"/>
          <w:szCs w:val="32"/>
        </w:rPr>
        <w:t>指天河路商圈-珠江新城核心商圈，围绕世界级地标商圈的定位和都会级商圈的标准，不断提高消费力、支配力和主导力，引领国内中心城区商贸业转型升级，扛鼎广州国际消费中心城市建设核心引擎重任。</w:t>
      </w:r>
      <w:r>
        <w:rPr>
          <w:rFonts w:ascii="Times New Roman" w:hAnsi="Times New Roman" w:eastAsia="仿宋_GB2312" w:cs="Times New Roman"/>
          <w:b/>
          <w:bCs/>
          <w:color w:val="auto"/>
          <w:kern w:val="0"/>
          <w:sz w:val="32"/>
          <w:szCs w:val="32"/>
        </w:rPr>
        <w:t>“一极”</w:t>
      </w:r>
      <w:r>
        <w:rPr>
          <w:rFonts w:ascii="Times New Roman" w:hAnsi="Times New Roman" w:eastAsia="仿宋_GB2312" w:cs="Times New Roman"/>
          <w:color w:val="auto"/>
          <w:kern w:val="0"/>
          <w:sz w:val="32"/>
          <w:szCs w:val="32"/>
        </w:rPr>
        <w:t>指金融城商圈，重点围绕已有商业载体、地上岭南风情街、地下百万级商业空间综合体、规划新增商业设施，依托城市更新改造、重点功能区域、轨道交通站点统筹规划商业布局，大力发展创新经济，打造数字金融活力城，成为区域未来消费增长极。</w:t>
      </w:r>
      <w:r>
        <w:rPr>
          <w:rFonts w:ascii="Times New Roman" w:hAnsi="Times New Roman" w:eastAsia="仿宋_GB2312" w:cs="Times New Roman"/>
          <w:b/>
          <w:bCs/>
          <w:color w:val="auto"/>
          <w:kern w:val="0"/>
          <w:sz w:val="32"/>
          <w:szCs w:val="32"/>
        </w:rPr>
        <w:t>“多片”</w:t>
      </w:r>
      <w:r>
        <w:rPr>
          <w:rFonts w:ascii="Times New Roman" w:hAnsi="Times New Roman" w:eastAsia="仿宋_GB2312" w:cs="Times New Roman"/>
          <w:color w:val="auto"/>
          <w:kern w:val="0"/>
          <w:sz w:val="32"/>
          <w:szCs w:val="32"/>
        </w:rPr>
        <w:t>指奥体、天河智慧城、华南国家植物园-龙洞、天河客运站等区域级商圈，打造主题性、特色性、文化性、情景性商业业态，发展若干个具有商品特色、品牌特色、形象特色、文化特色和功能特色的功能区，满足周边居民综合型消费需求，突显产城融合和职住平衡，与核心商圈形成错位经营、功能互补的发展格局。</w:t>
      </w:r>
      <w:bookmarkEnd w:id="78"/>
    </w:p>
    <w:p>
      <w:pPr>
        <w:pStyle w:val="4"/>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79" w:name="_Toc18175"/>
      <w:r>
        <w:rPr>
          <w:rFonts w:ascii="Times New Roman" w:hAnsi="Times New Roman" w:cs="Times New Roman"/>
          <w:color w:val="auto"/>
        </w:rPr>
        <w:t>2、构建“两轴联动，环状布局”空间发展格局</w:t>
      </w:r>
      <w:bookmarkEnd w:id="79"/>
    </w:p>
    <w:p>
      <w:pPr>
        <w:pStyle w:val="7"/>
        <w:pageBreakBefore w:val="0"/>
        <w:kinsoku/>
        <w:wordWrap/>
        <w:overflowPunct/>
        <w:topLinePunct w:val="0"/>
        <w:autoSpaceDE/>
        <w:autoSpaceDN/>
        <w:bidi w:val="0"/>
        <w:adjustRightInd/>
        <w:snapToGrid/>
        <w:spacing w:beforeAutospacing="0" w:afterAutospacing="0" w:line="560" w:lineRule="exact"/>
        <w:ind w:right="0" w:rightChars="0" w:firstLine="640"/>
        <w:rPr>
          <w:rFonts w:ascii="Times New Roman" w:hAnsi="Times New Roman" w:eastAsia="仿宋_GB2312" w:cs="Times New Roman"/>
          <w:b/>
          <w:bCs/>
          <w:color w:val="auto"/>
          <w:kern w:val="0"/>
          <w:sz w:val="32"/>
          <w:szCs w:val="32"/>
        </w:rPr>
      </w:pPr>
      <w:r>
        <w:rPr>
          <w:rFonts w:ascii="Times New Roman" w:hAnsi="Times New Roman" w:eastAsia="仿宋_GB2312" w:cs="Times New Roman"/>
          <w:color w:val="auto"/>
          <w:kern w:val="0"/>
          <w:sz w:val="32"/>
          <w:szCs w:val="32"/>
        </w:rPr>
        <w:t>形成“两轴联动，环状布局”空间发展格局。</w:t>
      </w:r>
      <w:r>
        <w:rPr>
          <w:rFonts w:ascii="Times New Roman" w:hAnsi="Times New Roman" w:eastAsia="仿宋_GB2312" w:cs="Times New Roman"/>
          <w:b/>
          <w:bCs/>
          <w:color w:val="auto"/>
          <w:kern w:val="0"/>
          <w:sz w:val="32"/>
          <w:szCs w:val="32"/>
        </w:rPr>
        <w:t xml:space="preserve"> “两轴”</w:t>
      </w:r>
      <w:r>
        <w:rPr>
          <w:rFonts w:ascii="Times New Roman" w:hAnsi="Times New Roman" w:eastAsia="仿宋_GB2312" w:cs="Times New Roman"/>
          <w:color w:val="auto"/>
          <w:kern w:val="0"/>
          <w:sz w:val="32"/>
          <w:szCs w:val="32"/>
        </w:rPr>
        <w:t>指将广州东站、天河体育中心、花城广场、海心沙、海心桥等消费地标、景观节点串联成珠，贯通天河路-珠江新城核心商圈，打造华南地区城市化发展水平最高、综合配套设施最全、集聚辐射能力最强、国际影响力最大的</w:t>
      </w:r>
      <w:r>
        <w:rPr>
          <w:rFonts w:ascii="Times New Roman" w:hAnsi="Times New Roman" w:eastAsia="仿宋" w:cs="Times New Roman"/>
          <w:color w:val="auto"/>
          <w:sz w:val="32"/>
          <w:szCs w:val="32"/>
        </w:rPr>
        <w:t xml:space="preserve"> “</w:t>
      </w:r>
      <w:r>
        <w:rPr>
          <w:rFonts w:ascii="Times New Roman" w:hAnsi="Times New Roman" w:eastAsia="仿宋_GB2312" w:cs="Times New Roman"/>
          <w:b/>
          <w:bCs/>
          <w:color w:val="auto"/>
          <w:kern w:val="0"/>
          <w:sz w:val="32"/>
          <w:szCs w:val="32"/>
        </w:rPr>
        <w:t>超级消费轴</w:t>
      </w:r>
      <w:r>
        <w:rPr>
          <w:rFonts w:ascii="Times New Roman" w:hAnsi="Times New Roman" w:eastAsia="仿宋" w:cs="Times New Roman"/>
          <w:color w:val="auto"/>
          <w:sz w:val="32"/>
          <w:szCs w:val="32"/>
        </w:rPr>
        <w:t>”</w:t>
      </w:r>
      <w:r>
        <w:rPr>
          <w:rFonts w:ascii="Times New Roman" w:hAnsi="Times New Roman" w:eastAsia="仿宋_GB2312" w:cs="Times New Roman"/>
          <w:color w:val="auto"/>
          <w:kern w:val="0"/>
          <w:sz w:val="32"/>
          <w:szCs w:val="32"/>
        </w:rPr>
        <w:t>，依托珠江水系，串联珠江新城核心商圈、金融城商圈，协同黄浦湾、广州塔-琶洲商圈，联动黄埔古港及会展直播文化，共同打造的</w:t>
      </w:r>
      <w:r>
        <w:rPr>
          <w:rFonts w:ascii="Times New Roman" w:hAnsi="Times New Roman" w:eastAsia="仿宋_GB2312" w:cs="Times New Roman"/>
          <w:b/>
          <w:bCs/>
          <w:color w:val="auto"/>
          <w:kern w:val="0"/>
          <w:sz w:val="32"/>
          <w:szCs w:val="32"/>
        </w:rPr>
        <w:t>“沿江消费带”，</w:t>
      </w:r>
      <w:r>
        <w:rPr>
          <w:rFonts w:ascii="Times New Roman" w:hAnsi="Times New Roman" w:cs="Times New Roman"/>
          <w:color w:val="auto"/>
        </w:rPr>
        <w:t xml:space="preserve"> </w:t>
      </w:r>
      <w:r>
        <w:rPr>
          <w:rFonts w:ascii="Times New Roman" w:hAnsi="Times New Roman" w:eastAsia="仿宋_GB2312" w:cs="Times New Roman"/>
          <w:color w:val="auto"/>
          <w:kern w:val="0"/>
          <w:sz w:val="32"/>
          <w:szCs w:val="32"/>
        </w:rPr>
        <w:t>两轴联动共同推动广州市打造珠江世界级消费服务业发展带</w:t>
      </w:r>
      <w:r>
        <w:rPr>
          <w:rFonts w:ascii="Times New Roman" w:hAnsi="Times New Roman" w:eastAsia="仿宋_GB2312" w:cs="Times New Roman"/>
          <w:b/>
          <w:bCs/>
          <w:color w:val="auto"/>
          <w:kern w:val="0"/>
          <w:sz w:val="32"/>
          <w:szCs w:val="32"/>
        </w:rPr>
        <w:t>。“环状”</w:t>
      </w:r>
      <w:r>
        <w:rPr>
          <w:rFonts w:ascii="Times New Roman" w:hAnsi="Times New Roman" w:eastAsia="仿宋_GB2312" w:cs="Times New Roman"/>
          <w:color w:val="auto"/>
          <w:kern w:val="0"/>
          <w:sz w:val="32"/>
          <w:szCs w:val="32"/>
        </w:rPr>
        <w:t>是指消费轴、各级商圈及特色功能区分布整体呈现环状布局，体现了分层分类商业环境与城市功能、居民集聚效应相匹配。</w:t>
      </w:r>
    </w:p>
    <w:p>
      <w:pPr>
        <w:keepNext/>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cs="Times New Roman"/>
          <w:color w:val="auto"/>
        </w:rPr>
        <w:drawing>
          <wp:inline distT="0" distB="0" distL="0" distR="0">
            <wp:extent cx="4603115" cy="487934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03713" cy="4879907"/>
                    </a:xfrm>
                    <a:prstGeom prst="rect">
                      <a:avLst/>
                    </a:prstGeom>
                    <a:noFill/>
                  </pic:spPr>
                </pic:pic>
              </a:graphicData>
            </a:graphic>
          </wp:inline>
        </w:drawing>
      </w:r>
    </w:p>
    <w:p>
      <w:pPr>
        <w:pStyle w:val="8"/>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cs="Times New Roman"/>
          <w:color w:val="auto"/>
        </w:rPr>
        <w:t xml:space="preserve">图 </w:t>
      </w:r>
      <w:r>
        <w:rPr>
          <w:rFonts w:ascii="Times New Roman" w:hAnsi="Times New Roman" w:cs="Times New Roman"/>
          <w:color w:val="auto"/>
        </w:rPr>
        <w:fldChar w:fldCharType="begin"/>
      </w:r>
      <w:r>
        <w:rPr>
          <w:rFonts w:ascii="Times New Roman" w:hAnsi="Times New Roman" w:cs="Times New Roman"/>
          <w:color w:val="auto"/>
        </w:rPr>
        <w:instrText xml:space="preserve"> SEQ 图 \* ARABIC </w:instrText>
      </w:r>
      <w:r>
        <w:rPr>
          <w:rFonts w:ascii="Times New Roman" w:hAnsi="Times New Roman" w:cs="Times New Roman"/>
          <w:color w:val="auto"/>
        </w:rPr>
        <w:fldChar w:fldCharType="separate"/>
      </w:r>
      <w:r>
        <w:rPr>
          <w:rFonts w:ascii="Times New Roman" w:hAnsi="Times New Roman" w:cs="Times New Roman"/>
          <w:color w:val="auto"/>
        </w:rPr>
        <w:t>2</w:t>
      </w:r>
      <w:r>
        <w:rPr>
          <w:rFonts w:ascii="Times New Roman" w:hAnsi="Times New Roman" w:cs="Times New Roman"/>
          <w:color w:val="auto"/>
        </w:rPr>
        <w:fldChar w:fldCharType="end"/>
      </w:r>
      <w:r>
        <w:rPr>
          <w:rFonts w:ascii="Times New Roman" w:hAnsi="Times New Roman" w:cs="Times New Roman"/>
          <w:color w:val="auto"/>
        </w:rPr>
        <w:t xml:space="preserve"> 天河区商业空间规划布局</w:t>
      </w:r>
    </w:p>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80" w:name="_Toc9877"/>
      <w:r>
        <w:rPr>
          <w:rFonts w:ascii="Times New Roman" w:hAnsi="Times New Roman" w:cs="Times New Roman"/>
          <w:color w:val="auto"/>
        </w:rPr>
        <w:t>第五章 推动</w:t>
      </w:r>
      <w:bookmarkStart w:id="81" w:name="_Hlk117548038"/>
      <w:r>
        <w:rPr>
          <w:rFonts w:ascii="Times New Roman" w:hAnsi="Times New Roman" w:cs="Times New Roman"/>
          <w:color w:val="auto"/>
        </w:rPr>
        <w:t>对外贸易</w:t>
      </w:r>
      <w:bookmarkEnd w:id="81"/>
      <w:r>
        <w:rPr>
          <w:rFonts w:ascii="Times New Roman" w:hAnsi="Times New Roman" w:cs="Times New Roman"/>
          <w:color w:val="auto"/>
        </w:rPr>
        <w:t>创新发展</w:t>
      </w:r>
      <w:bookmarkEnd w:id="80"/>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把握RCEP签署机遇，用好国家数字服务出口基地、国家文化出口基地，实施更大范围、更宽领域、更深层次对外开放，加快集聚高能级市场主体，健全供应链服务体系，联动广交会、进博会、服贸会等国家级展会，着力</w:t>
      </w:r>
      <w:bookmarkStart w:id="82" w:name="_Hlk117548071"/>
      <w:r>
        <w:rPr>
          <w:rFonts w:ascii="Times New Roman" w:hAnsi="Times New Roman" w:eastAsia="仿宋_GB2312" w:cs="Times New Roman"/>
          <w:color w:val="auto"/>
          <w:kern w:val="0"/>
          <w:sz w:val="32"/>
          <w:szCs w:val="32"/>
        </w:rPr>
        <w:t>推动商品和服务走出去，打造服务珠三角、辐射全国、链接东南亚的对外贸易窗口</w:t>
      </w:r>
      <w:bookmarkEnd w:id="82"/>
      <w:r>
        <w:rPr>
          <w:rFonts w:ascii="Times New Roman" w:hAnsi="Times New Roman" w:eastAsia="仿宋_GB2312" w:cs="Times New Roman"/>
          <w:color w:val="auto"/>
          <w:kern w:val="0"/>
          <w:sz w:val="32"/>
          <w:szCs w:val="32"/>
        </w:rPr>
        <w:t>，促进对外贸易稳定可持续发展。</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83" w:name="_Toc18112"/>
      <w:r>
        <w:rPr>
          <w:rFonts w:ascii="Times New Roman" w:hAnsi="Times New Roman" w:cs="Times New Roman"/>
          <w:color w:val="auto"/>
        </w:rPr>
        <w:t>（一）调整优化外贸结构，扩大贸易规模</w:t>
      </w:r>
      <w:bookmarkEnd w:id="83"/>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kern w:val="0"/>
          <w:sz w:val="32"/>
          <w:szCs w:val="32"/>
        </w:rPr>
        <w:t>推动货物贸易结构优化。</w:t>
      </w:r>
      <w:bookmarkStart w:id="84" w:name="_Hlk117674855"/>
      <w:r>
        <w:rPr>
          <w:rFonts w:ascii="Times New Roman" w:hAnsi="Times New Roman" w:eastAsia="仿宋_GB2312" w:cs="Times New Roman"/>
          <w:color w:val="auto"/>
          <w:kern w:val="0"/>
          <w:sz w:val="32"/>
          <w:szCs w:val="32"/>
        </w:rPr>
        <w:t>抓住《区域全面经济伙伴关系协定》（RCEP）签订机遇，推动企业申请成为海关经核准出口商，用好关税削减、原产地累积规则、开放市场准入等利好政策，优化进出口商品结构，加强</w:t>
      </w:r>
      <w:bookmarkStart w:id="85" w:name="_Hlk117674713"/>
      <w:r>
        <w:rPr>
          <w:rFonts w:ascii="Times New Roman" w:hAnsi="Times New Roman" w:eastAsia="仿宋_GB2312" w:cs="Times New Roman"/>
          <w:color w:val="auto"/>
          <w:kern w:val="0"/>
          <w:sz w:val="32"/>
          <w:szCs w:val="32"/>
        </w:rPr>
        <w:t>汽车整车、汽车零部件、纺织制品、服装箱包</w:t>
      </w:r>
      <w:bookmarkEnd w:id="85"/>
      <w:r>
        <w:rPr>
          <w:rFonts w:ascii="Times New Roman" w:hAnsi="Times New Roman" w:eastAsia="仿宋_GB2312" w:cs="Times New Roman"/>
          <w:color w:val="auto"/>
          <w:kern w:val="0"/>
          <w:sz w:val="32"/>
          <w:szCs w:val="32"/>
        </w:rPr>
        <w:t>等商品进出口，重点拓展东南亚等一带一路沿线国家市场；促进贸易发展与产业升级联动，积极吸引高技术企业设立贸易公司，支持高附加值产品生产用零部件和原材料进口，提升智能硬件、医药及器械、半导体、消费电子、化妆品等领域高附加值产品出口比重；结合周边消费市场需求，多渠道扩大母婴、户外运动、营养保健、轻奢、数码家电等特色优质产品进口</w:t>
      </w:r>
      <w:bookmarkEnd w:id="84"/>
      <w:r>
        <w:rPr>
          <w:rFonts w:ascii="Times New Roman" w:hAnsi="Times New Roman" w:eastAsia="仿宋_GB2312" w:cs="Times New Roman"/>
          <w:color w:val="auto"/>
          <w:kern w:val="0"/>
          <w:sz w:val="32"/>
          <w:szCs w:val="32"/>
        </w:rPr>
        <w:t>；促进跨境电商发展，依托区位、人才、营商环境等优势，大力招引跨境电商平台，探索依托羊城创意园打造跨境电商集聚区，梯度培育跨境电商企业，引导传统实体制造企业应用跨境电商。</w:t>
      </w:r>
      <w:r>
        <w:rPr>
          <w:rFonts w:ascii="Times New Roman" w:hAnsi="Times New Roman" w:eastAsia="仿宋_GB2312" w:cs="Times New Roman"/>
          <w:b/>
          <w:bCs/>
          <w:color w:val="auto"/>
          <w:kern w:val="0"/>
          <w:sz w:val="32"/>
          <w:szCs w:val="32"/>
        </w:rPr>
        <w:t>推动服务贸易创新发展</w:t>
      </w:r>
      <w:r>
        <w:rPr>
          <w:rFonts w:ascii="Times New Roman" w:hAnsi="Times New Roman" w:eastAsia="仿宋_GB2312" w:cs="Times New Roman"/>
          <w:color w:val="auto"/>
          <w:kern w:val="0"/>
          <w:sz w:val="32"/>
          <w:szCs w:val="32"/>
        </w:rPr>
        <w:t>。</w:t>
      </w:r>
      <w:bookmarkStart w:id="86" w:name="_Hlk117675469"/>
      <w:r>
        <w:rPr>
          <w:rFonts w:ascii="Times New Roman" w:hAnsi="Times New Roman" w:eastAsia="仿宋_GB2312" w:cs="Times New Roman"/>
          <w:color w:val="auto"/>
          <w:kern w:val="0"/>
          <w:sz w:val="32"/>
          <w:szCs w:val="32"/>
        </w:rPr>
        <w:t>发挥国家文化出口基地、国家数字服务出口基地</w:t>
      </w:r>
      <w:r>
        <w:rPr>
          <w:rFonts w:ascii="Times New Roman" w:hAnsi="Times New Roman" w:eastAsia="仿宋_GB2312" w:cs="Times New Roman"/>
          <w:color w:val="auto"/>
          <w:sz w:val="32"/>
          <w:szCs w:val="32"/>
        </w:rPr>
        <w:t>等带动作用</w:t>
      </w:r>
      <w:bookmarkEnd w:id="86"/>
      <w:r>
        <w:rPr>
          <w:rFonts w:ascii="Times New Roman" w:hAnsi="Times New Roman" w:eastAsia="仿宋_GB2312" w:cs="Times New Roman"/>
          <w:color w:val="auto"/>
          <w:sz w:val="32"/>
          <w:szCs w:val="32"/>
        </w:rPr>
        <w:t>，依托天河区专业服务机构集聚优势，进一步拓展天河区文化出口贸易合作单位，为企业提供境外法律、金融、知识产权、数字营销等领域专业服务，举办“天河区国家文化出口基地系列培训讲座”，加强文化出口、服务贸易专项培训；推动 FT 账户全面推广，组织企业参加中国国际服务贸易交易会、广州文化产业交易会等重要境内外推介展示活动；支持服务企业积极拓展跨境业务，</w:t>
      </w:r>
      <w:r>
        <w:rPr>
          <w:rFonts w:ascii="Times New Roman" w:hAnsi="Times New Roman" w:eastAsia="仿宋_GB2312" w:cs="Times New Roman"/>
          <w:color w:val="auto"/>
          <w:kern w:val="0"/>
          <w:sz w:val="32"/>
          <w:szCs w:val="32"/>
        </w:rPr>
        <w:t>打造一批“广州服务”品牌，</w:t>
      </w:r>
      <w:r>
        <w:rPr>
          <w:rFonts w:ascii="Times New Roman" w:hAnsi="Times New Roman" w:eastAsia="仿宋_GB2312" w:cs="Times New Roman"/>
          <w:color w:val="auto"/>
          <w:sz w:val="32"/>
          <w:szCs w:val="32"/>
        </w:rPr>
        <w:t>在金融、法律、人力资源、信息技术、服务外包、工程设计、旅行出行等领域引进和培育一批服务贸易龙头企业，提供对外投资运营、商务咨询、知识产权评估、系统集成设计、软件服务外包、海外工程项目承接、境外旅游等；充分发挥文化创意产业优势，加快游戏动漫、电子竞技、音乐、文学、影视等文化产品出口。</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87" w:name="_Toc6887"/>
      <w:r>
        <w:rPr>
          <w:rFonts w:ascii="Times New Roman" w:hAnsi="Times New Roman" w:cs="Times New Roman"/>
          <w:color w:val="auto"/>
        </w:rPr>
        <w:t>（二）提高综合服务水平，构建良好环境</w:t>
      </w:r>
      <w:bookmarkEnd w:id="87"/>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sz w:val="32"/>
          <w:szCs w:val="32"/>
        </w:rPr>
        <w:t>利用总部经济优势，引进和培育一批信用等级高、服务能力强的外贸综合服务企业，加强对企业的进出口业务服务引导。</w:t>
      </w:r>
      <w:r>
        <w:rPr>
          <w:rFonts w:ascii="Times New Roman" w:hAnsi="Times New Roman" w:eastAsia="仿宋_GB2312" w:cs="Times New Roman"/>
          <w:color w:val="auto"/>
          <w:kern w:val="0"/>
          <w:sz w:val="32"/>
          <w:szCs w:val="32"/>
        </w:rPr>
        <w:t>支持行业组织、贸易促进机构、龙头企业联合搭建公共服务平台，为企业提供国际交流展示、创意产品孵化、跨境物流、国际人才培训、国际贸易动态和行业研究等全方位服务，联动商圈内专业服务机构，提供法律、金融、市场调研、营销推广、知识产权等专项服务。鼓励银行机构推出退税贷等专属信贷产品，扩大出口信用保险覆盖面，增强金融支持。抓住“双区”建设和横琴、前海两个合作区建设重大历史机遇，加强复制借鉴北京、上海浦东新区等地先行先试政策，对上争取一批支持政策，加快推动对外贸易发展。</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88" w:name="_Toc27693"/>
      <w:r>
        <w:rPr>
          <w:rFonts w:ascii="Times New Roman" w:hAnsi="Times New Roman" w:cs="Times New Roman"/>
          <w:color w:val="auto"/>
        </w:rPr>
        <w:t>（三）加强对外合作交流，提升对接效率</w:t>
      </w:r>
      <w:bookmarkEnd w:id="88"/>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支持企业积极参加广交会、进博会、服贸会等国家级展会，鼓励企业参与各类境内外贸易展会、专业性展览。引进和培育一批会展企业，</w:t>
      </w:r>
      <w:r>
        <w:rPr>
          <w:rFonts w:ascii="Times New Roman" w:hAnsi="Times New Roman" w:eastAsia="仿宋_GB2312" w:cs="Times New Roman"/>
          <w:color w:val="auto"/>
          <w:sz w:val="32"/>
          <w:szCs w:val="32"/>
        </w:rPr>
        <w:t>加强与香港贸发局、澳门贸促局、国际会展业相关协会合作，探索</w:t>
      </w:r>
      <w:r>
        <w:rPr>
          <w:rFonts w:ascii="Times New Roman" w:hAnsi="Times New Roman" w:eastAsia="仿宋_GB2312" w:cs="Times New Roman"/>
          <w:color w:val="auto"/>
          <w:kern w:val="0"/>
          <w:sz w:val="32"/>
          <w:szCs w:val="32"/>
        </w:rPr>
        <w:t>举办国际高品质消费博览会，打造具有国际影响力的展会平台；</w:t>
      </w:r>
      <w:r>
        <w:rPr>
          <w:rFonts w:ascii="Times New Roman" w:hAnsi="Times New Roman" w:eastAsia="仿宋_GB2312" w:cs="Times New Roman"/>
          <w:color w:val="auto"/>
          <w:sz w:val="32"/>
          <w:szCs w:val="32"/>
        </w:rPr>
        <w:t>协助进出口龙头企业、行业协会等打造海外自办展；</w:t>
      </w:r>
      <w:r>
        <w:rPr>
          <w:rFonts w:ascii="Times New Roman" w:hAnsi="Times New Roman" w:eastAsia="仿宋_GB2312" w:cs="Times New Roman"/>
          <w:color w:val="auto"/>
          <w:kern w:val="0"/>
          <w:sz w:val="32"/>
          <w:szCs w:val="32"/>
        </w:rPr>
        <w:t>探索打造线上展会，</w:t>
      </w:r>
      <w:r>
        <w:rPr>
          <w:rFonts w:ascii="Times New Roman" w:hAnsi="Times New Roman" w:eastAsia="仿宋_GB2312" w:cs="Times New Roman"/>
          <w:color w:val="auto"/>
          <w:sz w:val="32"/>
          <w:szCs w:val="32"/>
        </w:rPr>
        <w:t>搭建销售信息平台。利用领事馆、国际机构、跨国企业集聚优势，</w:t>
      </w:r>
      <w:r>
        <w:rPr>
          <w:rFonts w:ascii="Times New Roman" w:hAnsi="Times New Roman" w:eastAsia="仿宋_GB2312" w:cs="Times New Roman"/>
          <w:color w:val="auto"/>
          <w:kern w:val="0"/>
          <w:sz w:val="32"/>
          <w:szCs w:val="32"/>
        </w:rPr>
        <w:t>加快构建高效对接渠道，积极支持举办官方性国际会议、国际论坛，承接“一带一路”等为背景的交易博览会、品牌文化节、贸易洽商会等商贸活动，搭建各类经贸、科技、文化、消费等交流合作平台；探索点对点海外对接，利用领事馆、国际机构资源优势，加强与海外当地机构的直接对接，促进业务直接承接、海外网络构建、业务双向合作等。</w:t>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89" w:name="_Toc3099"/>
      <w:r>
        <w:rPr>
          <w:rFonts w:ascii="Times New Roman" w:hAnsi="Times New Roman" w:cs="Times New Roman"/>
          <w:color w:val="auto"/>
        </w:rPr>
        <w:t>第六章 大力</w:t>
      </w:r>
      <w:bookmarkStart w:id="90" w:name="_Hlk117548150"/>
      <w:r>
        <w:rPr>
          <w:rFonts w:ascii="Times New Roman" w:hAnsi="Times New Roman" w:cs="Times New Roman"/>
          <w:color w:val="auto"/>
        </w:rPr>
        <w:t>优化营商环境</w:t>
      </w:r>
      <w:bookmarkEnd w:id="89"/>
      <w:bookmarkEnd w:id="90"/>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对标先进地区，加快优化商贸业扶持政策，积极争取复制先行先试政策，优化服务体系和产业发展生态，探索适应新兴业态、模式发展的包容审慎监管机制，着力营造安全放心诚信消费环境，简化审批流程，构建近悦远来的营商环境。</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1" w:name="_Toc14910"/>
      <w:r>
        <w:rPr>
          <w:rFonts w:ascii="Times New Roman" w:hAnsi="Times New Roman" w:cs="Times New Roman"/>
          <w:color w:val="auto"/>
        </w:rPr>
        <w:t>（一）加强招商引资和企业培育</w:t>
      </w:r>
      <w:bookmarkEnd w:id="91"/>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制定招商引资目标清单。</w:t>
      </w:r>
      <w:r>
        <w:rPr>
          <w:rFonts w:ascii="Times New Roman" w:hAnsi="Times New Roman" w:eastAsia="仿宋_GB2312" w:cs="Times New Roman"/>
          <w:color w:val="auto"/>
          <w:kern w:val="0"/>
          <w:sz w:val="32"/>
          <w:szCs w:val="32"/>
        </w:rPr>
        <w:t>围绕发展重点，建立招商引资靶向目标清单，加强招引商贸业国企央企总部，大宗商品、医药和医疗器械、新能源汽车等贸易总部，具有知名品牌产品国内总分销权、总代理权的企业，知名连锁便利品牌，国内外知名商业运营商，综合型、垂直型电商平台，支持设立全球全国总部、区域性总部、销售中心、研发设计中心、产品定制中心、采购结算中心、运营管理中心、展示交易中心等；加强招商引资前置性服务，推动目标对象与商业载体、楼宇、村集体等物业方的对接，做好提前谋划，为招商目标落地创造良好条件。</w:t>
      </w:r>
      <w:r>
        <w:rPr>
          <w:rFonts w:ascii="Times New Roman" w:hAnsi="Times New Roman" w:eastAsia="仿宋_GB2312" w:cs="Times New Roman"/>
          <w:b/>
          <w:bCs/>
          <w:color w:val="auto"/>
          <w:kern w:val="0"/>
          <w:sz w:val="32"/>
          <w:szCs w:val="32"/>
        </w:rPr>
        <w:t>加大政策支持力度</w:t>
      </w:r>
      <w:r>
        <w:rPr>
          <w:rFonts w:ascii="Times New Roman" w:hAnsi="Times New Roman" w:eastAsia="仿宋_GB2312" w:cs="Times New Roman"/>
          <w:color w:val="auto"/>
          <w:kern w:val="0"/>
          <w:sz w:val="32"/>
          <w:szCs w:val="32"/>
        </w:rPr>
        <w:t>。根据商贸业发展重点和主要任务，以“稳大、培优、引强”为原则，针对大宗商品、百货、电商、医药流通、汽车销售、住宿餐饮等不同行业特性，分类施策，从经营贡献、营收增长、商圈改造、商业载体建设、首店引进、活动举办、租金支持等方面，研究制定针对性企业培育扶持措施；优化惠企政策兑现一站式服务，充分运用区块链、大数据、人工智能等技术，进一步完善政策兑现服务平台；借助广州市加强与海南自贸港对接合作机遇，积极争取复制海南自贸港在企业所得税优惠、放宽市场准入、服务贸易跨境负面清单等方面的先行先试政策。</w:t>
      </w:r>
      <w:r>
        <w:rPr>
          <w:rFonts w:ascii="Times New Roman" w:hAnsi="Times New Roman" w:eastAsia="仿宋_GB2312" w:cs="Times New Roman"/>
          <w:b/>
          <w:bCs/>
          <w:color w:val="auto"/>
          <w:kern w:val="0"/>
          <w:sz w:val="32"/>
          <w:szCs w:val="32"/>
        </w:rPr>
        <w:t>提升市场主体服务水平。</w:t>
      </w:r>
      <w:r>
        <w:rPr>
          <w:rFonts w:ascii="Times New Roman" w:hAnsi="Times New Roman" w:eastAsia="仿宋_GB2312" w:cs="Times New Roman"/>
          <w:color w:val="auto"/>
          <w:kern w:val="0"/>
          <w:sz w:val="32"/>
          <w:szCs w:val="32"/>
        </w:rPr>
        <w:t>以天河区推进落实国家营商环境创新试点城市建设为契机，围绕企业开办、用地、税务服务等环节，构建高效服务体系，提升市场主体满意度获得感。完善企业综合服务平台和政企沟通服务中心等平台建设，组织常态化“政企面对面”交流活动，做好企业诉求的收集、办理、督查、反馈闭环管理，畅通政企常态化沟通渠道，协调解决企业发展过程中的难点、痛点；积极搭建商贸企业沟通交流渠道，探索建立走访调研、研讨交流、圆桌会议等多项机制，积极引导各类商贸企业开展产品和服务联合创新、市场拓展、资源整合、异业联盟等，推动企业互促发展。以优质营商环境和服务，助推招商引资和市场主体培育等重点工作推进。</w:t>
      </w:r>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bookmarkStart w:id="92" w:name="_Hlk114171003"/>
            <w:r>
              <w:rPr>
                <w:rFonts w:ascii="Times New Roman" w:hAnsi="Times New Roman" w:eastAsia="仿宋_GB2312" w:cs="Times New Roman"/>
                <w:b/>
                <w:bCs/>
                <w:color w:val="auto"/>
                <w:kern w:val="0"/>
                <w:sz w:val="24"/>
              </w:rPr>
              <w:t>专栏15 天河区商贸业扶持政策建议</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b/>
                <w:bCs/>
                <w:color w:val="auto"/>
                <w:kern w:val="0"/>
                <w:sz w:val="24"/>
              </w:rPr>
            </w:pPr>
            <w:bookmarkStart w:id="93" w:name="_Hlk112193837"/>
            <w:r>
              <w:rPr>
                <w:rFonts w:ascii="Times New Roman" w:hAnsi="Times New Roman" w:eastAsia="仿宋_GB2312" w:cs="Times New Roman"/>
                <w:b/>
                <w:bCs/>
                <w:color w:val="auto"/>
                <w:kern w:val="0"/>
                <w:sz w:val="24"/>
              </w:rPr>
              <w:t>行业专项政策：</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1）大宗商品：建立大宗商品优质企业白名单，鼓励银行给予名单内企业更高额度授信，积极协调开证公司资源，适当降低保证金和银行费率，为大宗商品企业提供金融支持；优先供应“链主”企业产业用地，对龙头大宗商品企业诉求实施“一事一议”；对符合条件的大宗商品企业，按其当年营业收入的0.6‰给予资金扶持。</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2）零售业：支持新建商业载体，支持存量载体升级改造；对亚洲首店、中国首店、华南首店、广州首店等分别给予一定金额的扶持资金；对首次获评“全国购物中心销售额前十”、“中国连锁百强”等企业，给予一定认定奖励。加大汽车消费信贷支持，鼓励金融机构适当下调首付比例和贷款利率、延长还款期限等；给予一定汽车展销场地和活动经费补助。积极争取上级支持，在天河路商圈、珠江新城商圈创建离境退税示范街区，探索开展小额“即买即退”试点。</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3）电子商务：积极协调解决企业反映较多的税务问题，提升企业和个人发票获取便利性。鼓励银行根据电商企业发展特点，推出与应收账款、流水等相关信贷产品，加大对重点电商企业的信贷支持。支持电商专业楼宇/产业园建设，给予企业入驻奖励、房租优惠、经营贡献奖励、人才引育扶持等。</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（4）医药流通：协调区内仓储资源，积极响应药品和医疗器械仓储需求。支持搭建医药企业数字化升级服务平台，根据平台建设费用或服务企业情况，给予资金支持。</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5）餐饮：针对预制菜领域，参照本区科技行业支持政策，给予研发、科技成果转移转化专项扶持政策。加大经费支持，鼓励各大载体、超市、餐饮门店等开设预制菜专区，支持预制菜企业和区内广告、市场营销等专业服务企业合作，打造一批驰名中外的预制菜品牌。</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（6）对外贸易：根据贸易金额，对货物贸易和服务贸易给予资金奖励。</w:t>
            </w:r>
          </w:p>
          <w:p>
            <w:pPr>
              <w:pageBreakBefore w:val="0"/>
              <w:kinsoku/>
              <w:wordWrap/>
              <w:overflowPunct/>
              <w:topLinePunct w:val="0"/>
              <w:autoSpaceDE/>
              <w:autoSpaceDN/>
              <w:bidi w:val="0"/>
              <w:adjustRightInd/>
              <w:snapToGrid/>
              <w:spacing w:beforeAutospacing="0" w:afterAutospacing="0" w:line="560" w:lineRule="exact"/>
              <w:ind w:right="0" w:rightChars="0" w:firstLine="482" w:firstLineChars="200"/>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通用政策：</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企业落户奖励；经营贡献奖励；营收增长奖励；活动经费支持；租金补贴；贷款贴息等。</w:t>
            </w:r>
            <w:bookmarkEnd w:id="93"/>
          </w:p>
        </w:tc>
      </w:tr>
      <w:bookmarkEnd w:id="92"/>
    </w:tbl>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4" w:name="_Toc27259"/>
      <w:r>
        <w:rPr>
          <w:rFonts w:ascii="Times New Roman" w:hAnsi="Times New Roman" w:cs="Times New Roman"/>
          <w:color w:val="auto"/>
        </w:rPr>
        <w:t>（二）优化要素供给和产业生态</w:t>
      </w:r>
      <w:bookmarkEnd w:id="94"/>
    </w:p>
    <w:p>
      <w:pPr>
        <w:pageBreakBefore w:val="0"/>
        <w:kinsoku/>
        <w:wordWrap/>
        <w:overflowPunct/>
        <w:topLinePunct w:val="0"/>
        <w:autoSpaceDE/>
        <w:autoSpaceDN/>
        <w:bidi w:val="0"/>
        <w:adjustRightInd/>
        <w:snapToGrid/>
        <w:spacing w:beforeAutospacing="0" w:afterAutospacing="0" w:line="560" w:lineRule="exact"/>
        <w:ind w:right="0" w:rightChars="0"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bCs/>
          <w:color w:val="auto"/>
          <w:kern w:val="0"/>
          <w:sz w:val="32"/>
          <w:szCs w:val="32"/>
        </w:rPr>
        <w:t>加强金融支持</w:t>
      </w:r>
      <w:r>
        <w:rPr>
          <w:rFonts w:ascii="Times New Roman" w:hAnsi="Times New Roman" w:eastAsia="仿宋_GB2312" w:cs="Times New Roman"/>
          <w:color w:val="auto"/>
          <w:kern w:val="0"/>
          <w:sz w:val="32"/>
          <w:szCs w:val="32"/>
        </w:rPr>
        <w:t>。充分发挥天河金融资源集聚优势，强化涉企金融扶持政策覆盖面和精准度，支持信用服务机构开发、创新信用产品，为金融机构投放信贷提供有力支撑，有效缓解中小微企业融资难质押难问题；引导社会资本设立消费领域股权基金、创业基金、产业基金，投向新消费关键领域、重点领域、薄弱环节和应用示范项目；鼓励商业银行开发符合消费型经济特征的融资产品，大力发展商圈融资、供应链融资等创新型融资方式；深入与“信易贷”“粤信融”等融资平台的对接，推动辖内金融机构入驻平台，为企业定制金融产品；优化完善企业上市服务体系，助力企业利用多层次资本市场融资发展。</w:t>
      </w:r>
      <w:r>
        <w:rPr>
          <w:rFonts w:ascii="Times New Roman" w:hAnsi="Times New Roman" w:eastAsia="仿宋_GB2312" w:cs="Times New Roman"/>
          <w:b/>
          <w:bCs/>
          <w:color w:val="auto"/>
          <w:kern w:val="0"/>
          <w:sz w:val="32"/>
          <w:szCs w:val="32"/>
        </w:rPr>
        <w:t>加强人才引育</w:t>
      </w:r>
      <w:r>
        <w:rPr>
          <w:rFonts w:ascii="Times New Roman" w:hAnsi="Times New Roman" w:eastAsia="仿宋_GB2312" w:cs="Times New Roman"/>
          <w:color w:val="auto"/>
          <w:kern w:val="0"/>
          <w:sz w:val="32"/>
          <w:szCs w:val="32"/>
        </w:rPr>
        <w:t>。实施天河人才强区五项计划，完善人才政策体系；围绕大宗商品、商业运营、电子商务、供应链、创意设计、营销策划等领域加强国际化高端创新人才和管理人才引进，打通人才培育供给渠道，打造人才发展全链条工作体系，实现人才培养与产业升级互动协同发展。配合粤港澳大湾区（广州）人才大数据平台建设，建立人才评价信息化系统，推动广粤天地和汇景国际社区人才服务升级，承载更多人才服务事项，探索创新国际人才发展和自由流动机制。</w:t>
      </w:r>
      <w:r>
        <w:rPr>
          <w:rFonts w:ascii="Times New Roman" w:hAnsi="Times New Roman" w:eastAsia="仿宋_GB2312" w:cs="Times New Roman"/>
          <w:b/>
          <w:bCs/>
          <w:color w:val="auto"/>
          <w:kern w:val="0"/>
          <w:sz w:val="32"/>
          <w:szCs w:val="32"/>
        </w:rPr>
        <w:t>创新用地保障。</w:t>
      </w:r>
      <w:r>
        <w:rPr>
          <w:rFonts w:ascii="Times New Roman" w:hAnsi="Times New Roman" w:eastAsia="仿宋_GB2312" w:cs="Times New Roman"/>
          <w:color w:val="auto"/>
          <w:kern w:val="0"/>
          <w:sz w:val="32"/>
          <w:szCs w:val="32"/>
        </w:rPr>
        <w:t>探索适度放宽用地兼容性，支持商业功能融入其他用地，适度放宽商业用地容积率、建筑密度等强制性指标限制，支持灵活的商业空间设计和多样化、复合化的消费场景打造；优化土地出让机制，参照香港、上海等城市“双信封”用地出让的做法，鼓励通过“方案比选+用地竞价”结合的方式推进商业用地出让工作，保障商业项目顺利落地与长期营运。</w:t>
      </w:r>
      <w:r>
        <w:rPr>
          <w:rFonts w:ascii="Times New Roman" w:hAnsi="Times New Roman" w:eastAsia="仿宋_GB2312" w:cs="Times New Roman"/>
          <w:b/>
          <w:bCs/>
          <w:color w:val="auto"/>
          <w:kern w:val="0"/>
          <w:sz w:val="32"/>
          <w:szCs w:val="32"/>
        </w:rPr>
        <w:t>促进集聚发展</w:t>
      </w:r>
      <w:r>
        <w:rPr>
          <w:rFonts w:ascii="Times New Roman" w:hAnsi="Times New Roman" w:eastAsia="仿宋_GB2312" w:cs="Times New Roman"/>
          <w:color w:val="auto"/>
          <w:kern w:val="0"/>
          <w:sz w:val="32"/>
          <w:szCs w:val="32"/>
        </w:rPr>
        <w:t>。综合产业发展现状和需求，积极促进细分产业集群化发展，在大宗商品、汽车销售、电子商务、医美、服务贸易、直播等领域打造专业楼宇和园区，加强应用场景、政策支持，协助对接市场和渠道，集中力量提升产业发展氛围，推动产业做大做强。</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shd w:val="clear" w:color="auto" w:fill="auto"/>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专栏</w:t>
            </w:r>
            <w:r>
              <w:rPr>
                <w:rFonts w:hint="eastAsia" w:ascii="Times New Roman" w:hAnsi="Times New Roman" w:eastAsia="仿宋_GB2312" w:cs="Times New Roman"/>
                <w:b/>
                <w:bCs/>
                <w:color w:val="auto"/>
                <w:kern w:val="0"/>
                <w:sz w:val="24"/>
              </w:rPr>
              <w:t>1</w:t>
            </w:r>
            <w:r>
              <w:rPr>
                <w:rFonts w:ascii="Times New Roman" w:hAnsi="Times New Roman" w:eastAsia="仿宋_GB2312" w:cs="Times New Roman"/>
                <w:b/>
                <w:bCs/>
                <w:color w:val="auto"/>
                <w:kern w:val="0"/>
                <w:sz w:val="24"/>
              </w:rPr>
              <w:t>6 电子商务产业生态构建</w:t>
            </w:r>
          </w:p>
          <w:p>
            <w:pPr>
              <w:pageBreakBefore w:val="0"/>
              <w:kinsoku/>
              <w:wordWrap/>
              <w:overflowPunct/>
              <w:topLinePunct w:val="0"/>
              <w:autoSpaceDE/>
              <w:autoSpaceDN/>
              <w:bidi w:val="0"/>
              <w:adjustRightInd/>
              <w:snapToGrid/>
              <w:spacing w:beforeAutospacing="0" w:afterAutospacing="0" w:line="560" w:lineRule="exact"/>
              <w:ind w:right="0" w:rightChars="0" w:firstLine="480" w:firstLineChars="200"/>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全方位优化电商发展环境。一是在金融城或智谷片区选址打造电商专业楼宇或产业园，在为电商企业提供发展空间的同时，凸显天河区着力推动电商产业发展的政策导向，打响产业发展名片，增强对电商企业的吸引力。二是完善产业发展生态，为电商企业提供一站式政策宣传、品牌建设、营销运营、人才培训、投融资对接、行业合作、法律支持等服务，强化电子商务支撑服务体系建设。三是加强应用场景支持，鼓励开展电商新技术、新业态、新模式的落地实验和应用推广，支持在区内商业载体开展电商黑科技尝鲜体验、电商新业态快闪体验等。四是加大政策支持，积极协调解决企业反映较多的税务问题，加强对电商人才的税收优惠、住房支持，加大办公场地支持，鼓励银行加强对电商企业的信贷支持。</w:t>
            </w:r>
          </w:p>
        </w:tc>
      </w:tr>
    </w:tbl>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5" w:name="_Toc15494"/>
      <w:r>
        <w:rPr>
          <w:rFonts w:ascii="Times New Roman" w:hAnsi="Times New Roman" w:cs="Times New Roman"/>
          <w:color w:val="auto"/>
        </w:rPr>
        <w:t>（三）建立包容审慎监管机制</w:t>
      </w:r>
      <w:bookmarkEnd w:id="95"/>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按照鼓励创新原则，以错纠错为导向，建立适应新兴业态、新模式发展的包容审慎监管机制，进一步优化新兴业态发展环境。推行包容期管理、“容错”管理等执法监管机制，给予市场主体成长“容错”“试错”空间，宽严相济，以教育引导为主，对新产业、新业态领域企业首次、轻微的违规经营行为，依法免于行政处罚，鼓励和引导违法企业改正轻微违法行为，审慎、合理、适当使用行政处罚手段。对密室逃脱、剧本杀、健康医疗、整形美容、文化创意、休闲娱乐等新兴服务消费，在优化监管的前提下，进一步放宽准入和资质审批条件。落实市商务局文件精神，按照“应减必减、可放则放”原则，实行负面清单管理，支持商家在商业用地红线范围内依法依规开展促销活动，简化大型促消费活动审批，对同一场地举办相同内容的多场次大型促消费活动，实行一次许可制和一次报备制。对在不影响通行的区域，支持有序开放酒吧、咖啡店、轻餐饮店等“外摆位”限制。探索实施商旅文娱体等领域大型活动安全许可和商家“外摆”经营“一网通办”。适当放宽LED、刀旗等载体户外广告审批。</w:t>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6" w:name="_Toc9746"/>
      <w:r>
        <w:rPr>
          <w:rFonts w:ascii="Times New Roman" w:hAnsi="Times New Roman" w:cs="Times New Roman"/>
          <w:color w:val="auto"/>
        </w:rPr>
        <w:t>（四）营造安全放心消费环境</w:t>
      </w:r>
      <w:bookmarkEnd w:id="96"/>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加强商务信用监管，对市场主体实施差别化分类监管，优化守信市场主体检查频次，加强对严重失信主体的日常监管，加大抽查比例和频次，从严进行资质审核；运用广州市公共信用信息管理系统，对失信联合惩戒黑名单企业坚决不予财政资金支持、依法依规限制其申请财政性资金项目、政府采购项目、享受政策优惠等；加大对销售假冒伪劣商品、侵犯知识产权、虚假宣传、价格欺诈、侵犯个人信息安全等行为的打击力度。衔接市商务诚信建设，重点以诚信平台、商圈诚信、家政诚信建设为突破口，全面深化商务诚信建设，用好省、市商务诚信公共服务平台，推动天河路商圈构建诚信消费生态圈，依托广州市家政服务综合平台，完善家政企业和从业人员诚信评价和管理机制；完善“红名单”和“黑名单”制度，鼓励行业协会建立和完善各行业信用评价标准，推动信用信息共享。持续培育诚信文化，持续协助办好“诚信兴商宣传月”、“商务诚信建设推进会”等系列商务诚信活动；支持企业积极参与“诚信兴商”典型案例遴选；鼓励和引导市场主体开展信用承诺，在行政审批、资金补助、评先评优等事项中探索应用信用承诺，营造倡导诚信经营、提高诚信消费意识的良好社会氛围。</w:t>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7" w:name="_Toc29335"/>
      <w:r>
        <w:rPr>
          <w:rFonts w:ascii="Times New Roman" w:hAnsi="Times New Roman" w:cs="Times New Roman"/>
          <w:color w:val="auto"/>
        </w:rPr>
        <w:t>第七章 保障措施</w:t>
      </w:r>
      <w:bookmarkEnd w:id="97"/>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98" w:name="_Toc23109"/>
      <w:bookmarkStart w:id="99" w:name="_Toc14583"/>
      <w:r>
        <w:rPr>
          <w:rFonts w:ascii="Times New Roman" w:hAnsi="Times New Roman" w:cs="Times New Roman"/>
          <w:color w:val="auto"/>
        </w:rPr>
        <w:t>（一）加强组织</w:t>
      </w:r>
      <w:bookmarkEnd w:id="98"/>
      <w:r>
        <w:rPr>
          <w:rFonts w:ascii="Times New Roman" w:hAnsi="Times New Roman" w:cs="Times New Roman"/>
          <w:color w:val="auto"/>
        </w:rPr>
        <w:t>领导</w:t>
      </w:r>
      <w:bookmarkEnd w:id="99"/>
    </w:p>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sz w:val="32"/>
          <w:szCs w:val="22"/>
        </w:rPr>
      </w:pPr>
      <w:r>
        <w:rPr>
          <w:rFonts w:ascii="Times New Roman" w:hAnsi="Times New Roman" w:eastAsia="仿宋_GB2312" w:cs="Times New Roman"/>
          <w:color w:val="auto"/>
          <w:sz w:val="32"/>
          <w:szCs w:val="22"/>
        </w:rPr>
        <w:t>建立以区主要领导牵头的天河商贸业提质升级工作机制，主动融入广州国际消费中心城市建设大局，协同天河中央商务区管委会、天河科技园管委会、发改、规划、住建、文广旅体、卫健等部门，统筹重大项目建设、基础设施配套、招商引资、用地供给、企业培育、行业监管等各项工作，将任务细化分解到具体部门、责任到人，形成“全区一盘棋”。充分发挥天河路商圈发展工作联席会议、天河路商圈管委会作用，建立健全重大问题协调解决机制。拓展天河路商圈高质量发展咨询委员会功能，吸纳更多行业政策专家、企业家、投资者等，为商贸业发展建言献策。加强干部队伍建设，加快打造一支懂产业、懂企业、懂人才、懂建设、敢负责、勇担当的干部队伍，推动</w:t>
      </w:r>
      <w:bookmarkStart w:id="100" w:name="_Hlk112090246"/>
      <w:r>
        <w:rPr>
          <w:rFonts w:ascii="Times New Roman" w:hAnsi="Times New Roman" w:eastAsia="仿宋_GB2312" w:cs="Times New Roman"/>
          <w:color w:val="auto"/>
          <w:sz w:val="32"/>
          <w:szCs w:val="22"/>
        </w:rPr>
        <w:t>天河商贸业发展提质</w:t>
      </w:r>
      <w:bookmarkEnd w:id="100"/>
      <w:r>
        <w:rPr>
          <w:rFonts w:ascii="Times New Roman" w:hAnsi="Times New Roman" w:eastAsia="仿宋_GB2312" w:cs="Times New Roman"/>
          <w:color w:val="auto"/>
          <w:sz w:val="32"/>
          <w:szCs w:val="22"/>
        </w:rPr>
        <w:t>升级。</w:t>
      </w:r>
    </w:p>
    <w:p>
      <w:pPr>
        <w:pStyle w:val="3"/>
        <w:pageBreakBefore w:val="0"/>
        <w:tabs>
          <w:tab w:val="left" w:pos="360"/>
        </w:tabs>
        <w:kinsoku/>
        <w:wordWrap/>
        <w:overflowPunct/>
        <w:topLinePunct w:val="0"/>
        <w:autoSpaceDE/>
        <w:autoSpaceDN/>
        <w:bidi w:val="0"/>
        <w:adjustRightInd/>
        <w:snapToGrid/>
        <w:spacing w:before="0" w:beforeAutospacing="0" w:after="0" w:afterAutospacing="0" w:line="560" w:lineRule="exact"/>
        <w:ind w:right="0" w:rightChars="0"/>
        <w:jc w:val="left"/>
        <w:rPr>
          <w:rFonts w:ascii="Times New Roman" w:hAnsi="Times New Roman" w:cs="Times New Roman"/>
          <w:color w:val="auto"/>
        </w:rPr>
      </w:pPr>
      <w:bookmarkStart w:id="101" w:name="_Toc24257"/>
      <w:bookmarkStart w:id="102" w:name="_Toc19388"/>
      <w:r>
        <w:rPr>
          <w:rFonts w:ascii="Times New Roman" w:hAnsi="Times New Roman" w:cs="Times New Roman"/>
          <w:color w:val="auto"/>
        </w:rPr>
        <w:t>（二）完善监督机制</w:t>
      </w:r>
      <w:bookmarkEnd w:id="101"/>
      <w:bookmarkEnd w:id="102"/>
      <w:bookmarkStart w:id="103" w:name="_Hlk98924037"/>
    </w:p>
    <w:bookmarkEnd w:id="103"/>
    <w:p>
      <w:pPr>
        <w:pageBreakBefore w:val="0"/>
        <w:kinsoku/>
        <w:wordWrap/>
        <w:overflowPunct/>
        <w:topLinePunct w:val="0"/>
        <w:autoSpaceDE/>
        <w:autoSpaceDN/>
        <w:bidi w:val="0"/>
        <w:adjustRightInd/>
        <w:snapToGrid/>
        <w:spacing w:beforeAutospacing="0" w:afterAutospacing="0" w:line="560" w:lineRule="exact"/>
        <w:ind w:right="0" w:rightChars="0" w:firstLine="600"/>
        <w:rPr>
          <w:rFonts w:ascii="Times New Roman" w:hAnsi="Times New Roman" w:eastAsia="仿宋_GB2312" w:cs="Times New Roman"/>
          <w:color w:val="auto"/>
          <w:sz w:val="32"/>
          <w:szCs w:val="40"/>
        </w:rPr>
      </w:pPr>
      <w:r>
        <w:rPr>
          <w:rFonts w:ascii="Times New Roman" w:hAnsi="Times New Roman" w:eastAsia="仿宋_GB2312" w:cs="Times New Roman"/>
          <w:color w:val="auto"/>
          <w:sz w:val="32"/>
          <w:szCs w:val="40"/>
        </w:rPr>
        <w:t>加强对规划落实工作的统计监测和评估，</w:t>
      </w:r>
      <w:bookmarkStart w:id="104" w:name="_Hlk99624467"/>
      <w:r>
        <w:rPr>
          <w:rFonts w:ascii="Times New Roman" w:hAnsi="Times New Roman" w:eastAsia="仿宋_GB2312" w:cs="Times New Roman"/>
          <w:color w:val="auto"/>
          <w:sz w:val="32"/>
          <w:szCs w:val="22"/>
        </w:rPr>
        <w:t>建立“月度监测-季度体检-年度评估”的定期评估机制。</w:t>
      </w:r>
      <w:bookmarkEnd w:id="104"/>
      <w:r>
        <w:rPr>
          <w:rFonts w:ascii="Times New Roman" w:hAnsi="Times New Roman" w:eastAsia="仿宋_GB2312" w:cs="Times New Roman"/>
          <w:color w:val="auto"/>
          <w:sz w:val="32"/>
          <w:szCs w:val="22"/>
        </w:rPr>
        <w:t>积极探索适用于现代商贸业的监管措施，分领域制定监管规则和标准，在严守安全底线的前提下为新业态发展留足空间。重点监测社零情况、线上线下消费等核心数据，持续追踪商圈、特色功能区等消费空间建设情况，对相关指标进行收集、分析和评估。</w:t>
      </w:r>
      <w:r>
        <w:rPr>
          <w:rFonts w:ascii="Times New Roman" w:hAnsi="Times New Roman" w:eastAsia="仿宋_GB2312" w:cs="Times New Roman"/>
          <w:color w:val="auto"/>
          <w:sz w:val="32"/>
          <w:szCs w:val="40"/>
        </w:rPr>
        <w:t>强化监测评估，建立定期通报制度，加强重点工作督查督办，强化结果运用，针对规划实施过程中存在的问题及时提出解决措施，持续实现规划动态维护，强化规划实施效果。</w:t>
      </w:r>
    </w:p>
    <w:p>
      <w:pPr>
        <w:pStyle w:val="3"/>
        <w:pageBreakBefore w:val="0"/>
        <w:tabs>
          <w:tab w:val="left" w:pos="360"/>
        </w:tabs>
        <w:kinsoku/>
        <w:wordWrap/>
        <w:overflowPunct/>
        <w:topLinePunct w:val="0"/>
        <w:autoSpaceDE/>
        <w:autoSpaceDN/>
        <w:bidi w:val="0"/>
        <w:adjustRightInd/>
        <w:snapToGrid/>
        <w:spacing w:before="0" w:beforeAutospacing="0" w:after="0" w:afterAutospacing="0" w:line="560" w:lineRule="exact"/>
        <w:ind w:right="0" w:rightChars="0"/>
        <w:jc w:val="left"/>
        <w:rPr>
          <w:rFonts w:ascii="Times New Roman" w:hAnsi="Times New Roman" w:cs="Times New Roman"/>
          <w:color w:val="auto"/>
        </w:rPr>
      </w:pPr>
      <w:bookmarkStart w:id="105" w:name="_Toc25778"/>
      <w:r>
        <w:rPr>
          <w:rFonts w:ascii="Times New Roman" w:hAnsi="Times New Roman" w:cs="Times New Roman"/>
          <w:color w:val="auto"/>
        </w:rPr>
        <w:t>（三）强化宣传推广</w:t>
      </w:r>
      <w:bookmarkEnd w:id="105"/>
    </w:p>
    <w:p>
      <w:pPr>
        <w:pageBreakBefore w:val="0"/>
        <w:kinsoku/>
        <w:wordWrap/>
        <w:overflowPunct/>
        <w:topLinePunct w:val="0"/>
        <w:autoSpaceDE/>
        <w:autoSpaceDN/>
        <w:bidi w:val="0"/>
        <w:adjustRightInd/>
        <w:snapToGrid/>
        <w:spacing w:beforeAutospacing="0" w:afterAutospacing="0" w:line="560" w:lineRule="exact"/>
        <w:ind w:right="0" w:rightChars="0" w:firstLine="600"/>
        <w:rPr>
          <w:rFonts w:ascii="Times New Roman" w:hAnsi="Times New Roman" w:eastAsia="仿宋_GB2312" w:cs="Times New Roman"/>
          <w:color w:val="auto"/>
          <w:sz w:val="32"/>
          <w:szCs w:val="40"/>
        </w:rPr>
        <w:sectPr>
          <w:pgSz w:w="11906" w:h="16838"/>
          <w:pgMar w:top="2098" w:right="1474" w:bottom="1984" w:left="1587" w:header="851" w:footer="992" w:gutter="0"/>
          <w:pgNumType w:start="1"/>
          <w:cols w:space="425" w:num="1"/>
          <w:docGrid w:type="lines" w:linePitch="312" w:charSpace="0"/>
        </w:sectPr>
      </w:pPr>
      <w:r>
        <w:rPr>
          <w:rFonts w:ascii="Times New Roman" w:hAnsi="Times New Roman" w:eastAsia="仿宋_GB2312" w:cs="Times New Roman"/>
          <w:color w:val="auto"/>
          <w:sz w:val="32"/>
          <w:szCs w:val="40"/>
        </w:rPr>
        <w:t>注重中心城区商贸业转型升级经验的“引领性”和“创新性”，对片区的产业发展定位、招商政策、营商环境等进行提炼总结和宣传推广，发挥好先进典型的示范引导作用，凝聚行动共识，营造片区发展良好氛围。联合区内知名传媒机构，开展城市整体营销、商贸品牌宣传。通过新闻媒体报道、专项工作推介会、行业活动、论坛、公众号、视频号等多种渠道，深度挖掘推广区内商旅体娱等消费资源及其亮点，提升国际影响力、传播力、辐射面。利用驻穗领馆、国际组织、海外商协会等资源，加强海外宣传推介。搭建公众参与平台，采用问卷调查、专家咨询、主题沙龙、主题活动、成果宣传等多元化的形式，提高参与意识，营造全社会关注、全民参与的良好氛围。</w:t>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06" w:name="_Toc23859"/>
      <w:r>
        <w:rPr>
          <w:rFonts w:ascii="Times New Roman" w:hAnsi="Times New Roman" w:cs="Times New Roman"/>
          <w:color w:val="auto"/>
        </w:rPr>
        <w:t>附件</w:t>
      </w:r>
      <w:bookmarkEnd w:id="106"/>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07" w:name="_Toc17397"/>
      <w:r>
        <w:rPr>
          <w:rFonts w:ascii="Times New Roman" w:hAnsi="Times New Roman" w:cs="Times New Roman"/>
          <w:color w:val="auto"/>
        </w:rPr>
        <w:t>（一）天河区“十四五”重点商贸项目</w:t>
      </w:r>
      <w:bookmarkEnd w:id="107"/>
    </w:p>
    <w:tbl>
      <w:tblPr>
        <w:tblStyle w:val="26"/>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651"/>
        <w:gridCol w:w="1583"/>
        <w:gridCol w:w="1211"/>
        <w:gridCol w:w="5467"/>
        <w:gridCol w:w="1372"/>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序号</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项目名称</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项目建设</w:t>
            </w:r>
            <w:r>
              <w:rPr>
                <w:rFonts w:ascii="Times New Roman" w:hAnsi="Times New Roman" w:eastAsia="仿宋_GB2312" w:cs="Times New Roman"/>
                <w:b/>
                <w:bCs/>
                <w:color w:val="auto"/>
                <w:kern w:val="0"/>
                <w:sz w:val="24"/>
              </w:rPr>
              <w:br w:type="textWrapping"/>
            </w:r>
            <w:r>
              <w:rPr>
                <w:rFonts w:ascii="Times New Roman" w:hAnsi="Times New Roman" w:eastAsia="仿宋_GB2312" w:cs="Times New Roman"/>
                <w:b/>
                <w:bCs/>
                <w:color w:val="auto"/>
                <w:kern w:val="0"/>
                <w:sz w:val="24"/>
              </w:rPr>
              <w:t>单位</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项目主管</w:t>
            </w:r>
            <w:r>
              <w:rPr>
                <w:rFonts w:ascii="Times New Roman" w:hAnsi="Times New Roman" w:eastAsia="仿宋_GB2312" w:cs="Times New Roman"/>
                <w:b/>
                <w:bCs/>
                <w:color w:val="auto"/>
                <w:kern w:val="0"/>
                <w:sz w:val="24"/>
              </w:rPr>
              <w:br w:type="textWrapping"/>
            </w:r>
            <w:r>
              <w:rPr>
                <w:rFonts w:ascii="Times New Roman" w:hAnsi="Times New Roman" w:eastAsia="仿宋_GB2312" w:cs="Times New Roman"/>
                <w:b/>
                <w:bCs/>
                <w:color w:val="auto"/>
                <w:kern w:val="0"/>
                <w:sz w:val="24"/>
              </w:rPr>
              <w:t>单位</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建设内容和规模</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建设起止</w:t>
            </w:r>
            <w:r>
              <w:rPr>
                <w:rFonts w:ascii="Times New Roman" w:hAnsi="Times New Roman" w:eastAsia="仿宋_GB2312" w:cs="Times New Roman"/>
                <w:b/>
                <w:bCs/>
                <w:color w:val="auto"/>
                <w:kern w:val="0"/>
                <w:sz w:val="24"/>
              </w:rPr>
              <w:br w:type="textWrapping"/>
            </w:r>
            <w:r>
              <w:rPr>
                <w:rFonts w:ascii="Times New Roman" w:hAnsi="Times New Roman" w:eastAsia="仿宋_GB2312" w:cs="Times New Roman"/>
                <w:b/>
                <w:bCs/>
                <w:color w:val="auto"/>
                <w:kern w:val="0"/>
                <w:sz w:val="24"/>
              </w:rPr>
              <w:t>年限</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cs="Times New Roman"/>
                <w:color w:val="auto"/>
              </w:rPr>
            </w:pPr>
            <w:r>
              <w:rPr>
                <w:rFonts w:ascii="Times New Roman" w:hAnsi="Times New Roman" w:eastAsia="仿宋_GB2312" w:cs="Times New Roman"/>
                <w:b/>
                <w:bCs/>
                <w:color w:val="auto"/>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1</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尚品宅配总部</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广州尚品宅配家居股份有限公司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区商务金融局</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项目位于广州国际金融城东区AT091434地块，为商业、商务用地，用地面积7601平方米，总建筑面积79440平方米。</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2022-2027</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已纳入区重点项目管理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2</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鹏瑞集团金融城东区项目</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广州市鹏湾投资发展有限公司、广州市铮</w:t>
            </w:r>
            <w:r>
              <w:rPr>
                <w:rFonts w:ascii="Times New Roman" w:hAnsi="Times New Roman" w:eastAsia="微软雅黑" w:cs="Times New Roman"/>
                <w:color w:val="auto"/>
                <w:kern w:val="0"/>
                <w:sz w:val="24"/>
              </w:rPr>
              <w:t>玥</w:t>
            </w:r>
            <w:r>
              <w:rPr>
                <w:rFonts w:ascii="Times New Roman" w:hAnsi="Times New Roman" w:eastAsia="仿宋_GB2312" w:cs="Times New Roman"/>
                <w:color w:val="auto"/>
                <w:kern w:val="0"/>
                <w:sz w:val="24"/>
              </w:rPr>
              <w:t>投资有限公司、广州市湾兆投资有限公司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区商务金融局</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项目位于广州国际金融城东区AT101833、AT101835、AT101836地块，占地面积54197平方米，计容总建筑面积为270921平方米。主要建筑物类型包括总部企业办公、商业、服务型公寓、五星级酒店等。</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2022-2026</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已纳入区重点项目管理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3</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合生骏景北商业地块项目</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广州合生科技园房地产有限公司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区商务金融局</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项目用地面积5.9万平方米，总规划用地面积59700平方米，总建筑面积36万平方米，其中商业面积达14万平方米；建设为金融城配套的商业、办公综合体：20层甲级写字楼1栋，21/31层科研办公楼各2栋，3层裙楼商场，4层地下室。</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2019-2025</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eastAsia="仿宋_GB2312" w:cs="Times New Roman"/>
                <w:color w:val="auto"/>
                <w:kern w:val="0"/>
                <w:sz w:val="24"/>
              </w:rPr>
              <w:t>已纳入区重点项目管理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4</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长江中心</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广州联鸿实业投资有限公司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区住建园林局</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项目占地面积24288平方米，总建筑面积35万平方米，其中商业面积达13万平方米（地上9层地下2层）；项目将打造成广州国际金融城门户地标，服务于金融城及周边，辐射珠三角，集购物零售、餐饮娱乐、休闲体验、商务旅游于一体的购物中心。</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2013-2023</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已纳入区重点项目管理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5</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金融城站综合交通枢纽</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广州金融城站综合交通枢纽有限公司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市发改委</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 xml:space="preserve"> 项目位于广州市天河区员村街道金融城起步区AT090904地块，总建筑面积8万平方米，其中商业面积2万平方米。项目拥有着自身独特的建筑造型，通过透明的穹顶对建筑进行覆盖，三角形的建筑界面更是一个创新般的思维，未来将成为广州甚至大湾区最具标志性的建筑。项目商业定位是科技与时尚为主，业态将引进科技展馆、零售、餐饮、体验，将项目打造成城中必到的打卡热门点。</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2018-2023年</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已纳入市重点项目管理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6</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rPr>
            </w:pPr>
            <w:r>
              <w:rPr>
                <w:rFonts w:ascii="Times New Roman" w:hAnsi="Times New Roman" w:eastAsia="仿宋_GB2312" w:cs="Times New Roman"/>
                <w:color w:val="auto"/>
                <w:kern w:val="0"/>
                <w:sz w:val="24"/>
              </w:rPr>
              <w:t>金融城起步区公共部分地下空间及公建配套设施项目</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广州广建国际金融城投资发展有限公司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市重点办</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项目总建筑面积13.9万平方米，其中商业面积达4.9万平方米；旨在建设打造成为涵盖文化旅游、购物餐饮、休闲娱乐、创新体验等功能于一体的大湾区商业中心标杆、世界级商业中心典范。</w:t>
            </w:r>
          </w:p>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零售、餐饮、亲子儿童、休闲娱乐等生活服务、文化、旅游、会议展览等</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cs="Times New Roman"/>
                <w:color w:val="auto"/>
              </w:rPr>
              <w:t>2018-2023</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已纳入省重点项目管理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7</w:t>
            </w:r>
          </w:p>
        </w:tc>
        <w:tc>
          <w:tcPr>
            <w:tcW w:w="165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好太太国际中心</w:t>
            </w:r>
          </w:p>
        </w:tc>
        <w:tc>
          <w:tcPr>
            <w:tcW w:w="1583"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广东好好置业投资有限公司</w:t>
            </w:r>
          </w:p>
        </w:tc>
        <w:tc>
          <w:tcPr>
            <w:tcW w:w="1211"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未定</w:t>
            </w:r>
          </w:p>
        </w:tc>
        <w:tc>
          <w:tcPr>
            <w:tcW w:w="546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项目位于广州天河区金融城东区AT091430地块，用地面积6745平方米，建筑计容面积81615平方米，地下面积16000平方米。好太太国际中心项目建成后，将承接人工智能、工业互联网、产业研发、全球集采、电子商务、国际智慧家居展览中心等业务，将在人工智能与物联网技术等领域扩大布局，通过借助人工智能和物联网核心技术，进一步提升工业大数据的利用效率，输出标准化的大规模定制解决方案，发挥电子商务集群效应，带动周边互联网产业链发展。</w:t>
            </w:r>
          </w:p>
        </w:tc>
        <w:tc>
          <w:tcPr>
            <w:tcW w:w="1372"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r>
              <w:rPr>
                <w:rFonts w:ascii="Times New Roman" w:hAnsi="Times New Roman" w:eastAsia="仿宋_GB2312" w:cs="Times New Roman"/>
                <w:color w:val="auto"/>
                <w:kern w:val="0"/>
                <w:sz w:val="24"/>
              </w:rPr>
              <w:t>2022-2027</w:t>
            </w:r>
          </w:p>
        </w:tc>
        <w:tc>
          <w:tcPr>
            <w:tcW w:w="1987"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拟纳进市攻城拔寨项目</w:t>
            </w:r>
          </w:p>
        </w:tc>
      </w:tr>
    </w:tbl>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cs="Times New Roman"/>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08" w:name="_Toc3984"/>
      <w:r>
        <w:rPr>
          <w:rFonts w:ascii="Times New Roman" w:hAnsi="Times New Roman" w:cs="Times New Roman"/>
          <w:color w:val="auto"/>
        </w:rPr>
        <w:t>（二）天河区商圈重点道路交通建设项目</w:t>
      </w:r>
      <w:bookmarkEnd w:id="108"/>
    </w:p>
    <w:tbl>
      <w:tblPr>
        <w:tblStyle w:val="25"/>
        <w:tblW w:w="13948" w:type="dxa"/>
        <w:tblInd w:w="0" w:type="dxa"/>
        <w:tblLayout w:type="fixed"/>
        <w:tblCellMar>
          <w:top w:w="0" w:type="dxa"/>
          <w:left w:w="108" w:type="dxa"/>
          <w:bottom w:w="0" w:type="dxa"/>
          <w:right w:w="108" w:type="dxa"/>
        </w:tblCellMar>
      </w:tblPr>
      <w:tblGrid>
        <w:gridCol w:w="524"/>
        <w:gridCol w:w="1306"/>
        <w:gridCol w:w="1233"/>
        <w:gridCol w:w="773"/>
        <w:gridCol w:w="1289"/>
        <w:gridCol w:w="1141"/>
        <w:gridCol w:w="1121"/>
        <w:gridCol w:w="1894"/>
        <w:gridCol w:w="4667"/>
      </w:tblGrid>
      <w:tr>
        <w:tblPrEx>
          <w:tblLayout w:type="fixed"/>
          <w:tblCellMar>
            <w:top w:w="0" w:type="dxa"/>
            <w:left w:w="108" w:type="dxa"/>
            <w:bottom w:w="0" w:type="dxa"/>
            <w:right w:w="108" w:type="dxa"/>
          </w:tblCellMar>
        </w:tblPrEx>
        <w:trPr>
          <w:trHeight w:val="20" w:hRule="atLeast"/>
          <w:tblHeader/>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项目阶段</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项目名称</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项目类型</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项目实施单位</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总投资</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开工时间</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竣工时间</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项目概况</w:t>
            </w:r>
          </w:p>
        </w:tc>
      </w:tr>
      <w:tr>
        <w:tblPrEx>
          <w:tblLayout w:type="fixed"/>
          <w:tblCellMar>
            <w:top w:w="0" w:type="dxa"/>
            <w:left w:w="108" w:type="dxa"/>
            <w:bottom w:w="0" w:type="dxa"/>
            <w:right w:w="108" w:type="dxa"/>
          </w:tblCellMar>
        </w:tblPrEx>
        <w:trPr>
          <w:trHeight w:val="20" w:hRule="atLeast"/>
        </w:trPr>
        <w:tc>
          <w:tcPr>
            <w:tcW w:w="1394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金融城商圈</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已开工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临江大道东延线一期工程</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市中心区交通项目管理中心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41900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2017.3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2022.12（以广东海警地块、省基础地块于2022年3月底前移交为前提条件）</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项目西起车陂路，沿线上跨车陂涌，下穿东圃大桥，经过东圃泵站，东至深涌路。全长约2.5千米。道路规划为城市主干道，主路宽50m的市政道路，双向6车道，设计车速为60千米/小时。工程建设内容包括道路、排水、照明、交通、绿化工程；同时新建桥梁3座，分别为跨车陂涌大桥、东圃泵站大桥和跨石溪涌中桥；在道路中央绿化带下配套建设2.4mx2.5m电力隧道；在红线范围沿线预留有轨电车路位；结合滨江景观绿带设置了慢行系统，并按道路全要素设计实施。</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已开工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临江大道东延线二期工程</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市中心区交通项目管理中心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64577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2018.3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预计2022年12月（预计工期以广物仓库地块、鱼珠木材厂地块、广物物流基地地块于2022年3月底前移交为前提条件）</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项目起于临江大道东延线（一期），向东经深涌、九沙涌、止于鱼珠东路，全长约2.1公里。道路规划红线宽度为50米，设计速度为 50公里/小时，双向六车道，道路等级为城市快速路。工程建设内容包括道路、排水、照明、交通、绿化工程；同时新建桥梁2座，分别为跨深涌大桥、九沙涌大桥；在道路中央绿化带下配套建设2.4mx2.5m电力隧道；结合滨江景观绿带设置了慢行系统，并按道路全要素设计实施。</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已开工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Segoe UI Symbol" w:hAnsi="Segoe UI Symbol" w:eastAsia="仿宋_GB2312" w:cs="Segoe UI Symbol"/>
                <w:color w:val="auto"/>
                <w:kern w:val="0"/>
                <w:szCs w:val="21"/>
              </w:rPr>
              <w:t>★☆</w:t>
            </w:r>
            <w:r>
              <w:rPr>
                <w:rFonts w:ascii="Times New Roman" w:hAnsi="Times New Roman" w:eastAsia="仿宋_GB2312" w:cs="Times New Roman"/>
                <w:color w:val="auto"/>
                <w:kern w:val="0"/>
                <w:szCs w:val="21"/>
              </w:rPr>
              <w:t>车陂路—新</w:t>
            </w:r>
            <w:r>
              <w:rPr>
                <w:rFonts w:ascii="Times New Roman" w:hAnsi="Times New Roman" w:eastAsia="微软雅黑" w:cs="Times New Roman"/>
                <w:color w:val="auto"/>
                <w:kern w:val="0"/>
                <w:szCs w:val="21"/>
              </w:rPr>
              <w:t>滘</w:t>
            </w:r>
            <w:r>
              <w:rPr>
                <w:rFonts w:ascii="Times New Roman" w:hAnsi="Times New Roman" w:eastAsia="仿宋_GB2312" w:cs="Times New Roman"/>
                <w:color w:val="auto"/>
                <w:kern w:val="0"/>
                <w:szCs w:val="21"/>
              </w:rPr>
              <w:t>东路过江隧道工程</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市中心区交通项目管理中心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207839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2017.12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2023.6</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车陂路-新</w:t>
            </w:r>
            <w:r>
              <w:rPr>
                <w:rFonts w:ascii="Times New Roman" w:hAnsi="Times New Roman" w:eastAsia="微软雅黑" w:cs="Times New Roman"/>
                <w:color w:val="auto"/>
                <w:kern w:val="0"/>
                <w:szCs w:val="21"/>
              </w:rPr>
              <w:t>滘</w:t>
            </w:r>
            <w:r>
              <w:rPr>
                <w:rFonts w:ascii="Times New Roman" w:hAnsi="Times New Roman" w:eastAsia="仿宋_GB2312" w:cs="Times New Roman"/>
                <w:color w:val="auto"/>
                <w:kern w:val="0"/>
                <w:szCs w:val="21"/>
              </w:rPr>
              <w:t>东路隧道工程（黄埔大道至新港东路）位于广州天河区和海珠区，属于广州琶洲—员村地区，项目施工范围里程区间为K2+266～K4+330.941，南起现状新港东路北侧，与在建的阅江路相交，下穿珠江，向北与待建临江大道、花城大道相交，终点于现状黄埔大道交叉口，全长约2070m。含沉管隧道一座、中桥一座、沉管预制干坞一座、石磷桥涌改道、油脂厂涌改道、珠江堤岸恢复等主要工程结构。</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已开工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Segoe UI Symbol" w:hAnsi="Segoe UI Symbol" w:eastAsia="仿宋_GB2312" w:cs="Segoe UI Symbol"/>
                <w:color w:val="auto"/>
                <w:kern w:val="0"/>
                <w:szCs w:val="21"/>
              </w:rPr>
              <w:t>★☆</w:t>
            </w:r>
            <w:r>
              <w:rPr>
                <w:rFonts w:ascii="Times New Roman" w:hAnsi="Times New Roman" w:eastAsia="仿宋_GB2312" w:cs="Times New Roman"/>
                <w:color w:val="auto"/>
                <w:kern w:val="0"/>
                <w:szCs w:val="21"/>
              </w:rPr>
              <w:t>鱼珠隧道工程</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市中心区交通项目管理中心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556800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2021.9</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2025.12</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项目位于广州市海珠区、天河区、黄埔区三区，工程南起海珠新港东路，采用沉管隧道下穿珠江接入规划珠吉路走廊，向北下穿黄埔大道后接地，止于深涌以南。道路等级为城市主干路，设计时速设计速度为60km/h（局部采用50km/h），规划红线宽60m，双向六车道标准，过江采用沉管隧道。项目主线全长约2.68km，其中隧道段长约2.192km。</w:t>
            </w:r>
          </w:p>
        </w:tc>
      </w:tr>
      <w:tr>
        <w:tblPrEx>
          <w:tblLayout w:type="fixed"/>
          <w:tblCellMar>
            <w:top w:w="0" w:type="dxa"/>
            <w:left w:w="108" w:type="dxa"/>
            <w:bottom w:w="0" w:type="dxa"/>
            <w:right w:w="108" w:type="dxa"/>
          </w:tblCellMar>
        </w:tblPrEx>
        <w:trPr>
          <w:trHeight w:val="20" w:hRule="atLeast"/>
        </w:trPr>
        <w:tc>
          <w:tcPr>
            <w:tcW w:w="1394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珠江新城商圈</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已立项未开工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Segoe UI Symbol" w:hAnsi="Segoe UI Symbol" w:eastAsia="仿宋_GB2312" w:cs="Segoe UI Symbol"/>
                <w:color w:val="auto"/>
                <w:kern w:val="0"/>
                <w:szCs w:val="21"/>
              </w:rPr>
              <w:t>★☆</w:t>
            </w:r>
            <w:r>
              <w:rPr>
                <w:rFonts w:ascii="Times New Roman" w:hAnsi="Times New Roman" w:eastAsia="仿宋_GB2312" w:cs="Times New Roman"/>
                <w:color w:val="auto"/>
                <w:kern w:val="0"/>
                <w:szCs w:val="21"/>
              </w:rPr>
              <w:t>临江大道-阅江路隧道工程</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市中心区交通项目管理中心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179000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2022.12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2025.9</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本项目位于广州中心城区，北起临江大道与马场路交叉口，沿线下穿珠江前航道、阅江路，南至海洲路。路线长约 1.3km，其中隧道段全长1.16km（其中沉管段 0.39km）。城市次干路等级，双向 4 车道，设计速度 40km/h，小客车专用地下道路。主要建设内容为新建过江隧道 1 座及出入通道。</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已开工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Segoe UI Symbol" w:hAnsi="Segoe UI Symbol" w:eastAsia="仿宋_GB2312" w:cs="Segoe UI Symbol"/>
                <w:color w:val="auto"/>
                <w:kern w:val="0"/>
                <w:szCs w:val="21"/>
              </w:rPr>
              <w:t>★☆</w:t>
            </w:r>
            <w:r>
              <w:rPr>
                <w:rFonts w:ascii="Times New Roman" w:hAnsi="Times New Roman" w:eastAsia="仿宋_GB2312" w:cs="Times New Roman"/>
                <w:color w:val="auto"/>
                <w:kern w:val="0"/>
                <w:szCs w:val="21"/>
              </w:rPr>
              <w:t>会展西路过江隧道</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市广园路建设公司</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376990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2021.8</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2025.8</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本项目起点位于广州市中心城区，近期起点位于新港东路，设计止点接临江大道。道路等级为城市次干路，道路红线宽40-60m，设计车速为40km/h。隧道总长1112m，江中沉管段长407m。</w:t>
            </w:r>
          </w:p>
        </w:tc>
      </w:tr>
      <w:tr>
        <w:tblPrEx>
          <w:tblLayout w:type="fixed"/>
          <w:tblCellMar>
            <w:top w:w="0" w:type="dxa"/>
            <w:left w:w="108" w:type="dxa"/>
            <w:bottom w:w="0" w:type="dxa"/>
            <w:right w:w="108" w:type="dxa"/>
          </w:tblCellMar>
        </w:tblPrEx>
        <w:trPr>
          <w:trHeight w:val="20" w:hRule="atLeast"/>
        </w:trPr>
        <w:tc>
          <w:tcPr>
            <w:tcW w:w="1394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天河路商圈</w:t>
            </w:r>
          </w:p>
        </w:tc>
      </w:tr>
      <w:tr>
        <w:tblPrEx>
          <w:tblLayout w:type="fixed"/>
          <w:tblCellMar>
            <w:top w:w="0" w:type="dxa"/>
            <w:left w:w="108" w:type="dxa"/>
            <w:bottom w:w="0" w:type="dxa"/>
            <w:right w:w="108" w:type="dxa"/>
          </w:tblCellMar>
        </w:tblPrEx>
        <w:trPr>
          <w:trHeight w:val="2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已开工</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体育东-天河路人行地道工程</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企业实施</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广州地铁集团</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10750 </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2020.12 </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2025.12</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位于天河区天河路与体育东路交界十字路口，地道布置于路口东侧及南侧，呈反“L”字型布置，为地下一层矩形框架结构。南侧地道下穿体育东路，东侧地道下穿天河路。南侧地道长度约68米，结构总宽8.4米，结构总宽7.4米,装修后地道净宽7米。东侧地道长度约93米，结构总宽7米，装修后地道净宽5.6米。拟建地道共设置8个出入口。</w:t>
            </w:r>
          </w:p>
        </w:tc>
      </w:tr>
    </w:tbl>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cs="Times New Roman"/>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rPr>
      </w:pPr>
      <w:r>
        <w:rPr>
          <w:rFonts w:ascii="Times New Roman" w:hAnsi="Times New Roman" w:cs="Times New Roman"/>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09" w:name="_Toc6920"/>
      <w:r>
        <w:rPr>
          <w:rFonts w:ascii="Times New Roman" w:hAnsi="Times New Roman" w:cs="Times New Roman"/>
          <w:color w:val="auto"/>
        </w:rPr>
        <w:t>（三）天河区2022-2025年商服用地供应计划</w:t>
      </w:r>
      <w:bookmarkEnd w:id="109"/>
    </w:p>
    <w:tbl>
      <w:tblPr>
        <w:tblStyle w:val="25"/>
        <w:tblW w:w="12900" w:type="dxa"/>
        <w:tblInd w:w="113" w:type="dxa"/>
        <w:tblLayout w:type="fixed"/>
        <w:tblCellMar>
          <w:top w:w="0" w:type="dxa"/>
          <w:left w:w="108" w:type="dxa"/>
          <w:bottom w:w="0" w:type="dxa"/>
          <w:right w:w="108" w:type="dxa"/>
        </w:tblCellMar>
      </w:tblPr>
      <w:tblGrid>
        <w:gridCol w:w="645"/>
        <w:gridCol w:w="1800"/>
        <w:gridCol w:w="2789"/>
        <w:gridCol w:w="2129"/>
        <w:gridCol w:w="1484"/>
        <w:gridCol w:w="1619"/>
        <w:gridCol w:w="1394"/>
        <w:gridCol w:w="1040"/>
      </w:tblGrid>
      <w:tr>
        <w:tblPrEx>
          <w:tblLayout w:type="fixed"/>
          <w:tblCellMar>
            <w:top w:w="0" w:type="dxa"/>
            <w:left w:w="108" w:type="dxa"/>
            <w:bottom w:w="0" w:type="dxa"/>
            <w:right w:w="108" w:type="dxa"/>
          </w:tblCellMar>
        </w:tblPrEx>
        <w:trPr>
          <w:trHeight w:val="450" w:hRule="atLeast"/>
        </w:trPr>
        <w:tc>
          <w:tcPr>
            <w:tcW w:w="645" w:type="dxa"/>
            <w:vMerge w:val="restart"/>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编号</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宗地位置</w:t>
            </w:r>
          </w:p>
        </w:tc>
        <w:tc>
          <w:tcPr>
            <w:tcW w:w="2789" w:type="dxa"/>
            <w:vMerge w:val="restart"/>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地块名称</w:t>
            </w:r>
          </w:p>
        </w:tc>
        <w:tc>
          <w:tcPr>
            <w:tcW w:w="6626" w:type="dxa"/>
            <w:gridSpan w:val="4"/>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规划条件</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备注</w:t>
            </w:r>
          </w:p>
        </w:tc>
      </w:tr>
      <w:tr>
        <w:tblPrEx>
          <w:tblLayout w:type="fixed"/>
          <w:tblCellMar>
            <w:top w:w="0" w:type="dxa"/>
            <w:left w:w="108" w:type="dxa"/>
            <w:bottom w:w="0" w:type="dxa"/>
            <w:right w:w="108" w:type="dxa"/>
          </w:tblCellMar>
        </w:tblPrEx>
        <w:trPr>
          <w:trHeight w:val="78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789"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129" w:type="dxa"/>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用地性质</w:t>
            </w:r>
          </w:p>
        </w:tc>
        <w:tc>
          <w:tcPr>
            <w:tcW w:w="1484" w:type="dxa"/>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总用地面积(平方米)</w:t>
            </w:r>
          </w:p>
        </w:tc>
        <w:tc>
          <w:tcPr>
            <w:tcW w:w="1619" w:type="dxa"/>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计容建筑面积</w:t>
            </w:r>
            <w:r>
              <w:rPr>
                <w:rFonts w:ascii="Times New Roman" w:hAnsi="Times New Roman" w:eastAsia="仿宋_GB2312" w:cs="Times New Roman"/>
                <w:b/>
                <w:bCs/>
                <w:color w:val="auto"/>
                <w:kern w:val="0"/>
                <w:szCs w:val="21"/>
              </w:rPr>
              <w:br w:type="textWrapping"/>
            </w:r>
            <w:r>
              <w:rPr>
                <w:rFonts w:ascii="Times New Roman" w:hAnsi="Times New Roman" w:eastAsia="仿宋_GB2312" w:cs="Times New Roman"/>
                <w:b/>
                <w:bCs/>
                <w:color w:val="auto"/>
                <w:kern w:val="0"/>
                <w:szCs w:val="21"/>
              </w:rPr>
              <w:t>(平方米)</w:t>
            </w:r>
          </w:p>
        </w:tc>
        <w:tc>
          <w:tcPr>
            <w:tcW w:w="1394" w:type="dxa"/>
            <w:tcBorders>
              <w:top w:val="single" w:color="000000" w:sz="4" w:space="0"/>
              <w:left w:val="single" w:color="000000" w:sz="4" w:space="0"/>
              <w:bottom w:val="single" w:color="000000" w:sz="4" w:space="0"/>
              <w:right w:val="single" w:color="000000" w:sz="4" w:space="0"/>
            </w:tcBorders>
            <w:shd w:val="clear" w:color="auto" w:fill="E7E6E6"/>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容积率</w:t>
            </w:r>
          </w:p>
        </w:tc>
        <w:tc>
          <w:tcPr>
            <w:tcW w:w="104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金融城东区AT091412</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商务商业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10811</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150692</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13.94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金融城东区AT101817</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8408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68055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8.09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金融城东区AT101823</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8386</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92000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10.97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金融城东区AT101825</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9886</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4.35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5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汇总</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37491</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353747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金融城起步区</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金融城起步区AT090924-1</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9170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130018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14.18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金融城起步区AT090924-2</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9104</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116035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12.75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金融城起步区AT090950-2</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11947</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47788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金融城起步区AT091002-1</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5610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77404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13.80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金融城东区AT091430</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商务商业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6745</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81615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12.10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5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汇总</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商业商务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42576</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452860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智谷</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天河区航天奇观二期西地块一</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其他商务/商业用地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26831</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5.25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天河区航天奇观二期西地块二</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其他商务/商业用地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13471</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45675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3.39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天河区航天奇观二期西地块三</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其他商务/商业用地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8528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27675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3.25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天河区航天奇观二期西地块四</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其他商务/商业用地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25778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82963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4.72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天河区航天奇观二期西地块五</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其他商务/商业用地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13374</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35541</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3.86 </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5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汇总</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其他商务/商业用地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66259</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218685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7363" w:type="dxa"/>
            <w:gridSpan w:val="4"/>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2022年汇总</w:t>
            </w:r>
          </w:p>
        </w:tc>
        <w:tc>
          <w:tcPr>
            <w:tcW w:w="148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146326</w:t>
            </w:r>
          </w:p>
        </w:tc>
        <w:tc>
          <w:tcPr>
            <w:tcW w:w="1619"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1025292</w:t>
            </w:r>
          </w:p>
        </w:tc>
        <w:tc>
          <w:tcPr>
            <w:tcW w:w="139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智慧城</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中部休闲地块二期</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87852</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上元岗地块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商业/居住</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49900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7363" w:type="dxa"/>
            <w:gridSpan w:val="4"/>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2023年汇总</w:t>
            </w:r>
          </w:p>
        </w:tc>
        <w:tc>
          <w:tcPr>
            <w:tcW w:w="148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137752</w:t>
            </w:r>
          </w:p>
        </w:tc>
        <w:tc>
          <w:tcPr>
            <w:tcW w:w="1619"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金融城东区</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广东省基础工程公司地块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商业/其它</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58402</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广东省石油化工建设集团公司地块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商业/居住/其它</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22700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市白云一建集团东瑞有限公司</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商业/其它</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11200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华云铝业</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商业/其他</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金融城西区</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金融城西区集体土地</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商业/居住/其它</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42300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智谷</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棠下地块（南面地块）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188278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智慧城</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中部休闲地块三期</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137389</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智慧城站东南侧地块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56268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7363" w:type="dxa"/>
            <w:gridSpan w:val="4"/>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2024年汇总</w:t>
            </w:r>
          </w:p>
        </w:tc>
        <w:tc>
          <w:tcPr>
            <w:tcW w:w="148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521437</w:t>
            </w:r>
          </w:p>
        </w:tc>
        <w:tc>
          <w:tcPr>
            <w:tcW w:w="1619"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智谷</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天河区第一老人院周边地块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商业/其他（绿地）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455500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广棠中部地块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商业/其他（绿地）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208600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智慧城</w:t>
            </w:r>
          </w:p>
        </w:tc>
        <w:tc>
          <w:tcPr>
            <w:tcW w:w="2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网易西南侧地块</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商业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3207</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7363" w:type="dxa"/>
            <w:gridSpan w:val="4"/>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2025年汇总</w:t>
            </w:r>
          </w:p>
        </w:tc>
        <w:tc>
          <w:tcPr>
            <w:tcW w:w="148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667307</w:t>
            </w:r>
          </w:p>
        </w:tc>
        <w:tc>
          <w:tcPr>
            <w:tcW w:w="1619"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FFF2CC"/>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450" w:hRule="atLeast"/>
        </w:trPr>
        <w:tc>
          <w:tcPr>
            <w:tcW w:w="7363" w:type="dxa"/>
            <w:gridSpan w:val="4"/>
            <w:tcBorders>
              <w:top w:val="single" w:color="000000" w:sz="4" w:space="0"/>
              <w:left w:val="single" w:color="000000" w:sz="4" w:space="0"/>
              <w:bottom w:val="single" w:color="000000" w:sz="4" w:space="0"/>
              <w:right w:val="single" w:color="000000" w:sz="4" w:space="0"/>
            </w:tcBorders>
            <w:shd w:val="clear" w:color="auto" w:fill="FFE699"/>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2022-2025年汇总</w:t>
            </w:r>
          </w:p>
        </w:tc>
        <w:tc>
          <w:tcPr>
            <w:tcW w:w="1484" w:type="dxa"/>
            <w:tcBorders>
              <w:top w:val="single" w:color="000000" w:sz="4" w:space="0"/>
              <w:left w:val="single" w:color="000000" w:sz="4" w:space="0"/>
              <w:bottom w:val="single" w:color="000000" w:sz="4" w:space="0"/>
              <w:right w:val="single" w:color="000000" w:sz="4" w:space="0"/>
            </w:tcBorders>
            <w:shd w:val="clear" w:color="auto" w:fill="FFE699"/>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1472822</w:t>
            </w:r>
          </w:p>
        </w:tc>
        <w:tc>
          <w:tcPr>
            <w:tcW w:w="1619" w:type="dxa"/>
            <w:tcBorders>
              <w:top w:val="single" w:color="000000" w:sz="4" w:space="0"/>
              <w:left w:val="single" w:color="000000" w:sz="4" w:space="0"/>
              <w:bottom w:val="single" w:color="000000" w:sz="4" w:space="0"/>
              <w:right w:val="single" w:color="000000" w:sz="4" w:space="0"/>
            </w:tcBorders>
            <w:shd w:val="clear" w:color="auto" w:fill="FFE699"/>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FFE699"/>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FFE699"/>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p>
        </w:tc>
      </w:tr>
    </w:tbl>
    <w:p>
      <w:pPr>
        <w:pageBreakBefore w:val="0"/>
        <w:kinsoku/>
        <w:wordWrap/>
        <w:overflowPunct/>
        <w:topLinePunct w:val="0"/>
        <w:autoSpaceDE/>
        <w:autoSpaceDN/>
        <w:bidi w:val="0"/>
        <w:adjustRightInd/>
        <w:snapToGrid/>
        <w:spacing w:beforeAutospacing="0" w:afterAutospacing="0" w:line="560" w:lineRule="exact"/>
        <w:ind w:right="0" w:rightChars="0" w:firstLine="640" w:firstLineChars="200"/>
        <w:rPr>
          <w:rFonts w:ascii="Times New Roman" w:hAnsi="Times New Roman" w:eastAsia="仿宋_GB2312" w:cs="Times New Roman"/>
          <w:color w:val="auto"/>
          <w:kern w:val="0"/>
          <w:sz w:val="32"/>
          <w:szCs w:val="32"/>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 w:val="32"/>
          <w:szCs w:val="32"/>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r>
        <w:rPr>
          <w:rFonts w:ascii="Times New Roman" w:hAnsi="Times New Roman" w:cs="Times New Roman"/>
          <w:color w:val="auto"/>
          <w:szCs w:val="22"/>
        </w:rPr>
        <w:br w:type="page"/>
      </w:r>
    </w:p>
    <w:p>
      <w:pPr>
        <w:pStyle w:val="2"/>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0" w:name="_Toc9208"/>
      <w:r>
        <w:rPr>
          <w:rFonts w:ascii="Times New Roman" w:hAnsi="Times New Roman" w:cs="Times New Roman"/>
          <w:color w:val="auto"/>
        </w:rPr>
        <w:t>附</w:t>
      </w:r>
      <w:r>
        <w:rPr>
          <w:rFonts w:hint="eastAsia" w:ascii="Times New Roman" w:hAnsi="Times New Roman" w:cs="Times New Roman"/>
          <w:color w:val="auto"/>
        </w:rPr>
        <w:t>表</w:t>
      </w:r>
      <w:bookmarkEnd w:id="110"/>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1" w:name="_Toc25744"/>
      <w:r>
        <w:rPr>
          <w:rFonts w:hint="eastAsia" w:ascii="Times New Roman" w:hAnsi="Times New Roman" w:cs="Times New Roman"/>
          <w:color w:val="auto"/>
        </w:rPr>
        <w:t>（一）天河区批发业销售额5</w:t>
      </w:r>
      <w:r>
        <w:rPr>
          <w:rFonts w:ascii="Times New Roman" w:hAnsi="Times New Roman" w:cs="Times New Roman"/>
          <w:color w:val="auto"/>
        </w:rPr>
        <w:t>0</w:t>
      </w:r>
      <w:r>
        <w:rPr>
          <w:rFonts w:hint="eastAsia" w:ascii="Times New Roman" w:hAnsi="Times New Roman" w:cs="Times New Roman"/>
          <w:color w:val="auto"/>
        </w:rPr>
        <w:t>亿元以上企业名单</w:t>
      </w:r>
      <w:bookmarkEnd w:id="111"/>
    </w:p>
    <w:tbl>
      <w:tblPr>
        <w:tblStyle w:val="25"/>
        <w:tblW w:w="13948" w:type="dxa"/>
        <w:tblInd w:w="0" w:type="dxa"/>
        <w:tblLayout w:type="fixed"/>
        <w:tblCellMar>
          <w:top w:w="0" w:type="dxa"/>
          <w:left w:w="108" w:type="dxa"/>
          <w:bottom w:w="0" w:type="dxa"/>
          <w:right w:w="108" w:type="dxa"/>
        </w:tblCellMar>
      </w:tblPr>
      <w:tblGrid>
        <w:gridCol w:w="704"/>
        <w:gridCol w:w="2781"/>
        <w:gridCol w:w="1331"/>
        <w:gridCol w:w="2156"/>
        <w:gridCol w:w="1744"/>
        <w:gridCol w:w="1744"/>
        <w:gridCol w:w="1744"/>
        <w:gridCol w:w="1744"/>
      </w:tblGrid>
      <w:tr>
        <w:tblPrEx>
          <w:tblLayout w:type="fixed"/>
          <w:tblCellMar>
            <w:top w:w="0" w:type="dxa"/>
            <w:left w:w="108" w:type="dxa"/>
            <w:bottom w:w="0" w:type="dxa"/>
            <w:right w:w="108" w:type="dxa"/>
          </w:tblCellMar>
        </w:tblPrEx>
        <w:trPr>
          <w:trHeight w:val="20" w:hRule="atLeast"/>
          <w:tblHead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序号</w:t>
            </w:r>
          </w:p>
        </w:tc>
        <w:tc>
          <w:tcPr>
            <w:tcW w:w="278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企业名称</w:t>
            </w:r>
          </w:p>
        </w:tc>
        <w:tc>
          <w:tcPr>
            <w:tcW w:w="133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所属街道</w:t>
            </w:r>
          </w:p>
        </w:tc>
        <w:tc>
          <w:tcPr>
            <w:tcW w:w="2156"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主营业务</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2020年实际销售额(亿元)</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2020年实际增速（%）</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2021年实际销售额（亿元）</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hint="eastAsia" w:ascii="Times New Roman" w:hAnsi="Times New Roman" w:eastAsia="仿宋_GB2312" w:cs="Times New Roman"/>
                <w:b/>
                <w:bCs/>
                <w:color w:val="auto"/>
                <w:kern w:val="0"/>
                <w:szCs w:val="21"/>
              </w:rPr>
              <w:t>2021年实际增速（%）</w:t>
            </w:r>
          </w:p>
        </w:tc>
      </w:tr>
      <w:tr>
        <w:tblPrEx>
          <w:tblLayout w:type="fixed"/>
          <w:tblCellMar>
            <w:top w:w="0" w:type="dxa"/>
            <w:left w:w="108" w:type="dxa"/>
            <w:bottom w:w="0" w:type="dxa"/>
            <w:right w:w="108" w:type="dxa"/>
          </w:tblCellMar>
        </w:tblPrEx>
        <w:trPr>
          <w:trHeight w:val="2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278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中国石化销售股份有限公司华南分公司</w:t>
            </w:r>
          </w:p>
        </w:tc>
        <w:tc>
          <w:tcPr>
            <w:tcW w:w="133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2156"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石油及制品批发</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1864.76</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-15.11</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2556.98</w:t>
            </w:r>
          </w:p>
        </w:tc>
        <w:tc>
          <w:tcPr>
            <w:tcW w:w="1744"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37.12</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广东省电力工业燃料有限公司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煤炭及制品批发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178.77</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-12.33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430.59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140.87</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中油碧辟石油有限公司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石油及制品批发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295.58</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-25.46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352.99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19.42</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中国石油天然气股份有限公司广东销售分公司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天园街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石油及制品批发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223.44</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-27.04</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295.65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32.32</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建发（广州）有限公司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167.40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27.21</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314.63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87.95</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广东中煤进出口有限公司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煤炭及制品批发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166.87</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8.52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313.67</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87.97</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周生生中国商业有限公司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首饰、工艺品及收藏品批发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170.18</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75.56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257.18</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51.12</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中国石油天然气股份有限公司华南化工销售分公司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天园街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其他化工产品批发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208.36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262.95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26.20</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中国石化销售股份有限公司广东石油分公司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石油及制品批发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198.44</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-15.95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231.52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16.67</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广东烟草广州市有限公司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烟草制品批发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181.49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5.46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190.69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5.07</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小鹏汽车销售有限公司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长兴街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汽车及零配件批发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58.35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137.03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220.64</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278.12</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广州启润实业有限公司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116.79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-16.52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138.27</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18.39</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本田贸易(中国)有限公司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114.52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20.58</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142.33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24.27</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中化石油广东有限公司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石油及制品批发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88.94</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-42.00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125.40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40.98</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中国国投国际贸易广州有限公司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棉、麻批发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63.81</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26.19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122.49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91.96</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广东广物国际能源集团有限公司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44.64</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109.45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91.06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104.00</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广州朴道国际贸易有限公司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82.78</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75.56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80.19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-3.13</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广东俊杰农产品有限公司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畜牧渔业饲料批发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57.21</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75.70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66.99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17.09</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广州建发物资有限公司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38.65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45.53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65.10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68.43</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中石化中海船舶燃料供应有限公司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石油及制品批发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65.25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-6.00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88.98</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36.37</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广东千丰翼贸易有限公司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53.91</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229.73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51.79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-3.94</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广州市亿圣贸易有限公司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金属及金属矿批发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50.06</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100.69</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56.01</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11.89</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广州启润纸业有限公司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车陂街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文具用品批发</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29.52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18.55</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54.87</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85.89</w:t>
            </w:r>
          </w:p>
        </w:tc>
      </w:tr>
      <w:tr>
        <w:tblPrEx>
          <w:tblLayout w:type="fixed"/>
          <w:tblCellMar>
            <w:top w:w="0" w:type="dxa"/>
            <w:left w:w="108" w:type="dxa"/>
            <w:bottom w:w="0" w:type="dxa"/>
            <w:right w:w="108" w:type="dxa"/>
          </w:tblCellMar>
        </w:tblPrEx>
        <w:trPr>
          <w:trHeight w:val="20" w:hRule="atLeast"/>
        </w:trPr>
        <w:tc>
          <w:tcPr>
            <w:tcW w:w="704"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w:t>
            </w:r>
          </w:p>
        </w:tc>
        <w:tc>
          <w:tcPr>
            <w:tcW w:w="278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明日控股（广州）有限公司</w:t>
            </w:r>
          </w:p>
        </w:tc>
        <w:tc>
          <w:tcPr>
            <w:tcW w:w="133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15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塑料原料贸易</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27.20</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165.22</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59.43</w:t>
            </w:r>
          </w:p>
        </w:tc>
        <w:tc>
          <w:tcPr>
            <w:tcW w:w="1744"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118.50</w:t>
            </w:r>
          </w:p>
        </w:tc>
      </w:tr>
    </w:tbl>
    <w:p>
      <w:pPr>
        <w:pageBreakBefore w:val="0"/>
        <w:kinsoku/>
        <w:wordWrap/>
        <w:overflowPunct/>
        <w:topLinePunct w:val="0"/>
        <w:autoSpaceDE/>
        <w:autoSpaceDN/>
        <w:bidi w:val="0"/>
        <w:adjustRightInd/>
        <w:snapToGrid/>
        <w:spacing w:beforeAutospacing="0" w:afterAutospacing="0" w:line="560" w:lineRule="exact"/>
        <w:ind w:right="0" w:rightChars="0"/>
        <w:rPr>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2" w:name="_Toc14405"/>
      <w:r>
        <w:rPr>
          <w:rFonts w:hint="eastAsia" w:ascii="Times New Roman" w:hAnsi="Times New Roman" w:cs="Times New Roman"/>
          <w:color w:val="auto"/>
        </w:rPr>
        <w:t>（二）天河区专业批发市场名单</w:t>
      </w:r>
      <w:bookmarkEnd w:id="112"/>
    </w:p>
    <w:tbl>
      <w:tblPr>
        <w:tblStyle w:val="25"/>
        <w:tblW w:w="13948" w:type="dxa"/>
        <w:tblInd w:w="0" w:type="dxa"/>
        <w:tblLayout w:type="fixed"/>
        <w:tblCellMar>
          <w:top w:w="0" w:type="dxa"/>
          <w:left w:w="108" w:type="dxa"/>
          <w:bottom w:w="0" w:type="dxa"/>
          <w:right w:w="108" w:type="dxa"/>
        </w:tblCellMar>
      </w:tblPr>
      <w:tblGrid>
        <w:gridCol w:w="857"/>
        <w:gridCol w:w="1266"/>
        <w:gridCol w:w="2957"/>
        <w:gridCol w:w="3138"/>
        <w:gridCol w:w="1417"/>
        <w:gridCol w:w="1417"/>
        <w:gridCol w:w="1844"/>
        <w:gridCol w:w="1052"/>
      </w:tblGrid>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所属街道</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专业批发市场名称</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市场地址</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占地面积（</w:t>
            </w:r>
            <w:r>
              <w:rPr>
                <w:rFonts w:ascii="Times New Roman" w:hAnsi="Times New Roman" w:eastAsia="Segoe UI Symbol" w:cs="Times New Roman"/>
                <w:b/>
                <w:bCs/>
                <w:color w:val="auto"/>
                <w:kern w:val="0"/>
                <w:szCs w:val="21"/>
              </w:rPr>
              <w:t>㎡</w:t>
            </w:r>
            <w:r>
              <w:rPr>
                <w:rFonts w:ascii="Times New Roman" w:hAnsi="Times New Roman" w:eastAsia="仿宋_GB2312" w:cs="Times New Roman"/>
                <w:b/>
                <w:bCs/>
                <w:color w:val="auto"/>
                <w:kern w:val="0"/>
                <w:szCs w:val="21"/>
              </w:rPr>
              <w:t>）</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建筑面积（</w:t>
            </w:r>
            <w:r>
              <w:rPr>
                <w:rFonts w:ascii="Times New Roman" w:hAnsi="Times New Roman" w:eastAsia="Segoe UI Symbol" w:cs="Times New Roman"/>
                <w:b/>
                <w:bCs/>
                <w:color w:val="auto"/>
                <w:kern w:val="0"/>
                <w:szCs w:val="21"/>
              </w:rPr>
              <w:t>㎡</w:t>
            </w:r>
            <w:r>
              <w:rPr>
                <w:rFonts w:ascii="Times New Roman" w:hAnsi="Times New Roman" w:eastAsia="仿宋_GB2312" w:cs="Times New Roman"/>
                <w:b/>
                <w:bCs/>
                <w:color w:val="auto"/>
                <w:kern w:val="0"/>
                <w:szCs w:val="21"/>
              </w:rPr>
              <w:t>）</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批发市场类型</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商户数量</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长兴街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元岗汽配城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天河区天源路50-60号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14509.74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7294.44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198</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广东益民服装城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天河区濂泉路27号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83000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2600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沙东有利服装北城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濂泉路21号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70796</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2545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新天地服装城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天河区广园东路1858号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10080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901</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长城精品童装城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天河区濂泉路18号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1180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980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沙河第四服装城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天河区濂泉路24号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998.3</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64</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广州国伟服装城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天河区濂泉路自编35号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天平装饰城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广州大道北512号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47000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装修装饰材料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547</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金河装饰材料城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广州大道北550号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装修装饰材料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珠吉街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珠吉（国际）机械配件城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天河区珠吉路71号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4256.56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机械配件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珠吉街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天河粮油批发市场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天河区大灵山路57号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4256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3320.03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粮油产品</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元岗街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广州谷裕市场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天河区元岗北街145号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101556.74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13264</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农副产品</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424</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宝华网络服装批发市场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广州市天河区先烈东路318号后座3-5楼</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2150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121</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国泰网络服装批发城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广州市天河区先烈东路296号1-4层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1340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451</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沙东有利服装批发南城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广州市天河区先烈东路149号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4560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22800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1620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女人街服装批发城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广州市天河区先烈东路318号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3200.00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大时代网络批发城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广州市天河区先烈东路316号1-2层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677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1354.39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119</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 长运中心服装市场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广州市天河区沙河濂泉路15号大院内长运中心服装城</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7500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685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国投网络批发城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广州市天河区沙河大街先烈东路东街6号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1109.5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4940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453</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金富丽网络服装批发城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广州市天河区先烈东路161-163号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6300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619</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国大网络服装城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广州市天河区先烈东路316号3-8层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747.62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4256.56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436</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魅力东方时装网络内衣城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广州市天河区先烈东路137号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438.03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3320.03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119</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广州市金马服装交易城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广州市天河区濂泉路1号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4325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27424.8</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2242</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金马（广州）裤都</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广州市天河区先烈东路159号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1870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13056</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756</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佰润网络服装批发城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广州市天河区先烈东路沙河西街32号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84</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金鹏服装市场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广州市天河区濂泉西路95号大院7-13号首层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458</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沙河广场（原沙河宾馆）</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 广州市天河区先烈东路296号5-11层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1340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12138</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117</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中凯南门服装市场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广州市天河区濂泉西路105号电子大楼</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3200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大利广场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广州市天河区濂泉路6号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2526.4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16732.3</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707</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非凡网络时装批发城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广州市天河区先烈东路东街6号东一巷1、3、5、14之一、14号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193</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31</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万佳服装批发广场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广州市天河区先烈东路143号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29528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46000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2500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32</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柏美网络服装批发城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w:t>
            </w:r>
            <w:r>
              <w:rPr>
                <w:rFonts w:ascii="Times New Roman" w:hAnsi="Times New Roman" w:eastAsia="仿宋_GB2312" w:cs="Times New Roman"/>
                <w:color w:val="auto"/>
                <w:kern w:val="0"/>
                <w:szCs w:val="21"/>
              </w:rPr>
              <w:br w:type="textWrapping"/>
            </w:r>
            <w:r>
              <w:rPr>
                <w:rFonts w:ascii="Times New Roman" w:hAnsi="Times New Roman" w:eastAsia="仿宋_GB2312" w:cs="Times New Roman"/>
                <w:color w:val="auto"/>
                <w:kern w:val="0"/>
                <w:szCs w:val="21"/>
              </w:rPr>
              <w:t>318号102ˎ103房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574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574.00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33</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灏丰网络服装城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广州市天河区先烈东路298号1-7层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6300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34</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沙河街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三晟服装电贸中心</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广州市天河区先烈东路300号之二夹层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538</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58</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兴华街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天平水果批发市场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天河区兴华路28号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水果批发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252</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36</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兴华街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银兴汽配城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天河区沙太南路418号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96000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48000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兴华街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天平粮油食杂批发市场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天河区银利街15-16号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4069.8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11088</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粮油食杂</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129</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38</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兴华街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天平日杂批发市场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广州市天河区兴华路36-50号（双号）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6930.21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日用品杂货</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39</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前进街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亿富钢材市场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天河区黄埔大道东552号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34000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钢材</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前进街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鱼珠五金建材城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天河区黄埔大道东825号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建筑装饰材料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133</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41</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前进街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基业工程机械配件城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天河区汇彩路138号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机械及配件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162</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w:t>
            </w:r>
          </w:p>
        </w:tc>
        <w:tc>
          <w:tcPr>
            <w:tcW w:w="12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前进街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亿瞬钢材市场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天河区黄埔大道东582号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钢材</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车陂街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东宏装饰材料市场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天河区车陂路86号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14847</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装修装饰材料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车陂街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迅发装饰材料市场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天河区黄埔大道东39号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4920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3900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装修装饰材料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48</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车陂街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粤雅消防器材市场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天河区车陂路500号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8743.72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10183.67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消防器材</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93</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石牌西电脑城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石牌西路19号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1961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663</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电脑产品及配件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展望数码广场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石牌西路8号负一至三层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4956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9912</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电脑产品及配件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245</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南方电脑城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天河路518号负一层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3951</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电脑产品及配件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新赛格电子城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天河路561号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2883</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电子元件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汇源电脑城</w:t>
            </w:r>
            <w:r>
              <w:rPr>
                <w:rFonts w:ascii="Times New Roman" w:hAnsi="Times New Roman" w:eastAsia="仿宋_GB2312" w:cs="Times New Roman"/>
                <w:color w:val="auto"/>
                <w:kern w:val="0"/>
                <w:szCs w:val="21"/>
              </w:rPr>
              <w:br w:type="textWrapping"/>
            </w:r>
            <w:r>
              <w:rPr>
                <w:rFonts w:ascii="Times New Roman" w:hAnsi="Times New Roman" w:eastAsia="仿宋_GB2312" w:cs="Times New Roman"/>
                <w:color w:val="auto"/>
                <w:kern w:val="0"/>
                <w:szCs w:val="21"/>
              </w:rPr>
              <w:t>（原广州赢科国际数码城）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广州市天河区黄埔大道西373、375、377号1至2层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4400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电脑及耗材配件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378</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高比雅电子城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天河路559号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287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电子元件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天可安防城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天河路557号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563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1155.66 </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电子元件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金桥电脑城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天河区黄埔大道西369号1至4层</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电脑产品及配件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57</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天园街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瀛富五金装饰材料</w:t>
            </w:r>
            <w:r>
              <w:rPr>
                <w:rFonts w:ascii="Times New Roman" w:hAnsi="Times New Roman" w:eastAsia="仿宋_GB2312" w:cs="Times New Roman"/>
                <w:color w:val="auto"/>
                <w:kern w:val="0"/>
                <w:szCs w:val="21"/>
              </w:rPr>
              <w:br w:type="textWrapping"/>
            </w:r>
            <w:r>
              <w:rPr>
                <w:rFonts w:ascii="Times New Roman" w:hAnsi="Times New Roman" w:eastAsia="仿宋_GB2312" w:cs="Times New Roman"/>
                <w:color w:val="auto"/>
                <w:kern w:val="0"/>
                <w:szCs w:val="21"/>
              </w:rPr>
              <w:t>商贸广场</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车陂黄洲路2号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装修装饰材料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323</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新潮都网络服装批发城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广州大道中1432号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14000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311</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东金网络服装</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广州大道中1428号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60</w:t>
            </w:r>
          </w:p>
        </w:tc>
      </w:tr>
      <w:tr>
        <w:tblPrEx>
          <w:tblLayout w:type="fixed"/>
          <w:tblCellMar>
            <w:top w:w="0" w:type="dxa"/>
            <w:left w:w="108" w:type="dxa"/>
            <w:bottom w:w="0" w:type="dxa"/>
            <w:right w:w="108" w:type="dxa"/>
          </w:tblCellMar>
        </w:tblPrEx>
        <w:trPr>
          <w:trHeight w:val="2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拼商城</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广州大道中1430号</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1040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1040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服装批发</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104</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3" w:name="_Toc17820"/>
      <w:r>
        <w:rPr>
          <w:rFonts w:hint="eastAsia" w:ascii="Times New Roman" w:hAnsi="Times New Roman" w:cs="Times New Roman"/>
          <w:color w:val="auto"/>
        </w:rPr>
        <w:t>（三）天河区零售业销售额1</w:t>
      </w:r>
      <w:r>
        <w:rPr>
          <w:rFonts w:ascii="Times New Roman" w:hAnsi="Times New Roman" w:cs="Times New Roman"/>
          <w:color w:val="auto"/>
        </w:rPr>
        <w:t>0</w:t>
      </w:r>
      <w:r>
        <w:rPr>
          <w:rFonts w:hint="eastAsia" w:ascii="Times New Roman" w:hAnsi="Times New Roman" w:cs="Times New Roman"/>
          <w:color w:val="auto"/>
        </w:rPr>
        <w:t>亿元以上企业名单</w:t>
      </w:r>
      <w:bookmarkEnd w:id="113"/>
    </w:p>
    <w:tbl>
      <w:tblPr>
        <w:tblStyle w:val="25"/>
        <w:tblW w:w="13948" w:type="dxa"/>
        <w:tblInd w:w="0" w:type="dxa"/>
        <w:tblLayout w:type="fixed"/>
        <w:tblCellMar>
          <w:top w:w="0" w:type="dxa"/>
          <w:left w:w="108" w:type="dxa"/>
          <w:bottom w:w="0" w:type="dxa"/>
          <w:right w:w="108" w:type="dxa"/>
        </w:tblCellMar>
      </w:tblPr>
      <w:tblGrid>
        <w:gridCol w:w="703"/>
        <w:gridCol w:w="2977"/>
        <w:gridCol w:w="1135"/>
        <w:gridCol w:w="1135"/>
        <w:gridCol w:w="1808"/>
        <w:gridCol w:w="1551"/>
        <w:gridCol w:w="1551"/>
        <w:gridCol w:w="1551"/>
        <w:gridCol w:w="1537"/>
      </w:tblGrid>
      <w:tr>
        <w:tblPrEx>
          <w:tblLayout w:type="fixed"/>
          <w:tblCellMar>
            <w:top w:w="0" w:type="dxa"/>
            <w:left w:w="108" w:type="dxa"/>
            <w:bottom w:w="0" w:type="dxa"/>
            <w:right w:w="108" w:type="dxa"/>
          </w:tblCellMar>
        </w:tblPrEx>
        <w:trPr>
          <w:trHeight w:val="20" w:hRule="atLeast"/>
          <w:tblHead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企业名称</w:t>
            </w:r>
          </w:p>
        </w:tc>
        <w:tc>
          <w:tcPr>
            <w:tcW w:w="1135"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所属街道</w:t>
            </w:r>
          </w:p>
        </w:tc>
        <w:tc>
          <w:tcPr>
            <w:tcW w:w="1135"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所属行业</w:t>
            </w:r>
          </w:p>
        </w:tc>
        <w:tc>
          <w:tcPr>
            <w:tcW w:w="1808"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主营业务</w:t>
            </w:r>
          </w:p>
        </w:tc>
        <w:tc>
          <w:tcPr>
            <w:tcW w:w="155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2020年实际销售额(亿元)</w:t>
            </w:r>
          </w:p>
        </w:tc>
        <w:tc>
          <w:tcPr>
            <w:tcW w:w="155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2020年实际增速（%）</w:t>
            </w:r>
          </w:p>
        </w:tc>
        <w:tc>
          <w:tcPr>
            <w:tcW w:w="155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2021年实际销售额（亿元）</w:t>
            </w:r>
          </w:p>
        </w:tc>
        <w:tc>
          <w:tcPr>
            <w:tcW w:w="1537"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2021年实际同比增速</w:t>
            </w:r>
            <w:r>
              <w:rPr>
                <w:rFonts w:hint="eastAsia" w:ascii="Times New Roman" w:hAnsi="Times New Roman" w:eastAsia="仿宋_GB2312" w:cs="Times New Roman"/>
                <w:b/>
                <w:bCs/>
                <w:color w:val="auto"/>
                <w:kern w:val="0"/>
                <w:szCs w:val="21"/>
              </w:rPr>
              <w:t>（%）</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中国石化销售股份有限公司广东广州石油分公司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机动车燃油零售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153.54</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-22.62</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191.22</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24.54</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2</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延长壳牌(广东)石油有限公司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机动车燃油零售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55.60</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-10.03</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70.74</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27.24</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3</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特斯拉汽车销售服务（广州）有限公司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汽车销售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38.04</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77.53</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82.38</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116.56</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4</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广东周大福珠宝金行有限公司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珠宝首饰零售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33.15</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-7.40</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47.73</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43.99</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5</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广东永旺天河城商业有限公司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百货零售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48.16</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-8.10</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45.58</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-5.36</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6</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中国石油天然气股份有限公司广东广州销售分公司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天园街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机动车燃油零售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37.33</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-19.72</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53.16</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42.41</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7</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广东天河城百货有限公司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百货零售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22.80</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-20.46</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33.08</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45.07</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8</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广州市捷成汽车服务有限公司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棠下街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23.05</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15.75</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24.63</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6.86</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9</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广东广安冠德石化有限公司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机动车燃油零售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14.25</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-6.30</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22.47</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57.62</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1</w:t>
            </w:r>
            <w:r>
              <w:rPr>
                <w:rFonts w:ascii="Times New Roman" w:hAnsi="Times New Roman" w:eastAsia="仿宋_GB2312" w:cs="Times New Roman"/>
                <w:color w:val="auto"/>
                <w:kern w:val="0"/>
                <w:szCs w:val="21"/>
              </w:rPr>
              <w:t>0</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广东仁孚怡邦汽车销售服务有限公司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棠下街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21.67</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23.22</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20.40</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-5.84</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广州蔚来汽车销售服务有限公司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汽车销售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10.47</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46.23</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17.59</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68.06</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1</w:t>
            </w:r>
            <w:r>
              <w:rPr>
                <w:rFonts w:ascii="Times New Roman" w:hAnsi="Times New Roman" w:eastAsia="仿宋_GB2312" w:cs="Times New Roman"/>
                <w:color w:val="auto"/>
                <w:kern w:val="0"/>
                <w:szCs w:val="21"/>
              </w:rPr>
              <w:t>2</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广东华南通商贸发展有限公司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百货零售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17.94</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-13.73</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12.69</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-29.24</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广州锦星行汽车零配件贸易有限公司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珠吉街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11.87</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23.46</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11.99</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1.08</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广州骏佳凌志汽车销售服务有限公司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珠吉街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11.42</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29.16</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10.84</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-5.08</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广州市锦龙汽车发展有限公司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黄村街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11.96</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-0.74</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11.07</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-7.41</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1</w:t>
            </w:r>
            <w:r>
              <w:rPr>
                <w:rFonts w:ascii="Times New Roman" w:hAnsi="Times New Roman" w:eastAsia="仿宋_GB2312" w:cs="Times New Roman"/>
                <w:color w:val="auto"/>
                <w:kern w:val="0"/>
                <w:szCs w:val="21"/>
              </w:rPr>
              <w:t>6</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广州广汽商贸长润汽车销售有限公司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天园街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12.71</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-11.83</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11.42</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-10.10</w:t>
            </w:r>
          </w:p>
        </w:tc>
      </w:tr>
      <w:tr>
        <w:tblPrEx>
          <w:tblLayout w:type="fixed"/>
          <w:tblCellMar>
            <w:top w:w="0" w:type="dxa"/>
            <w:left w:w="108" w:type="dxa"/>
            <w:bottom w:w="0" w:type="dxa"/>
            <w:right w:w="108" w:type="dxa"/>
          </w:tblCellMar>
        </w:tblPrEx>
        <w:trPr>
          <w:trHeight w:val="20" w:hRule="atLeast"/>
        </w:trPr>
        <w:tc>
          <w:tcPr>
            <w:tcW w:w="70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297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广州市昌宝汽车销售服务有限公司</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棠下街</w:t>
            </w:r>
          </w:p>
        </w:tc>
        <w:tc>
          <w:tcPr>
            <w:tcW w:w="1135"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零售业</w:t>
            </w:r>
          </w:p>
        </w:tc>
        <w:tc>
          <w:tcPr>
            <w:tcW w:w="1808"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汽车新车零售</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8.99</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-5.37</w:t>
            </w:r>
          </w:p>
        </w:tc>
        <w:tc>
          <w:tcPr>
            <w:tcW w:w="155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10.01</w:t>
            </w:r>
          </w:p>
        </w:tc>
        <w:tc>
          <w:tcPr>
            <w:tcW w:w="1537"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11.29</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4" w:name="_Toc26978"/>
      <w:r>
        <w:rPr>
          <w:rFonts w:hint="eastAsia" w:ascii="Times New Roman" w:hAnsi="Times New Roman" w:cs="Times New Roman"/>
          <w:color w:val="auto"/>
        </w:rPr>
        <w:t>（四）</w:t>
      </w:r>
      <w:r>
        <w:rPr>
          <w:rFonts w:ascii="Times New Roman" w:hAnsi="Times New Roman" w:cs="Times New Roman"/>
          <w:color w:val="auto"/>
        </w:rPr>
        <w:t>营业收入超亿元且未纳入限上住宿业统计酒店</w:t>
      </w:r>
      <w:r>
        <w:rPr>
          <w:rFonts w:hint="eastAsia" w:ascii="Times New Roman" w:hAnsi="Times New Roman" w:cs="Times New Roman"/>
          <w:color w:val="auto"/>
        </w:rPr>
        <w:t>名单</w:t>
      </w:r>
      <w:bookmarkEnd w:id="114"/>
    </w:p>
    <w:p>
      <w:pPr>
        <w:pageBreakBefore w:val="0"/>
        <w:kinsoku/>
        <w:wordWrap/>
        <w:overflowPunct/>
        <w:topLinePunct w:val="0"/>
        <w:autoSpaceDE/>
        <w:autoSpaceDN/>
        <w:bidi w:val="0"/>
        <w:adjustRightInd/>
        <w:snapToGrid/>
        <w:spacing w:beforeAutospacing="0" w:afterAutospacing="0" w:line="560" w:lineRule="exact"/>
        <w:ind w:right="0" w:rightChars="0"/>
        <w:rPr>
          <w:color w:val="auto"/>
        </w:rPr>
      </w:pPr>
      <w:r>
        <w:rPr>
          <w:rFonts w:hint="eastAsia"/>
          <w:color w:val="auto"/>
        </w:rPr>
        <w:t>注：因产业活动单位只在经普年份才做普查，故采用</w:t>
      </w:r>
      <w:r>
        <w:rPr>
          <w:color w:val="auto"/>
        </w:rPr>
        <w:t>2018年四经普数据</w:t>
      </w:r>
      <w:r>
        <w:rPr>
          <w:rFonts w:hint="eastAsia"/>
          <w:color w:val="auto"/>
        </w:rPr>
        <w:t>，1</w:t>
      </w:r>
      <w:r>
        <w:rPr>
          <w:color w:val="auto"/>
        </w:rPr>
        <w:t>2</w:t>
      </w:r>
      <w:r>
        <w:rPr>
          <w:rFonts w:hint="eastAsia"/>
          <w:color w:val="auto"/>
        </w:rPr>
        <w:t>家酒店合计营业收入约</w:t>
      </w:r>
      <w:r>
        <w:rPr>
          <w:color w:val="auto"/>
        </w:rPr>
        <w:t>30亿元</w:t>
      </w:r>
    </w:p>
    <w:tbl>
      <w:tblPr>
        <w:tblStyle w:val="25"/>
        <w:tblW w:w="1394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3774"/>
        <w:gridCol w:w="5468"/>
        <w:gridCol w:w="3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kern w:val="0"/>
                <w:szCs w:val="21"/>
                <w:lang w:bidi="ar"/>
              </w:rPr>
              <w:t>序号</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kern w:val="0"/>
                <w:szCs w:val="21"/>
                <w:lang w:bidi="ar"/>
              </w:rPr>
              <w:t>酒店名称</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kern w:val="0"/>
                <w:szCs w:val="21"/>
                <w:lang w:bidi="ar"/>
              </w:rPr>
              <w:t>归属法人</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kern w:val="0"/>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广州阳光酒店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中油阳光物业管理有限公司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北京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广州富力君悦大酒店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广州富力鼎盛置业发展有限公司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越秀区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3</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广州富力丽思卡尔顿酒店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广州富力恒盛置业发展有限公司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越秀区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4</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广州柏悦酒店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广州圣景房地产开发有限公司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越秀区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5</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广州云来斯堡酒店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广州骏发投资有限公司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天河区服务业四上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6</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广州粤海喜来登酒店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广东天河城(集团)股份有限公司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7</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广州康莱德酒店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广州市富景房地产开发有限公司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8</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广州圣丰索菲特酒店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广州市京穗房地产开发有限公司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9</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广州瑰丽酒店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广州市新御运营管理有限公司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10</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广州四季酒店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广州越秀城建国际金融中心有限公司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11</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广州文华东方酒店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太古汇(广州)发展有限公司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1035"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12</w:t>
            </w:r>
          </w:p>
        </w:tc>
        <w:tc>
          <w:tcPr>
            <w:tcW w:w="3774"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广州正佳广场万豪酒店</w:t>
            </w:r>
          </w:p>
        </w:tc>
        <w:tc>
          <w:tcPr>
            <w:tcW w:w="5468"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正佳企业集团有限公司</w:t>
            </w:r>
          </w:p>
        </w:tc>
        <w:tc>
          <w:tcPr>
            <w:tcW w:w="3671" w:type="dxa"/>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天河区房地产四上企业</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5" w:name="_Toc11043"/>
      <w:r>
        <w:rPr>
          <w:rFonts w:hint="eastAsia" w:ascii="Times New Roman" w:hAnsi="Times New Roman" w:cs="Times New Roman"/>
          <w:color w:val="auto"/>
        </w:rPr>
        <w:t>（五）天河区汽车销售额超5亿元企业名单</w:t>
      </w:r>
      <w:bookmarkEnd w:id="115"/>
    </w:p>
    <w:tbl>
      <w:tblPr>
        <w:tblStyle w:val="25"/>
        <w:tblW w:w="13948" w:type="dxa"/>
        <w:tblInd w:w="0" w:type="dxa"/>
        <w:tblLayout w:type="fixed"/>
        <w:tblCellMar>
          <w:top w:w="0" w:type="dxa"/>
          <w:left w:w="0" w:type="dxa"/>
          <w:bottom w:w="0" w:type="dxa"/>
          <w:right w:w="0" w:type="dxa"/>
        </w:tblCellMar>
      </w:tblPr>
      <w:tblGrid>
        <w:gridCol w:w="1462"/>
        <w:gridCol w:w="5802"/>
        <w:gridCol w:w="1462"/>
        <w:gridCol w:w="3760"/>
        <w:gridCol w:w="1462"/>
      </w:tblGrid>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szCs w:val="21"/>
              </w:rPr>
              <w:t>序号</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企业名称</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街道</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szCs w:val="21"/>
              </w:rPr>
            </w:pPr>
            <w:r>
              <w:rPr>
                <w:rFonts w:hint="eastAsia" w:ascii="Times New Roman" w:hAnsi="Times New Roman" w:eastAsia="仿宋_GB2312" w:cs="Times New Roman"/>
                <w:b/>
                <w:bCs/>
                <w:color w:val="auto"/>
                <w:szCs w:val="21"/>
              </w:rPr>
              <w:t>2</w:t>
            </w:r>
            <w:r>
              <w:rPr>
                <w:rFonts w:ascii="Times New Roman" w:hAnsi="Times New Roman" w:eastAsia="仿宋_GB2312" w:cs="Times New Roman"/>
                <w:b/>
                <w:bCs/>
                <w:color w:val="auto"/>
                <w:szCs w:val="21"/>
              </w:rPr>
              <w:t>021</w:t>
            </w:r>
            <w:r>
              <w:rPr>
                <w:rFonts w:hint="eastAsia" w:ascii="Times New Roman" w:hAnsi="Times New Roman" w:eastAsia="仿宋_GB2312" w:cs="Times New Roman"/>
                <w:b/>
                <w:bCs/>
                <w:color w:val="auto"/>
                <w:szCs w:val="21"/>
              </w:rPr>
              <w:t>年</w:t>
            </w:r>
            <w:r>
              <w:rPr>
                <w:rFonts w:ascii="Times New Roman" w:hAnsi="Times New Roman" w:eastAsia="仿宋_GB2312" w:cs="Times New Roman"/>
                <w:b/>
                <w:bCs/>
                <w:color w:val="auto"/>
                <w:szCs w:val="21"/>
              </w:rPr>
              <w:t>商品销售额</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增速%</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小鹏汽车销售有限公司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长兴街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200-250亿元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278.1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特斯拉汽车销售服务（广州）有限公司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猎德街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50-100亿元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116.6</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广州市捷成汽车服务有限公司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棠下街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20-30亿元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6.9</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广东仁孚怡邦汽车销售服务有限公司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棠下街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20-30亿元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-5.8</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理想智造汽车销售服务（广州）有限公司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冼村街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15-20亿元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88.3</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广州蔚来汽车销售服务有限公司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猎德街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15-20亿元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68.1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7</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广州锦星行汽车贸易有限公司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珠吉街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10-15亿元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8</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广州广汽商贸长润汽车销售有限公司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天园街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10-15亿元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-8.3</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广州市锦龙汽车发展有限公司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黄村街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10-15亿元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-7.4</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广州骏佳凌志汽车销售服务有限公司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珠吉街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10-15亿元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11</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广州市昌宝汽车销售服务有限公司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棠下街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10-15亿元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11.3</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12</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广东卓越汽车投资有限公司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猎德街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24.5</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13</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广州大威汽车服务有限公司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长兴街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-9.3</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14</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广州安骅汽车贸易有限公司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车陂街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74.1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15</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广州骏龙汽车有限公司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前进街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-17.7</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16</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广州广博丰田汽车销售服务有限公司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前进街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17</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广州元丰汽车销售服务有限公司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龙洞街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18</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广州市龙星骏宜汽车销售服务有限公司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棠下街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-1.2</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19</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广州市嘉田汽车销售服务有限公司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前进街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-20.2</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广州宗远丰田汽车销售服务有限公司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凤凰街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-16.8</w:t>
            </w:r>
          </w:p>
        </w:tc>
      </w:tr>
      <w:tr>
        <w:tblPrEx>
          <w:tblLayout w:type="fixed"/>
          <w:tblCellMar>
            <w:top w:w="0" w:type="dxa"/>
            <w:left w:w="0" w:type="dxa"/>
            <w:bottom w:w="0" w:type="dxa"/>
            <w:right w:w="0" w:type="dxa"/>
          </w:tblCellMar>
        </w:tblPrEx>
        <w:trPr>
          <w:trHeight w:val="227" w:hRule="atLeast"/>
        </w:trPr>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21</w:t>
            </w:r>
          </w:p>
        </w:tc>
        <w:tc>
          <w:tcPr>
            <w:tcW w:w="5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广州广保丰田汽车销售服务有限公司</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石牌街</w:t>
            </w:r>
          </w:p>
        </w:tc>
        <w:tc>
          <w:tcPr>
            <w:tcW w:w="3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5-10亿元</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-20.4</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6" w:name="_Toc27989"/>
      <w:r>
        <w:rPr>
          <w:rFonts w:hint="eastAsia" w:ascii="Times New Roman" w:hAnsi="Times New Roman" w:cs="Times New Roman"/>
          <w:color w:val="auto"/>
        </w:rPr>
        <w:t>（六）天河区医药和医疗器械销售额超</w:t>
      </w:r>
      <w:r>
        <w:rPr>
          <w:rFonts w:ascii="Times New Roman" w:hAnsi="Times New Roman" w:cs="Times New Roman"/>
          <w:color w:val="auto"/>
        </w:rPr>
        <w:t>3</w:t>
      </w:r>
      <w:r>
        <w:rPr>
          <w:rFonts w:hint="eastAsia" w:ascii="Times New Roman" w:hAnsi="Times New Roman" w:cs="Times New Roman"/>
          <w:color w:val="auto"/>
        </w:rPr>
        <w:t>亿元企业名单</w:t>
      </w:r>
      <w:bookmarkEnd w:id="116"/>
    </w:p>
    <w:tbl>
      <w:tblPr>
        <w:tblStyle w:val="25"/>
        <w:tblW w:w="139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0"/>
        <w:gridCol w:w="4325"/>
        <w:gridCol w:w="2834"/>
        <w:gridCol w:w="1702"/>
        <w:gridCol w:w="2126"/>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企业名称</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行业分类</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所属街道</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2021年商品销售额</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增速%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广州市君信药业有限公司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30-50亿元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国药控股广东恒兴有限公司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凤凰街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30-50亿元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广东帝豪药业有限公司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员村街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15-20亿元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广东融泰医药有限公司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15-20亿元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97.0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广东海王医药集团有限公司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10-15亿元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广州市宝迪科技有限公司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医疗用品及器材批发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国药（广州）国际医药卫生有限公司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医疗用品及器材批发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康泽药业股份有限公司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天园街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-49.5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广州弘恩医疗诊断技术有限公司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医疗用品及器材批发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28.9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广东人和药业有限公司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103.1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广东润良药业有限公司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林和街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-37.6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富士胶片医疗系统（广州）有限公司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医疗用品及器材批发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天河南街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广东康裕药业有限公司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西药批发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长兴街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25.9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广东倍肯恒业医疗投资发展有限公司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医疗用品及器材批发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15.8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天方健（中国）药业有限公司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冼村街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26.4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中农立华广东生物科技有限公司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农药批发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龙洞街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34.7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广东润生药业有限公司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中药批发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石牌街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340"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4325"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广东俊豪医疗器械股份有限公司</w:t>
            </w:r>
          </w:p>
        </w:tc>
        <w:tc>
          <w:tcPr>
            <w:tcW w:w="2834"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医疗用品及器材批发</w:t>
            </w:r>
          </w:p>
        </w:tc>
        <w:tc>
          <w:tcPr>
            <w:tcW w:w="1702"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猎德街</w:t>
            </w:r>
          </w:p>
        </w:tc>
        <w:tc>
          <w:tcPr>
            <w:tcW w:w="2126"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1621" w:type="dxa"/>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xml:space="preserve">-0.4 </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7" w:name="_Toc9296"/>
      <w:r>
        <w:rPr>
          <w:rFonts w:hint="eastAsia" w:ascii="Times New Roman" w:hAnsi="Times New Roman" w:cs="Times New Roman"/>
          <w:color w:val="auto"/>
        </w:rPr>
        <w:t>（七）天河区批零业家居产业情况</w:t>
      </w:r>
      <w:bookmarkEnd w:id="117"/>
    </w:p>
    <w:tbl>
      <w:tblPr>
        <w:tblStyle w:val="25"/>
        <w:tblW w:w="13948" w:type="dxa"/>
        <w:jc w:val="center"/>
        <w:tblInd w:w="0" w:type="dxa"/>
        <w:tblLayout w:type="fixed"/>
        <w:tblCellMar>
          <w:top w:w="0" w:type="dxa"/>
          <w:left w:w="0" w:type="dxa"/>
          <w:bottom w:w="0" w:type="dxa"/>
          <w:right w:w="0" w:type="dxa"/>
        </w:tblCellMar>
      </w:tblPr>
      <w:tblGrid>
        <w:gridCol w:w="4391"/>
        <w:gridCol w:w="2834"/>
        <w:gridCol w:w="2399"/>
        <w:gridCol w:w="1992"/>
        <w:gridCol w:w="2332"/>
      </w:tblGrid>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所属类别</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2020年销售额（亿元）</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占家居产业比重（%）</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同比增速（%）</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企业数量（家）</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合计</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152.68</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-2.9</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127</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家具类</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84.34</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55.2</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8.4</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48</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厨具卫具及日用杂品批发</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18.40</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12.1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-7.9</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23</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纺织品、针织品批发零售</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16.35</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10.7</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-34.4</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16</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家具视听设备批发</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14.18</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9.3</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-12.8</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11</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日用家电批发</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12.83</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8.4</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12.7</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19</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灯具、装饰物品批发</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4.09</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2.7</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-11.9</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4</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五金零售</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0.88</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0.6</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70.5</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其他室内装饰材料零售</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0.80</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0.5</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-25.0</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木材装饰材料零售</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0.46</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0.3</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10.1</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w:t>
            </w:r>
          </w:p>
        </w:tc>
      </w:tr>
      <w:tr>
        <w:tblPrEx>
          <w:tblLayout w:type="fixed"/>
          <w:tblCellMar>
            <w:top w:w="0" w:type="dxa"/>
            <w:left w:w="0" w:type="dxa"/>
            <w:bottom w:w="0" w:type="dxa"/>
            <w:right w:w="0" w:type="dxa"/>
          </w:tblCellMar>
        </w:tblPrEx>
        <w:trPr>
          <w:trHeight w:val="20" w:hRule="atLeast"/>
          <w:jc w:val="center"/>
        </w:trPr>
        <w:tc>
          <w:tcPr>
            <w:tcW w:w="4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陶瓷、石材装饰材料零售</w:t>
            </w:r>
          </w:p>
        </w:tc>
        <w:tc>
          <w:tcPr>
            <w:tcW w:w="2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0.34</w:t>
            </w:r>
          </w:p>
        </w:tc>
        <w:tc>
          <w:tcPr>
            <w:tcW w:w="2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0.2</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7.8</w:t>
            </w:r>
          </w:p>
        </w:tc>
        <w:tc>
          <w:tcPr>
            <w:tcW w:w="23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p>
    <w:tbl>
      <w:tblPr>
        <w:tblStyle w:val="25"/>
        <w:tblW w:w="10687" w:type="dxa"/>
        <w:jc w:val="center"/>
        <w:tblInd w:w="0" w:type="dxa"/>
        <w:tblLayout w:type="fixed"/>
        <w:tblCellMar>
          <w:top w:w="0" w:type="dxa"/>
          <w:left w:w="0" w:type="dxa"/>
          <w:bottom w:w="0" w:type="dxa"/>
          <w:right w:w="0" w:type="dxa"/>
        </w:tblCellMar>
      </w:tblPr>
      <w:tblGrid>
        <w:gridCol w:w="623"/>
        <w:gridCol w:w="4424"/>
        <w:gridCol w:w="2820"/>
        <w:gridCol w:w="2820"/>
      </w:tblGrid>
      <w:tr>
        <w:tblPrEx>
          <w:tblLayout w:type="fixed"/>
          <w:tblCellMar>
            <w:top w:w="0" w:type="dxa"/>
            <w:left w:w="0" w:type="dxa"/>
            <w:bottom w:w="0" w:type="dxa"/>
            <w:right w:w="0" w:type="dxa"/>
          </w:tblCellMar>
        </w:tblPrEx>
        <w:trPr>
          <w:trHeight w:val="397" w:hRule="atLeast"/>
          <w:jc w:val="center"/>
        </w:trPr>
        <w:tc>
          <w:tcPr>
            <w:tcW w:w="1068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kern w:val="0"/>
                <w:szCs w:val="21"/>
                <w:lang w:bidi="ar"/>
              </w:rPr>
            </w:pPr>
            <w:r>
              <w:rPr>
                <w:rFonts w:hint="eastAsia" w:ascii="Times New Roman" w:hAnsi="Times New Roman" w:eastAsia="仿宋_GB2312" w:cs="Times New Roman"/>
                <w:b/>
                <w:color w:val="auto"/>
                <w:kern w:val="0"/>
                <w:szCs w:val="21"/>
                <w:lang w:bidi="ar"/>
              </w:rPr>
              <w:t>重点企业</w:t>
            </w:r>
          </w:p>
        </w:tc>
      </w:tr>
      <w:tr>
        <w:tblPrEx>
          <w:tblLayout w:type="fixed"/>
          <w:tblCellMar>
            <w:top w:w="0" w:type="dxa"/>
            <w:left w:w="0" w:type="dxa"/>
            <w:bottom w:w="0" w:type="dxa"/>
            <w:right w:w="0" w:type="dxa"/>
          </w:tblCellMar>
        </w:tblPrEx>
        <w:trPr>
          <w:trHeight w:val="39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序号</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企业名称</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szCs w:val="21"/>
              </w:rPr>
            </w:pPr>
            <w:r>
              <w:rPr>
                <w:rFonts w:ascii="Times New Roman" w:hAnsi="Times New Roman" w:eastAsia="仿宋_GB2312" w:cs="Times New Roman"/>
                <w:b/>
                <w:color w:val="auto"/>
                <w:kern w:val="0"/>
                <w:szCs w:val="21"/>
                <w:lang w:bidi="ar"/>
              </w:rPr>
              <w:t>2020年销售额（亿元)</w:t>
            </w:r>
          </w:p>
        </w:tc>
        <w:tc>
          <w:tcPr>
            <w:tcW w:w="282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b/>
                <w:color w:val="auto"/>
                <w:kern w:val="0"/>
                <w:szCs w:val="21"/>
                <w:lang w:bidi="ar"/>
              </w:rPr>
            </w:pPr>
            <w:r>
              <w:rPr>
                <w:rFonts w:ascii="Times New Roman" w:hAnsi="Times New Roman" w:eastAsia="仿宋_GB2312" w:cs="Times New Roman"/>
                <w:b/>
                <w:color w:val="auto"/>
                <w:kern w:val="0"/>
                <w:szCs w:val="21"/>
                <w:lang w:bidi="ar"/>
              </w:rPr>
              <w:t>2021年销售额（亿元）</w:t>
            </w:r>
          </w:p>
        </w:tc>
      </w:tr>
      <w:tr>
        <w:tblPrEx>
          <w:tblLayout w:type="fixed"/>
          <w:tblCellMar>
            <w:top w:w="0" w:type="dxa"/>
            <w:left w:w="0" w:type="dxa"/>
            <w:bottom w:w="0" w:type="dxa"/>
            <w:right w:w="0" w:type="dxa"/>
          </w:tblCellMar>
        </w:tblPrEx>
        <w:trPr>
          <w:trHeight w:val="39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广州尚品宅配家居股份有限公司</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10-30</w:t>
            </w:r>
          </w:p>
        </w:tc>
        <w:tc>
          <w:tcPr>
            <w:tcW w:w="282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kern w:val="0"/>
                <w:szCs w:val="21"/>
                <w:lang w:bidi="ar"/>
              </w:rPr>
            </w:pPr>
            <w:r>
              <w:rPr>
                <w:rFonts w:ascii="Times New Roman" w:hAnsi="Times New Roman" w:eastAsia="仿宋_GB2312" w:cs="Times New Roman"/>
                <w:color w:val="auto"/>
                <w:kern w:val="0"/>
                <w:szCs w:val="21"/>
                <w:lang w:bidi="ar"/>
              </w:rPr>
              <w:t>30-50</w:t>
            </w:r>
          </w:p>
        </w:tc>
      </w:tr>
      <w:tr>
        <w:tblPrEx>
          <w:tblLayout w:type="fixed"/>
          <w:tblCellMar>
            <w:top w:w="0" w:type="dxa"/>
            <w:left w:w="0" w:type="dxa"/>
            <w:bottom w:w="0" w:type="dxa"/>
            <w:right w:w="0" w:type="dxa"/>
          </w:tblCellMar>
        </w:tblPrEx>
        <w:trPr>
          <w:trHeight w:val="39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2</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索菲亚建筑装饰有限公司</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10-30</w:t>
            </w:r>
          </w:p>
        </w:tc>
        <w:tc>
          <w:tcPr>
            <w:tcW w:w="282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kern w:val="0"/>
                <w:szCs w:val="21"/>
                <w:lang w:bidi="ar"/>
              </w:rPr>
            </w:pPr>
            <w:r>
              <w:rPr>
                <w:rFonts w:ascii="Times New Roman" w:hAnsi="Times New Roman" w:eastAsia="仿宋_GB2312" w:cs="Times New Roman"/>
                <w:color w:val="auto"/>
                <w:kern w:val="0"/>
                <w:szCs w:val="21"/>
                <w:lang w:bidi="ar"/>
              </w:rPr>
              <w:t>15-20</w:t>
            </w:r>
          </w:p>
        </w:tc>
      </w:tr>
      <w:tr>
        <w:tblPrEx>
          <w:tblLayout w:type="fixed"/>
          <w:tblCellMar>
            <w:top w:w="0" w:type="dxa"/>
            <w:left w:w="0" w:type="dxa"/>
            <w:bottom w:w="0" w:type="dxa"/>
            <w:right w:w="0" w:type="dxa"/>
          </w:tblCellMar>
        </w:tblPrEx>
        <w:trPr>
          <w:trHeight w:val="39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3</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广州金松电器营销有限公司</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5-10</w:t>
            </w:r>
          </w:p>
        </w:tc>
        <w:tc>
          <w:tcPr>
            <w:tcW w:w="282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kern w:val="0"/>
                <w:szCs w:val="21"/>
                <w:lang w:bidi="ar"/>
              </w:rPr>
            </w:pPr>
            <w:r>
              <w:rPr>
                <w:rFonts w:ascii="Times New Roman" w:hAnsi="Times New Roman" w:eastAsia="仿宋_GB2312" w:cs="Times New Roman"/>
                <w:color w:val="auto"/>
                <w:kern w:val="0"/>
                <w:szCs w:val="21"/>
                <w:lang w:bidi="ar"/>
              </w:rPr>
              <w:t>5-10</w:t>
            </w:r>
          </w:p>
        </w:tc>
      </w:tr>
      <w:tr>
        <w:tblPrEx>
          <w:tblLayout w:type="fixed"/>
          <w:tblCellMar>
            <w:top w:w="0" w:type="dxa"/>
            <w:left w:w="0" w:type="dxa"/>
            <w:bottom w:w="0" w:type="dxa"/>
            <w:right w:w="0" w:type="dxa"/>
          </w:tblCellMar>
        </w:tblPrEx>
        <w:trPr>
          <w:trHeight w:val="39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4</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广东新轻出进出口有限公司</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5-10</w:t>
            </w:r>
          </w:p>
        </w:tc>
        <w:tc>
          <w:tcPr>
            <w:tcW w:w="282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kern w:val="0"/>
                <w:szCs w:val="21"/>
                <w:lang w:bidi="ar"/>
              </w:rPr>
            </w:pPr>
            <w:r>
              <w:rPr>
                <w:rFonts w:ascii="Times New Roman" w:hAnsi="Times New Roman" w:eastAsia="仿宋_GB2312" w:cs="Times New Roman"/>
                <w:color w:val="auto"/>
                <w:kern w:val="0"/>
                <w:szCs w:val="21"/>
                <w:lang w:bidi="ar"/>
              </w:rPr>
              <w:t>1-2</w:t>
            </w:r>
          </w:p>
        </w:tc>
      </w:tr>
      <w:tr>
        <w:tblPrEx>
          <w:tblLayout w:type="fixed"/>
          <w:tblCellMar>
            <w:top w:w="0" w:type="dxa"/>
            <w:left w:w="0" w:type="dxa"/>
            <w:bottom w:w="0" w:type="dxa"/>
            <w:right w:w="0" w:type="dxa"/>
          </w:tblCellMar>
        </w:tblPrEx>
        <w:trPr>
          <w:trHeight w:val="39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5</w:t>
            </w:r>
          </w:p>
        </w:tc>
        <w:tc>
          <w:tcPr>
            <w:tcW w:w="44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广州市亿科贸易发展有限公司</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lang w:bidi="ar"/>
              </w:rPr>
              <w:t>5-10</w:t>
            </w:r>
          </w:p>
        </w:tc>
        <w:tc>
          <w:tcPr>
            <w:tcW w:w="282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center"/>
              <w:rPr>
                <w:rFonts w:ascii="Times New Roman" w:hAnsi="Times New Roman" w:eastAsia="仿宋_GB2312" w:cs="Times New Roman"/>
                <w:color w:val="auto"/>
                <w:kern w:val="0"/>
                <w:szCs w:val="21"/>
                <w:lang w:bidi="ar"/>
              </w:rPr>
            </w:pPr>
            <w:r>
              <w:rPr>
                <w:rFonts w:ascii="Times New Roman" w:hAnsi="Times New Roman" w:eastAsia="仿宋_GB2312" w:cs="Times New Roman"/>
                <w:color w:val="auto"/>
                <w:kern w:val="0"/>
                <w:szCs w:val="21"/>
                <w:lang w:bidi="ar"/>
              </w:rPr>
              <w:t>5-10</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color w:val="auto"/>
        </w:rPr>
      </w:pPr>
      <w:r>
        <w:rPr>
          <w:color w:val="auto"/>
        </w:rPr>
        <w:t xml:space="preserve"> </w:t>
      </w:r>
      <w:r>
        <w:rPr>
          <w:color w:val="auto"/>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8" w:name="_Toc2774"/>
      <w:r>
        <w:rPr>
          <w:rFonts w:hint="eastAsia" w:ascii="Times New Roman" w:hAnsi="Times New Roman" w:cs="Times New Roman"/>
          <w:color w:val="auto"/>
        </w:rPr>
        <w:t>（八）</w:t>
      </w:r>
      <w:r>
        <w:rPr>
          <w:rFonts w:ascii="Times New Roman" w:hAnsi="Times New Roman" w:cs="Times New Roman"/>
          <w:color w:val="auto"/>
        </w:rPr>
        <w:t>天河路商圈大型商业综合体及地下商业综合体情况</w:t>
      </w:r>
      <w:bookmarkEnd w:id="118"/>
    </w:p>
    <w:tbl>
      <w:tblPr>
        <w:tblStyle w:val="25"/>
        <w:tblW w:w="13948" w:type="dxa"/>
        <w:tblInd w:w="0" w:type="dxa"/>
        <w:tblLayout w:type="fixed"/>
        <w:tblCellMar>
          <w:top w:w="0" w:type="dxa"/>
          <w:left w:w="108" w:type="dxa"/>
          <w:bottom w:w="0" w:type="dxa"/>
          <w:right w:w="108" w:type="dxa"/>
        </w:tblCellMar>
      </w:tblPr>
      <w:tblGrid>
        <w:gridCol w:w="2242"/>
        <w:gridCol w:w="3883"/>
        <w:gridCol w:w="2896"/>
        <w:gridCol w:w="2221"/>
        <w:gridCol w:w="2226"/>
        <w:gridCol w:w="480"/>
      </w:tblGrid>
      <w:tr>
        <w:tblPrEx>
          <w:tblLayout w:type="fixed"/>
          <w:tblCellMar>
            <w:top w:w="0" w:type="dxa"/>
            <w:left w:w="108" w:type="dxa"/>
            <w:bottom w:w="0" w:type="dxa"/>
            <w:right w:w="108" w:type="dxa"/>
          </w:tblCellMar>
        </w:tblPrEx>
        <w:trPr>
          <w:gridAfter w:val="1"/>
          <w:wAfter w:w="480" w:type="dxa"/>
          <w:trHeight w:val="284" w:hRule="atLeast"/>
        </w:trPr>
        <w:tc>
          <w:tcPr>
            <w:tcW w:w="2242"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3883"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载体名称</w:t>
            </w:r>
          </w:p>
        </w:tc>
        <w:tc>
          <w:tcPr>
            <w:tcW w:w="2896" w:type="dxa"/>
            <w:vMerge w:val="restart"/>
            <w:tcBorders>
              <w:top w:val="single" w:color="000000" w:sz="4" w:space="0"/>
              <w:left w:val="nil"/>
              <w:bottom w:val="single" w:color="000000" w:sz="4" w:space="0"/>
              <w:right w:val="nil"/>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开业年份</w:t>
            </w:r>
          </w:p>
        </w:tc>
        <w:tc>
          <w:tcPr>
            <w:tcW w:w="2221"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2020年销售总额</w:t>
            </w:r>
            <w:r>
              <w:rPr>
                <w:rFonts w:ascii="Times New Roman" w:hAnsi="Times New Roman" w:eastAsia="仿宋_GB2312" w:cs="Times New Roman"/>
                <w:b/>
                <w:bCs/>
                <w:color w:val="auto"/>
                <w:kern w:val="0"/>
                <w:szCs w:val="21"/>
              </w:rPr>
              <w:br w:type="textWrapping"/>
            </w:r>
            <w:r>
              <w:rPr>
                <w:rFonts w:ascii="Times New Roman" w:hAnsi="Times New Roman" w:eastAsia="仿宋_GB2312" w:cs="Times New Roman"/>
                <w:b/>
                <w:bCs/>
                <w:color w:val="auto"/>
                <w:kern w:val="0"/>
                <w:szCs w:val="21"/>
              </w:rPr>
              <w:t>（亿元）</w:t>
            </w:r>
          </w:p>
        </w:tc>
        <w:tc>
          <w:tcPr>
            <w:tcW w:w="2226"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w:t>
            </w:r>
            <w:r>
              <w:rPr>
                <w:rFonts w:ascii="Times New Roman" w:hAnsi="Times New Roman" w:eastAsia="仿宋_GB2312" w:cs="Times New Roman"/>
                <w:b/>
                <w:bCs/>
                <w:color w:val="auto"/>
                <w:kern w:val="0"/>
                <w:szCs w:val="21"/>
              </w:rPr>
              <w:br w:type="textWrapping"/>
            </w:r>
            <w:r>
              <w:rPr>
                <w:rFonts w:ascii="Times New Roman" w:hAnsi="Times New Roman" w:eastAsia="仿宋_GB2312" w:cs="Times New Roman"/>
                <w:b/>
                <w:bCs/>
                <w:color w:val="auto"/>
                <w:kern w:val="0"/>
                <w:szCs w:val="21"/>
              </w:rPr>
              <w:t>同比增速</w:t>
            </w:r>
          </w:p>
        </w:tc>
      </w:tr>
      <w:tr>
        <w:tblPrEx>
          <w:tblLayout w:type="fixed"/>
          <w:tblCellMar>
            <w:top w:w="0" w:type="dxa"/>
            <w:left w:w="108" w:type="dxa"/>
            <w:bottom w:w="0" w:type="dxa"/>
            <w:right w:w="108" w:type="dxa"/>
          </w:tblCellMar>
        </w:tblPrEx>
        <w:trPr>
          <w:trHeight w:val="20" w:hRule="atLeast"/>
        </w:trPr>
        <w:tc>
          <w:tcPr>
            <w:tcW w:w="2242"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3883"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896" w:type="dxa"/>
            <w:vMerge w:val="continue"/>
            <w:tcBorders>
              <w:top w:val="single" w:color="000000" w:sz="4" w:space="0"/>
              <w:left w:val="nil"/>
              <w:bottom w:val="single" w:color="000000" w:sz="4" w:space="0"/>
              <w:right w:val="nil"/>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221"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226"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480" w:type="dxa"/>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3883"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正佳广场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2005</w:t>
            </w:r>
          </w:p>
        </w:tc>
        <w:tc>
          <w:tcPr>
            <w:tcW w:w="222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61</w:t>
            </w:r>
          </w:p>
        </w:tc>
        <w:tc>
          <w:tcPr>
            <w:tcW w:w="2226"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天河城</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1996</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49.88</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太古汇</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2011</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70</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万菱汇</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2010</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持平</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天环广场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2016</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45</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12.50%</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VT101维多利广场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2003</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3.8</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广百中怡店</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2006</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15.4</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1.32%</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摩登百货</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2002</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天娱广场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1999</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4.2</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东方宝泰购物广场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2009</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天宜广场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2021</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佳兆业</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2018</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3.6</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时代广场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1999</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广州购书中心</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1994</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-33%</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中信广场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1997</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环贸中心</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2021</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时尚天河</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2012</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3883"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天河又一城</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2009</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r>
        <w:rPr>
          <w:rFonts w:ascii="Times New Roman" w:hAnsi="Times New Roman" w:cs="Times New Roman"/>
          <w:color w:val="auto"/>
          <w:szCs w:val="22"/>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19" w:name="_Toc26706"/>
      <w:r>
        <w:rPr>
          <w:rFonts w:hint="eastAsia" w:ascii="Times New Roman" w:hAnsi="Times New Roman" w:cs="Times New Roman"/>
          <w:color w:val="auto"/>
        </w:rPr>
        <w:t>（九）</w:t>
      </w:r>
      <w:r>
        <w:rPr>
          <w:rFonts w:ascii="Times New Roman" w:hAnsi="Times New Roman" w:cs="Times New Roman"/>
          <w:color w:val="auto"/>
        </w:rPr>
        <w:t>珠江新城商圈大型商业综合体及地下商业综合体情况</w:t>
      </w:r>
      <w:bookmarkEnd w:id="119"/>
    </w:p>
    <w:tbl>
      <w:tblPr>
        <w:tblStyle w:val="25"/>
        <w:tblW w:w="13948" w:type="dxa"/>
        <w:tblInd w:w="0" w:type="dxa"/>
        <w:tblLayout w:type="fixed"/>
        <w:tblCellMar>
          <w:top w:w="0" w:type="dxa"/>
          <w:left w:w="108" w:type="dxa"/>
          <w:bottom w:w="0" w:type="dxa"/>
          <w:right w:w="108" w:type="dxa"/>
        </w:tblCellMar>
      </w:tblPr>
      <w:tblGrid>
        <w:gridCol w:w="2242"/>
        <w:gridCol w:w="3883"/>
        <w:gridCol w:w="2896"/>
        <w:gridCol w:w="2221"/>
        <w:gridCol w:w="2226"/>
        <w:gridCol w:w="480"/>
      </w:tblGrid>
      <w:tr>
        <w:tblPrEx>
          <w:tblLayout w:type="fixed"/>
          <w:tblCellMar>
            <w:top w:w="0" w:type="dxa"/>
            <w:left w:w="108" w:type="dxa"/>
            <w:bottom w:w="0" w:type="dxa"/>
            <w:right w:w="108" w:type="dxa"/>
          </w:tblCellMar>
        </w:tblPrEx>
        <w:trPr>
          <w:gridAfter w:val="1"/>
          <w:wAfter w:w="480" w:type="dxa"/>
          <w:trHeight w:val="284" w:hRule="atLeast"/>
        </w:trPr>
        <w:tc>
          <w:tcPr>
            <w:tcW w:w="2242"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3883"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载体名称</w:t>
            </w:r>
          </w:p>
        </w:tc>
        <w:tc>
          <w:tcPr>
            <w:tcW w:w="2896" w:type="dxa"/>
            <w:vMerge w:val="restart"/>
            <w:tcBorders>
              <w:top w:val="single" w:color="000000" w:sz="4" w:space="0"/>
              <w:left w:val="nil"/>
              <w:bottom w:val="single" w:color="000000" w:sz="4" w:space="0"/>
              <w:right w:val="nil"/>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开业年份</w:t>
            </w:r>
          </w:p>
        </w:tc>
        <w:tc>
          <w:tcPr>
            <w:tcW w:w="2221" w:type="dxa"/>
            <w:vMerge w:val="restart"/>
            <w:tcBorders>
              <w:top w:val="single" w:color="000000" w:sz="4" w:space="0"/>
              <w:left w:val="single" w:color="000000" w:sz="4" w:space="0"/>
              <w:bottom w:val="nil"/>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2020年销售总额</w:t>
            </w:r>
            <w:r>
              <w:rPr>
                <w:rFonts w:ascii="Times New Roman" w:hAnsi="Times New Roman" w:eastAsia="仿宋_GB2312" w:cs="Times New Roman"/>
                <w:b/>
                <w:bCs/>
                <w:color w:val="auto"/>
                <w:kern w:val="0"/>
                <w:szCs w:val="21"/>
              </w:rPr>
              <w:br w:type="textWrapping"/>
            </w:r>
            <w:r>
              <w:rPr>
                <w:rFonts w:ascii="Times New Roman" w:hAnsi="Times New Roman" w:eastAsia="仿宋_GB2312" w:cs="Times New Roman"/>
                <w:b/>
                <w:bCs/>
                <w:color w:val="auto"/>
                <w:kern w:val="0"/>
                <w:szCs w:val="21"/>
              </w:rPr>
              <w:t>（亿元）</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w:t>
            </w:r>
            <w:r>
              <w:rPr>
                <w:rFonts w:ascii="Times New Roman" w:hAnsi="Times New Roman" w:eastAsia="仿宋_GB2312" w:cs="Times New Roman"/>
                <w:b/>
                <w:bCs/>
                <w:color w:val="auto"/>
                <w:kern w:val="0"/>
                <w:szCs w:val="21"/>
              </w:rPr>
              <w:br w:type="textWrapping"/>
            </w:r>
            <w:r>
              <w:rPr>
                <w:rFonts w:ascii="Times New Roman" w:hAnsi="Times New Roman" w:eastAsia="仿宋_GB2312" w:cs="Times New Roman"/>
                <w:b/>
                <w:bCs/>
                <w:color w:val="auto"/>
                <w:kern w:val="0"/>
                <w:szCs w:val="21"/>
              </w:rPr>
              <w:t>同比增速</w:t>
            </w:r>
          </w:p>
        </w:tc>
      </w:tr>
      <w:tr>
        <w:tblPrEx>
          <w:tblLayout w:type="fixed"/>
          <w:tblCellMar>
            <w:top w:w="0" w:type="dxa"/>
            <w:left w:w="108" w:type="dxa"/>
            <w:bottom w:w="0" w:type="dxa"/>
            <w:right w:w="108" w:type="dxa"/>
          </w:tblCellMar>
        </w:tblPrEx>
        <w:trPr>
          <w:trHeight w:val="20" w:hRule="atLeast"/>
        </w:trPr>
        <w:tc>
          <w:tcPr>
            <w:tcW w:w="2242"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3883"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896" w:type="dxa"/>
            <w:vMerge w:val="continue"/>
            <w:tcBorders>
              <w:top w:val="single" w:color="000000" w:sz="4" w:space="0"/>
              <w:left w:val="nil"/>
              <w:bottom w:val="single" w:color="000000" w:sz="4" w:space="0"/>
              <w:right w:val="nil"/>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221" w:type="dxa"/>
            <w:vMerge w:val="continue"/>
            <w:tcBorders>
              <w:top w:val="single" w:color="000000" w:sz="4" w:space="0"/>
              <w:left w:val="single" w:color="000000" w:sz="4" w:space="0"/>
              <w:bottom w:val="nil"/>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222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c>
          <w:tcPr>
            <w:tcW w:w="480" w:type="dxa"/>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K11</w:t>
            </w:r>
          </w:p>
        </w:tc>
        <w:tc>
          <w:tcPr>
            <w:tcW w:w="2896"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2018</w:t>
            </w:r>
          </w:p>
        </w:tc>
        <w:tc>
          <w:tcPr>
            <w:tcW w:w="2221"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13</w:t>
            </w:r>
          </w:p>
        </w:tc>
        <w:tc>
          <w:tcPr>
            <w:tcW w:w="2226"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高德置地</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2011</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30</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花城汇</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2011</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太阳新天地</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2012</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5.9</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-27%</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国金天地</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2009　</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天汇广场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2016</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合利·天德广场</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2019</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2.5</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10%</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高志大厦</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2016</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r>
        <w:tblPrEx>
          <w:tblLayout w:type="fixed"/>
          <w:tblCellMar>
            <w:top w:w="0" w:type="dxa"/>
            <w:left w:w="108" w:type="dxa"/>
            <w:bottom w:w="0" w:type="dxa"/>
            <w:right w:w="108" w:type="dxa"/>
          </w:tblCellMar>
        </w:tblPrEx>
        <w:trPr>
          <w:trHeight w:val="20" w:hRule="atLeast"/>
        </w:trPr>
        <w:tc>
          <w:tcPr>
            <w:tcW w:w="2242"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3883" w:type="dxa"/>
            <w:tcBorders>
              <w:top w:val="nil"/>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珠江新城优托邦时光里</w:t>
            </w:r>
          </w:p>
        </w:tc>
        <w:tc>
          <w:tcPr>
            <w:tcW w:w="289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2010</w:t>
            </w:r>
          </w:p>
        </w:tc>
        <w:tc>
          <w:tcPr>
            <w:tcW w:w="2221"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szCs w:val="21"/>
              </w:rPr>
              <w:t>　</w:t>
            </w:r>
          </w:p>
        </w:tc>
        <w:tc>
          <w:tcPr>
            <w:tcW w:w="2226" w:type="dxa"/>
            <w:tcBorders>
              <w:top w:val="nil"/>
              <w:left w:val="nil"/>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szCs w:val="21"/>
              </w:rPr>
              <w:t>　</w:t>
            </w:r>
          </w:p>
        </w:tc>
        <w:tc>
          <w:tcPr>
            <w:tcW w:w="480" w:type="dxa"/>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r>
        <w:rPr>
          <w:rFonts w:ascii="Times New Roman" w:hAnsi="Times New Roman" w:cs="Times New Roman"/>
          <w:color w:val="auto"/>
          <w:szCs w:val="22"/>
        </w:rPr>
        <w:br w:type="page"/>
      </w: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20" w:name="_Toc16996"/>
      <w:r>
        <w:rPr>
          <w:rFonts w:hint="eastAsia" w:ascii="Times New Roman" w:hAnsi="Times New Roman" w:cs="Times New Roman"/>
          <w:color w:val="auto"/>
        </w:rPr>
        <w:t>（十）</w:t>
      </w:r>
      <w:r>
        <w:rPr>
          <w:rFonts w:ascii="Times New Roman" w:hAnsi="Times New Roman" w:cs="Times New Roman"/>
          <w:color w:val="auto"/>
        </w:rPr>
        <w:t>天河区货物贸易情况与进出口企业名单</w:t>
      </w:r>
      <w:bookmarkEnd w:id="120"/>
    </w:p>
    <w:tbl>
      <w:tblPr>
        <w:tblStyle w:val="26"/>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65"/>
        <w:gridCol w:w="1213"/>
        <w:gridCol w:w="1523"/>
        <w:gridCol w:w="1509"/>
        <w:gridCol w:w="1194"/>
        <w:gridCol w:w="1133"/>
        <w:gridCol w:w="1690"/>
        <w:gridCol w:w="1194"/>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9" w:type="dxa"/>
            <w:vMerge w:val="restart"/>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年份</w:t>
            </w:r>
          </w:p>
        </w:tc>
        <w:tc>
          <w:tcPr>
            <w:tcW w:w="4401" w:type="dxa"/>
            <w:gridSpan w:val="3"/>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进出口</w:t>
            </w:r>
          </w:p>
        </w:tc>
        <w:tc>
          <w:tcPr>
            <w:tcW w:w="3836" w:type="dxa"/>
            <w:gridSpan w:val="3"/>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出口</w:t>
            </w:r>
          </w:p>
        </w:tc>
        <w:tc>
          <w:tcPr>
            <w:tcW w:w="4162" w:type="dxa"/>
            <w:gridSpan w:val="3"/>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9" w:type="dxa"/>
            <w:vMerge w:val="continue"/>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p>
        </w:tc>
        <w:tc>
          <w:tcPr>
            <w:tcW w:w="1665"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金额</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（亿元）</w:t>
            </w:r>
          </w:p>
        </w:tc>
        <w:tc>
          <w:tcPr>
            <w:tcW w:w="121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同比（%）</w:t>
            </w:r>
          </w:p>
        </w:tc>
        <w:tc>
          <w:tcPr>
            <w:tcW w:w="152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占广州市比重</w:t>
            </w:r>
          </w:p>
        </w:tc>
        <w:tc>
          <w:tcPr>
            <w:tcW w:w="1509"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金额</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（亿元）</w:t>
            </w:r>
          </w:p>
        </w:tc>
        <w:tc>
          <w:tcPr>
            <w:tcW w:w="11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同比（%）</w:t>
            </w:r>
          </w:p>
        </w:tc>
        <w:tc>
          <w:tcPr>
            <w:tcW w:w="113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占广州市比重</w:t>
            </w:r>
          </w:p>
        </w:tc>
        <w:tc>
          <w:tcPr>
            <w:tcW w:w="1690"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金额</w:t>
            </w:r>
          </w:p>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（亿元）</w:t>
            </w:r>
          </w:p>
        </w:tc>
        <w:tc>
          <w:tcPr>
            <w:tcW w:w="11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同比（%）</w:t>
            </w:r>
          </w:p>
        </w:tc>
        <w:tc>
          <w:tcPr>
            <w:tcW w:w="127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占广州市比重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2020</w:t>
            </w:r>
          </w:p>
        </w:tc>
        <w:tc>
          <w:tcPr>
            <w:tcW w:w="1665"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606.7</w:t>
            </w:r>
          </w:p>
        </w:tc>
        <w:tc>
          <w:tcPr>
            <w:tcW w:w="121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4.4</w:t>
            </w:r>
          </w:p>
        </w:tc>
        <w:tc>
          <w:tcPr>
            <w:tcW w:w="152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6.4</w:t>
            </w:r>
          </w:p>
        </w:tc>
        <w:tc>
          <w:tcPr>
            <w:tcW w:w="1509"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239.9</w:t>
            </w:r>
          </w:p>
        </w:tc>
        <w:tc>
          <w:tcPr>
            <w:tcW w:w="11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p>
        </w:tc>
        <w:tc>
          <w:tcPr>
            <w:tcW w:w="113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4.4</w:t>
            </w:r>
          </w:p>
        </w:tc>
        <w:tc>
          <w:tcPr>
            <w:tcW w:w="1690"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366.8</w:t>
            </w:r>
          </w:p>
        </w:tc>
        <w:tc>
          <w:tcPr>
            <w:tcW w:w="11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10.8</w:t>
            </w:r>
          </w:p>
        </w:tc>
        <w:tc>
          <w:tcPr>
            <w:tcW w:w="127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2021</w:t>
            </w:r>
          </w:p>
        </w:tc>
        <w:tc>
          <w:tcPr>
            <w:tcW w:w="1665"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689.5</w:t>
            </w:r>
          </w:p>
        </w:tc>
        <w:tc>
          <w:tcPr>
            <w:tcW w:w="121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13.9</w:t>
            </w:r>
          </w:p>
        </w:tc>
        <w:tc>
          <w:tcPr>
            <w:tcW w:w="152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6.4</w:t>
            </w:r>
          </w:p>
        </w:tc>
        <w:tc>
          <w:tcPr>
            <w:tcW w:w="1509"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283.8</w:t>
            </w:r>
          </w:p>
        </w:tc>
        <w:tc>
          <w:tcPr>
            <w:tcW w:w="11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18.2</w:t>
            </w:r>
          </w:p>
        </w:tc>
        <w:tc>
          <w:tcPr>
            <w:tcW w:w="1133"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4.5</w:t>
            </w:r>
          </w:p>
        </w:tc>
        <w:tc>
          <w:tcPr>
            <w:tcW w:w="1690"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405.7</w:t>
            </w:r>
          </w:p>
        </w:tc>
        <w:tc>
          <w:tcPr>
            <w:tcW w:w="1194"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11.1</w:t>
            </w:r>
          </w:p>
        </w:tc>
        <w:tc>
          <w:tcPr>
            <w:tcW w:w="1278" w:type="dxa"/>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p>
    <w:tbl>
      <w:tblPr>
        <w:tblStyle w:val="25"/>
        <w:tblW w:w="13948" w:type="dxa"/>
        <w:tblInd w:w="0" w:type="dxa"/>
        <w:tblLayout w:type="fixed"/>
        <w:tblCellMar>
          <w:top w:w="0" w:type="dxa"/>
          <w:left w:w="108" w:type="dxa"/>
          <w:bottom w:w="0" w:type="dxa"/>
          <w:right w:w="108" w:type="dxa"/>
        </w:tblCellMar>
      </w:tblPr>
      <w:tblGrid>
        <w:gridCol w:w="577"/>
        <w:gridCol w:w="2917"/>
        <w:gridCol w:w="1154"/>
        <w:gridCol w:w="578"/>
        <w:gridCol w:w="2918"/>
        <w:gridCol w:w="1154"/>
        <w:gridCol w:w="578"/>
        <w:gridCol w:w="2918"/>
        <w:gridCol w:w="1154"/>
      </w:tblGrid>
      <w:tr>
        <w:tblPrEx>
          <w:tblLayout w:type="fixed"/>
          <w:tblCellMar>
            <w:top w:w="0" w:type="dxa"/>
            <w:left w:w="108" w:type="dxa"/>
            <w:bottom w:w="0" w:type="dxa"/>
            <w:right w:w="108" w:type="dxa"/>
          </w:tblCellMar>
        </w:tblPrEx>
        <w:trPr>
          <w:trHeight w:val="20" w:hRule="atLeast"/>
        </w:trPr>
        <w:tc>
          <w:tcPr>
            <w:tcW w:w="46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2021年进出口前30名企业名单</w:t>
            </w:r>
          </w:p>
        </w:tc>
        <w:tc>
          <w:tcPr>
            <w:tcW w:w="46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2021年进口前30名企业名单</w:t>
            </w:r>
          </w:p>
        </w:tc>
        <w:tc>
          <w:tcPr>
            <w:tcW w:w="46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 w:val="24"/>
              </w:rPr>
            </w:pPr>
            <w:r>
              <w:rPr>
                <w:rFonts w:ascii="Times New Roman" w:hAnsi="Times New Roman" w:eastAsia="仿宋_GB2312" w:cs="Times New Roman"/>
                <w:b/>
                <w:bCs/>
                <w:color w:val="auto"/>
                <w:kern w:val="0"/>
                <w:sz w:val="24"/>
              </w:rPr>
              <w:t>2021年出口前30名企业名单</w:t>
            </w:r>
          </w:p>
        </w:tc>
      </w:tr>
      <w:tr>
        <w:tblPrEx>
          <w:tblLayout w:type="fixed"/>
          <w:tblCellMar>
            <w:top w:w="0" w:type="dxa"/>
            <w:left w:w="108" w:type="dxa"/>
            <w:bottom w:w="0" w:type="dxa"/>
            <w:right w:w="108" w:type="dxa"/>
          </w:tblCellMar>
        </w:tblPrEx>
        <w:trPr>
          <w:trHeight w:val="20" w:hRule="atLeast"/>
        </w:trPr>
        <w:tc>
          <w:tcPr>
            <w:tcW w:w="577"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2917"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单位名称</w:t>
            </w:r>
          </w:p>
        </w:tc>
        <w:tc>
          <w:tcPr>
            <w:tcW w:w="1154"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进出口规模</w:t>
            </w:r>
          </w:p>
        </w:tc>
        <w:tc>
          <w:tcPr>
            <w:tcW w:w="578"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2918"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单位名称</w:t>
            </w:r>
          </w:p>
        </w:tc>
        <w:tc>
          <w:tcPr>
            <w:tcW w:w="1154"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进口规模</w:t>
            </w:r>
          </w:p>
        </w:tc>
        <w:tc>
          <w:tcPr>
            <w:tcW w:w="578"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序号</w:t>
            </w:r>
          </w:p>
        </w:tc>
        <w:tc>
          <w:tcPr>
            <w:tcW w:w="2918"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单位名称</w:t>
            </w:r>
          </w:p>
        </w:tc>
        <w:tc>
          <w:tcPr>
            <w:tcW w:w="1154"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出口规模</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本田贸易（中国）有限公司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40亿元以上</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本田贸易（中国）有限公司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30亿元以上</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广州市森大贸易有限公司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20亿元以上</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广东广物国际能源集团有限公司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30-40亿元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广东广物国际能源集团有限公司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30亿元以上</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明纬（广州）电子有限公司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广东省电力工业燃料有限公司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30-40亿元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广东省电力工业燃料有限公司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30亿元以上</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广州吉颜贸易有限公司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广州市森大贸易有限公司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30-40亿元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广州广电国际商贸有限公司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30亿元以上</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4</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广州市列手炮信息科技有限公司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广州广电国际商贸有限公司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30-40亿元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广东俊杰农产品有限公司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20-30亿元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广州日产通商贸易有限公司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广东俊杰农产品有限公司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20-30亿元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广州日产通商贸易有限公司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广州直通国际贸易有限公司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广州日产通商贸易有限公司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20-30亿元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建发（广州）有限公司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7</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广州睿蜂贸易有限公司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明纬（广州）电子有限公司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建发物流（广州）有限公司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8</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广州迅力体育用品设计制作有限公</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建发（广州）有限公司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广东金作农业科技有限公司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9</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广东省外贸开发有限公司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广州吉颜贸易有限公司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广州科纳进出口有限公司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广州市亿科贸易发展有限公司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建发物流（广州）有限公司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合诚技术股份有限公司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广州市良威针纺织品有限公司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广州市列手炮信息科技有限公司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广州市晨辉纸业有限公司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广东广新家具有限公司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广州直通国际贸易有限公司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10-20亿元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日立电梯(中国)有限公司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日立电梯(中国)有限公司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广东金作农业科技有限公司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广州市遂悦化工有限公司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14</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广州华运机械有限公司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日立电梯(中国)有限公司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广州朴道国际贸易有限公司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本田贸易（中国）有限公司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广州科纳进出口有限公司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英福康(广州)真空仪器有限公司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广州市天海花边有限公司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广州睿蜂贸易有限公司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中国石化化工销售有限公司华南分</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17</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广州敏视数码科技有限公司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广州迅力体育用品设计制作有限公</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劳力士（广州）有限公司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18</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广东中煤进出口有限公司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广东省外贸开发有限公司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广州大科能宇菱通树脂有限公司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19</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广东宏辉石油化工股份有限公司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广州市亿科贸易发展有限公司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5-10亿元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广州市百好博有限公司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20</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广州宏德利商贸有限公司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合诚技术股份有限公司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广州华贸供应链有限公司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21</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广州市星亚金属材料有限公司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广州市晨辉纸业有限公司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三井物产（广东）贸易有限公司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广州市晶皇玻璃有限公司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广州市良威针纺织品有限公司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融捷投资控股集团有限公司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广州市绅禧进出口贸易有限公司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广东广新家具有限公司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广州梳乎盛贸易有限公司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24</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中国新兴广州进出口有限责任公司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广州华运机械有限公司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广州良策进出口有限公司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广州开祺进出口有限公司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广州市天海花边有限公司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中国国投国际贸易广州有限公司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26</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广州畅然进出口贸易有限公司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广州市遂悦化工有限公司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广州海专化工有限公司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27</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广东茶叶进出口有限公司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广州敏视数码科技有限公司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中棉集团广东棉花有限公司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28</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广州市良升贸易有限公司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广州朴道国际贸易有限公司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中油京石（广州）能源有限公司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29</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尚珀思（广州）进出口贸易有限公</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1-2亿元</w:t>
            </w:r>
          </w:p>
        </w:tc>
      </w:tr>
      <w:tr>
        <w:tblPrEx>
          <w:tblLayout w:type="fixed"/>
          <w:tblCellMar>
            <w:top w:w="0" w:type="dxa"/>
            <w:left w:w="108" w:type="dxa"/>
            <w:bottom w:w="0" w:type="dxa"/>
            <w:right w:w="108" w:type="dxa"/>
          </w:tblCellMar>
        </w:tblPrEx>
        <w:trPr>
          <w:trHeight w:val="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广东中煤进出口有限公司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3-5亿元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诚通能源广东有限公司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2-3亿元</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30</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广东省畜牧发展总公司</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1-2亿元</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r>
        <w:rPr>
          <w:rFonts w:ascii="Times New Roman" w:hAnsi="Times New Roman" w:cs="Times New Roman"/>
          <w:color w:val="auto"/>
          <w:szCs w:val="22"/>
        </w:rPr>
        <w:br w:type="page"/>
      </w:r>
    </w:p>
    <w:p>
      <w:pPr>
        <w:pStyle w:val="3"/>
        <w:pageBreakBefore w:val="0"/>
        <w:kinsoku/>
        <w:wordWrap/>
        <w:overflowPunct/>
        <w:topLinePunct w:val="0"/>
        <w:autoSpaceDE/>
        <w:autoSpaceDN/>
        <w:bidi w:val="0"/>
        <w:adjustRightInd/>
        <w:snapToGrid/>
        <w:spacing w:before="0" w:beforeAutospacing="0" w:after="0" w:afterAutospacing="0" w:line="560" w:lineRule="exact"/>
        <w:ind w:right="0" w:rightChars="0"/>
        <w:rPr>
          <w:rFonts w:ascii="Times New Roman" w:hAnsi="Times New Roman" w:cs="Times New Roman"/>
          <w:color w:val="auto"/>
        </w:rPr>
      </w:pPr>
      <w:bookmarkStart w:id="121" w:name="_Toc11147"/>
      <w:r>
        <w:rPr>
          <w:rFonts w:hint="eastAsia" w:ascii="Times New Roman" w:hAnsi="Times New Roman" w:cs="Times New Roman"/>
          <w:color w:val="auto"/>
        </w:rPr>
        <w:t>（十一）</w:t>
      </w:r>
      <w:r>
        <w:rPr>
          <w:rFonts w:ascii="Times New Roman" w:hAnsi="Times New Roman" w:cs="Times New Roman"/>
          <w:color w:val="auto"/>
        </w:rPr>
        <w:t>天河区服务进出口情况</w:t>
      </w:r>
      <w:bookmarkEnd w:id="121"/>
    </w:p>
    <w:tbl>
      <w:tblPr>
        <w:tblStyle w:val="25"/>
        <w:tblW w:w="13958" w:type="dxa"/>
        <w:tblInd w:w="0" w:type="dxa"/>
        <w:tblLayout w:type="fixed"/>
        <w:tblCellMar>
          <w:top w:w="0" w:type="dxa"/>
          <w:left w:w="108" w:type="dxa"/>
          <w:bottom w:w="0" w:type="dxa"/>
          <w:right w:w="108" w:type="dxa"/>
        </w:tblCellMar>
      </w:tblPr>
      <w:tblGrid>
        <w:gridCol w:w="1342"/>
        <w:gridCol w:w="1806"/>
        <w:gridCol w:w="1865"/>
        <w:gridCol w:w="1806"/>
        <w:gridCol w:w="1865"/>
        <w:gridCol w:w="1600"/>
        <w:gridCol w:w="1868"/>
        <w:gridCol w:w="1806"/>
      </w:tblGrid>
      <w:tr>
        <w:tblPrEx>
          <w:tblLayout w:type="fixed"/>
          <w:tblCellMar>
            <w:top w:w="0" w:type="dxa"/>
            <w:left w:w="108" w:type="dxa"/>
            <w:bottom w:w="0" w:type="dxa"/>
            <w:right w:w="108" w:type="dxa"/>
          </w:tblCellMar>
        </w:tblPrEx>
        <w:trPr>
          <w:trHeight w:val="250" w:hRule="atLeast"/>
        </w:trPr>
        <w:tc>
          <w:tcPr>
            <w:tcW w:w="1342" w:type="dxa"/>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宋体" w:cs="Times New Roman"/>
                <w:b/>
                <w:bCs/>
                <w:color w:val="auto"/>
                <w:kern w:val="0"/>
                <w:sz w:val="32"/>
                <w:szCs w:val="32"/>
              </w:rPr>
            </w:pPr>
          </w:p>
        </w:tc>
        <w:tc>
          <w:tcPr>
            <w:tcW w:w="1806" w:type="dxa"/>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Times New Roman" w:cs="Times New Roman"/>
                <w:color w:val="auto"/>
                <w:kern w:val="0"/>
                <w:sz w:val="20"/>
                <w:szCs w:val="20"/>
              </w:rPr>
            </w:pPr>
          </w:p>
        </w:tc>
        <w:tc>
          <w:tcPr>
            <w:tcW w:w="1865" w:type="dxa"/>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Times New Roman" w:cs="Times New Roman"/>
                <w:color w:val="auto"/>
                <w:kern w:val="0"/>
                <w:sz w:val="20"/>
                <w:szCs w:val="20"/>
              </w:rPr>
            </w:pPr>
          </w:p>
        </w:tc>
        <w:tc>
          <w:tcPr>
            <w:tcW w:w="1806" w:type="dxa"/>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Times New Roman" w:cs="Times New Roman"/>
                <w:color w:val="auto"/>
                <w:kern w:val="0"/>
                <w:sz w:val="20"/>
                <w:szCs w:val="20"/>
              </w:rPr>
            </w:pPr>
          </w:p>
        </w:tc>
        <w:tc>
          <w:tcPr>
            <w:tcW w:w="1865" w:type="dxa"/>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Times New Roman" w:cs="Times New Roman"/>
                <w:color w:val="auto"/>
                <w:kern w:val="0"/>
                <w:sz w:val="20"/>
                <w:szCs w:val="20"/>
              </w:rPr>
            </w:pPr>
          </w:p>
        </w:tc>
        <w:tc>
          <w:tcPr>
            <w:tcW w:w="1600" w:type="dxa"/>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Times New Roman" w:cs="Times New Roman"/>
                <w:color w:val="auto"/>
                <w:kern w:val="0"/>
                <w:sz w:val="20"/>
                <w:szCs w:val="20"/>
              </w:rPr>
            </w:pPr>
          </w:p>
        </w:tc>
        <w:tc>
          <w:tcPr>
            <w:tcW w:w="3674" w:type="dxa"/>
            <w:gridSpan w:val="2"/>
            <w:tcBorders>
              <w:top w:val="nil"/>
              <w:left w:val="nil"/>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right"/>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t>金额单位：万美元</w:t>
            </w:r>
          </w:p>
        </w:tc>
      </w:tr>
      <w:tr>
        <w:tblPrEx>
          <w:tblLayout w:type="fixed"/>
          <w:tblCellMar>
            <w:top w:w="0" w:type="dxa"/>
            <w:left w:w="108" w:type="dxa"/>
            <w:bottom w:w="0" w:type="dxa"/>
            <w:right w:w="108" w:type="dxa"/>
          </w:tblCellMar>
        </w:tblPrEx>
        <w:trPr>
          <w:trHeight w:val="260" w:hRule="atLeast"/>
        </w:trPr>
        <w:tc>
          <w:tcPr>
            <w:tcW w:w="13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right"/>
              <w:rPr>
                <w:rFonts w:ascii="Times New Roman" w:hAnsi="Times New Roman" w:eastAsia="仿宋_GB2312" w:cs="Times New Roman"/>
                <w:color w:val="auto"/>
                <w:kern w:val="0"/>
                <w:szCs w:val="21"/>
              </w:rPr>
            </w:pPr>
          </w:p>
        </w:tc>
        <w:tc>
          <w:tcPr>
            <w:tcW w:w="3671"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进出口</w:t>
            </w:r>
          </w:p>
        </w:tc>
        <w:tc>
          <w:tcPr>
            <w:tcW w:w="3671"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出口</w:t>
            </w:r>
          </w:p>
        </w:tc>
        <w:tc>
          <w:tcPr>
            <w:tcW w:w="346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进口</w:t>
            </w:r>
          </w:p>
        </w:tc>
        <w:tc>
          <w:tcPr>
            <w:tcW w:w="18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贸易差额</w:t>
            </w:r>
          </w:p>
        </w:tc>
      </w:tr>
      <w:tr>
        <w:tblPrEx>
          <w:tblLayout w:type="fixed"/>
          <w:tblCellMar>
            <w:top w:w="0" w:type="dxa"/>
            <w:left w:w="108" w:type="dxa"/>
            <w:bottom w:w="0" w:type="dxa"/>
            <w:right w:w="108" w:type="dxa"/>
          </w:tblCellMar>
        </w:tblPrEx>
        <w:trPr>
          <w:trHeight w:val="250" w:hRule="atLeast"/>
        </w:trPr>
        <w:tc>
          <w:tcPr>
            <w:tcW w:w="1342"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color w:val="auto"/>
                <w:kern w:val="0"/>
                <w:szCs w:val="21"/>
              </w:rPr>
            </w:pP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金额</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同比（%）</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金额</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同比（%）</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金额</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同比（%）</w:t>
            </w:r>
          </w:p>
        </w:tc>
        <w:tc>
          <w:tcPr>
            <w:tcW w:w="180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eastAsia="仿宋_GB2312" w:cs="Times New Roman"/>
                <w:b/>
                <w:bCs/>
                <w:color w:val="auto"/>
                <w:kern w:val="0"/>
                <w:szCs w:val="21"/>
              </w:rPr>
            </w:pPr>
          </w:p>
        </w:tc>
      </w:tr>
      <w:tr>
        <w:tblPrEx>
          <w:tblLayout w:type="fixed"/>
          <w:tblCellMar>
            <w:top w:w="0" w:type="dxa"/>
            <w:left w:w="108" w:type="dxa"/>
            <w:bottom w:w="0" w:type="dxa"/>
            <w:right w:w="108" w:type="dxa"/>
          </w:tblCellMar>
        </w:tblPrEx>
        <w:trPr>
          <w:trHeight w:val="260" w:hRule="atLeast"/>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2021年</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166553.78</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3.74</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152756.09</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10.82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13797.70</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-39.22</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138958.39</w:t>
            </w:r>
          </w:p>
        </w:tc>
      </w:tr>
      <w:tr>
        <w:tblPrEx>
          <w:tblLayout w:type="fixed"/>
          <w:tblCellMar>
            <w:top w:w="0" w:type="dxa"/>
            <w:left w:w="108" w:type="dxa"/>
            <w:bottom w:w="0" w:type="dxa"/>
            <w:right w:w="108" w:type="dxa"/>
          </w:tblCellMar>
        </w:tblPrEx>
        <w:trPr>
          <w:trHeight w:val="260" w:hRule="atLeast"/>
        </w:trPr>
        <w:tc>
          <w:tcPr>
            <w:tcW w:w="1342" w:type="dxa"/>
            <w:tcBorders>
              <w:top w:val="single" w:color="000000" w:sz="4" w:space="0"/>
              <w:left w:val="single" w:color="000000" w:sz="4" w:space="0"/>
              <w:bottom w:val="single" w:color="000000" w:sz="4" w:space="0"/>
              <w:right w:val="nil"/>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kern w:val="0"/>
                <w:szCs w:val="21"/>
              </w:rPr>
            </w:pPr>
            <w:r>
              <w:rPr>
                <w:rFonts w:ascii="Times New Roman" w:hAnsi="Times New Roman" w:eastAsia="仿宋_GB2312" w:cs="Times New Roman"/>
                <w:b/>
                <w:bCs/>
                <w:color w:val="auto"/>
                <w:kern w:val="0"/>
                <w:szCs w:val="21"/>
              </w:rPr>
              <w:t>2020年</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160542.20</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5.75</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137840.24</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10.45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22701.96</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-15.97</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115138.28</w:t>
            </w:r>
          </w:p>
        </w:tc>
      </w:tr>
    </w:tbl>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p>
    <w:p>
      <w:pPr>
        <w:pageBreakBefore w:val="0"/>
        <w:widowControl/>
        <w:kinsoku/>
        <w:wordWrap/>
        <w:overflowPunct/>
        <w:topLinePunct w:val="0"/>
        <w:autoSpaceDE/>
        <w:autoSpaceDN/>
        <w:bidi w:val="0"/>
        <w:adjustRightInd/>
        <w:snapToGrid/>
        <w:spacing w:beforeAutospacing="0" w:afterAutospacing="0" w:line="560" w:lineRule="exact"/>
        <w:ind w:right="0" w:rightChars="0"/>
        <w:jc w:val="left"/>
        <w:rPr>
          <w:rFonts w:ascii="Times New Roman" w:hAnsi="Times New Roman" w:cs="Times New Roman"/>
          <w:color w:val="auto"/>
          <w:szCs w:val="22"/>
        </w:rPr>
      </w:pPr>
    </w:p>
    <w:tbl>
      <w:tblPr>
        <w:tblStyle w:val="25"/>
        <w:tblW w:w="12900" w:type="dxa"/>
        <w:jc w:val="center"/>
        <w:tblInd w:w="0" w:type="dxa"/>
        <w:tblLayout w:type="fixed"/>
        <w:tblCellMar>
          <w:top w:w="0" w:type="dxa"/>
          <w:left w:w="108" w:type="dxa"/>
          <w:bottom w:w="0" w:type="dxa"/>
          <w:right w:w="108" w:type="dxa"/>
        </w:tblCellMar>
      </w:tblPr>
      <w:tblGrid>
        <w:gridCol w:w="4200"/>
        <w:gridCol w:w="2390"/>
        <w:gridCol w:w="3758"/>
        <w:gridCol w:w="2552"/>
      </w:tblGrid>
      <w:tr>
        <w:tblPrEx>
          <w:tblLayout w:type="fixed"/>
          <w:tblCellMar>
            <w:top w:w="0" w:type="dxa"/>
            <w:left w:w="108" w:type="dxa"/>
            <w:bottom w:w="0" w:type="dxa"/>
            <w:right w:w="108" w:type="dxa"/>
          </w:tblCellMar>
        </w:tblPrEx>
        <w:trPr>
          <w:trHeight w:val="400" w:hRule="atLeast"/>
          <w:jc w:val="center"/>
        </w:trPr>
        <w:tc>
          <w:tcPr>
            <w:tcW w:w="6590" w:type="dxa"/>
            <w:gridSpan w:val="2"/>
            <w:tcBorders>
              <w:bottom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天河区2021年服务贸易额超百万美元企业</w:t>
            </w:r>
          </w:p>
        </w:tc>
        <w:tc>
          <w:tcPr>
            <w:tcW w:w="6310" w:type="dxa"/>
            <w:gridSpan w:val="2"/>
            <w:tcBorders>
              <w:bottom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天河区2020年服务贸易额超百万美元企业</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企业名称</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执行金额（万美元）</w:t>
            </w:r>
          </w:p>
        </w:tc>
        <w:tc>
          <w:tcPr>
            <w:tcW w:w="375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企业名称</w:t>
            </w:r>
          </w:p>
        </w:tc>
        <w:tc>
          <w:tcPr>
            <w:tcW w:w="255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adjustRightInd/>
              <w:snapToGrid/>
              <w:spacing w:beforeAutospacing="0" w:afterAutospacing="0" w:line="560" w:lineRule="exact"/>
              <w:ind w:right="0" w:rightChars="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执行金额（万美元）</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广州欧华国际货运代理有限公司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34268.07</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广州欧华国际货运代理有限公司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11170.64</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汇丰软件开发（广东）有限公司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24762.64</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海德（广州）国际物流集团有限公司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4544</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海德（广州）国际物流集团有限公司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17572.42</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广州天钺国际货运代理有限公司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2293.16</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广州酷狗计算机科技有限公司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6977.48</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广州力挚网络科技有限公司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1935.29</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保利长大海外工程有限公司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2763</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普华永道咨询（深圳）有限公司广州分公司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598</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广州天钺国际货运代理有限公司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2695.56</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广州华进联合专利商标代理有限公司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1220.52</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广东星辉天拓互动娱乐有限公司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1654.04</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广州三七互娱科技有限公司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1073.63</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广州三七极彩网络科技有限公司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1090.27</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广州赫墨拉信息科技有限公司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493.58</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广州华进联合专利商标代理有限公司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1009.64</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广州洋葱时尚集团有限公司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589.47</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广东趣炫网络股份有限公司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659.25</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广州市创乐信息技术有限公司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238.84</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富卫信息科技（广州）有限公司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650</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广州龙腾出行网络科技股份有限公司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479.12</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广州洋葱时尚集团有限公司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466.07</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广州极晟网络技术有限公司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372.36</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广州乐牛软件科技有限公司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457.13</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广东趣炫网络股份有限公司</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125.01</w:t>
            </w: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广州现代资讯传播有限公司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425.12</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广州力挚网络科技有限公司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395.24</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广州三七互娱科技有限公司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292.24</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广州龙腾出行网络科技股份有限公司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288.7</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广州寰宇九州科技有限公司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288</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广州元游信息技术有限公司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262.89</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广州艾罗伯特机器人技术咨询有限公司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136.93</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广州赫墨拉信息科技有限公司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122.39</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广州傲旭信息技术有限公司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113.17</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r>
        <w:tblPrEx>
          <w:tblLayout w:type="fixed"/>
          <w:tblCellMar>
            <w:top w:w="0" w:type="dxa"/>
            <w:left w:w="108" w:type="dxa"/>
            <w:bottom w:w="0" w:type="dxa"/>
            <w:right w:w="108" w:type="dxa"/>
          </w:tblCellMar>
        </w:tblPrEx>
        <w:trPr>
          <w:trHeight w:val="400" w:hRule="atLeast"/>
          <w:jc w:val="center"/>
        </w:trPr>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讯通无限（广州）网络技术有限公司</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r>
              <w:rPr>
                <w:rFonts w:ascii="Times New Roman" w:hAnsi="Times New Roman" w:eastAsia="仿宋_GB2312" w:cs="Times New Roman"/>
                <w:color w:val="auto"/>
                <w:szCs w:val="21"/>
              </w:rPr>
              <w:t>103.32</w:t>
            </w:r>
          </w:p>
        </w:tc>
        <w:tc>
          <w:tcPr>
            <w:tcW w:w="3758"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c>
          <w:tcPr>
            <w:tcW w:w="2552" w:type="dxa"/>
            <w:tcBorders>
              <w:top w:val="single" w:color="000000" w:sz="4" w:space="0"/>
              <w:left w:val="single" w:color="000000" w:sz="4" w:space="0"/>
              <w:bottom w:val="single" w:color="000000" w:sz="4" w:space="0"/>
              <w:right w:val="single" w:color="000000" w:sz="4" w:space="0"/>
            </w:tcBorders>
          </w:tcPr>
          <w:p>
            <w:pPr>
              <w:pageBreakBefore w:val="0"/>
              <w:kinsoku/>
              <w:wordWrap/>
              <w:overflowPunct/>
              <w:topLinePunct w:val="0"/>
              <w:autoSpaceDE/>
              <w:autoSpaceDN/>
              <w:bidi w:val="0"/>
              <w:adjustRightInd/>
              <w:snapToGrid/>
              <w:spacing w:beforeAutospacing="0" w:afterAutospacing="0" w:line="560" w:lineRule="exact"/>
              <w:ind w:right="0" w:rightChars="0"/>
              <w:rPr>
                <w:rFonts w:ascii="Times New Roman" w:hAnsi="Times New Roman" w:eastAsia="仿宋_GB2312" w:cs="Times New Roman"/>
                <w:color w:val="auto"/>
                <w:szCs w:val="21"/>
              </w:rPr>
            </w:pPr>
          </w:p>
        </w:tc>
      </w:tr>
    </w:tbl>
    <w:p>
      <w:pPr>
        <w:widowControl/>
        <w:jc w:val="left"/>
        <w:rPr>
          <w:rFonts w:ascii="Times New Roman" w:hAnsi="Times New Roman" w:cs="Times New Roman"/>
          <w:color w:val="auto"/>
          <w:szCs w:val="22"/>
        </w:rPr>
      </w:pPr>
      <w:bookmarkStart w:id="122" w:name="_GoBack"/>
      <w:bookmarkEnd w:id="122"/>
    </w:p>
    <w:sectPr>
      <w:pgSz w:w="16838" w:h="11906" w:orient="landscape"/>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1838871"/>
    </w:sdtPr>
    <w:sdtContent>
      <w:p>
        <w:pPr>
          <w:pStyle w:val="15"/>
          <w:jc w:val="center"/>
        </w:pPr>
        <w:r>
          <w:fldChar w:fldCharType="begin"/>
        </w:r>
        <w:r>
          <w:instrText xml:space="preserve">PAGE   \* MERGEFORMAT</w:instrText>
        </w:r>
        <w:r>
          <w:fldChar w:fldCharType="separate"/>
        </w:r>
        <w:r>
          <w:rPr>
            <w:lang w:val="zh-CN"/>
          </w:rPr>
          <w:t>48</w:t>
        </w:r>
        <w:r>
          <w:fldChar w:fldCharType="end"/>
        </w:r>
      </w:p>
    </w:sdtContent>
  </w:sdt>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8"/>
      </w:pPr>
      <w:r>
        <w:rPr>
          <w:rStyle w:val="24"/>
        </w:rPr>
        <w:footnoteRef/>
      </w:r>
      <w:r>
        <w:t xml:space="preserve"> DTP (Direct to Patient) 药房是指直接面向患者提供专业服务的药房，也称为“专业药房”，经营模式主要是药店取得特药产品经营权，患者在医院处方，然后去药店直接购买药品，并获得专业服务。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A21D4"/>
    <w:multiLevelType w:val="singleLevel"/>
    <w:tmpl w:val="13FA21D4"/>
    <w:lvl w:ilvl="0" w:tentative="0">
      <w:start w:val="2"/>
      <w:numFmt w:val="decimal"/>
      <w:suff w:val="nothing"/>
      <w:lvlText w:val="%1、"/>
      <w:lvlJc w:val="left"/>
    </w:lvl>
  </w:abstractNum>
  <w:abstractNum w:abstractNumId="1">
    <w:nsid w:val="60527963"/>
    <w:multiLevelType w:val="multilevel"/>
    <w:tmpl w:val="60527963"/>
    <w:lvl w:ilvl="0" w:tentative="0">
      <w:start w:val="1"/>
      <w:numFmt w:val="japaneseCounting"/>
      <w:lvlText w:val="（%1）"/>
      <w:lvlJc w:val="left"/>
      <w:pPr>
        <w:ind w:left="990" w:hanging="9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iOGRhMmY4ZDg3MTAzOGJjZmIwYWQ1YjQ2NjYyY2EifQ=="/>
  </w:docVars>
  <w:rsids>
    <w:rsidRoot w:val="00EE6DDD"/>
    <w:rsid w:val="00002682"/>
    <w:rsid w:val="000066E6"/>
    <w:rsid w:val="000115FB"/>
    <w:rsid w:val="00012E99"/>
    <w:rsid w:val="00014360"/>
    <w:rsid w:val="00014597"/>
    <w:rsid w:val="000145B1"/>
    <w:rsid w:val="0001507B"/>
    <w:rsid w:val="00015BCC"/>
    <w:rsid w:val="00022050"/>
    <w:rsid w:val="00022860"/>
    <w:rsid w:val="00022DEA"/>
    <w:rsid w:val="0002309D"/>
    <w:rsid w:val="00023169"/>
    <w:rsid w:val="00023EF7"/>
    <w:rsid w:val="00026913"/>
    <w:rsid w:val="00027622"/>
    <w:rsid w:val="00032413"/>
    <w:rsid w:val="00033FF1"/>
    <w:rsid w:val="00034C09"/>
    <w:rsid w:val="000356A9"/>
    <w:rsid w:val="000415C8"/>
    <w:rsid w:val="00041C85"/>
    <w:rsid w:val="00043D97"/>
    <w:rsid w:val="00044EFB"/>
    <w:rsid w:val="00054454"/>
    <w:rsid w:val="00056CC8"/>
    <w:rsid w:val="00067F76"/>
    <w:rsid w:val="000704B9"/>
    <w:rsid w:val="000709F2"/>
    <w:rsid w:val="00071EC5"/>
    <w:rsid w:val="0007336D"/>
    <w:rsid w:val="00073B01"/>
    <w:rsid w:val="0007482F"/>
    <w:rsid w:val="000748EC"/>
    <w:rsid w:val="00076452"/>
    <w:rsid w:val="00076F0A"/>
    <w:rsid w:val="0008153E"/>
    <w:rsid w:val="000815BB"/>
    <w:rsid w:val="000848EE"/>
    <w:rsid w:val="00085418"/>
    <w:rsid w:val="00095CA1"/>
    <w:rsid w:val="00097223"/>
    <w:rsid w:val="000A00AB"/>
    <w:rsid w:val="000A2050"/>
    <w:rsid w:val="000A3446"/>
    <w:rsid w:val="000A5E72"/>
    <w:rsid w:val="000B252E"/>
    <w:rsid w:val="000B7E13"/>
    <w:rsid w:val="000C10BB"/>
    <w:rsid w:val="000C2237"/>
    <w:rsid w:val="000C2B0A"/>
    <w:rsid w:val="000C2D13"/>
    <w:rsid w:val="000C57D9"/>
    <w:rsid w:val="000C7FD4"/>
    <w:rsid w:val="000D62C8"/>
    <w:rsid w:val="000D69A8"/>
    <w:rsid w:val="000D7108"/>
    <w:rsid w:val="000D7127"/>
    <w:rsid w:val="000E0DB1"/>
    <w:rsid w:val="000E1F85"/>
    <w:rsid w:val="000E1F9C"/>
    <w:rsid w:val="000F1C60"/>
    <w:rsid w:val="000F3691"/>
    <w:rsid w:val="000F6FBD"/>
    <w:rsid w:val="0010012E"/>
    <w:rsid w:val="00105424"/>
    <w:rsid w:val="001116E4"/>
    <w:rsid w:val="00115C37"/>
    <w:rsid w:val="001235AE"/>
    <w:rsid w:val="00123BA4"/>
    <w:rsid w:val="0012427A"/>
    <w:rsid w:val="0012633B"/>
    <w:rsid w:val="00127502"/>
    <w:rsid w:val="00127670"/>
    <w:rsid w:val="00134118"/>
    <w:rsid w:val="001374C0"/>
    <w:rsid w:val="001410A2"/>
    <w:rsid w:val="0014291D"/>
    <w:rsid w:val="00146249"/>
    <w:rsid w:val="0014793F"/>
    <w:rsid w:val="00150BD9"/>
    <w:rsid w:val="0015122D"/>
    <w:rsid w:val="0015128F"/>
    <w:rsid w:val="00152427"/>
    <w:rsid w:val="001525CF"/>
    <w:rsid w:val="00152D72"/>
    <w:rsid w:val="001568DF"/>
    <w:rsid w:val="00160B05"/>
    <w:rsid w:val="00160FDB"/>
    <w:rsid w:val="00161746"/>
    <w:rsid w:val="00162457"/>
    <w:rsid w:val="00164A18"/>
    <w:rsid w:val="001726E0"/>
    <w:rsid w:val="00172822"/>
    <w:rsid w:val="00181A4C"/>
    <w:rsid w:val="0018263E"/>
    <w:rsid w:val="00184322"/>
    <w:rsid w:val="001872BC"/>
    <w:rsid w:val="00193FBE"/>
    <w:rsid w:val="001A013A"/>
    <w:rsid w:val="001A1357"/>
    <w:rsid w:val="001A3940"/>
    <w:rsid w:val="001A3AEC"/>
    <w:rsid w:val="001A7858"/>
    <w:rsid w:val="001A7B77"/>
    <w:rsid w:val="001B2F8F"/>
    <w:rsid w:val="001B4939"/>
    <w:rsid w:val="001B4BBB"/>
    <w:rsid w:val="001B4F8A"/>
    <w:rsid w:val="001B5DEE"/>
    <w:rsid w:val="001B787F"/>
    <w:rsid w:val="001C09A3"/>
    <w:rsid w:val="001C0C0B"/>
    <w:rsid w:val="001D053D"/>
    <w:rsid w:val="001D1A6B"/>
    <w:rsid w:val="001D1B82"/>
    <w:rsid w:val="001D215E"/>
    <w:rsid w:val="001D3119"/>
    <w:rsid w:val="001D6EB7"/>
    <w:rsid w:val="001E09E0"/>
    <w:rsid w:val="001E125D"/>
    <w:rsid w:val="001E2333"/>
    <w:rsid w:val="001E2445"/>
    <w:rsid w:val="001E2BC8"/>
    <w:rsid w:val="001E4A80"/>
    <w:rsid w:val="001E4CDA"/>
    <w:rsid w:val="001E6FCE"/>
    <w:rsid w:val="001E77C4"/>
    <w:rsid w:val="001F0760"/>
    <w:rsid w:val="001F0E5C"/>
    <w:rsid w:val="001F1E56"/>
    <w:rsid w:val="001F5E81"/>
    <w:rsid w:val="001F61B2"/>
    <w:rsid w:val="00203C71"/>
    <w:rsid w:val="00205F83"/>
    <w:rsid w:val="00207110"/>
    <w:rsid w:val="002106F8"/>
    <w:rsid w:val="00213EE8"/>
    <w:rsid w:val="00215879"/>
    <w:rsid w:val="002226B8"/>
    <w:rsid w:val="00224FDD"/>
    <w:rsid w:val="00230C30"/>
    <w:rsid w:val="00232384"/>
    <w:rsid w:val="00232780"/>
    <w:rsid w:val="0023679D"/>
    <w:rsid w:val="002401CD"/>
    <w:rsid w:val="0025208A"/>
    <w:rsid w:val="002520EB"/>
    <w:rsid w:val="00252BE0"/>
    <w:rsid w:val="002549B0"/>
    <w:rsid w:val="00256896"/>
    <w:rsid w:val="00257FFB"/>
    <w:rsid w:val="0026021E"/>
    <w:rsid w:val="002606C9"/>
    <w:rsid w:val="002652C1"/>
    <w:rsid w:val="002657D0"/>
    <w:rsid w:val="00267450"/>
    <w:rsid w:val="00267AF7"/>
    <w:rsid w:val="00271876"/>
    <w:rsid w:val="00272E33"/>
    <w:rsid w:val="00274B73"/>
    <w:rsid w:val="002757A1"/>
    <w:rsid w:val="00275CEC"/>
    <w:rsid w:val="00276885"/>
    <w:rsid w:val="00280D7F"/>
    <w:rsid w:val="00281666"/>
    <w:rsid w:val="00283112"/>
    <w:rsid w:val="00284DC4"/>
    <w:rsid w:val="0028720E"/>
    <w:rsid w:val="00290277"/>
    <w:rsid w:val="00290C0B"/>
    <w:rsid w:val="00292320"/>
    <w:rsid w:val="00292D14"/>
    <w:rsid w:val="002A0FFC"/>
    <w:rsid w:val="002A1EF1"/>
    <w:rsid w:val="002A2776"/>
    <w:rsid w:val="002A5E75"/>
    <w:rsid w:val="002A76FB"/>
    <w:rsid w:val="002B13F5"/>
    <w:rsid w:val="002B37B2"/>
    <w:rsid w:val="002B7991"/>
    <w:rsid w:val="002B7E8A"/>
    <w:rsid w:val="002C12EE"/>
    <w:rsid w:val="002C144D"/>
    <w:rsid w:val="002C3392"/>
    <w:rsid w:val="002D04F9"/>
    <w:rsid w:val="002D0CBD"/>
    <w:rsid w:val="002D501E"/>
    <w:rsid w:val="002D5E50"/>
    <w:rsid w:val="002D7579"/>
    <w:rsid w:val="002D7B6E"/>
    <w:rsid w:val="002E0DC7"/>
    <w:rsid w:val="002E156D"/>
    <w:rsid w:val="002E1BDD"/>
    <w:rsid w:val="002F0039"/>
    <w:rsid w:val="002F096D"/>
    <w:rsid w:val="002F74F2"/>
    <w:rsid w:val="00300871"/>
    <w:rsid w:val="00303EE1"/>
    <w:rsid w:val="00310105"/>
    <w:rsid w:val="00310783"/>
    <w:rsid w:val="003109ED"/>
    <w:rsid w:val="00311B99"/>
    <w:rsid w:val="00311F34"/>
    <w:rsid w:val="003123BC"/>
    <w:rsid w:val="00312A84"/>
    <w:rsid w:val="00312FF5"/>
    <w:rsid w:val="00313FFE"/>
    <w:rsid w:val="00314B53"/>
    <w:rsid w:val="00325BC7"/>
    <w:rsid w:val="00332C68"/>
    <w:rsid w:val="003336A9"/>
    <w:rsid w:val="00334BB8"/>
    <w:rsid w:val="00335AE0"/>
    <w:rsid w:val="003373AB"/>
    <w:rsid w:val="00342948"/>
    <w:rsid w:val="00345F8F"/>
    <w:rsid w:val="003500BC"/>
    <w:rsid w:val="00350671"/>
    <w:rsid w:val="00360CF9"/>
    <w:rsid w:val="00362992"/>
    <w:rsid w:val="003637B4"/>
    <w:rsid w:val="00367550"/>
    <w:rsid w:val="00373736"/>
    <w:rsid w:val="003745E3"/>
    <w:rsid w:val="0037497B"/>
    <w:rsid w:val="003769C4"/>
    <w:rsid w:val="00385455"/>
    <w:rsid w:val="00390FF3"/>
    <w:rsid w:val="00392251"/>
    <w:rsid w:val="00392CEE"/>
    <w:rsid w:val="003964E1"/>
    <w:rsid w:val="00397833"/>
    <w:rsid w:val="003A0811"/>
    <w:rsid w:val="003A2E15"/>
    <w:rsid w:val="003A3B5E"/>
    <w:rsid w:val="003A5076"/>
    <w:rsid w:val="003B3570"/>
    <w:rsid w:val="003B48F7"/>
    <w:rsid w:val="003B7A48"/>
    <w:rsid w:val="003B7D4A"/>
    <w:rsid w:val="003C1710"/>
    <w:rsid w:val="003C4795"/>
    <w:rsid w:val="003C4E21"/>
    <w:rsid w:val="003C76AE"/>
    <w:rsid w:val="003D22BB"/>
    <w:rsid w:val="003D29F7"/>
    <w:rsid w:val="003D3274"/>
    <w:rsid w:val="003D6DA0"/>
    <w:rsid w:val="003E0AAC"/>
    <w:rsid w:val="003E291A"/>
    <w:rsid w:val="003E32D1"/>
    <w:rsid w:val="003E3E35"/>
    <w:rsid w:val="003E7762"/>
    <w:rsid w:val="003F381B"/>
    <w:rsid w:val="003F4258"/>
    <w:rsid w:val="003F61A1"/>
    <w:rsid w:val="00400407"/>
    <w:rsid w:val="00401430"/>
    <w:rsid w:val="00401DFE"/>
    <w:rsid w:val="00402153"/>
    <w:rsid w:val="00407323"/>
    <w:rsid w:val="00411DEB"/>
    <w:rsid w:val="00412906"/>
    <w:rsid w:val="00412BA4"/>
    <w:rsid w:val="00412F5E"/>
    <w:rsid w:val="00413549"/>
    <w:rsid w:val="00413D7F"/>
    <w:rsid w:val="00424406"/>
    <w:rsid w:val="00432DF7"/>
    <w:rsid w:val="0043767F"/>
    <w:rsid w:val="0044287A"/>
    <w:rsid w:val="00445C01"/>
    <w:rsid w:val="00446AAA"/>
    <w:rsid w:val="00446B63"/>
    <w:rsid w:val="00447CB0"/>
    <w:rsid w:val="00451900"/>
    <w:rsid w:val="004527DD"/>
    <w:rsid w:val="00452946"/>
    <w:rsid w:val="00461267"/>
    <w:rsid w:val="00466E52"/>
    <w:rsid w:val="00467C10"/>
    <w:rsid w:val="00467D7E"/>
    <w:rsid w:val="00467F15"/>
    <w:rsid w:val="00470781"/>
    <w:rsid w:val="004711B9"/>
    <w:rsid w:val="0047424B"/>
    <w:rsid w:val="00475D62"/>
    <w:rsid w:val="004843D4"/>
    <w:rsid w:val="00492442"/>
    <w:rsid w:val="00497802"/>
    <w:rsid w:val="00497E7D"/>
    <w:rsid w:val="004A20C2"/>
    <w:rsid w:val="004A27FB"/>
    <w:rsid w:val="004A28AC"/>
    <w:rsid w:val="004A3284"/>
    <w:rsid w:val="004A6451"/>
    <w:rsid w:val="004A76C5"/>
    <w:rsid w:val="004A7D39"/>
    <w:rsid w:val="004A7E05"/>
    <w:rsid w:val="004B142C"/>
    <w:rsid w:val="004B182F"/>
    <w:rsid w:val="004B2F2D"/>
    <w:rsid w:val="004B3532"/>
    <w:rsid w:val="004B48C2"/>
    <w:rsid w:val="004B5A18"/>
    <w:rsid w:val="004C08FD"/>
    <w:rsid w:val="004C1250"/>
    <w:rsid w:val="004C294C"/>
    <w:rsid w:val="004C3A19"/>
    <w:rsid w:val="004C70C5"/>
    <w:rsid w:val="004D023A"/>
    <w:rsid w:val="004D298D"/>
    <w:rsid w:val="004D2FC4"/>
    <w:rsid w:val="004D5472"/>
    <w:rsid w:val="004E6C67"/>
    <w:rsid w:val="004F0F9C"/>
    <w:rsid w:val="004F1375"/>
    <w:rsid w:val="004F49CF"/>
    <w:rsid w:val="00500F34"/>
    <w:rsid w:val="00502537"/>
    <w:rsid w:val="005036E9"/>
    <w:rsid w:val="00506FB9"/>
    <w:rsid w:val="00507F0C"/>
    <w:rsid w:val="00515807"/>
    <w:rsid w:val="00515B99"/>
    <w:rsid w:val="00516B6A"/>
    <w:rsid w:val="00520255"/>
    <w:rsid w:val="0052099C"/>
    <w:rsid w:val="00521C2A"/>
    <w:rsid w:val="00524162"/>
    <w:rsid w:val="00532F75"/>
    <w:rsid w:val="0053608E"/>
    <w:rsid w:val="005372A8"/>
    <w:rsid w:val="0053739C"/>
    <w:rsid w:val="005375EA"/>
    <w:rsid w:val="005406FF"/>
    <w:rsid w:val="00547084"/>
    <w:rsid w:val="005474A2"/>
    <w:rsid w:val="005514CD"/>
    <w:rsid w:val="00560650"/>
    <w:rsid w:val="0056138E"/>
    <w:rsid w:val="00561ABB"/>
    <w:rsid w:val="0056296A"/>
    <w:rsid w:val="00562E53"/>
    <w:rsid w:val="00571DBA"/>
    <w:rsid w:val="00573748"/>
    <w:rsid w:val="00574C4A"/>
    <w:rsid w:val="0058497A"/>
    <w:rsid w:val="00585340"/>
    <w:rsid w:val="0059057E"/>
    <w:rsid w:val="00592BDA"/>
    <w:rsid w:val="005937D0"/>
    <w:rsid w:val="00594C71"/>
    <w:rsid w:val="005953DC"/>
    <w:rsid w:val="005A13C3"/>
    <w:rsid w:val="005A16F0"/>
    <w:rsid w:val="005A492A"/>
    <w:rsid w:val="005A6B92"/>
    <w:rsid w:val="005B4104"/>
    <w:rsid w:val="005B5ADB"/>
    <w:rsid w:val="005B6889"/>
    <w:rsid w:val="005B6C05"/>
    <w:rsid w:val="005C5BC8"/>
    <w:rsid w:val="005C7013"/>
    <w:rsid w:val="005D26D1"/>
    <w:rsid w:val="005D62B8"/>
    <w:rsid w:val="005D766E"/>
    <w:rsid w:val="005E1904"/>
    <w:rsid w:val="005E6C13"/>
    <w:rsid w:val="005E7B21"/>
    <w:rsid w:val="005E7E0E"/>
    <w:rsid w:val="005F026C"/>
    <w:rsid w:val="005F05CC"/>
    <w:rsid w:val="005F05FE"/>
    <w:rsid w:val="005F07C8"/>
    <w:rsid w:val="005F1945"/>
    <w:rsid w:val="005F2DDF"/>
    <w:rsid w:val="005F7A49"/>
    <w:rsid w:val="00603706"/>
    <w:rsid w:val="00606D50"/>
    <w:rsid w:val="00613293"/>
    <w:rsid w:val="0061345E"/>
    <w:rsid w:val="00613FBB"/>
    <w:rsid w:val="0061483E"/>
    <w:rsid w:val="00615AA6"/>
    <w:rsid w:val="00615C36"/>
    <w:rsid w:val="00617144"/>
    <w:rsid w:val="00621552"/>
    <w:rsid w:val="00622536"/>
    <w:rsid w:val="0062401C"/>
    <w:rsid w:val="006246F8"/>
    <w:rsid w:val="006310B0"/>
    <w:rsid w:val="00631346"/>
    <w:rsid w:val="0063321F"/>
    <w:rsid w:val="00635875"/>
    <w:rsid w:val="00636811"/>
    <w:rsid w:val="0064293F"/>
    <w:rsid w:val="00644090"/>
    <w:rsid w:val="0064662C"/>
    <w:rsid w:val="00653A55"/>
    <w:rsid w:val="00653EF8"/>
    <w:rsid w:val="006552F6"/>
    <w:rsid w:val="00655E98"/>
    <w:rsid w:val="00660881"/>
    <w:rsid w:val="00663D28"/>
    <w:rsid w:val="00665DC4"/>
    <w:rsid w:val="00665E7B"/>
    <w:rsid w:val="00670317"/>
    <w:rsid w:val="00672775"/>
    <w:rsid w:val="006763DB"/>
    <w:rsid w:val="006764FD"/>
    <w:rsid w:val="006765D3"/>
    <w:rsid w:val="00681E87"/>
    <w:rsid w:val="006835A8"/>
    <w:rsid w:val="00691DEB"/>
    <w:rsid w:val="00694078"/>
    <w:rsid w:val="00697515"/>
    <w:rsid w:val="006A043F"/>
    <w:rsid w:val="006A10F4"/>
    <w:rsid w:val="006A28C0"/>
    <w:rsid w:val="006A2D28"/>
    <w:rsid w:val="006A3725"/>
    <w:rsid w:val="006B52B6"/>
    <w:rsid w:val="006B62A6"/>
    <w:rsid w:val="006B62C3"/>
    <w:rsid w:val="006C1A5E"/>
    <w:rsid w:val="006C6F2D"/>
    <w:rsid w:val="006D0CC1"/>
    <w:rsid w:val="006D1893"/>
    <w:rsid w:val="006D296D"/>
    <w:rsid w:val="006D3056"/>
    <w:rsid w:val="006D57C4"/>
    <w:rsid w:val="006D587C"/>
    <w:rsid w:val="006E41B0"/>
    <w:rsid w:val="006E445D"/>
    <w:rsid w:val="006E498D"/>
    <w:rsid w:val="006E5E1D"/>
    <w:rsid w:val="006F0972"/>
    <w:rsid w:val="006F3E44"/>
    <w:rsid w:val="006F63B0"/>
    <w:rsid w:val="006F6A62"/>
    <w:rsid w:val="00701729"/>
    <w:rsid w:val="00701D1D"/>
    <w:rsid w:val="0070238D"/>
    <w:rsid w:val="007023B2"/>
    <w:rsid w:val="0071182E"/>
    <w:rsid w:val="00712758"/>
    <w:rsid w:val="007204F0"/>
    <w:rsid w:val="00724CD6"/>
    <w:rsid w:val="00725263"/>
    <w:rsid w:val="00725527"/>
    <w:rsid w:val="00725B18"/>
    <w:rsid w:val="00727576"/>
    <w:rsid w:val="0073484E"/>
    <w:rsid w:val="00736264"/>
    <w:rsid w:val="007366B6"/>
    <w:rsid w:val="00736ACA"/>
    <w:rsid w:val="007400B2"/>
    <w:rsid w:val="00740C48"/>
    <w:rsid w:val="0074391A"/>
    <w:rsid w:val="00744A70"/>
    <w:rsid w:val="00746F56"/>
    <w:rsid w:val="00750014"/>
    <w:rsid w:val="00750028"/>
    <w:rsid w:val="0075443B"/>
    <w:rsid w:val="00754F98"/>
    <w:rsid w:val="00760A31"/>
    <w:rsid w:val="00761EEF"/>
    <w:rsid w:val="007651EC"/>
    <w:rsid w:val="00765DD9"/>
    <w:rsid w:val="00766998"/>
    <w:rsid w:val="00772F56"/>
    <w:rsid w:val="00774AC3"/>
    <w:rsid w:val="00784948"/>
    <w:rsid w:val="00786944"/>
    <w:rsid w:val="00790240"/>
    <w:rsid w:val="007913B4"/>
    <w:rsid w:val="00792838"/>
    <w:rsid w:val="0079370B"/>
    <w:rsid w:val="00794508"/>
    <w:rsid w:val="00795EBF"/>
    <w:rsid w:val="007A0F2B"/>
    <w:rsid w:val="007A131B"/>
    <w:rsid w:val="007A2C5B"/>
    <w:rsid w:val="007A2DBF"/>
    <w:rsid w:val="007A665C"/>
    <w:rsid w:val="007A7D49"/>
    <w:rsid w:val="007B243A"/>
    <w:rsid w:val="007B2AE4"/>
    <w:rsid w:val="007B3E8C"/>
    <w:rsid w:val="007B5D6B"/>
    <w:rsid w:val="007C00AD"/>
    <w:rsid w:val="007C2993"/>
    <w:rsid w:val="007C3D51"/>
    <w:rsid w:val="007C7C0A"/>
    <w:rsid w:val="007D011D"/>
    <w:rsid w:val="007D46DC"/>
    <w:rsid w:val="007D5698"/>
    <w:rsid w:val="007D7500"/>
    <w:rsid w:val="007D7DD6"/>
    <w:rsid w:val="007E03EC"/>
    <w:rsid w:val="007E06B4"/>
    <w:rsid w:val="007E3365"/>
    <w:rsid w:val="007E50A9"/>
    <w:rsid w:val="007E641C"/>
    <w:rsid w:val="007F2E46"/>
    <w:rsid w:val="007F4380"/>
    <w:rsid w:val="007F4FC9"/>
    <w:rsid w:val="007F5A52"/>
    <w:rsid w:val="00800FD9"/>
    <w:rsid w:val="00803C93"/>
    <w:rsid w:val="00804665"/>
    <w:rsid w:val="008160D4"/>
    <w:rsid w:val="00817574"/>
    <w:rsid w:val="00817828"/>
    <w:rsid w:val="0082036A"/>
    <w:rsid w:val="00822DBB"/>
    <w:rsid w:val="00826AE7"/>
    <w:rsid w:val="00827252"/>
    <w:rsid w:val="00827F11"/>
    <w:rsid w:val="008309E1"/>
    <w:rsid w:val="008367FD"/>
    <w:rsid w:val="008370EE"/>
    <w:rsid w:val="008405D6"/>
    <w:rsid w:val="00842537"/>
    <w:rsid w:val="0084313C"/>
    <w:rsid w:val="00843243"/>
    <w:rsid w:val="00844369"/>
    <w:rsid w:val="00844378"/>
    <w:rsid w:val="00844F35"/>
    <w:rsid w:val="00847BBB"/>
    <w:rsid w:val="008508E6"/>
    <w:rsid w:val="00854C97"/>
    <w:rsid w:val="008575AC"/>
    <w:rsid w:val="00857FD6"/>
    <w:rsid w:val="008600D4"/>
    <w:rsid w:val="00862F1B"/>
    <w:rsid w:val="00866E5E"/>
    <w:rsid w:val="00867688"/>
    <w:rsid w:val="00870968"/>
    <w:rsid w:val="00872D50"/>
    <w:rsid w:val="00875691"/>
    <w:rsid w:val="008775A9"/>
    <w:rsid w:val="008804C3"/>
    <w:rsid w:val="00881AB9"/>
    <w:rsid w:val="00882FCB"/>
    <w:rsid w:val="00885B8B"/>
    <w:rsid w:val="00890FB2"/>
    <w:rsid w:val="00892376"/>
    <w:rsid w:val="008924C4"/>
    <w:rsid w:val="008A2931"/>
    <w:rsid w:val="008A2FAA"/>
    <w:rsid w:val="008A50D6"/>
    <w:rsid w:val="008A54D8"/>
    <w:rsid w:val="008A5715"/>
    <w:rsid w:val="008B1433"/>
    <w:rsid w:val="008B152C"/>
    <w:rsid w:val="008B404B"/>
    <w:rsid w:val="008B4FE6"/>
    <w:rsid w:val="008B5800"/>
    <w:rsid w:val="008B5B71"/>
    <w:rsid w:val="008B7493"/>
    <w:rsid w:val="008C0368"/>
    <w:rsid w:val="008C150C"/>
    <w:rsid w:val="008C2E67"/>
    <w:rsid w:val="008C4627"/>
    <w:rsid w:val="008C5C86"/>
    <w:rsid w:val="008C621E"/>
    <w:rsid w:val="008D05C9"/>
    <w:rsid w:val="008D50A2"/>
    <w:rsid w:val="008D543B"/>
    <w:rsid w:val="008E15A3"/>
    <w:rsid w:val="008E3B2C"/>
    <w:rsid w:val="008E5703"/>
    <w:rsid w:val="008E7309"/>
    <w:rsid w:val="008E7318"/>
    <w:rsid w:val="008F0AAE"/>
    <w:rsid w:val="008F14C7"/>
    <w:rsid w:val="008F3016"/>
    <w:rsid w:val="008F3066"/>
    <w:rsid w:val="009006DB"/>
    <w:rsid w:val="00903054"/>
    <w:rsid w:val="009041B8"/>
    <w:rsid w:val="00921801"/>
    <w:rsid w:val="00921D84"/>
    <w:rsid w:val="00930437"/>
    <w:rsid w:val="0093171A"/>
    <w:rsid w:val="009340F6"/>
    <w:rsid w:val="00941D7B"/>
    <w:rsid w:val="00947090"/>
    <w:rsid w:val="00947142"/>
    <w:rsid w:val="00950989"/>
    <w:rsid w:val="00950E8D"/>
    <w:rsid w:val="00954944"/>
    <w:rsid w:val="00955B1D"/>
    <w:rsid w:val="009571E1"/>
    <w:rsid w:val="0096497D"/>
    <w:rsid w:val="0096497F"/>
    <w:rsid w:val="00966CBD"/>
    <w:rsid w:val="009674EB"/>
    <w:rsid w:val="00971C21"/>
    <w:rsid w:val="009745A9"/>
    <w:rsid w:val="00976C56"/>
    <w:rsid w:val="00980E13"/>
    <w:rsid w:val="00987455"/>
    <w:rsid w:val="0098786E"/>
    <w:rsid w:val="00991B59"/>
    <w:rsid w:val="0099220F"/>
    <w:rsid w:val="00993589"/>
    <w:rsid w:val="00994968"/>
    <w:rsid w:val="0099628B"/>
    <w:rsid w:val="009A0BCB"/>
    <w:rsid w:val="009A182A"/>
    <w:rsid w:val="009A4AB4"/>
    <w:rsid w:val="009A66DD"/>
    <w:rsid w:val="009B35B4"/>
    <w:rsid w:val="009C32C3"/>
    <w:rsid w:val="009D0486"/>
    <w:rsid w:val="009D7830"/>
    <w:rsid w:val="009E3EDC"/>
    <w:rsid w:val="009E7305"/>
    <w:rsid w:val="009E7E9E"/>
    <w:rsid w:val="009F243A"/>
    <w:rsid w:val="009F4907"/>
    <w:rsid w:val="009F7096"/>
    <w:rsid w:val="00A00226"/>
    <w:rsid w:val="00A00D58"/>
    <w:rsid w:val="00A02535"/>
    <w:rsid w:val="00A02CA5"/>
    <w:rsid w:val="00A077B5"/>
    <w:rsid w:val="00A13956"/>
    <w:rsid w:val="00A171FB"/>
    <w:rsid w:val="00A27CC4"/>
    <w:rsid w:val="00A27E39"/>
    <w:rsid w:val="00A42828"/>
    <w:rsid w:val="00A42A5C"/>
    <w:rsid w:val="00A43B09"/>
    <w:rsid w:val="00A50191"/>
    <w:rsid w:val="00A55CDF"/>
    <w:rsid w:val="00A57322"/>
    <w:rsid w:val="00A575F1"/>
    <w:rsid w:val="00A618EC"/>
    <w:rsid w:val="00A700D9"/>
    <w:rsid w:val="00A716C0"/>
    <w:rsid w:val="00A77168"/>
    <w:rsid w:val="00A80A52"/>
    <w:rsid w:val="00A841B2"/>
    <w:rsid w:val="00A86508"/>
    <w:rsid w:val="00A87D4D"/>
    <w:rsid w:val="00A91D0E"/>
    <w:rsid w:val="00A94E1A"/>
    <w:rsid w:val="00AB1F7D"/>
    <w:rsid w:val="00AB2AD2"/>
    <w:rsid w:val="00AC3F14"/>
    <w:rsid w:val="00AC43C4"/>
    <w:rsid w:val="00AC6A4F"/>
    <w:rsid w:val="00AC7506"/>
    <w:rsid w:val="00AC78C2"/>
    <w:rsid w:val="00AD0A8F"/>
    <w:rsid w:val="00AE0F94"/>
    <w:rsid w:val="00AE2322"/>
    <w:rsid w:val="00AE2C23"/>
    <w:rsid w:val="00AE3B43"/>
    <w:rsid w:val="00AE6A2E"/>
    <w:rsid w:val="00AF7955"/>
    <w:rsid w:val="00B049DC"/>
    <w:rsid w:val="00B053D1"/>
    <w:rsid w:val="00B11B2B"/>
    <w:rsid w:val="00B11E6F"/>
    <w:rsid w:val="00B13962"/>
    <w:rsid w:val="00B15516"/>
    <w:rsid w:val="00B155E1"/>
    <w:rsid w:val="00B17035"/>
    <w:rsid w:val="00B21C63"/>
    <w:rsid w:val="00B222F9"/>
    <w:rsid w:val="00B22DE3"/>
    <w:rsid w:val="00B256D0"/>
    <w:rsid w:val="00B27749"/>
    <w:rsid w:val="00B320CD"/>
    <w:rsid w:val="00B34707"/>
    <w:rsid w:val="00B358EC"/>
    <w:rsid w:val="00B426C2"/>
    <w:rsid w:val="00B42DEE"/>
    <w:rsid w:val="00B44E06"/>
    <w:rsid w:val="00B525B3"/>
    <w:rsid w:val="00B54BF9"/>
    <w:rsid w:val="00B63237"/>
    <w:rsid w:val="00B642D3"/>
    <w:rsid w:val="00B6666A"/>
    <w:rsid w:val="00B66A73"/>
    <w:rsid w:val="00B740F1"/>
    <w:rsid w:val="00B74237"/>
    <w:rsid w:val="00B80812"/>
    <w:rsid w:val="00B83A7C"/>
    <w:rsid w:val="00B92BD5"/>
    <w:rsid w:val="00B93168"/>
    <w:rsid w:val="00B944B3"/>
    <w:rsid w:val="00B9461B"/>
    <w:rsid w:val="00B95010"/>
    <w:rsid w:val="00B95FBA"/>
    <w:rsid w:val="00B9665B"/>
    <w:rsid w:val="00B97751"/>
    <w:rsid w:val="00BA1B6F"/>
    <w:rsid w:val="00BA1F33"/>
    <w:rsid w:val="00BB1B0A"/>
    <w:rsid w:val="00BC2364"/>
    <w:rsid w:val="00BC529A"/>
    <w:rsid w:val="00BD274E"/>
    <w:rsid w:val="00BD67AC"/>
    <w:rsid w:val="00BD7F19"/>
    <w:rsid w:val="00BE05EF"/>
    <w:rsid w:val="00BE0E43"/>
    <w:rsid w:val="00BE4D86"/>
    <w:rsid w:val="00BE581B"/>
    <w:rsid w:val="00BE6892"/>
    <w:rsid w:val="00BE6A04"/>
    <w:rsid w:val="00BE7AEF"/>
    <w:rsid w:val="00BF3AF8"/>
    <w:rsid w:val="00BF3D5F"/>
    <w:rsid w:val="00BF5A80"/>
    <w:rsid w:val="00BF7B59"/>
    <w:rsid w:val="00C01B97"/>
    <w:rsid w:val="00C0292C"/>
    <w:rsid w:val="00C03F95"/>
    <w:rsid w:val="00C1154C"/>
    <w:rsid w:val="00C3331A"/>
    <w:rsid w:val="00C346DD"/>
    <w:rsid w:val="00C366CB"/>
    <w:rsid w:val="00C36B66"/>
    <w:rsid w:val="00C37738"/>
    <w:rsid w:val="00C40F64"/>
    <w:rsid w:val="00C415FB"/>
    <w:rsid w:val="00C446C3"/>
    <w:rsid w:val="00C44D17"/>
    <w:rsid w:val="00C44DA5"/>
    <w:rsid w:val="00C5384F"/>
    <w:rsid w:val="00C55A0F"/>
    <w:rsid w:val="00C56AAF"/>
    <w:rsid w:val="00C6017F"/>
    <w:rsid w:val="00C63137"/>
    <w:rsid w:val="00C65145"/>
    <w:rsid w:val="00C65DCB"/>
    <w:rsid w:val="00C66237"/>
    <w:rsid w:val="00C66CDB"/>
    <w:rsid w:val="00C709F8"/>
    <w:rsid w:val="00C73AE4"/>
    <w:rsid w:val="00C73C67"/>
    <w:rsid w:val="00C740B8"/>
    <w:rsid w:val="00C83C34"/>
    <w:rsid w:val="00C84B5A"/>
    <w:rsid w:val="00C859E1"/>
    <w:rsid w:val="00C85C85"/>
    <w:rsid w:val="00C87DB7"/>
    <w:rsid w:val="00C91EAB"/>
    <w:rsid w:val="00C92202"/>
    <w:rsid w:val="00CA144E"/>
    <w:rsid w:val="00CA3DE9"/>
    <w:rsid w:val="00CA43EB"/>
    <w:rsid w:val="00CA5265"/>
    <w:rsid w:val="00CA6D4D"/>
    <w:rsid w:val="00CA7948"/>
    <w:rsid w:val="00CA7B7F"/>
    <w:rsid w:val="00CB0BA1"/>
    <w:rsid w:val="00CB33AA"/>
    <w:rsid w:val="00CB49F0"/>
    <w:rsid w:val="00CB59F0"/>
    <w:rsid w:val="00CB6E17"/>
    <w:rsid w:val="00CC5396"/>
    <w:rsid w:val="00CE2581"/>
    <w:rsid w:val="00CE37D3"/>
    <w:rsid w:val="00CE5042"/>
    <w:rsid w:val="00CF06AB"/>
    <w:rsid w:val="00CF1D9A"/>
    <w:rsid w:val="00CF4604"/>
    <w:rsid w:val="00CF70EB"/>
    <w:rsid w:val="00CF7C94"/>
    <w:rsid w:val="00D0010A"/>
    <w:rsid w:val="00D02114"/>
    <w:rsid w:val="00D02369"/>
    <w:rsid w:val="00D04687"/>
    <w:rsid w:val="00D06E86"/>
    <w:rsid w:val="00D074D2"/>
    <w:rsid w:val="00D07979"/>
    <w:rsid w:val="00D115F5"/>
    <w:rsid w:val="00D11998"/>
    <w:rsid w:val="00D16915"/>
    <w:rsid w:val="00D17434"/>
    <w:rsid w:val="00D177D8"/>
    <w:rsid w:val="00D200A1"/>
    <w:rsid w:val="00D20C6A"/>
    <w:rsid w:val="00D228F7"/>
    <w:rsid w:val="00D24344"/>
    <w:rsid w:val="00D271E0"/>
    <w:rsid w:val="00D27AC1"/>
    <w:rsid w:val="00D305B1"/>
    <w:rsid w:val="00D3440A"/>
    <w:rsid w:val="00D419B8"/>
    <w:rsid w:val="00D43084"/>
    <w:rsid w:val="00D44A4C"/>
    <w:rsid w:val="00D50847"/>
    <w:rsid w:val="00D5362F"/>
    <w:rsid w:val="00D5651C"/>
    <w:rsid w:val="00D6096E"/>
    <w:rsid w:val="00D627AA"/>
    <w:rsid w:val="00D67B41"/>
    <w:rsid w:val="00D7007C"/>
    <w:rsid w:val="00D72243"/>
    <w:rsid w:val="00D72779"/>
    <w:rsid w:val="00D7526F"/>
    <w:rsid w:val="00D761E3"/>
    <w:rsid w:val="00D81A3B"/>
    <w:rsid w:val="00D84C68"/>
    <w:rsid w:val="00D85E36"/>
    <w:rsid w:val="00D87737"/>
    <w:rsid w:val="00D92822"/>
    <w:rsid w:val="00D931A8"/>
    <w:rsid w:val="00D9741B"/>
    <w:rsid w:val="00DA1394"/>
    <w:rsid w:val="00DA5091"/>
    <w:rsid w:val="00DA50ED"/>
    <w:rsid w:val="00DA5145"/>
    <w:rsid w:val="00DA728A"/>
    <w:rsid w:val="00DA73FB"/>
    <w:rsid w:val="00DA756B"/>
    <w:rsid w:val="00DB1F52"/>
    <w:rsid w:val="00DB2E3C"/>
    <w:rsid w:val="00DB5DF7"/>
    <w:rsid w:val="00DB73D2"/>
    <w:rsid w:val="00DC01F4"/>
    <w:rsid w:val="00DC224A"/>
    <w:rsid w:val="00DC389C"/>
    <w:rsid w:val="00DC48F9"/>
    <w:rsid w:val="00DC54C3"/>
    <w:rsid w:val="00DC6AC5"/>
    <w:rsid w:val="00DD23AC"/>
    <w:rsid w:val="00DD3939"/>
    <w:rsid w:val="00DD3947"/>
    <w:rsid w:val="00DD434D"/>
    <w:rsid w:val="00DD468D"/>
    <w:rsid w:val="00DD7968"/>
    <w:rsid w:val="00DE0757"/>
    <w:rsid w:val="00DE08A0"/>
    <w:rsid w:val="00DF0303"/>
    <w:rsid w:val="00DF275D"/>
    <w:rsid w:val="00DF27EB"/>
    <w:rsid w:val="00DF2A47"/>
    <w:rsid w:val="00DF380D"/>
    <w:rsid w:val="00E0526A"/>
    <w:rsid w:val="00E102D4"/>
    <w:rsid w:val="00E128D6"/>
    <w:rsid w:val="00E13B27"/>
    <w:rsid w:val="00E15005"/>
    <w:rsid w:val="00E20477"/>
    <w:rsid w:val="00E21AFB"/>
    <w:rsid w:val="00E22876"/>
    <w:rsid w:val="00E24886"/>
    <w:rsid w:val="00E26381"/>
    <w:rsid w:val="00E26F6A"/>
    <w:rsid w:val="00E273A7"/>
    <w:rsid w:val="00E27723"/>
    <w:rsid w:val="00E3127F"/>
    <w:rsid w:val="00E317B1"/>
    <w:rsid w:val="00E3394A"/>
    <w:rsid w:val="00E40EC0"/>
    <w:rsid w:val="00E47F90"/>
    <w:rsid w:val="00E51F5F"/>
    <w:rsid w:val="00E525F8"/>
    <w:rsid w:val="00E5489D"/>
    <w:rsid w:val="00E55CC7"/>
    <w:rsid w:val="00E62029"/>
    <w:rsid w:val="00E62043"/>
    <w:rsid w:val="00E62FA5"/>
    <w:rsid w:val="00E63F3E"/>
    <w:rsid w:val="00E64230"/>
    <w:rsid w:val="00E65633"/>
    <w:rsid w:val="00E665BD"/>
    <w:rsid w:val="00E67E9B"/>
    <w:rsid w:val="00E71008"/>
    <w:rsid w:val="00E7211B"/>
    <w:rsid w:val="00E742E8"/>
    <w:rsid w:val="00E74C18"/>
    <w:rsid w:val="00E863CB"/>
    <w:rsid w:val="00E90465"/>
    <w:rsid w:val="00E92B82"/>
    <w:rsid w:val="00E92F6C"/>
    <w:rsid w:val="00E935C4"/>
    <w:rsid w:val="00E93C0E"/>
    <w:rsid w:val="00E93FCC"/>
    <w:rsid w:val="00E94E85"/>
    <w:rsid w:val="00E965E9"/>
    <w:rsid w:val="00EA37C0"/>
    <w:rsid w:val="00EA4E0C"/>
    <w:rsid w:val="00EA722B"/>
    <w:rsid w:val="00EA7E94"/>
    <w:rsid w:val="00EB1B0C"/>
    <w:rsid w:val="00EB1C19"/>
    <w:rsid w:val="00EB29A5"/>
    <w:rsid w:val="00EB3168"/>
    <w:rsid w:val="00EB4A26"/>
    <w:rsid w:val="00EB63FC"/>
    <w:rsid w:val="00EB74B2"/>
    <w:rsid w:val="00EC07FE"/>
    <w:rsid w:val="00EC0E84"/>
    <w:rsid w:val="00EC24B5"/>
    <w:rsid w:val="00EC368B"/>
    <w:rsid w:val="00EC49DC"/>
    <w:rsid w:val="00EC5430"/>
    <w:rsid w:val="00ED3CCC"/>
    <w:rsid w:val="00ED4385"/>
    <w:rsid w:val="00EE691A"/>
    <w:rsid w:val="00EE6DDD"/>
    <w:rsid w:val="00EF1973"/>
    <w:rsid w:val="00EF2538"/>
    <w:rsid w:val="00EF4C0B"/>
    <w:rsid w:val="00EF4F29"/>
    <w:rsid w:val="00EF5A3F"/>
    <w:rsid w:val="00F00E82"/>
    <w:rsid w:val="00F01756"/>
    <w:rsid w:val="00F043B4"/>
    <w:rsid w:val="00F043F6"/>
    <w:rsid w:val="00F05369"/>
    <w:rsid w:val="00F05C4E"/>
    <w:rsid w:val="00F07C51"/>
    <w:rsid w:val="00F11373"/>
    <w:rsid w:val="00F1184A"/>
    <w:rsid w:val="00F13F05"/>
    <w:rsid w:val="00F17952"/>
    <w:rsid w:val="00F22497"/>
    <w:rsid w:val="00F22AC8"/>
    <w:rsid w:val="00F22DE6"/>
    <w:rsid w:val="00F23702"/>
    <w:rsid w:val="00F254A5"/>
    <w:rsid w:val="00F260F3"/>
    <w:rsid w:val="00F3080E"/>
    <w:rsid w:val="00F32404"/>
    <w:rsid w:val="00F344F3"/>
    <w:rsid w:val="00F36520"/>
    <w:rsid w:val="00F36EA3"/>
    <w:rsid w:val="00F41CE0"/>
    <w:rsid w:val="00F456A4"/>
    <w:rsid w:val="00F45E87"/>
    <w:rsid w:val="00F46512"/>
    <w:rsid w:val="00F52FBB"/>
    <w:rsid w:val="00F536F5"/>
    <w:rsid w:val="00F53A31"/>
    <w:rsid w:val="00F541DD"/>
    <w:rsid w:val="00F54726"/>
    <w:rsid w:val="00F550A8"/>
    <w:rsid w:val="00F60D70"/>
    <w:rsid w:val="00F712E9"/>
    <w:rsid w:val="00F727AA"/>
    <w:rsid w:val="00F73E9F"/>
    <w:rsid w:val="00F8015A"/>
    <w:rsid w:val="00F869E6"/>
    <w:rsid w:val="00F9061F"/>
    <w:rsid w:val="00F916E2"/>
    <w:rsid w:val="00F91C8C"/>
    <w:rsid w:val="00FA06F2"/>
    <w:rsid w:val="00FA084B"/>
    <w:rsid w:val="00FA2765"/>
    <w:rsid w:val="00FA39DC"/>
    <w:rsid w:val="00FA442A"/>
    <w:rsid w:val="00FA6760"/>
    <w:rsid w:val="00FB1C86"/>
    <w:rsid w:val="00FB4474"/>
    <w:rsid w:val="00FB7D39"/>
    <w:rsid w:val="00FC5B8D"/>
    <w:rsid w:val="00FC6B04"/>
    <w:rsid w:val="00FD13EE"/>
    <w:rsid w:val="00FD22AC"/>
    <w:rsid w:val="00FD23A7"/>
    <w:rsid w:val="00FD2E7C"/>
    <w:rsid w:val="00FD43EE"/>
    <w:rsid w:val="00FD442D"/>
    <w:rsid w:val="00FD70C1"/>
    <w:rsid w:val="00FE2A7C"/>
    <w:rsid w:val="00FE4FBA"/>
    <w:rsid w:val="010D1F6A"/>
    <w:rsid w:val="04E06D9A"/>
    <w:rsid w:val="0798419B"/>
    <w:rsid w:val="0BDB3A54"/>
    <w:rsid w:val="0C29149E"/>
    <w:rsid w:val="0F04050E"/>
    <w:rsid w:val="12014DE0"/>
    <w:rsid w:val="13184C1C"/>
    <w:rsid w:val="18735D1E"/>
    <w:rsid w:val="1C0D30D9"/>
    <w:rsid w:val="232D5D30"/>
    <w:rsid w:val="29896160"/>
    <w:rsid w:val="2C223CAA"/>
    <w:rsid w:val="2CFC6BA8"/>
    <w:rsid w:val="30D73E6F"/>
    <w:rsid w:val="333E6261"/>
    <w:rsid w:val="35027CEC"/>
    <w:rsid w:val="38BB2151"/>
    <w:rsid w:val="3C75764A"/>
    <w:rsid w:val="3CE4165D"/>
    <w:rsid w:val="3DF51402"/>
    <w:rsid w:val="3E602EEC"/>
    <w:rsid w:val="471B50E0"/>
    <w:rsid w:val="4C874BA1"/>
    <w:rsid w:val="4E686BF8"/>
    <w:rsid w:val="5C996FB6"/>
    <w:rsid w:val="5F2A3E79"/>
    <w:rsid w:val="6848090D"/>
    <w:rsid w:val="69027B3D"/>
    <w:rsid w:val="6BE119A3"/>
    <w:rsid w:val="700100B8"/>
    <w:rsid w:val="7A146E40"/>
    <w:rsid w:val="7B0D7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7"/>
    <w:qFormat/>
    <w:uiPriority w:val="9"/>
    <w:pPr>
      <w:keepNext/>
      <w:keepLines/>
      <w:spacing w:before="100" w:after="90" w:line="578" w:lineRule="auto"/>
      <w:outlineLvl w:val="0"/>
    </w:pPr>
    <w:rPr>
      <w:rFonts w:eastAsia="黑体"/>
      <w:b/>
      <w:bCs/>
      <w:kern w:val="44"/>
      <w:sz w:val="32"/>
      <w:szCs w:val="44"/>
    </w:rPr>
  </w:style>
  <w:style w:type="paragraph" w:styleId="3">
    <w:name w:val="heading 2"/>
    <w:basedOn w:val="1"/>
    <w:next w:val="1"/>
    <w:link w:val="28"/>
    <w:unhideWhenUsed/>
    <w:qFormat/>
    <w:uiPriority w:val="9"/>
    <w:pPr>
      <w:keepNext/>
      <w:keepLines/>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rFonts w:eastAsia="仿宋_GB2312"/>
      <w:b/>
      <w:bCs/>
      <w:sz w:val="32"/>
      <w:szCs w:val="32"/>
    </w:rPr>
  </w:style>
  <w:style w:type="character" w:default="1" w:styleId="21">
    <w:name w:val="Default Paragraph Font"/>
    <w:unhideWhenUsed/>
    <w:qFormat/>
    <w:uiPriority w:val="1"/>
  </w:style>
  <w:style w:type="table" w:default="1" w:styleId="25">
    <w:name w:val="Normal Table"/>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40"/>
    <w:unhideWhenUsed/>
    <w:qFormat/>
    <w:uiPriority w:val="99"/>
    <w:rPr>
      <w:b/>
      <w:bCs/>
    </w:rPr>
  </w:style>
  <w:style w:type="paragraph" w:styleId="6">
    <w:name w:val="annotation text"/>
    <w:basedOn w:val="1"/>
    <w:link w:val="39"/>
    <w:unhideWhenUsed/>
    <w:qFormat/>
    <w:uiPriority w:val="99"/>
    <w:pPr>
      <w:jc w:val="left"/>
    </w:pPr>
  </w:style>
  <w:style w:type="paragraph" w:styleId="7">
    <w:name w:val="Normal Indent"/>
    <w:basedOn w:val="1"/>
    <w:qFormat/>
    <w:uiPriority w:val="0"/>
    <w:pPr>
      <w:ind w:firstLine="420" w:firstLineChars="200"/>
    </w:pPr>
  </w:style>
  <w:style w:type="paragraph" w:styleId="8">
    <w:name w:val="caption"/>
    <w:basedOn w:val="1"/>
    <w:next w:val="1"/>
    <w:unhideWhenUsed/>
    <w:qFormat/>
    <w:uiPriority w:val="0"/>
    <w:rPr>
      <w:rFonts w:eastAsia="黑体" w:asciiTheme="majorHAnsi" w:hAnsiTheme="majorHAnsi" w:cstheme="majorBidi"/>
      <w:sz w:val="20"/>
      <w:szCs w:val="20"/>
    </w:rPr>
  </w:style>
  <w:style w:type="paragraph" w:styleId="9">
    <w:name w:val="Document Map"/>
    <w:basedOn w:val="1"/>
    <w:link w:val="36"/>
    <w:unhideWhenUsed/>
    <w:qFormat/>
    <w:uiPriority w:val="99"/>
    <w:rPr>
      <w:rFonts w:ascii="宋体" w:eastAsia="宋体"/>
      <w:sz w:val="18"/>
      <w:szCs w:val="18"/>
    </w:rPr>
  </w:style>
  <w:style w:type="paragraph" w:styleId="10">
    <w:name w:val="Body Text Indent"/>
    <w:basedOn w:val="1"/>
    <w:link w:val="48"/>
    <w:unhideWhenUsed/>
    <w:qFormat/>
    <w:uiPriority w:val="99"/>
    <w:pPr>
      <w:ind w:firstLine="640" w:firstLineChars="200"/>
    </w:pPr>
    <w:rPr>
      <w:rFonts w:ascii="仿宋_GB2312" w:hAnsi="Calibri" w:eastAsia="仿宋_GB2312" w:cs="黑体"/>
      <w:bCs/>
      <w:color w:val="000000"/>
      <w:sz w:val="32"/>
      <w:szCs w:val="32"/>
    </w:rPr>
  </w:style>
  <w:style w:type="paragraph" w:styleId="11">
    <w:name w:val="toc 3"/>
    <w:basedOn w:val="1"/>
    <w:next w:val="1"/>
    <w:unhideWhenUsed/>
    <w:qFormat/>
    <w:uiPriority w:val="39"/>
    <w:pPr>
      <w:ind w:left="840" w:leftChars="400"/>
    </w:pPr>
  </w:style>
  <w:style w:type="paragraph" w:styleId="12">
    <w:name w:val="Plain Text"/>
    <w:basedOn w:val="1"/>
    <w:link w:val="37"/>
    <w:qFormat/>
    <w:uiPriority w:val="99"/>
    <w:rPr>
      <w:rFonts w:ascii="宋体" w:hAnsi="Courier New" w:eastAsia="宋体" w:cs="Courier New"/>
      <w:szCs w:val="21"/>
    </w:rPr>
  </w:style>
  <w:style w:type="paragraph" w:styleId="13">
    <w:name w:val="Date"/>
    <w:basedOn w:val="1"/>
    <w:next w:val="1"/>
    <w:link w:val="34"/>
    <w:unhideWhenUsed/>
    <w:qFormat/>
    <w:uiPriority w:val="99"/>
    <w:pPr>
      <w:ind w:left="100" w:leftChars="2500"/>
    </w:pPr>
  </w:style>
  <w:style w:type="paragraph" w:styleId="14">
    <w:name w:val="Balloon Text"/>
    <w:basedOn w:val="1"/>
    <w:link w:val="38"/>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pPr>
    <w:rPr>
      <w:rFonts w:ascii="Times New Roman" w:hAnsi="Times New Roman" w:eastAsia="仿宋_GB2312" w:cs="Times New Roman"/>
      <w:b/>
      <w:bCs/>
      <w:sz w:val="24"/>
    </w:rPr>
  </w:style>
  <w:style w:type="paragraph" w:styleId="18">
    <w:name w:val="footnote text"/>
    <w:basedOn w:val="1"/>
    <w:link w:val="43"/>
    <w:unhideWhenUsed/>
    <w:qFormat/>
    <w:uiPriority w:val="99"/>
    <w:pPr>
      <w:snapToGrid w:val="0"/>
      <w:jc w:val="left"/>
    </w:pPr>
    <w:rPr>
      <w:sz w:val="18"/>
      <w:szCs w:val="18"/>
    </w:rPr>
  </w:style>
  <w:style w:type="paragraph" w:styleId="19">
    <w:name w:val="toc 2"/>
    <w:basedOn w:val="1"/>
    <w:next w:val="1"/>
    <w:unhideWhenUsed/>
    <w:qFormat/>
    <w:uiPriority w:val="39"/>
    <w:pPr>
      <w:spacing w:before="225"/>
      <w:ind w:firstLine="640" w:firstLineChars="200"/>
    </w:pPr>
  </w:style>
  <w:style w:type="paragraph" w:styleId="2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unhideWhenUsed/>
    <w:qFormat/>
    <w:uiPriority w:val="99"/>
    <w:rPr>
      <w:sz w:val="21"/>
      <w:szCs w:val="21"/>
    </w:rPr>
  </w:style>
  <w:style w:type="character" w:styleId="24">
    <w:name w:val="footnote reference"/>
    <w:basedOn w:val="21"/>
    <w:unhideWhenUsed/>
    <w:qFormat/>
    <w:uiPriority w:val="99"/>
    <w:rPr>
      <w:vertAlign w:val="superscript"/>
    </w:r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7">
    <w:name w:val="标题 1 字符"/>
    <w:basedOn w:val="21"/>
    <w:link w:val="2"/>
    <w:qFormat/>
    <w:uiPriority w:val="9"/>
    <w:rPr>
      <w:rFonts w:eastAsia="黑体"/>
      <w:b/>
      <w:bCs/>
      <w:kern w:val="44"/>
      <w:sz w:val="32"/>
      <w:szCs w:val="44"/>
    </w:rPr>
  </w:style>
  <w:style w:type="character" w:customStyle="1" w:styleId="28">
    <w:name w:val="标题 2 字符"/>
    <w:basedOn w:val="21"/>
    <w:link w:val="3"/>
    <w:qFormat/>
    <w:uiPriority w:val="9"/>
    <w:rPr>
      <w:rFonts w:eastAsia="仿宋_GB2312" w:asciiTheme="majorHAnsi" w:hAnsiTheme="majorHAnsi" w:cstheme="majorBidi"/>
      <w:b/>
      <w:bCs/>
      <w:sz w:val="32"/>
      <w:szCs w:val="32"/>
    </w:rPr>
  </w:style>
  <w:style w:type="character" w:customStyle="1" w:styleId="29">
    <w:name w:val="标题 3 字符"/>
    <w:basedOn w:val="21"/>
    <w:link w:val="4"/>
    <w:qFormat/>
    <w:uiPriority w:val="9"/>
    <w:rPr>
      <w:rFonts w:eastAsia="仿宋_GB2312"/>
      <w:b/>
      <w:bCs/>
      <w:sz w:val="32"/>
      <w:szCs w:val="32"/>
    </w:rPr>
  </w:style>
  <w:style w:type="character" w:customStyle="1" w:styleId="30">
    <w:name w:val="页眉 字符"/>
    <w:basedOn w:val="21"/>
    <w:link w:val="16"/>
    <w:qFormat/>
    <w:uiPriority w:val="99"/>
    <w:rPr>
      <w:sz w:val="18"/>
      <w:szCs w:val="18"/>
    </w:rPr>
  </w:style>
  <w:style w:type="character" w:customStyle="1" w:styleId="31">
    <w:name w:val="页脚 字符"/>
    <w:basedOn w:val="21"/>
    <w:link w:val="15"/>
    <w:qFormat/>
    <w:uiPriority w:val="99"/>
    <w:rPr>
      <w:sz w:val="18"/>
      <w:szCs w:val="18"/>
    </w:rPr>
  </w:style>
  <w:style w:type="paragraph" w:customStyle="1" w:styleId="32">
    <w:name w:val="List Paragraph"/>
    <w:basedOn w:val="1"/>
    <w:qFormat/>
    <w:uiPriority w:val="34"/>
    <w:pPr>
      <w:ind w:firstLine="420" w:firstLineChars="200"/>
    </w:pPr>
  </w:style>
  <w:style w:type="paragraph" w:customStyle="1" w:styleId="33">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4">
    <w:name w:val="日期 字符"/>
    <w:basedOn w:val="21"/>
    <w:link w:val="13"/>
    <w:semiHidden/>
    <w:qFormat/>
    <w:uiPriority w:val="99"/>
    <w:rPr>
      <w:szCs w:val="24"/>
    </w:rPr>
  </w:style>
  <w:style w:type="character" w:customStyle="1" w:styleId="35">
    <w:name w:val="fontstyle01"/>
    <w:basedOn w:val="21"/>
    <w:qFormat/>
    <w:uiPriority w:val="0"/>
    <w:rPr>
      <w:rFonts w:hint="eastAsia" w:ascii="仿宋_GB2312" w:eastAsia="仿宋_GB2312"/>
      <w:color w:val="000000"/>
      <w:sz w:val="32"/>
      <w:szCs w:val="32"/>
    </w:rPr>
  </w:style>
  <w:style w:type="character" w:customStyle="1" w:styleId="36">
    <w:name w:val="文档结构图 字符"/>
    <w:basedOn w:val="21"/>
    <w:link w:val="9"/>
    <w:semiHidden/>
    <w:qFormat/>
    <w:uiPriority w:val="99"/>
    <w:rPr>
      <w:rFonts w:ascii="宋体" w:eastAsia="宋体"/>
      <w:sz w:val="18"/>
      <w:szCs w:val="18"/>
    </w:rPr>
  </w:style>
  <w:style w:type="character" w:customStyle="1" w:styleId="37">
    <w:name w:val="纯文本 字符"/>
    <w:basedOn w:val="21"/>
    <w:link w:val="12"/>
    <w:qFormat/>
    <w:uiPriority w:val="99"/>
    <w:rPr>
      <w:rFonts w:ascii="宋体" w:hAnsi="Courier New" w:eastAsia="宋体" w:cs="Courier New"/>
      <w:szCs w:val="21"/>
    </w:rPr>
  </w:style>
  <w:style w:type="character" w:customStyle="1" w:styleId="38">
    <w:name w:val="批注框文本 字符"/>
    <w:basedOn w:val="21"/>
    <w:link w:val="14"/>
    <w:semiHidden/>
    <w:qFormat/>
    <w:uiPriority w:val="99"/>
    <w:rPr>
      <w:sz w:val="18"/>
      <w:szCs w:val="18"/>
    </w:rPr>
  </w:style>
  <w:style w:type="character" w:customStyle="1" w:styleId="39">
    <w:name w:val="批注文字 字符"/>
    <w:basedOn w:val="21"/>
    <w:link w:val="6"/>
    <w:qFormat/>
    <w:uiPriority w:val="99"/>
    <w:rPr>
      <w:szCs w:val="24"/>
    </w:rPr>
  </w:style>
  <w:style w:type="character" w:customStyle="1" w:styleId="40">
    <w:name w:val="批注主题 字符"/>
    <w:basedOn w:val="39"/>
    <w:link w:val="5"/>
    <w:semiHidden/>
    <w:qFormat/>
    <w:uiPriority w:val="99"/>
    <w:rPr>
      <w:b/>
      <w:bCs/>
      <w:szCs w:val="24"/>
    </w:rPr>
  </w:style>
  <w:style w:type="character" w:customStyle="1" w:styleId="41">
    <w:name w:val="font01"/>
    <w:basedOn w:val="21"/>
    <w:qFormat/>
    <w:uiPriority w:val="0"/>
    <w:rPr>
      <w:rFonts w:hint="eastAsia" w:ascii="宋体" w:hAnsi="宋体" w:eastAsia="宋体"/>
      <w:color w:val="000000"/>
      <w:sz w:val="20"/>
      <w:szCs w:val="20"/>
      <w:u w:val="none"/>
    </w:rPr>
  </w:style>
  <w:style w:type="paragraph" w:customStyle="1" w:styleId="42">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3">
    <w:name w:val="脚注文本 字符"/>
    <w:basedOn w:val="21"/>
    <w:link w:val="18"/>
    <w:semiHidden/>
    <w:qFormat/>
    <w:uiPriority w:val="99"/>
    <w:rPr>
      <w:kern w:val="2"/>
      <w:sz w:val="18"/>
      <w:szCs w:val="18"/>
    </w:rPr>
  </w:style>
  <w:style w:type="paragraph" w:customStyle="1" w:styleId="44">
    <w:name w:val="修订3"/>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5">
    <w:name w:val="font31"/>
    <w:basedOn w:val="21"/>
    <w:qFormat/>
    <w:uiPriority w:val="0"/>
    <w:rPr>
      <w:rFonts w:hint="eastAsia" w:ascii="宋体" w:hAnsi="宋体" w:eastAsia="宋体"/>
      <w:color w:val="000000"/>
      <w:sz w:val="20"/>
      <w:szCs w:val="20"/>
      <w:u w:val="none"/>
    </w:rPr>
  </w:style>
  <w:style w:type="character" w:customStyle="1" w:styleId="46">
    <w:name w:val="font21"/>
    <w:basedOn w:val="21"/>
    <w:qFormat/>
    <w:uiPriority w:val="0"/>
    <w:rPr>
      <w:rFonts w:hint="eastAsia" w:ascii="方正书宋_GBK" w:eastAsia="方正书宋_GBK"/>
      <w:color w:val="000000"/>
      <w:sz w:val="22"/>
      <w:szCs w:val="22"/>
      <w:u w:val="none"/>
    </w:rPr>
  </w:style>
  <w:style w:type="character" w:customStyle="1" w:styleId="47">
    <w:name w:val="font11"/>
    <w:basedOn w:val="21"/>
    <w:qFormat/>
    <w:uiPriority w:val="0"/>
    <w:rPr>
      <w:rFonts w:hint="eastAsia" w:ascii="等线" w:hAnsi="等线" w:eastAsia="等线"/>
      <w:color w:val="000000"/>
      <w:sz w:val="22"/>
      <w:szCs w:val="22"/>
      <w:u w:val="none"/>
    </w:rPr>
  </w:style>
  <w:style w:type="character" w:customStyle="1" w:styleId="48">
    <w:name w:val="正文文本缩进 字符"/>
    <w:basedOn w:val="21"/>
    <w:link w:val="10"/>
    <w:qFormat/>
    <w:uiPriority w:val="99"/>
    <w:rPr>
      <w:rFonts w:ascii="仿宋_GB2312" w:hAnsi="Calibri" w:eastAsia="仿宋_GB2312" w:cs="黑体"/>
      <w:bCs/>
      <w:color w:val="000000"/>
      <w:kern w:val="2"/>
      <w:sz w:val="32"/>
      <w:szCs w:val="32"/>
    </w:rPr>
  </w:style>
  <w:style w:type="character" w:customStyle="1" w:styleId="49">
    <w:name w:val="font41"/>
    <w:basedOn w:val="21"/>
    <w:qFormat/>
    <w:uiPriority w:val="0"/>
    <w:rPr>
      <w:rFonts w:hint="eastAsia" w:ascii="宋体" w:hAnsi="宋体" w:eastAsia="宋体"/>
      <w:color w:val="000000"/>
      <w:sz w:val="40"/>
      <w:szCs w:val="40"/>
      <w:u w:val="none"/>
    </w:rPr>
  </w:style>
  <w:style w:type="paragraph" w:customStyle="1" w:styleId="50">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DC314-2740-419E-A2AB-B0F2FBEA5155}">
  <ds:schemaRefs/>
</ds:datastoreItem>
</file>

<file path=docProps/app.xml><?xml version="1.0" encoding="utf-8"?>
<Properties xmlns="http://schemas.openxmlformats.org/officeDocument/2006/extended-properties" xmlns:vt="http://schemas.openxmlformats.org/officeDocument/2006/docPropsVTypes">
  <Template>Normal.dotm</Template>
  <Pages>99</Pages>
  <Words>9639</Words>
  <Characters>54946</Characters>
  <Lines>457</Lines>
  <Paragraphs>128</Paragraphs>
  <ScaleCrop>false</ScaleCrop>
  <LinksUpToDate>false</LinksUpToDate>
  <CharactersWithSpaces>64457</CharactersWithSpaces>
  <Application>WPS Office_10.8.0.6157_F1E327BC-269C-435d-A152-05C5408002CA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2022-11-01T02:58:00Z</dcterms:created>
  <dc:creator>wu qian</dc:creator>
  <cp:lastModifiedBy>薛帅杰</cp:lastModifiedBy>
  <cp:lastPrinted>2022-12-07T07:42:00Z</cp:lastPrinted>
  <dcterms:modified xsi:type="dcterms:W3CDTF">2022-12-09T10:28:45Z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2052-10.8.0.6157</vt:lpwstr>
  </property>
  <property fmtid="{D5CDD505-2E9C-101B-9397-08002B2CF9AE}" pid="3" name="ICV">
    <vt:lpwstr>3364D5D2BFDA422C9F94A031C98A3AB5</vt:lpwstr>
  </property>
</Properties>
</file>