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关于《广州市天河区现代商贸业“十四五”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发展规划》的编制说明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“十四五”时期，是我国开启全面建设社会主义现代化国家新征程的第一个五年，是广州市实现老城市新活力、“四个出新出彩”，巩固提升城市发展位势的关键阶段。商贸业作为链接国内国际两个市场，畅通生产、分配、流通、消费等各环节的纽带和桥梁，对经济高质量发展具有重要带动作用。作为广州“经济第一强区”和“商业第一大区”，天河区在“十四五”期间，将加快落实省、市、区各级工作要求，着力推动商贸业产业结构优化、消费扩容提质、对外贸易创新发展；加强商贸业与文化、体育、旅游、新一代信息技术等产业的融合联动发展。本规划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省、市、区“十四五”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规划和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二〇三五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年远景目标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编制，重点明确“十四五”期间天河区现代商贸业发展的指导思想、发展原则、发展定位、发展目标、重大任务及保障措施，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“十四五”期间现代商贸业发展。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一、发展现状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“十三五”期间，天河区现代商贸业取得显著发展成效，成为天河区区经济发展重要支撑，2020年增加值达到709.81亿元，占地区生产总值比重为13.4%，实现社会消费品零售总额1781.43亿元，位列全市第一；网上零售保持较快增长，网络商品零售额增速达28.4%。商贸企业数量保持快速增长态势，2016-2020年间复合增速超过32%。各细分领域蓬勃发展，大宗商品贸易结构逐步优化，零售商业实力雄厚，汽车销售快速增长，高端餐饮和酒店领跑全市，医药及医疗器械销售、电子商务等领域发展动能不断积蓄。商圈业态不断优化、环境品质有效提升，正佳广场、太古汇、天河城3家进入全国购物中心销售额top25，2020年共有10家载体上榜大众点评 “必逛榜”，在广州市占比超50%。新消费模式不断涌现，“首店经济”持续增强，文商旅融合创新业态不断推陈出新。营商环境持续优化改善，常态化企业服务机制和商贸业扶持政策不断优化，企业、商圈发展环境持续提升。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与北京朝阳区、上海静安区、深圳福田区等一线城市中心城区的现代商贸业对比，天河区现代商贸业发展中仍存在问题和不足，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产业能级有待进一步提升，产业结构有待进一步优化，产业布局有待进一步均衡，与高质量发展的要求尚存差距。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二、发展形势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从国际与国内、细分行业发展和新兴领域等层面分析“十四五”期间天河区现代商贸业发展面临的主要形势。一是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国际格局调整和疫情影响突显商贸业纽带桥梁作用。我国经济面临需求收缩、供给冲击、预期转弱三重压力。商贸流通体系链接国内国际两个市场，通过构建全球供应链、跨境电商平台等，打通国内外市场边界，推动国内外两个体系有效对接、深度接轨，同时贯穿国内市场运行体系，畅通生产、分配、流通、消费等各环节，成为内外需市场体系的强大支撑，其纽带和桥梁作用将更加凸显。二是新型消费成为消费扩容和引领消费创新的重要支撑。线上与线下、业态与场景的融合消费日益成为主导消费模式，直播带货、短视频销售和社交零售，在线健康医疗服务、云旅游、云赏剧、云看展、云赛事、智能健身、虚拟运动，智慧超市、智慧商店、智慧餐厅、智慧商圈，外卖配送、网约车、即时速递、共享住宿等平台型和共享型消费新业态，新国货、免税零售、绿色新消费。三是技术赋能促进商贸业数字化、网络化和智能化转型。大数据、云计算、物联网、人工智能、区块链等数字技术的突破和广泛应用，推动了商贸业产品及模式创新，重构了传统商业模式和消费模式，对供需、产销高效匹配、智能管理、扁平化交易均有促进，也提高了产品和服务附加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规划拟解决的问题及目标任务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梳理问题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横向与北京朝阳区、上海静安区、深圳福田区等一线城市中心城区的现代商贸业对比分析，以及纵向对比分析十三五期间天河区现代商贸业发展情况，天河区现代商贸业主要在产业能级、产业结构、产业布局等方面存在不足。结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省、市、区各级工作要求，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明确“十四五”期间天河区现代商贸业发展的重点工作和任务是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全面推动产业转型升级，提升资源配置能力，促进消费提质扩容，坚持商品消费与服务消费融合、国际市场与国内市场融合、线上与线下融合、时尚与传统融合，打造国际消费中心城市建设核心承载区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明确目标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立足区位优势和产业基础，围绕商贸业提质升级主线，对标最好最优，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对照省、市、区“十四五”规划和《广州市商务发展“十四五”发展规划》，衔接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《中共广州市天河区委办公室  广州市天河区人民政府办公室关于印发&lt;天河区商贸业高质量发展三年行动方案&gt;（2021_2023年）的通知》，把定量与定性相结合，把远景规划与近期重点相结合，突出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广州国际消费中心城市核心承载区、国内中心城区商贸业提质升级示范区、“双循环”新发展格局下资源配置枢纽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定位，明确天河区现代商贸业在“十四五”期间的发展目标。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核心内容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bookmarkStart w:id="0" w:name="_GoBack"/>
      <w:r>
        <w:rPr>
          <w:rFonts w:hint="default" w:ascii="方正楷体_GBK" w:hAnsi="方正楷体_GBK" w:eastAsia="方正楷体_GBK" w:cs="方正楷体_GBK"/>
          <w:sz w:val="32"/>
          <w:szCs w:val="32"/>
        </w:rPr>
        <w:t>（一）推动商贸业可持续高质量发展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精准发力，通过对批发、零售、住宿、餐饮、生活性服务业的科学谋划，以及对汽车销售、药品和医疗器械流通、定制家居等新增长点的挖掘，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全力推动商贸业产业结构优化调整，提升商贸业发展质量和效益。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其中，批发业注重招引并举，全力提升市场主体能级，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力促品牌化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化发展，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推动产业向价值链高端延伸；零售业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以数字化、国际化、高端化为核心，推动以时尚定制、沉浸体验等新业态新模式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引领的新型消费，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消费提质扩容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；住宿和餐饮业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拓展内涵，增加多样化市场供给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加强行业跨界融合发展，探索切入发展预制菜领域和打造行业集聚区；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生活性服务业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着力推动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多元化发展，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增强生活服务优质供给，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打造一刻钟便民生活圈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扩大消费领域容量。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同时，抓住消费升级趋势，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以汽车销售、药品和医疗器械流通、定制家居为突破口，培育新增长极。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（二）构建以世界级地标商圈为核心的多层次商业空间体系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结合广州市加快培育国际消费中心城市各项工作，连片提升广州东站至海心桥的消费地标、景观节点，做强做大和培育天河路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-珠江新城、金融城-黄埔湾世界级地标商圈，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天河路商圈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着重促进内生增长、挖掘空间潜力、优化环境品质，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打造世界顶级商圈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；珠江新城商圈着力打造世界级中央活力商圈，并联动天河路商圈，打造文商旅体融合发展第一圈；金融城商圈把握后发优势，科学谋划，打造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都会级商圈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，整体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商圈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梯次发展格局，进一步巩固在广州市的引领地位。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坚持以人为本、均衡发展原则，围绕产业发展和人民生活需要，促进商业环境与居民消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费需求相匹配，与城市功能相协调，与重大平台发展相协同，加速优化商业空间布局，打造“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1+1+N”多层次商业空间体系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，构建“两轴联动，环状布局”空间发展格局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（三）推动对外贸易创新发展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把握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RCEP签署机遇，用好国家数字服务出口基地、国家文化出口基地，联动广交会、进博会、服贸会等国家级展会，着力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推动货物贸易结构优化和服务贸易创新发展，不断调整优化外贸结构，扩大贸易规模；积极提高外贸综合服务水平，构建良好环境；加强对外合作交流，提升对接效率。通过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实施更大范围、更宽领域、更深层次对外开放，健全供应链服务体系，加快集聚高能级市场主体，打造服务珠三角、辐射全国、链接东南亚的对外贸易窗口。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（四）大力优化营商环境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对标先进地区，加快优化服务体系和产业发展生态，构建近悦远来的营商环境。加快优化商贸业扶持政策，积极争取复制先行先试政策，提升市场主体服务水平，加强招商引资和企业培育；优化金融、人才、土地等要素供给，持续完善产业生态；探索适应新兴业态、模式发展的包容审慎监管机制，简化活动审批流程，适当有序放宽经营限制，支持产业发展；加强市场主体监管和消费者权益保护，着力营造安全放心诚信消费环境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从加强组织领导、增强服务支持、完善监督机制、强化宣传推广方面构建天河区现代商贸业“十四五”时期新发展的保障体系。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3E6AD1"/>
    <w:multiLevelType w:val="singleLevel"/>
    <w:tmpl w:val="DA3E6AD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74F3D"/>
    <w:rsid w:val="1791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2023-01-09T11:41:00Z</dcterms:created>
  <dc:creator>tanjy01</dc:creator>
  <cp:lastModifiedBy>tanjy01</cp:lastModifiedBy>
  <dcterms:modified xsi:type="dcterms:W3CDTF">2023-01-09T13:59:42Z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