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综合评分表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项目名称：</w:t>
      </w:r>
    </w:p>
    <w:p>
      <w:pPr>
        <w:snapToGrid w:val="0"/>
        <w:spacing w:line="30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评分标准表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76"/>
        <w:gridCol w:w="746"/>
        <w:gridCol w:w="1305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5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项目</w:t>
            </w:r>
          </w:p>
        </w:tc>
        <w:tc>
          <w:tcPr>
            <w:tcW w:w="1622" w:type="dxa"/>
            <w:gridSpan w:val="2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基础分</w:t>
            </w: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分项内容</w:t>
            </w:r>
          </w:p>
        </w:tc>
        <w:tc>
          <w:tcPr>
            <w:tcW w:w="4360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总计</w:t>
            </w:r>
          </w:p>
        </w:tc>
        <w:tc>
          <w:tcPr>
            <w:tcW w:w="746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单项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4360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74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436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87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74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130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43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资信证明（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45%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服务能力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pStyle w:val="2"/>
              <w:widowControl w:val="0"/>
              <w:numPr>
                <w:ilvl w:val="0"/>
                <w:numId w:val="1"/>
              </w:numPr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具有建筑工程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相关专业高级工程师或以上技术职称得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分、中级工程师职称则得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分；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持有一级注册结构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级注册结构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证则得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分；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持有岩土工程师注册证得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分；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在广东省住房和城乡建设厅备案担任企业技术负责人的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，提供《建设工程质量检测机构资质证书》二维码详细信息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注：提供职称证、相应的注册证书、上岗证、身份证、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个月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以内任何一个月的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社保证明。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诚信评分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持有AAA级企业信用等级证书的得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业绩经验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投标人近三年有参与类似项目经验，每个得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3分，最多15分。</w:t>
            </w:r>
          </w:p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注：以提供相关证明资料为准，没有提供不得分。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初步工作方案（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45%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工作方案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工作方案完善、科学、详细，可操作性强，最高得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45分；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2、工作方案合理，符合规范，可操作性一般最高得30分；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3、工作方案有明显错误或缺乏可操作性，最高得15分；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4、无工作方案的，得0分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投标报价（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投标报价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服务报价下浮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1%以下不得分。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2、服务报价下浮1%至5%得5分。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3、服务报价下浮率在5%以上得10分。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总计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注：1、评委按分项的规定分数范围内给各投标人进行打分，并统计总分。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2、业绩均需提供中标通知书或服务合同等有效证明文件。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B2DE5A"/>
    <w:multiLevelType w:val="singleLevel"/>
    <w:tmpl w:val="C6B2DE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4589"/>
    <w:rsid w:val="1CCC4589"/>
    <w:rsid w:val="574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spacing w:after="120"/>
      <w:ind w:firstLine="420" w:firstLineChars="100"/>
      <w:jc w:val="both"/>
    </w:pPr>
    <w:rPr>
      <w:sz w:val="21"/>
    </w:rPr>
  </w:style>
  <w:style w:type="paragraph" w:styleId="3">
    <w:name w:val="Body Text"/>
    <w:basedOn w:val="1"/>
    <w:next w:val="1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2023-09-08T07:39:00Z</dcterms:created>
  <dc:creator>区住建园林局</dc:creator>
  <cp:lastModifiedBy>区住建园林局</cp:lastModifiedBy>
  <dcterms:modified xsi:type="dcterms:W3CDTF">2023-09-08T07:45:35Z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