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07" w:rsidRDefault="004D2F81">
      <w:pPr>
        <w:tabs>
          <w:tab w:val="left" w:pos="2700"/>
        </w:tabs>
        <w:spacing w:line="360" w:lineRule="auto"/>
        <w:jc w:val="both"/>
        <w:rPr>
          <w:rFonts w:ascii="黑体" w:eastAsia="黑体" w:hAnsi="黑体" w:cs="黑体"/>
          <w:bCs/>
          <w:color w:val="000000"/>
          <w:sz w:val="32"/>
          <w:szCs w:val="32"/>
        </w:rPr>
      </w:pPr>
      <w:r>
        <w:rPr>
          <w:rFonts w:ascii="黑体" w:eastAsia="黑体" w:hAnsi="黑体" w:cs="黑体" w:hint="eastAsia"/>
          <w:bCs/>
          <w:color w:val="000000"/>
          <w:sz w:val="32"/>
          <w:szCs w:val="32"/>
        </w:rPr>
        <w:t>附件</w:t>
      </w:r>
      <w:r>
        <w:rPr>
          <w:rFonts w:ascii="黑体" w:eastAsia="黑体" w:hAnsi="黑体" w:cs="黑体" w:hint="eastAsia"/>
          <w:bCs/>
          <w:color w:val="000000"/>
          <w:sz w:val="32"/>
          <w:szCs w:val="32"/>
        </w:rPr>
        <w:t>1</w:t>
      </w:r>
    </w:p>
    <w:p w:rsidR="005D7507" w:rsidRDefault="005D7507">
      <w:pPr>
        <w:pStyle w:val="a3"/>
      </w:pPr>
    </w:p>
    <w:p w:rsidR="005D7507" w:rsidRDefault="004D2F81">
      <w:pPr>
        <w:pStyle w:val="a3"/>
        <w:spacing w:line="560" w:lineRule="exact"/>
        <w:ind w:firstLine="0"/>
        <w:jc w:val="center"/>
        <w:rPr>
          <w:rFonts w:hAnsi="宋体" w:cs="宋体"/>
          <w:b/>
          <w:color w:val="000000"/>
          <w:sz w:val="44"/>
          <w:szCs w:val="44"/>
        </w:rPr>
      </w:pPr>
      <w:r>
        <w:rPr>
          <w:rFonts w:hAnsi="宋体" w:cs="宋体" w:hint="eastAsia"/>
          <w:b/>
          <w:color w:val="000000"/>
          <w:sz w:val="44"/>
          <w:szCs w:val="44"/>
        </w:rPr>
        <w:t>粤港澳</w:t>
      </w:r>
      <w:r>
        <w:rPr>
          <w:rFonts w:hAnsi="宋体" w:cs="宋体"/>
          <w:b/>
          <w:color w:val="000000"/>
          <w:sz w:val="44"/>
          <w:szCs w:val="44"/>
        </w:rPr>
        <w:t>大湾区</w:t>
      </w:r>
      <w:r>
        <w:rPr>
          <w:rFonts w:hAnsi="宋体" w:cs="宋体" w:hint="eastAsia"/>
          <w:b/>
          <w:color w:val="000000"/>
          <w:sz w:val="44"/>
          <w:szCs w:val="44"/>
        </w:rPr>
        <w:t>（天河）理财资管服务中心</w:t>
      </w:r>
    </w:p>
    <w:p w:rsidR="005D7507" w:rsidRDefault="004D2F81">
      <w:pPr>
        <w:pStyle w:val="a3"/>
        <w:spacing w:line="560" w:lineRule="exact"/>
        <w:ind w:firstLine="0"/>
        <w:jc w:val="center"/>
        <w:rPr>
          <w:rFonts w:hAnsi="宋体" w:cs="宋体"/>
          <w:b/>
          <w:color w:val="000000"/>
          <w:sz w:val="44"/>
          <w:szCs w:val="44"/>
        </w:rPr>
      </w:pPr>
      <w:r>
        <w:rPr>
          <w:rFonts w:hAnsi="宋体" w:cs="宋体" w:hint="eastAsia"/>
          <w:b/>
          <w:color w:val="000000"/>
          <w:sz w:val="44"/>
          <w:szCs w:val="44"/>
        </w:rPr>
        <w:t>运营管理</w:t>
      </w:r>
      <w:r>
        <w:rPr>
          <w:rFonts w:hAnsi="宋体" w:cs="宋体"/>
          <w:b/>
          <w:color w:val="000000"/>
          <w:sz w:val="44"/>
          <w:szCs w:val="44"/>
        </w:rPr>
        <w:t>服务项目</w:t>
      </w:r>
      <w:r>
        <w:rPr>
          <w:rFonts w:hAnsi="宋体" w:cs="宋体" w:hint="eastAsia"/>
          <w:b/>
          <w:color w:val="000000"/>
          <w:sz w:val="44"/>
          <w:szCs w:val="44"/>
        </w:rPr>
        <w:t>用户需求书</w:t>
      </w:r>
    </w:p>
    <w:p w:rsidR="005D7507" w:rsidRDefault="004D2F81">
      <w:pPr>
        <w:snapToGrid w:val="0"/>
        <w:spacing w:line="520" w:lineRule="exact"/>
        <w:rPr>
          <w:rFonts w:ascii="宋体" w:hAnsi="宋体" w:cs="宋体"/>
          <w:b/>
          <w:bCs/>
          <w:color w:val="000000"/>
          <w:szCs w:val="21"/>
        </w:rPr>
      </w:pPr>
      <w:r>
        <w:rPr>
          <w:rFonts w:ascii="宋体" w:hAnsi="宋体" w:cs="宋体" w:hint="eastAsia"/>
          <w:b/>
          <w:bCs/>
          <w:color w:val="000000"/>
          <w:szCs w:val="21"/>
        </w:rPr>
        <w:t>说明：</w:t>
      </w:r>
    </w:p>
    <w:p w:rsidR="005D7507" w:rsidRDefault="004D2F81">
      <w:pPr>
        <w:snapToGrid w:val="0"/>
        <w:spacing w:line="520" w:lineRule="exact"/>
        <w:ind w:firstLineChars="196" w:firstLine="413"/>
        <w:rPr>
          <w:rFonts w:ascii="宋体" w:hAnsi="宋体" w:cs="宋体"/>
          <w:b/>
          <w:bCs/>
          <w:color w:val="000000"/>
          <w:szCs w:val="21"/>
        </w:rPr>
      </w:pPr>
      <w:r>
        <w:rPr>
          <w:rFonts w:ascii="宋体" w:hAnsi="宋体" w:cs="宋体" w:hint="eastAsia"/>
          <w:b/>
          <w:bCs/>
          <w:color w:val="000000"/>
          <w:szCs w:val="21"/>
        </w:rPr>
        <w:t>投标人须对同一采购项目为单位的货物及服务进行整体响应，任何只对其中一部分内容进行的响应都被视为无效投标。</w: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536"/>
        <w:gridCol w:w="927"/>
        <w:gridCol w:w="3804"/>
        <w:gridCol w:w="1907"/>
      </w:tblGrid>
      <w:tr w:rsidR="005D7507">
        <w:trPr>
          <w:cantSplit/>
          <w:jc w:val="center"/>
        </w:trPr>
        <w:tc>
          <w:tcPr>
            <w:tcW w:w="2536" w:type="dxa"/>
            <w:tcBorders>
              <w:top w:val="single" w:sz="12" w:space="0" w:color="auto"/>
              <w:bottom w:val="double" w:sz="4" w:space="0" w:color="auto"/>
            </w:tcBorders>
            <w:shd w:val="clear" w:color="auto" w:fill="EEECE1"/>
            <w:vAlign w:val="center"/>
          </w:tcPr>
          <w:p w:rsidR="005D7507" w:rsidRDefault="004D2F81">
            <w:pPr>
              <w:spacing w:line="520" w:lineRule="exact"/>
              <w:jc w:val="center"/>
              <w:rPr>
                <w:rFonts w:ascii="宋体" w:hAnsi="宋体" w:cs="宋体"/>
                <w:b/>
                <w:szCs w:val="21"/>
              </w:rPr>
            </w:pPr>
            <w:r>
              <w:rPr>
                <w:rFonts w:ascii="宋体" w:hAnsi="宋体" w:cs="宋体" w:hint="eastAsia"/>
                <w:b/>
                <w:szCs w:val="21"/>
              </w:rPr>
              <w:t>采购内容</w:t>
            </w:r>
          </w:p>
        </w:tc>
        <w:tc>
          <w:tcPr>
            <w:tcW w:w="927" w:type="dxa"/>
            <w:tcBorders>
              <w:top w:val="single" w:sz="12" w:space="0" w:color="auto"/>
              <w:bottom w:val="double" w:sz="4" w:space="0" w:color="auto"/>
            </w:tcBorders>
            <w:shd w:val="clear" w:color="auto" w:fill="EEECE1"/>
            <w:vAlign w:val="center"/>
          </w:tcPr>
          <w:p w:rsidR="005D7507" w:rsidRDefault="004D2F81">
            <w:pPr>
              <w:spacing w:line="520" w:lineRule="exact"/>
              <w:jc w:val="center"/>
              <w:rPr>
                <w:rFonts w:ascii="宋体" w:hAnsi="宋体" w:cs="宋体"/>
                <w:b/>
                <w:szCs w:val="21"/>
              </w:rPr>
            </w:pPr>
            <w:r>
              <w:rPr>
                <w:rFonts w:ascii="宋体" w:hAnsi="宋体" w:cs="宋体" w:hint="eastAsia"/>
                <w:b/>
                <w:szCs w:val="21"/>
              </w:rPr>
              <w:t>数量</w:t>
            </w:r>
          </w:p>
        </w:tc>
        <w:tc>
          <w:tcPr>
            <w:tcW w:w="3804" w:type="dxa"/>
            <w:tcBorders>
              <w:top w:val="single" w:sz="12" w:space="0" w:color="auto"/>
              <w:bottom w:val="double" w:sz="4" w:space="0" w:color="auto"/>
            </w:tcBorders>
            <w:shd w:val="clear" w:color="auto" w:fill="EEECE1"/>
            <w:vAlign w:val="center"/>
          </w:tcPr>
          <w:p w:rsidR="005D7507" w:rsidRDefault="004D2F81">
            <w:pPr>
              <w:spacing w:line="520" w:lineRule="exact"/>
              <w:jc w:val="center"/>
              <w:rPr>
                <w:rFonts w:ascii="宋体" w:hAnsi="宋体" w:cs="宋体"/>
                <w:b/>
                <w:szCs w:val="21"/>
              </w:rPr>
            </w:pPr>
            <w:r>
              <w:rPr>
                <w:rFonts w:ascii="宋体" w:hAnsi="宋体" w:cs="宋体" w:hint="eastAsia"/>
                <w:b/>
                <w:szCs w:val="21"/>
              </w:rPr>
              <w:t>服务期</w:t>
            </w:r>
          </w:p>
        </w:tc>
        <w:tc>
          <w:tcPr>
            <w:tcW w:w="1907" w:type="dxa"/>
            <w:tcBorders>
              <w:top w:val="single" w:sz="12" w:space="0" w:color="auto"/>
              <w:bottom w:val="double" w:sz="4" w:space="0" w:color="auto"/>
            </w:tcBorders>
            <w:shd w:val="clear" w:color="auto" w:fill="EEECE1"/>
            <w:vAlign w:val="center"/>
          </w:tcPr>
          <w:p w:rsidR="005D7507" w:rsidRDefault="004D2F81">
            <w:pPr>
              <w:spacing w:line="520" w:lineRule="exact"/>
              <w:jc w:val="center"/>
              <w:rPr>
                <w:rFonts w:ascii="宋体" w:hAnsi="宋体" w:cs="宋体"/>
                <w:b/>
                <w:szCs w:val="21"/>
              </w:rPr>
            </w:pPr>
            <w:r>
              <w:rPr>
                <w:rFonts w:ascii="宋体" w:hAnsi="宋体" w:cs="宋体" w:hint="eastAsia"/>
                <w:b/>
                <w:szCs w:val="21"/>
              </w:rPr>
              <w:t>最高限价</w:t>
            </w:r>
          </w:p>
        </w:tc>
      </w:tr>
      <w:tr w:rsidR="005D7507">
        <w:trPr>
          <w:cantSplit/>
          <w:jc w:val="center"/>
        </w:trPr>
        <w:tc>
          <w:tcPr>
            <w:tcW w:w="2536" w:type="dxa"/>
            <w:tcBorders>
              <w:top w:val="double" w:sz="4" w:space="0" w:color="auto"/>
              <w:bottom w:val="single" w:sz="12" w:space="0" w:color="auto"/>
            </w:tcBorders>
            <w:vAlign w:val="center"/>
          </w:tcPr>
          <w:p w:rsidR="005D7507" w:rsidRDefault="004D2F81">
            <w:pPr>
              <w:spacing w:line="520" w:lineRule="exact"/>
              <w:jc w:val="center"/>
              <w:rPr>
                <w:rFonts w:ascii="宋体" w:hAnsi="宋体" w:cs="宋体"/>
                <w:bCs/>
                <w:szCs w:val="21"/>
              </w:rPr>
            </w:pPr>
            <w:r>
              <w:rPr>
                <w:rFonts w:ascii="宋体" w:hAnsi="宋体" w:cs="宋体" w:hint="eastAsia"/>
                <w:szCs w:val="21"/>
              </w:rPr>
              <w:t>粤港澳大湾区（天河）理财资管服务中心运营管理服务</w:t>
            </w:r>
          </w:p>
        </w:tc>
        <w:tc>
          <w:tcPr>
            <w:tcW w:w="927" w:type="dxa"/>
            <w:tcBorders>
              <w:top w:val="double" w:sz="4" w:space="0" w:color="auto"/>
              <w:bottom w:val="single" w:sz="12" w:space="0" w:color="auto"/>
            </w:tcBorders>
            <w:vAlign w:val="center"/>
          </w:tcPr>
          <w:p w:rsidR="005D7507" w:rsidRDefault="004D2F81">
            <w:pPr>
              <w:spacing w:line="520" w:lineRule="exact"/>
              <w:jc w:val="center"/>
              <w:rPr>
                <w:rFonts w:ascii="宋体" w:hAnsi="宋体" w:cs="宋体"/>
                <w:bCs/>
                <w:szCs w:val="21"/>
              </w:rPr>
            </w:pPr>
            <w:r>
              <w:rPr>
                <w:rFonts w:ascii="宋体" w:hAnsi="宋体" w:cs="宋体" w:hint="eastAsia"/>
                <w:bCs/>
                <w:szCs w:val="21"/>
              </w:rPr>
              <w:t>1</w:t>
            </w:r>
            <w:r>
              <w:rPr>
                <w:rFonts w:ascii="宋体" w:hAnsi="宋体" w:cs="宋体" w:hint="eastAsia"/>
                <w:bCs/>
                <w:szCs w:val="21"/>
              </w:rPr>
              <w:t>项</w:t>
            </w:r>
          </w:p>
        </w:tc>
        <w:tc>
          <w:tcPr>
            <w:tcW w:w="3804" w:type="dxa"/>
            <w:tcBorders>
              <w:top w:val="double" w:sz="4" w:space="0" w:color="auto"/>
              <w:bottom w:val="single" w:sz="12" w:space="0" w:color="auto"/>
            </w:tcBorders>
            <w:vAlign w:val="center"/>
          </w:tcPr>
          <w:p w:rsidR="005D7507" w:rsidRDefault="004D2F81">
            <w:pPr>
              <w:spacing w:line="520" w:lineRule="exact"/>
              <w:jc w:val="center"/>
              <w:rPr>
                <w:rFonts w:ascii="宋体" w:hAnsi="宋体" w:cs="宋体"/>
                <w:szCs w:val="21"/>
              </w:rPr>
            </w:pPr>
            <w:r>
              <w:rPr>
                <w:rFonts w:ascii="宋体" w:hAnsi="宋体" w:cs="宋体"/>
                <w:szCs w:val="21"/>
              </w:rPr>
              <w:t>自合同签订之日起</w:t>
            </w:r>
            <w:r w:rsidR="00BF4EAF">
              <w:rPr>
                <w:rFonts w:ascii="宋体" w:hAnsi="宋体" w:cs="宋体" w:hint="eastAsia"/>
                <w:szCs w:val="21"/>
              </w:rPr>
              <w:t>壹</w:t>
            </w:r>
            <w:r>
              <w:rPr>
                <w:rFonts w:ascii="宋体" w:hAnsi="宋体" w:cs="宋体" w:hint="eastAsia"/>
                <w:szCs w:val="21"/>
              </w:rPr>
              <w:t>年</w:t>
            </w:r>
          </w:p>
        </w:tc>
        <w:tc>
          <w:tcPr>
            <w:tcW w:w="1907" w:type="dxa"/>
            <w:tcBorders>
              <w:top w:val="double" w:sz="4" w:space="0" w:color="auto"/>
              <w:bottom w:val="single" w:sz="12" w:space="0" w:color="auto"/>
            </w:tcBorders>
            <w:vAlign w:val="center"/>
          </w:tcPr>
          <w:p w:rsidR="005D7507" w:rsidRDefault="004D2F81">
            <w:pPr>
              <w:pStyle w:val="a9"/>
              <w:spacing w:line="520" w:lineRule="exact"/>
              <w:ind w:firstLine="120"/>
              <w:rPr>
                <w:rFonts w:ascii="宋体" w:hAnsi="宋体" w:cs="宋体"/>
                <w:spacing w:val="0"/>
                <w:kern w:val="2"/>
                <w:sz w:val="21"/>
                <w:szCs w:val="21"/>
              </w:rPr>
            </w:pPr>
            <w:r>
              <w:rPr>
                <w:rFonts w:ascii="宋体" w:hAnsi="宋体" w:cs="宋体" w:hint="eastAsia"/>
                <w:spacing w:val="0"/>
                <w:kern w:val="2"/>
                <w:sz w:val="21"/>
                <w:szCs w:val="21"/>
              </w:rPr>
              <w:t>人民币</w:t>
            </w:r>
            <w:r>
              <w:rPr>
                <w:rFonts w:ascii="宋体" w:hAnsi="宋体" w:cs="宋体" w:hint="eastAsia"/>
                <w:spacing w:val="0"/>
                <w:kern w:val="2"/>
                <w:sz w:val="21"/>
                <w:szCs w:val="21"/>
              </w:rPr>
              <w:t>65</w:t>
            </w:r>
            <w:r>
              <w:rPr>
                <w:rFonts w:ascii="宋体" w:hAnsi="宋体" w:cs="宋体" w:hint="eastAsia"/>
                <w:spacing w:val="0"/>
                <w:kern w:val="2"/>
                <w:sz w:val="21"/>
                <w:szCs w:val="21"/>
              </w:rPr>
              <w:t>万元</w:t>
            </w:r>
          </w:p>
        </w:tc>
      </w:tr>
    </w:tbl>
    <w:p w:rsidR="005D7507" w:rsidRDefault="004D2F81">
      <w:pPr>
        <w:spacing w:line="520" w:lineRule="exact"/>
        <w:ind w:firstLineChars="200" w:firstLine="420"/>
        <w:rPr>
          <w:rFonts w:ascii="宋体" w:hAnsi="宋体" w:cs="宋体"/>
          <w:color w:val="000000"/>
          <w:szCs w:val="21"/>
        </w:rPr>
      </w:pPr>
      <w:r>
        <w:rPr>
          <w:rFonts w:ascii="宋体" w:hAnsi="宋体" w:cs="宋体" w:hint="eastAsia"/>
          <w:color w:val="000000"/>
          <w:szCs w:val="21"/>
        </w:rPr>
        <w:t>备注：本服务项目预算人民币</w:t>
      </w:r>
      <w:r>
        <w:rPr>
          <w:rFonts w:ascii="宋体" w:hAnsi="宋体" w:cs="宋体" w:hint="eastAsia"/>
          <w:color w:val="000000"/>
          <w:szCs w:val="21"/>
        </w:rPr>
        <w:t>65</w:t>
      </w:r>
      <w:r>
        <w:rPr>
          <w:rFonts w:ascii="宋体" w:hAnsi="宋体" w:cs="宋体" w:hint="eastAsia"/>
          <w:color w:val="000000"/>
          <w:szCs w:val="21"/>
        </w:rPr>
        <w:t>万元（含税），主要包括投标人对场地环境提升、挂牌仪式、活动组织、宣传及日常运营资金等。</w:t>
      </w:r>
    </w:p>
    <w:p w:rsidR="005D7507" w:rsidRDefault="004D2F81">
      <w:pPr>
        <w:spacing w:line="520" w:lineRule="exact"/>
        <w:ind w:firstLineChars="196" w:firstLine="413"/>
        <w:rPr>
          <w:rFonts w:ascii="宋体" w:hAnsi="宋体" w:cs="宋体"/>
          <w:b/>
          <w:color w:val="000000"/>
          <w:szCs w:val="21"/>
        </w:rPr>
      </w:pPr>
      <w:r>
        <w:rPr>
          <w:rFonts w:ascii="宋体" w:hAnsi="宋体" w:cs="宋体" w:hint="eastAsia"/>
          <w:b/>
          <w:color w:val="000000"/>
          <w:szCs w:val="21"/>
        </w:rPr>
        <w:t>一、项目背景</w:t>
      </w:r>
    </w:p>
    <w:p w:rsidR="005D7507" w:rsidRDefault="004D2F81">
      <w:pPr>
        <w:pStyle w:val="Bodytext10"/>
        <w:spacing w:line="560" w:lineRule="exact"/>
        <w:ind w:firstLine="620"/>
        <w:contextualSpacing/>
        <w:jc w:val="both"/>
        <w:rPr>
          <w:color w:val="000000"/>
          <w:sz w:val="21"/>
          <w:szCs w:val="21"/>
          <w:lang w:val="en-US" w:eastAsia="zh-CN" w:bidi="ar-SA"/>
        </w:rPr>
      </w:pPr>
      <w:r>
        <w:rPr>
          <w:color w:val="000000"/>
          <w:sz w:val="21"/>
          <w:szCs w:val="21"/>
          <w:lang w:val="en-US" w:eastAsia="zh-CN" w:bidi="ar-SA"/>
        </w:rPr>
        <w:t>2019</w:t>
      </w:r>
      <w:r>
        <w:rPr>
          <w:color w:val="000000"/>
          <w:sz w:val="21"/>
          <w:szCs w:val="21"/>
          <w:lang w:val="en-US" w:eastAsia="zh-CN" w:bidi="ar-SA"/>
        </w:rPr>
        <w:t>年以来</w:t>
      </w:r>
      <w:r>
        <w:rPr>
          <w:rFonts w:hint="eastAsia"/>
          <w:color w:val="000000"/>
          <w:sz w:val="21"/>
          <w:szCs w:val="21"/>
          <w:lang w:val="en-US" w:eastAsia="zh-CN" w:bidi="ar-SA"/>
        </w:rPr>
        <w:t>，</w:t>
      </w:r>
      <w:r>
        <w:rPr>
          <w:color w:val="000000"/>
          <w:sz w:val="21"/>
          <w:szCs w:val="21"/>
          <w:lang w:val="en-US" w:eastAsia="zh-CN" w:bidi="ar-SA"/>
        </w:rPr>
        <w:t>国家部委出台促进粤港澳三地金融融合发展的系列政策，包括《粤港澳大湾区发展规划纲要》《关于金融支持粤港澳大湾区建设的意见》以及于</w:t>
      </w:r>
      <w:r>
        <w:rPr>
          <w:color w:val="000000"/>
          <w:sz w:val="21"/>
          <w:szCs w:val="21"/>
          <w:lang w:val="en-US" w:eastAsia="zh-CN" w:bidi="ar-SA"/>
        </w:rPr>
        <w:t>2021</w:t>
      </w:r>
      <w:r>
        <w:rPr>
          <w:color w:val="000000"/>
          <w:sz w:val="21"/>
          <w:szCs w:val="21"/>
          <w:lang w:val="en-US" w:eastAsia="zh-CN" w:bidi="ar-SA"/>
        </w:rPr>
        <w:t>年</w:t>
      </w:r>
      <w:r>
        <w:rPr>
          <w:color w:val="000000"/>
          <w:sz w:val="21"/>
          <w:szCs w:val="21"/>
          <w:lang w:val="en-US" w:eastAsia="zh-CN" w:bidi="ar-SA"/>
        </w:rPr>
        <w:t>10</w:t>
      </w:r>
      <w:r>
        <w:rPr>
          <w:color w:val="000000"/>
          <w:sz w:val="21"/>
          <w:szCs w:val="21"/>
          <w:lang w:val="en-US" w:eastAsia="zh-CN" w:bidi="ar-SA"/>
        </w:rPr>
        <w:t>月</w:t>
      </w:r>
      <w:r>
        <w:rPr>
          <w:color w:val="000000"/>
          <w:sz w:val="21"/>
          <w:szCs w:val="21"/>
          <w:lang w:val="en-US" w:eastAsia="zh-CN" w:bidi="ar-SA"/>
        </w:rPr>
        <w:t>10</w:t>
      </w:r>
      <w:r>
        <w:rPr>
          <w:color w:val="000000"/>
          <w:sz w:val="21"/>
          <w:szCs w:val="21"/>
          <w:lang w:val="en-US" w:eastAsia="zh-CN" w:bidi="ar-SA"/>
        </w:rPr>
        <w:t>日正式生效的《粤港澳大湾区</w:t>
      </w:r>
      <w:r>
        <w:rPr>
          <w:color w:val="000000"/>
          <w:sz w:val="21"/>
          <w:szCs w:val="21"/>
          <w:lang w:val="en-US" w:eastAsia="zh-CN" w:bidi="ar-SA"/>
        </w:rPr>
        <w:t>“</w:t>
      </w:r>
      <w:r>
        <w:rPr>
          <w:color w:val="000000"/>
          <w:sz w:val="21"/>
          <w:szCs w:val="21"/>
          <w:lang w:val="en-US" w:eastAsia="zh-CN" w:bidi="ar-SA"/>
        </w:rPr>
        <w:t>跨境理财通</w:t>
      </w:r>
      <w:r>
        <w:rPr>
          <w:color w:val="000000"/>
          <w:sz w:val="21"/>
          <w:szCs w:val="21"/>
          <w:lang w:val="en-US" w:eastAsia="zh-CN" w:bidi="ar-SA"/>
        </w:rPr>
        <w:t>”</w:t>
      </w:r>
      <w:r>
        <w:rPr>
          <w:color w:val="000000"/>
          <w:sz w:val="21"/>
          <w:szCs w:val="21"/>
          <w:lang w:val="en-US" w:eastAsia="zh-CN" w:bidi="ar-SA"/>
        </w:rPr>
        <w:t>业务试点实施细则》等，为粤港澳大湾区打造金融改革创新高地和规则对接试验田提供了丰厚的政策土壤。</w:t>
      </w:r>
    </w:p>
    <w:p w:rsidR="005D7507" w:rsidRDefault="004D2F81">
      <w:pPr>
        <w:pStyle w:val="Bodytext10"/>
        <w:spacing w:line="560" w:lineRule="exact"/>
        <w:ind w:firstLine="620"/>
        <w:contextualSpacing/>
        <w:jc w:val="both"/>
        <w:rPr>
          <w:color w:val="000000"/>
          <w:sz w:val="21"/>
          <w:szCs w:val="21"/>
          <w:lang w:val="en-US" w:eastAsia="zh-CN" w:bidi="ar-SA"/>
        </w:rPr>
      </w:pPr>
      <w:r>
        <w:rPr>
          <w:color w:val="000000"/>
          <w:sz w:val="21"/>
          <w:szCs w:val="21"/>
          <w:lang w:val="en-US" w:eastAsia="zh-CN" w:bidi="ar-SA"/>
        </w:rPr>
        <w:t>自</w:t>
      </w:r>
      <w:r>
        <w:rPr>
          <w:color w:val="000000"/>
          <w:sz w:val="21"/>
          <w:szCs w:val="21"/>
          <w:lang w:val="en-US" w:eastAsia="zh-CN" w:bidi="ar-SA"/>
        </w:rPr>
        <w:t>2021</w:t>
      </w:r>
      <w:r>
        <w:rPr>
          <w:color w:val="000000"/>
          <w:sz w:val="21"/>
          <w:szCs w:val="21"/>
          <w:lang w:val="en-US" w:eastAsia="zh-CN" w:bidi="ar-SA"/>
        </w:rPr>
        <w:t>年</w:t>
      </w:r>
      <w:r>
        <w:rPr>
          <w:color w:val="000000"/>
          <w:sz w:val="21"/>
          <w:szCs w:val="21"/>
          <w:lang w:val="en-US" w:eastAsia="zh-CN" w:bidi="ar-SA"/>
        </w:rPr>
        <w:t>9</w:t>
      </w:r>
      <w:r>
        <w:rPr>
          <w:color w:val="000000"/>
          <w:sz w:val="21"/>
          <w:szCs w:val="21"/>
          <w:lang w:val="en-US" w:eastAsia="zh-CN" w:bidi="ar-SA"/>
        </w:rPr>
        <w:t>月粤港澳大湾区</w:t>
      </w:r>
      <w:r>
        <w:rPr>
          <w:color w:val="000000"/>
          <w:sz w:val="21"/>
          <w:szCs w:val="21"/>
          <w:lang w:val="en-US" w:eastAsia="zh-CN" w:bidi="ar-SA"/>
        </w:rPr>
        <w:t>“</w:t>
      </w:r>
      <w:r>
        <w:rPr>
          <w:color w:val="000000"/>
          <w:sz w:val="21"/>
          <w:szCs w:val="21"/>
          <w:lang w:val="en-US" w:eastAsia="zh-CN" w:bidi="ar-SA"/>
        </w:rPr>
        <w:t>跨境理财通</w:t>
      </w:r>
      <w:r>
        <w:rPr>
          <w:color w:val="000000"/>
          <w:sz w:val="21"/>
          <w:szCs w:val="21"/>
          <w:lang w:val="en-US" w:eastAsia="zh-CN" w:bidi="ar-SA"/>
        </w:rPr>
        <w:t>”</w:t>
      </w:r>
      <w:r>
        <w:rPr>
          <w:color w:val="000000"/>
          <w:sz w:val="21"/>
          <w:szCs w:val="21"/>
          <w:lang w:val="en-US" w:eastAsia="zh-CN" w:bidi="ar-SA"/>
        </w:rPr>
        <w:t>试点启动以来，广东省委省政府、广州市委市政府对打造粤港澳大湾区跨境理财和资产管理中心高度重视、紧密部署。</w:t>
      </w:r>
      <w:r>
        <w:rPr>
          <w:color w:val="000000"/>
          <w:sz w:val="21"/>
          <w:szCs w:val="21"/>
          <w:lang w:val="en-US" w:eastAsia="zh-CN" w:bidi="ar-SA"/>
        </w:rPr>
        <w:t>2022</w:t>
      </w:r>
      <w:r>
        <w:rPr>
          <w:color w:val="000000"/>
          <w:sz w:val="21"/>
          <w:szCs w:val="21"/>
          <w:lang w:val="en-US" w:eastAsia="zh-CN" w:bidi="ar-SA"/>
        </w:rPr>
        <w:t>年，建设粤港澳大湾区跨境理财和资产管理中心写入了省市政府年度工作报告。借助</w:t>
      </w:r>
      <w:r>
        <w:rPr>
          <w:color w:val="000000"/>
          <w:sz w:val="21"/>
          <w:szCs w:val="21"/>
          <w:lang w:val="en-US" w:eastAsia="zh-CN" w:bidi="ar-SA"/>
        </w:rPr>
        <w:t>“</w:t>
      </w:r>
      <w:r>
        <w:rPr>
          <w:color w:val="000000"/>
          <w:sz w:val="21"/>
          <w:szCs w:val="21"/>
          <w:lang w:val="en-US" w:eastAsia="zh-CN" w:bidi="ar-SA"/>
        </w:rPr>
        <w:t>跨境理财通</w:t>
      </w:r>
      <w:r>
        <w:rPr>
          <w:color w:val="000000"/>
          <w:sz w:val="21"/>
          <w:szCs w:val="21"/>
          <w:lang w:val="en-US" w:eastAsia="zh-CN" w:bidi="ar-SA"/>
        </w:rPr>
        <w:t>”</w:t>
      </w:r>
      <w:r>
        <w:rPr>
          <w:color w:val="000000"/>
          <w:sz w:val="21"/>
          <w:szCs w:val="21"/>
          <w:lang w:val="en-US" w:eastAsia="zh-CN" w:bidi="ar-SA"/>
        </w:rPr>
        <w:t>落地契机、在广州打造大湾区理财和资管中心，是我市落实金融支持粤港澳大湾区建设等政策文件、推动共建粤港澳大湾区国际金融枢纽的重要举措，有助于满足粤港澳大湾区居民多层次的资产管理和财富保值增值的需求、引导财富资金更多流向绿色低碳和科技创新等符合国家、区域和产业发展战略的领域</w:t>
      </w:r>
      <w:r>
        <w:rPr>
          <w:color w:val="000000"/>
          <w:sz w:val="21"/>
          <w:szCs w:val="21"/>
          <w:lang w:val="en-US" w:eastAsia="zh-CN" w:bidi="ar-SA"/>
        </w:rPr>
        <w:t>，对深化粤港澳金融合作、促进经济高质量发展具有</w:t>
      </w:r>
      <w:r>
        <w:rPr>
          <w:color w:val="000000"/>
          <w:sz w:val="21"/>
          <w:szCs w:val="21"/>
          <w:lang w:val="en-US" w:eastAsia="zh-CN" w:bidi="ar-SA"/>
        </w:rPr>
        <w:lastRenderedPageBreak/>
        <w:t>积极作用。</w:t>
      </w:r>
    </w:p>
    <w:p w:rsidR="005D7507" w:rsidRDefault="004D2F81" w:rsidP="00BF4EAF">
      <w:pPr>
        <w:pStyle w:val="a5"/>
        <w:tabs>
          <w:tab w:val="left" w:pos="540"/>
        </w:tabs>
        <w:adjustRightInd w:val="0"/>
        <w:snapToGrid w:val="0"/>
        <w:spacing w:line="520" w:lineRule="exact"/>
        <w:ind w:firstLineChars="196" w:firstLine="412"/>
        <w:rPr>
          <w:rFonts w:hAnsi="宋体" w:cs="宋体"/>
          <w:color w:val="000000"/>
          <w:kern w:val="0"/>
          <w:szCs w:val="21"/>
        </w:rPr>
      </w:pPr>
      <w:r>
        <w:rPr>
          <w:rFonts w:hAnsi="宋体" w:cs="宋体"/>
          <w:color w:val="000000"/>
          <w:kern w:val="0"/>
          <w:szCs w:val="21"/>
        </w:rPr>
        <w:t>2022</w:t>
      </w:r>
      <w:r>
        <w:rPr>
          <w:rFonts w:hAnsi="宋体" w:cs="宋体"/>
          <w:color w:val="000000"/>
          <w:kern w:val="0"/>
          <w:szCs w:val="21"/>
        </w:rPr>
        <w:t>年</w:t>
      </w:r>
      <w:r>
        <w:rPr>
          <w:rFonts w:hAnsi="宋体" w:cs="宋体"/>
          <w:color w:val="000000"/>
          <w:kern w:val="0"/>
          <w:szCs w:val="21"/>
        </w:rPr>
        <w:t>4</w:t>
      </w:r>
      <w:r>
        <w:rPr>
          <w:rFonts w:hAnsi="宋体" w:cs="宋体"/>
          <w:color w:val="000000"/>
          <w:kern w:val="0"/>
          <w:szCs w:val="21"/>
        </w:rPr>
        <w:t>月，广州市人民政府印发《广州市建设粤港澳大湾区理财和资管中心实施方案》（下称《实施方案》），为贯彻落实《实施方案》，依托天河中央商务区、广州国际金融城片区打造理财和资管机构中心城区集聚区，推动资管机构集聚化，鼓励资管方式数字化，培育资管生态多元化，创新资管服务多样化，拟选址中国风投天河大厦公共运营平台所在地广州市天河区珠江东路</w:t>
      </w:r>
      <w:r>
        <w:rPr>
          <w:rFonts w:hAnsi="宋体" w:cs="宋体"/>
          <w:color w:val="000000"/>
          <w:kern w:val="0"/>
          <w:szCs w:val="21"/>
        </w:rPr>
        <w:t>28</w:t>
      </w:r>
      <w:r>
        <w:rPr>
          <w:rFonts w:hAnsi="宋体" w:cs="宋体"/>
          <w:color w:val="000000"/>
          <w:kern w:val="0"/>
          <w:szCs w:val="21"/>
        </w:rPr>
        <w:t>号越秀金融大厦</w:t>
      </w:r>
      <w:r>
        <w:rPr>
          <w:rFonts w:hAnsi="宋体" w:cs="宋体"/>
          <w:color w:val="000000"/>
          <w:kern w:val="0"/>
          <w:szCs w:val="21"/>
        </w:rPr>
        <w:t>68</w:t>
      </w:r>
      <w:r>
        <w:rPr>
          <w:rFonts w:hAnsi="宋体" w:cs="宋体"/>
          <w:color w:val="000000"/>
          <w:kern w:val="0"/>
          <w:szCs w:val="21"/>
        </w:rPr>
        <w:t>楼落户运营粤港澳大湾区（天河）理财资管服务中心。</w:t>
      </w:r>
    </w:p>
    <w:p w:rsidR="005D7507" w:rsidRDefault="004D2F81">
      <w:pPr>
        <w:pStyle w:val="a5"/>
        <w:tabs>
          <w:tab w:val="left" w:pos="540"/>
        </w:tabs>
        <w:adjustRightInd w:val="0"/>
        <w:snapToGrid w:val="0"/>
        <w:spacing w:line="520" w:lineRule="exact"/>
        <w:ind w:firstLineChars="196" w:firstLine="413"/>
        <w:rPr>
          <w:rFonts w:hAnsi="宋体" w:cs="宋体"/>
          <w:b/>
          <w:color w:val="000000"/>
          <w:szCs w:val="21"/>
        </w:rPr>
      </w:pPr>
      <w:r>
        <w:rPr>
          <w:rFonts w:hAnsi="宋体" w:cs="宋体" w:hint="eastAsia"/>
          <w:b/>
          <w:color w:val="000000"/>
          <w:szCs w:val="21"/>
        </w:rPr>
        <w:t>二、项目概况</w:t>
      </w:r>
    </w:p>
    <w:p w:rsidR="005D7507" w:rsidRDefault="004D2F81">
      <w:pPr>
        <w:spacing w:line="520" w:lineRule="exact"/>
        <w:ind w:firstLineChars="200" w:firstLine="420"/>
        <w:jc w:val="both"/>
        <w:rPr>
          <w:rFonts w:ascii="宋体" w:hAnsi="宋体" w:cs="宋体"/>
          <w:color w:val="000000"/>
          <w:szCs w:val="21"/>
        </w:rPr>
      </w:pPr>
      <w:r>
        <w:rPr>
          <w:rFonts w:ascii="宋体" w:hAnsi="宋体" w:cs="宋体" w:hint="eastAsia"/>
          <w:color w:val="000000"/>
          <w:szCs w:val="21"/>
        </w:rPr>
        <w:t>为落实省、市关于</w:t>
      </w:r>
      <w:r>
        <w:rPr>
          <w:rFonts w:ascii="宋体" w:hAnsi="宋体" w:cs="宋体"/>
          <w:color w:val="000000"/>
          <w:szCs w:val="21"/>
        </w:rPr>
        <w:t>建设粤港澳大湾区理财和资管中心</w:t>
      </w:r>
      <w:r>
        <w:rPr>
          <w:rFonts w:ascii="宋体" w:hAnsi="宋体" w:cs="宋体" w:hint="eastAsia"/>
          <w:color w:val="000000"/>
          <w:szCs w:val="21"/>
        </w:rPr>
        <w:t>工作部署，</w:t>
      </w:r>
      <w:r>
        <w:rPr>
          <w:rFonts w:ascii="宋体" w:hAnsi="宋体" w:cs="宋体"/>
          <w:color w:val="000000"/>
          <w:szCs w:val="21"/>
        </w:rPr>
        <w:t>依托天河中央商务区、广州国际金融城片区打造理财和资管机构中心城区集聚区</w:t>
      </w:r>
      <w:r>
        <w:rPr>
          <w:rFonts w:ascii="宋体" w:hAnsi="宋体" w:cs="宋体" w:hint="eastAsia"/>
          <w:color w:val="000000"/>
          <w:szCs w:val="21"/>
        </w:rPr>
        <w:t>，积极搭建政府对外宣传及招商窗口、提供资管产融对接服务、做好区域宣传及展示接待服务。因此，本项目主要需对粤港澳大湾区（天河）理财资管服务中心场地进行环境提升、举办粤港澳大湾区（天河）理财资管服务中心挂牌仪式</w:t>
      </w:r>
      <w:r>
        <w:rPr>
          <w:rFonts w:ascii="宋体" w:hAnsi="宋体" w:cs="宋体" w:hint="eastAsia"/>
          <w:color w:val="000000"/>
          <w:szCs w:val="21"/>
        </w:rPr>
        <w:t>，</w:t>
      </w:r>
      <w:r>
        <w:rPr>
          <w:rFonts w:ascii="宋体" w:hAnsi="宋体" w:cs="宋体" w:hint="eastAsia"/>
          <w:color w:val="000000"/>
          <w:szCs w:val="21"/>
        </w:rPr>
        <w:t>以及开展日常运营管理（包括但不限于活动举办、招商服务、宣传展示等）。</w:t>
      </w:r>
    </w:p>
    <w:p w:rsidR="005D7507" w:rsidRDefault="004D2F81">
      <w:pPr>
        <w:pStyle w:val="a5"/>
        <w:tabs>
          <w:tab w:val="left" w:pos="540"/>
        </w:tabs>
        <w:adjustRightInd w:val="0"/>
        <w:snapToGrid w:val="0"/>
        <w:spacing w:line="520" w:lineRule="exact"/>
        <w:ind w:firstLineChars="196" w:firstLine="413"/>
        <w:rPr>
          <w:rFonts w:hAnsi="宋体" w:cs="宋体"/>
          <w:b/>
          <w:color w:val="000000"/>
          <w:szCs w:val="21"/>
        </w:rPr>
      </w:pPr>
      <w:r>
        <w:rPr>
          <w:rFonts w:hAnsi="宋体" w:cs="宋体" w:hint="eastAsia"/>
          <w:b/>
          <w:color w:val="000000"/>
          <w:szCs w:val="21"/>
        </w:rPr>
        <w:t>三、服务内容</w:t>
      </w:r>
    </w:p>
    <w:p w:rsidR="005D7507" w:rsidRDefault="004D2F81">
      <w:pPr>
        <w:snapToGrid w:val="0"/>
        <w:spacing w:line="520" w:lineRule="exact"/>
        <w:ind w:firstLineChars="196" w:firstLine="413"/>
        <w:outlineLvl w:val="1"/>
        <w:rPr>
          <w:rFonts w:ascii="宋体" w:hAnsi="宋体" w:cs="宋体"/>
          <w:b/>
          <w:color w:val="000000"/>
          <w:szCs w:val="21"/>
        </w:rPr>
      </w:pPr>
      <w:r>
        <w:rPr>
          <w:rFonts w:ascii="宋体" w:hAnsi="宋体" w:cs="宋体" w:hint="eastAsia"/>
          <w:b/>
          <w:color w:val="000000"/>
          <w:szCs w:val="21"/>
        </w:rPr>
        <w:t>（一）环境提升：</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、环境提升时间为</w:t>
      </w:r>
      <w:r>
        <w:rPr>
          <w:rFonts w:ascii="宋体" w:hAnsi="宋体" w:cs="宋体" w:hint="eastAsia"/>
          <w:color w:val="000000"/>
          <w:szCs w:val="21"/>
        </w:rPr>
        <w:t>2023</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30</w:t>
      </w:r>
      <w:r>
        <w:rPr>
          <w:rFonts w:ascii="宋体" w:hAnsi="宋体" w:cs="宋体" w:hint="eastAsia"/>
          <w:color w:val="000000"/>
          <w:szCs w:val="21"/>
        </w:rPr>
        <w:t>日前。</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、地址：</w:t>
      </w:r>
      <w:r>
        <w:rPr>
          <w:rFonts w:ascii="宋体" w:hAnsi="宋体" w:cs="宋体"/>
          <w:color w:val="000000"/>
          <w:szCs w:val="21"/>
        </w:rPr>
        <w:t>天河区珠江新城珠江东路</w:t>
      </w:r>
      <w:r>
        <w:rPr>
          <w:rFonts w:ascii="宋体" w:hAnsi="宋体" w:cs="宋体"/>
          <w:color w:val="000000"/>
          <w:szCs w:val="21"/>
        </w:rPr>
        <w:t>28</w:t>
      </w:r>
      <w:r>
        <w:rPr>
          <w:rFonts w:ascii="宋体" w:hAnsi="宋体" w:cs="宋体"/>
          <w:color w:val="000000"/>
          <w:szCs w:val="21"/>
        </w:rPr>
        <w:t>号越秀金融大厦</w:t>
      </w:r>
      <w:r>
        <w:rPr>
          <w:rFonts w:ascii="宋体" w:hAnsi="宋体" w:cs="宋体"/>
          <w:color w:val="000000"/>
          <w:szCs w:val="21"/>
        </w:rPr>
        <w:t>68</w:t>
      </w:r>
      <w:r>
        <w:rPr>
          <w:rFonts w:ascii="宋体" w:hAnsi="宋体" w:cs="宋体"/>
          <w:color w:val="000000"/>
          <w:szCs w:val="21"/>
        </w:rPr>
        <w:t>层</w:t>
      </w:r>
      <w:r>
        <w:rPr>
          <w:rFonts w:ascii="宋体" w:hAnsi="宋体" w:cs="宋体"/>
          <w:color w:val="000000"/>
          <w:szCs w:val="21"/>
        </w:rPr>
        <w:t>6801</w:t>
      </w:r>
      <w:r>
        <w:rPr>
          <w:rFonts w:ascii="宋体" w:hAnsi="宋体" w:cs="宋体"/>
          <w:color w:val="000000"/>
          <w:szCs w:val="21"/>
        </w:rPr>
        <w:t>房自编</w:t>
      </w:r>
      <w:r>
        <w:rPr>
          <w:rFonts w:ascii="宋体" w:hAnsi="宋体" w:cs="宋体"/>
          <w:color w:val="000000"/>
          <w:szCs w:val="21"/>
        </w:rPr>
        <w:t>03-08</w:t>
      </w:r>
      <w:r>
        <w:rPr>
          <w:rFonts w:ascii="宋体" w:hAnsi="宋体" w:cs="宋体"/>
          <w:color w:val="000000"/>
          <w:szCs w:val="21"/>
        </w:rPr>
        <w:t>单元</w:t>
      </w:r>
    </w:p>
    <w:p w:rsidR="005D7507" w:rsidRDefault="004D2F81">
      <w:pPr>
        <w:snapToGrid w:val="0"/>
        <w:spacing w:line="520" w:lineRule="exact"/>
        <w:ind w:firstLineChars="200" w:firstLine="420"/>
        <w:rPr>
          <w:rFonts w:ascii="宋体" w:hAnsi="宋体" w:cs="宋体"/>
          <w:szCs w:val="21"/>
        </w:rPr>
      </w:pPr>
      <w:r>
        <w:rPr>
          <w:rFonts w:ascii="宋体" w:hAnsi="宋体" w:cs="宋体" w:hint="eastAsia"/>
          <w:color w:val="000000"/>
          <w:szCs w:val="21"/>
        </w:rPr>
        <w:t>3</w:t>
      </w:r>
      <w:r>
        <w:rPr>
          <w:rFonts w:ascii="宋体" w:hAnsi="宋体" w:cs="宋体" w:hint="eastAsia"/>
          <w:color w:val="000000"/>
          <w:szCs w:val="21"/>
        </w:rPr>
        <w:t>、主要内容：包括但不限于主题展板设计制作、升级宣传电子多功能屏、路演圆桌会议器备等</w:t>
      </w:r>
      <w:r>
        <w:rPr>
          <w:rFonts w:ascii="宋体" w:hAnsi="宋体" w:cs="宋体" w:hint="eastAsia"/>
          <w:color w:val="000000"/>
          <w:szCs w:val="21"/>
        </w:rPr>
        <w:t>。</w:t>
      </w:r>
    </w:p>
    <w:p w:rsidR="005D7507" w:rsidRDefault="004D2F81">
      <w:pPr>
        <w:snapToGrid w:val="0"/>
        <w:spacing w:line="520" w:lineRule="exact"/>
        <w:ind w:firstLineChars="196" w:firstLine="413"/>
        <w:outlineLvl w:val="1"/>
        <w:rPr>
          <w:rFonts w:ascii="宋体" w:hAnsi="宋体" w:cs="宋体"/>
          <w:b/>
          <w:color w:val="000000"/>
          <w:szCs w:val="21"/>
        </w:rPr>
      </w:pPr>
      <w:r>
        <w:rPr>
          <w:rFonts w:ascii="宋体" w:hAnsi="宋体" w:cs="宋体" w:hint="eastAsia"/>
          <w:b/>
          <w:color w:val="000000"/>
          <w:szCs w:val="21"/>
        </w:rPr>
        <w:t>（二）挂牌仪式：</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、挂牌仪式时间暂定为</w:t>
      </w:r>
      <w:r>
        <w:rPr>
          <w:rFonts w:ascii="宋体" w:hAnsi="宋体" w:cs="宋体" w:hint="eastAsia"/>
          <w:color w:val="000000"/>
          <w:szCs w:val="21"/>
        </w:rPr>
        <w:t>2023</w:t>
      </w:r>
      <w:r>
        <w:rPr>
          <w:rFonts w:ascii="宋体" w:hAnsi="宋体" w:cs="宋体" w:hint="eastAsia"/>
          <w:color w:val="000000"/>
          <w:szCs w:val="21"/>
        </w:rPr>
        <w:t>年</w:t>
      </w:r>
      <w:r w:rsidR="00824F95">
        <w:rPr>
          <w:rFonts w:ascii="宋体" w:hAnsi="宋体" w:cs="宋体" w:hint="eastAsia"/>
          <w:color w:val="000000"/>
          <w:szCs w:val="21"/>
        </w:rPr>
        <w:t>12月31日前。</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、地址：</w:t>
      </w:r>
      <w:r>
        <w:rPr>
          <w:rFonts w:ascii="宋体" w:hAnsi="宋体" w:cs="宋体"/>
          <w:color w:val="000000"/>
          <w:szCs w:val="21"/>
        </w:rPr>
        <w:t>天河区珠江新城珠江东路</w:t>
      </w:r>
      <w:r>
        <w:rPr>
          <w:rFonts w:ascii="宋体" w:hAnsi="宋体" w:cs="宋体"/>
          <w:color w:val="000000"/>
          <w:szCs w:val="21"/>
        </w:rPr>
        <w:t>28</w:t>
      </w:r>
      <w:r>
        <w:rPr>
          <w:rFonts w:ascii="宋体" w:hAnsi="宋体" w:cs="宋体"/>
          <w:color w:val="000000"/>
          <w:szCs w:val="21"/>
        </w:rPr>
        <w:t>号越秀金融大厦</w:t>
      </w:r>
      <w:r>
        <w:rPr>
          <w:rFonts w:ascii="宋体" w:hAnsi="宋体" w:cs="宋体"/>
          <w:color w:val="000000"/>
          <w:szCs w:val="21"/>
        </w:rPr>
        <w:t>68</w:t>
      </w:r>
      <w:r>
        <w:rPr>
          <w:rFonts w:ascii="宋体" w:hAnsi="宋体" w:cs="宋体"/>
          <w:color w:val="000000"/>
          <w:szCs w:val="21"/>
        </w:rPr>
        <w:t>层</w:t>
      </w:r>
      <w:r>
        <w:rPr>
          <w:rFonts w:ascii="宋体" w:hAnsi="宋体" w:cs="宋体"/>
          <w:color w:val="000000"/>
          <w:szCs w:val="21"/>
        </w:rPr>
        <w:t>6801</w:t>
      </w:r>
      <w:r>
        <w:rPr>
          <w:rFonts w:ascii="宋体" w:hAnsi="宋体" w:cs="宋体"/>
          <w:color w:val="000000"/>
          <w:szCs w:val="21"/>
        </w:rPr>
        <w:t>房自编</w:t>
      </w:r>
      <w:r>
        <w:rPr>
          <w:rFonts w:ascii="宋体" w:hAnsi="宋体" w:cs="宋体"/>
          <w:color w:val="000000"/>
          <w:szCs w:val="21"/>
        </w:rPr>
        <w:t>03-08</w:t>
      </w:r>
      <w:r>
        <w:rPr>
          <w:rFonts w:ascii="宋体" w:hAnsi="宋体" w:cs="宋体"/>
          <w:color w:val="000000"/>
          <w:szCs w:val="21"/>
        </w:rPr>
        <w:t>单元</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、议程安排（暂定）：</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color w:val="000000"/>
          <w:szCs w:val="21"/>
        </w:rPr>
        <w:t>嘉宾签到</w:t>
      </w:r>
      <w:r>
        <w:rPr>
          <w:rFonts w:ascii="宋体" w:hAnsi="宋体" w:cs="宋体" w:hint="eastAsia"/>
          <w:color w:val="000000"/>
          <w:szCs w:val="21"/>
        </w:rPr>
        <w:t>--</w:t>
      </w:r>
      <w:r>
        <w:rPr>
          <w:rFonts w:ascii="宋体" w:hAnsi="宋体" w:cs="宋体"/>
          <w:color w:val="000000"/>
          <w:szCs w:val="21"/>
        </w:rPr>
        <w:t>参观粤港澳大湾区（天河）理财资管服务中心</w:t>
      </w:r>
      <w:r>
        <w:rPr>
          <w:rFonts w:ascii="宋体" w:hAnsi="宋体" w:cs="宋体" w:hint="eastAsia"/>
          <w:color w:val="000000"/>
          <w:szCs w:val="21"/>
        </w:rPr>
        <w:t>--</w:t>
      </w:r>
      <w:r>
        <w:rPr>
          <w:rFonts w:ascii="宋体" w:hAnsi="宋体" w:cs="宋体"/>
          <w:color w:val="000000"/>
          <w:szCs w:val="21"/>
        </w:rPr>
        <w:t>播放宣传片</w:t>
      </w:r>
      <w:r>
        <w:rPr>
          <w:rFonts w:ascii="宋体" w:hAnsi="宋体" w:cs="宋体" w:hint="eastAsia"/>
          <w:color w:val="000000"/>
          <w:szCs w:val="21"/>
        </w:rPr>
        <w:t>--</w:t>
      </w:r>
      <w:r>
        <w:rPr>
          <w:rFonts w:ascii="宋体" w:hAnsi="宋体" w:cs="宋体"/>
          <w:color w:val="000000"/>
          <w:szCs w:val="21"/>
        </w:rPr>
        <w:t>领导致辞</w:t>
      </w:r>
      <w:r>
        <w:rPr>
          <w:rFonts w:ascii="宋体" w:hAnsi="宋体" w:cs="宋体" w:hint="eastAsia"/>
          <w:color w:val="000000"/>
          <w:szCs w:val="21"/>
        </w:rPr>
        <w:t>--</w:t>
      </w:r>
      <w:r>
        <w:rPr>
          <w:rFonts w:ascii="宋体" w:hAnsi="宋体" w:cs="宋体" w:hint="eastAsia"/>
          <w:color w:val="000000"/>
          <w:szCs w:val="21"/>
        </w:rPr>
        <w:t>服务中心启动揭幕</w:t>
      </w:r>
      <w:r>
        <w:rPr>
          <w:rFonts w:ascii="宋体" w:hAnsi="宋体" w:cs="宋体" w:hint="eastAsia"/>
          <w:color w:val="000000"/>
          <w:szCs w:val="21"/>
        </w:rPr>
        <w:t>--</w:t>
      </w:r>
      <w:r>
        <w:rPr>
          <w:rFonts w:ascii="宋体" w:hAnsi="宋体" w:cs="宋体" w:hint="eastAsia"/>
          <w:color w:val="000000"/>
          <w:szCs w:val="21"/>
        </w:rPr>
        <w:t>授牌运营机构</w:t>
      </w:r>
      <w:r>
        <w:rPr>
          <w:rFonts w:ascii="宋体" w:hAnsi="宋体" w:cs="宋体" w:hint="eastAsia"/>
          <w:color w:val="000000"/>
          <w:szCs w:val="21"/>
        </w:rPr>
        <w:t>--</w:t>
      </w:r>
      <w:r>
        <w:rPr>
          <w:rFonts w:ascii="宋体" w:hAnsi="宋体" w:cs="宋体" w:hint="eastAsia"/>
          <w:color w:val="000000"/>
          <w:szCs w:val="21"/>
        </w:rPr>
        <w:t>特色楼宇授牌</w:t>
      </w:r>
      <w:r>
        <w:rPr>
          <w:rFonts w:ascii="宋体" w:hAnsi="宋体" w:cs="宋体" w:hint="eastAsia"/>
          <w:color w:val="000000"/>
          <w:szCs w:val="21"/>
        </w:rPr>
        <w:t>--</w:t>
      </w:r>
      <w:r>
        <w:rPr>
          <w:rFonts w:ascii="宋体" w:hAnsi="宋体" w:cs="宋体" w:hint="eastAsia"/>
          <w:color w:val="000000"/>
          <w:szCs w:val="21"/>
        </w:rPr>
        <w:t>活动交流等。</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lastRenderedPageBreak/>
        <w:t>4</w:t>
      </w:r>
      <w:r>
        <w:rPr>
          <w:rFonts w:ascii="宋体" w:hAnsi="宋体" w:cs="宋体" w:hint="eastAsia"/>
          <w:color w:val="000000"/>
          <w:szCs w:val="21"/>
        </w:rPr>
        <w:t>、主要要求：包括但不限</w:t>
      </w:r>
      <w:r>
        <w:rPr>
          <w:rFonts w:ascii="宋体" w:hAnsi="宋体" w:cs="宋体" w:hint="eastAsia"/>
          <w:color w:val="000000"/>
          <w:szCs w:val="21"/>
        </w:rPr>
        <w:t>于活动组织策划、搭建活动舞台、活动嘉宾邀请、牌匾及展板准备、媒体宣传等内容。</w:t>
      </w:r>
    </w:p>
    <w:p w:rsidR="005D7507" w:rsidRDefault="004D2F81">
      <w:pPr>
        <w:pStyle w:val="a5"/>
        <w:tabs>
          <w:tab w:val="left" w:pos="540"/>
        </w:tabs>
        <w:adjustRightInd w:val="0"/>
        <w:snapToGrid w:val="0"/>
        <w:spacing w:line="520" w:lineRule="exact"/>
        <w:ind w:firstLineChars="196" w:firstLine="413"/>
        <w:rPr>
          <w:rFonts w:hAnsi="宋体" w:cs="宋体"/>
          <w:b/>
          <w:color w:val="000000"/>
          <w:szCs w:val="21"/>
        </w:rPr>
      </w:pPr>
      <w:r>
        <w:rPr>
          <w:rFonts w:hAnsi="宋体" w:cs="宋体" w:hint="eastAsia"/>
          <w:b/>
          <w:color w:val="000000"/>
          <w:szCs w:val="21"/>
        </w:rPr>
        <w:t>（三）日常运营管理（包括但不限于）：</w:t>
      </w:r>
    </w:p>
    <w:p w:rsidR="005D7507" w:rsidRDefault="004D2F81">
      <w:pPr>
        <w:pStyle w:val="Bodytext10"/>
        <w:spacing w:line="560" w:lineRule="exact"/>
        <w:ind w:firstLineChars="200" w:firstLine="420"/>
        <w:contextualSpacing/>
        <w:jc w:val="both"/>
        <w:rPr>
          <w:color w:val="000000"/>
          <w:sz w:val="21"/>
          <w:szCs w:val="21"/>
          <w:lang w:val="en-US" w:eastAsia="zh-CN" w:bidi="ar-SA"/>
        </w:rPr>
      </w:pPr>
      <w:r>
        <w:rPr>
          <w:rFonts w:hint="eastAsia"/>
          <w:color w:val="000000"/>
          <w:sz w:val="21"/>
          <w:szCs w:val="21"/>
          <w:lang w:val="en-US" w:eastAsia="zh-CN" w:bidi="ar-SA"/>
        </w:rPr>
        <w:t>1</w:t>
      </w:r>
      <w:r>
        <w:rPr>
          <w:rFonts w:hint="eastAsia"/>
          <w:color w:val="000000"/>
          <w:sz w:val="21"/>
          <w:szCs w:val="21"/>
          <w:lang w:val="en-US" w:eastAsia="zh-CN" w:bidi="ar-SA"/>
        </w:rPr>
        <w:t>、一年举办各类资管活动不少于</w:t>
      </w:r>
      <w:r>
        <w:rPr>
          <w:rFonts w:hint="eastAsia"/>
          <w:color w:val="000000"/>
          <w:sz w:val="21"/>
          <w:szCs w:val="21"/>
          <w:lang w:val="en-US" w:eastAsia="zh-CN" w:bidi="ar-SA"/>
        </w:rPr>
        <w:t>50</w:t>
      </w:r>
      <w:r>
        <w:rPr>
          <w:rFonts w:hint="eastAsia"/>
          <w:color w:val="000000"/>
          <w:sz w:val="21"/>
          <w:szCs w:val="21"/>
          <w:lang w:val="en-US" w:eastAsia="zh-CN" w:bidi="ar-SA"/>
        </w:rPr>
        <w:t>场。</w:t>
      </w:r>
    </w:p>
    <w:p w:rsidR="005D7507" w:rsidRDefault="004D2F81">
      <w:pPr>
        <w:pStyle w:val="Bodytext10"/>
        <w:spacing w:line="560" w:lineRule="exact"/>
        <w:ind w:firstLineChars="200" w:firstLine="420"/>
        <w:contextualSpacing/>
        <w:jc w:val="both"/>
        <w:rPr>
          <w:color w:val="000000"/>
          <w:szCs w:val="21"/>
        </w:rPr>
      </w:pPr>
      <w:r>
        <w:rPr>
          <w:rFonts w:hint="eastAsia"/>
          <w:color w:val="000000"/>
          <w:sz w:val="21"/>
          <w:szCs w:val="21"/>
          <w:lang w:val="en-US" w:eastAsia="zh-CN" w:bidi="ar-SA"/>
        </w:rPr>
        <w:t>2</w:t>
      </w:r>
      <w:r>
        <w:rPr>
          <w:rFonts w:hint="eastAsia"/>
          <w:color w:val="000000"/>
          <w:sz w:val="21"/>
          <w:szCs w:val="21"/>
          <w:lang w:val="en-US" w:eastAsia="zh-CN" w:bidi="ar-SA"/>
        </w:rPr>
        <w:t>、</w:t>
      </w:r>
      <w:r>
        <w:rPr>
          <w:color w:val="000000"/>
          <w:sz w:val="21"/>
          <w:szCs w:val="21"/>
          <w:lang w:val="en-US" w:eastAsia="zh-CN" w:bidi="ar-SA"/>
        </w:rPr>
        <w:t>承接国内外公共机构、事业单位访问交流、签约、沙龙、产品展示的大型活动场所、企业招商考察以及市民参观等接待服务</w:t>
      </w:r>
      <w:r>
        <w:rPr>
          <w:rFonts w:hint="eastAsia"/>
          <w:color w:val="000000"/>
          <w:sz w:val="21"/>
          <w:szCs w:val="21"/>
          <w:lang w:val="en-US" w:eastAsia="zh-CN" w:bidi="ar-SA"/>
        </w:rPr>
        <w:t>。</w:t>
      </w:r>
    </w:p>
    <w:p w:rsidR="005D7507" w:rsidRDefault="004D2F81">
      <w:pPr>
        <w:pStyle w:val="Style3"/>
        <w:spacing w:line="560" w:lineRule="exact"/>
        <w:ind w:firstLineChars="200" w:firstLine="420"/>
        <w:contextualSpacing/>
        <w:rPr>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color w:val="000000"/>
          <w:szCs w:val="21"/>
        </w:rPr>
        <w:t>承接政府性宣传活动，如发布会、政策宣讲会等，通过互联网和移动互联网技术，采取线下活动线上直播的方式，以创新带动政府宣传正面形象，吸引更多资产管理机构总部或子公司落户天河区，优化天河区产业结构</w:t>
      </w:r>
      <w:r>
        <w:rPr>
          <w:rFonts w:ascii="宋体" w:hAnsi="宋体" w:cs="宋体" w:hint="eastAsia"/>
          <w:color w:val="000000"/>
          <w:szCs w:val="21"/>
        </w:rPr>
        <w:t>，</w:t>
      </w:r>
      <w:r>
        <w:rPr>
          <w:rFonts w:ascii="宋体" w:hAnsi="宋体" w:cs="宋体" w:hint="eastAsia"/>
          <w:color w:val="000000"/>
          <w:szCs w:val="21"/>
        </w:rPr>
        <w:t>每年</w:t>
      </w:r>
      <w:r>
        <w:rPr>
          <w:rFonts w:ascii="宋体" w:hAnsi="宋体" w:cs="宋体" w:hint="eastAsia"/>
          <w:color w:val="000000"/>
          <w:szCs w:val="21"/>
        </w:rPr>
        <w:t>为天河区提供</w:t>
      </w:r>
      <w:r>
        <w:rPr>
          <w:rFonts w:ascii="宋体" w:hAnsi="宋体" w:cs="宋体" w:hint="eastAsia"/>
          <w:color w:val="000000"/>
          <w:szCs w:val="21"/>
        </w:rPr>
        <w:t>不少于</w:t>
      </w:r>
      <w:r w:rsidR="00824F95">
        <w:rPr>
          <w:rFonts w:ascii="宋体" w:hAnsi="宋体" w:cs="宋体" w:hint="eastAsia"/>
          <w:color w:val="000000"/>
          <w:szCs w:val="21"/>
        </w:rPr>
        <w:t>5</w:t>
      </w:r>
      <w:r>
        <w:rPr>
          <w:rFonts w:ascii="宋体" w:hAnsi="宋体" w:cs="宋体" w:hint="eastAsia"/>
          <w:color w:val="000000"/>
          <w:szCs w:val="21"/>
        </w:rPr>
        <w:t>条招商线索</w:t>
      </w:r>
      <w:r>
        <w:rPr>
          <w:rFonts w:ascii="宋体" w:hAnsi="宋体" w:cs="宋体"/>
          <w:color w:val="000000"/>
          <w:szCs w:val="21"/>
        </w:rPr>
        <w:t>。</w:t>
      </w:r>
    </w:p>
    <w:p w:rsidR="005D7507" w:rsidRDefault="004D2F81">
      <w:pPr>
        <w:pStyle w:val="Style3"/>
        <w:spacing w:line="560" w:lineRule="exact"/>
        <w:ind w:firstLineChars="200" w:firstLine="420"/>
        <w:contextualSpacing/>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、产业对接服务。</w:t>
      </w:r>
      <w:r>
        <w:rPr>
          <w:rFonts w:ascii="宋体" w:hAnsi="宋体" w:cs="宋体"/>
          <w:color w:val="000000"/>
          <w:szCs w:val="21"/>
        </w:rPr>
        <w:t>定期组织不同主题的投融资对接活动，如</w:t>
      </w:r>
      <w:r>
        <w:rPr>
          <w:rFonts w:ascii="宋体" w:hAnsi="宋体" w:cs="宋体" w:hint="eastAsia"/>
          <w:color w:val="000000"/>
          <w:szCs w:val="21"/>
        </w:rPr>
        <w:t>私募机构交流会</w:t>
      </w:r>
      <w:r>
        <w:rPr>
          <w:rFonts w:ascii="宋体" w:hAnsi="宋体" w:cs="宋体"/>
          <w:color w:val="000000"/>
          <w:szCs w:val="21"/>
        </w:rPr>
        <w:t>、</w:t>
      </w:r>
      <w:r>
        <w:rPr>
          <w:rFonts w:ascii="宋体" w:hAnsi="宋体" w:cs="宋体" w:hint="eastAsia"/>
          <w:color w:val="000000"/>
          <w:szCs w:val="21"/>
        </w:rPr>
        <w:t>创业投资培训</w:t>
      </w:r>
      <w:r>
        <w:rPr>
          <w:rFonts w:ascii="宋体" w:hAnsi="宋体" w:cs="宋体"/>
          <w:color w:val="000000"/>
          <w:szCs w:val="21"/>
        </w:rPr>
        <w:t>、项目</w:t>
      </w:r>
      <w:r>
        <w:rPr>
          <w:rFonts w:ascii="宋体" w:hAnsi="宋体" w:cs="宋体" w:hint="eastAsia"/>
          <w:color w:val="000000"/>
          <w:szCs w:val="21"/>
        </w:rPr>
        <w:t>投融资</w:t>
      </w:r>
      <w:r>
        <w:rPr>
          <w:rFonts w:ascii="宋体" w:hAnsi="宋体" w:cs="宋体"/>
          <w:color w:val="000000"/>
          <w:szCs w:val="21"/>
        </w:rPr>
        <w:t>路演等系列活动，为天河区优秀创业项目与投资机构，基金管理人与合格投资者搭建分享交流的平台。</w:t>
      </w:r>
    </w:p>
    <w:p w:rsidR="005D7507" w:rsidRDefault="004D2F81">
      <w:pPr>
        <w:pStyle w:val="Style3"/>
        <w:spacing w:line="560" w:lineRule="exact"/>
        <w:ind w:firstLineChars="200" w:firstLine="420"/>
        <w:contextualSpacing/>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color w:val="000000"/>
          <w:kern w:val="0"/>
          <w:szCs w:val="21"/>
        </w:rPr>
        <w:t>资管特色楼宇联动</w:t>
      </w:r>
      <w:r>
        <w:rPr>
          <w:rFonts w:ascii="宋体" w:hAnsi="宋体" w:cs="宋体" w:hint="eastAsia"/>
          <w:color w:val="000000"/>
          <w:kern w:val="0"/>
          <w:szCs w:val="21"/>
        </w:rPr>
        <w:t>。</w:t>
      </w:r>
      <w:r>
        <w:rPr>
          <w:rFonts w:ascii="宋体" w:hAnsi="宋体" w:cs="宋体"/>
          <w:color w:val="000000"/>
          <w:kern w:val="0"/>
          <w:szCs w:val="21"/>
        </w:rPr>
        <w:t>粤港澳大湾区（天河）理财资管服务中心作为资管特色楼宇的主场地，联合各特色楼宇通过服务中心发布招商信息，组织各楼宇机构联动活动，实现资源共享、共同发展。</w:t>
      </w:r>
    </w:p>
    <w:p w:rsidR="005D7507" w:rsidRDefault="004D2F81">
      <w:pPr>
        <w:pStyle w:val="a5"/>
        <w:tabs>
          <w:tab w:val="left" w:pos="540"/>
        </w:tabs>
        <w:adjustRightInd w:val="0"/>
        <w:snapToGrid w:val="0"/>
        <w:spacing w:line="520" w:lineRule="exact"/>
        <w:ind w:firstLineChars="196" w:firstLine="413"/>
        <w:rPr>
          <w:rFonts w:hAnsi="宋体" w:cs="宋体"/>
          <w:b/>
          <w:color w:val="000000"/>
          <w:szCs w:val="21"/>
        </w:rPr>
      </w:pPr>
      <w:r>
        <w:rPr>
          <w:rFonts w:hAnsi="宋体" w:cs="宋体" w:hint="eastAsia"/>
          <w:b/>
          <w:color w:val="000000"/>
          <w:szCs w:val="21"/>
        </w:rPr>
        <w:t>四、商务要求</w:t>
      </w:r>
    </w:p>
    <w:p w:rsidR="005D7507" w:rsidRDefault="004D2F81">
      <w:pPr>
        <w:snapToGrid w:val="0"/>
        <w:spacing w:line="520" w:lineRule="exact"/>
        <w:ind w:firstLineChars="196" w:firstLine="413"/>
        <w:rPr>
          <w:rFonts w:ascii="宋体" w:hAnsi="宋体" w:cs="宋体"/>
          <w:b/>
          <w:color w:val="000000"/>
          <w:szCs w:val="21"/>
        </w:rPr>
      </w:pPr>
      <w:r>
        <w:rPr>
          <w:rFonts w:ascii="宋体" w:hAnsi="宋体" w:cs="宋体" w:hint="eastAsia"/>
          <w:b/>
          <w:color w:val="000000"/>
          <w:szCs w:val="21"/>
        </w:rPr>
        <w:t>（一）服务质量</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、中标人保证合同服务符合本《用户需求书》要求，采购人可根据实际情况对服务内容进行调整。</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、中标人须尊重和服从采购人的领导和管理，配合采购人的工作安排。</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、所有项目必须经采购人验收合格后进行实施。</w:t>
      </w:r>
    </w:p>
    <w:p w:rsidR="005D7507" w:rsidRDefault="004D2F81">
      <w:pPr>
        <w:snapToGrid w:val="0"/>
        <w:spacing w:line="520" w:lineRule="exact"/>
        <w:ind w:firstLineChars="196" w:firstLine="413"/>
        <w:rPr>
          <w:rFonts w:ascii="宋体" w:hAnsi="宋体" w:cs="宋体"/>
          <w:b/>
          <w:color w:val="000000"/>
          <w:szCs w:val="21"/>
        </w:rPr>
      </w:pPr>
      <w:r>
        <w:rPr>
          <w:rFonts w:ascii="宋体" w:hAnsi="宋体" w:cs="宋体" w:hint="eastAsia"/>
          <w:b/>
          <w:color w:val="000000"/>
          <w:szCs w:val="21"/>
        </w:rPr>
        <w:t>（二）报价要求</w:t>
      </w:r>
    </w:p>
    <w:p w:rsidR="005D7507" w:rsidRDefault="004D2F81">
      <w:pPr>
        <w:snapToGrid w:val="0"/>
        <w:spacing w:line="520" w:lineRule="exact"/>
        <w:ind w:firstLineChars="250" w:firstLine="525"/>
        <w:rPr>
          <w:rFonts w:ascii="宋体" w:hAnsi="宋体" w:cs="宋体"/>
          <w:color w:val="000000"/>
          <w:szCs w:val="21"/>
        </w:rPr>
      </w:pPr>
      <w:r>
        <w:rPr>
          <w:rFonts w:ascii="宋体" w:hAnsi="宋体" w:cs="宋体" w:hint="eastAsia"/>
          <w:color w:val="000000"/>
          <w:szCs w:val="21"/>
        </w:rPr>
        <w:t>投标人的报价应包含中标方执行本项目所需的全部费用，包括但不限于设计费、税费、物料费、安装及拆卸费、运输搬运费、活动费、差旅费、运营管理办公会费、会议培训费、</w:t>
      </w:r>
      <w:r>
        <w:rPr>
          <w:rFonts w:ascii="宋体" w:hAnsi="宋体" w:cs="宋体" w:hint="eastAsia"/>
          <w:color w:val="000000"/>
          <w:szCs w:val="21"/>
        </w:rPr>
        <w:lastRenderedPageBreak/>
        <w:t>挂牌仪式和宣传产生的有关媒体费以及与运营管理相关的一切费用。如中标人在中标签署合同后，在项目实施过程中出现费用遗漏，均由中标人负责，采购人不再支付任何费用。</w:t>
      </w:r>
    </w:p>
    <w:p w:rsidR="005D7507" w:rsidRDefault="004D2F81">
      <w:pPr>
        <w:snapToGrid w:val="0"/>
        <w:spacing w:line="520" w:lineRule="exact"/>
        <w:ind w:firstLineChars="196" w:firstLine="413"/>
        <w:rPr>
          <w:rFonts w:ascii="宋体" w:hAnsi="宋体" w:cs="宋体"/>
          <w:b/>
          <w:color w:val="000000"/>
          <w:szCs w:val="21"/>
        </w:rPr>
      </w:pPr>
      <w:r>
        <w:rPr>
          <w:rFonts w:ascii="宋体" w:hAnsi="宋体" w:cs="宋体" w:hint="eastAsia"/>
          <w:b/>
          <w:color w:val="000000"/>
          <w:szCs w:val="21"/>
        </w:rPr>
        <w:t>（三）采购人配合条件</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投标人应列明在项目实施过程中要求采购人提供的配合</w:t>
      </w:r>
      <w:r>
        <w:rPr>
          <w:rFonts w:ascii="宋体" w:hAnsi="宋体" w:cs="宋体" w:hint="eastAsia"/>
          <w:color w:val="000000"/>
          <w:szCs w:val="21"/>
        </w:rPr>
        <w:t>条件。</w:t>
      </w:r>
    </w:p>
    <w:p w:rsidR="005D7507" w:rsidRDefault="004D2F81">
      <w:pPr>
        <w:pStyle w:val="a5"/>
        <w:tabs>
          <w:tab w:val="left" w:pos="540"/>
        </w:tabs>
        <w:adjustRightInd w:val="0"/>
        <w:snapToGrid w:val="0"/>
        <w:spacing w:line="520" w:lineRule="exact"/>
        <w:ind w:firstLineChars="196" w:firstLine="413"/>
        <w:rPr>
          <w:rFonts w:hAnsi="宋体" w:cs="宋体"/>
          <w:b/>
          <w:color w:val="000000"/>
          <w:szCs w:val="21"/>
        </w:rPr>
      </w:pPr>
      <w:r>
        <w:rPr>
          <w:rFonts w:hAnsi="宋体" w:cs="宋体" w:hint="eastAsia"/>
          <w:b/>
          <w:color w:val="000000"/>
          <w:szCs w:val="21"/>
        </w:rPr>
        <w:t>（四）其他要求</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、中标人应按有关规定办理场地环境提升、挂牌仪式所需的报批手续，采购单位配合协调。</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、场地环境提升工作应在挂牌仪式开始的前</w:t>
      </w:r>
      <w:r>
        <w:rPr>
          <w:rFonts w:ascii="宋体" w:hAnsi="宋体" w:cs="宋体" w:hint="eastAsia"/>
          <w:color w:val="000000"/>
          <w:szCs w:val="21"/>
        </w:rPr>
        <w:t>7</w:t>
      </w:r>
      <w:r>
        <w:rPr>
          <w:rFonts w:ascii="宋体" w:hAnsi="宋体" w:cs="宋体" w:hint="eastAsia"/>
          <w:color w:val="000000"/>
          <w:szCs w:val="21"/>
        </w:rPr>
        <w:t>天完成。</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、投标人需配合采购人做好运营管理过程中发生的各种应急情况：如疫情防控、安保、维稳、信访、消防、媒体接待等。</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、投标单位中标后，要制定</w:t>
      </w:r>
      <w:r>
        <w:rPr>
          <w:rFonts w:ascii="宋体" w:hAnsi="宋体" w:cs="宋体" w:hint="eastAsia"/>
          <w:szCs w:val="21"/>
        </w:rPr>
        <w:t>粤港澳大湾区（天河）理财资管服务中心运营</w:t>
      </w:r>
      <w:r>
        <w:rPr>
          <w:rFonts w:ascii="宋体" w:hAnsi="宋体" w:cs="宋体" w:hint="eastAsia"/>
          <w:color w:val="000000"/>
          <w:szCs w:val="21"/>
        </w:rPr>
        <w:t>方案、挂牌活动方案、环境提升方案及应急预案等。</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、如无特别说明，运营管理中产生的费用均由中标人负责支付。</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、中标人需按运营周期（月度、季度、年度）向采购人提供运营管理总结资</w:t>
      </w:r>
      <w:r>
        <w:rPr>
          <w:rFonts w:ascii="宋体" w:hAnsi="宋体" w:cs="宋体" w:hint="eastAsia"/>
          <w:color w:val="000000"/>
          <w:szCs w:val="21"/>
        </w:rPr>
        <w:t>料，包括但不限于日常活动举办情况、招商服务情况、宣传展示情况等。</w:t>
      </w:r>
    </w:p>
    <w:p w:rsidR="005D7507" w:rsidRDefault="004D2F81">
      <w:pPr>
        <w:snapToGrid w:val="0"/>
        <w:spacing w:line="520" w:lineRule="exact"/>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、中标方案版权归招标方所有，投标单位中标后，不能以任何理由收回中标方案的版权。采购人提供的</w:t>
      </w:r>
      <w:r>
        <w:rPr>
          <w:rFonts w:ascii="宋体" w:hAnsi="宋体" w:cs="宋体" w:hint="eastAsia"/>
          <w:color w:val="000000"/>
          <w:szCs w:val="21"/>
        </w:rPr>
        <w:t>LOGO</w:t>
      </w:r>
      <w:r>
        <w:rPr>
          <w:rFonts w:ascii="宋体" w:hAnsi="宋体" w:cs="宋体" w:hint="eastAsia"/>
          <w:color w:val="000000"/>
          <w:szCs w:val="21"/>
        </w:rPr>
        <w:t>、图片、视频等全部资料的知识产权仍归采购人独自享有，中标人仅用于履行本合同目的而使用，不能侵占或转移版权；同时中标人所提供的设计、图片材料等不涉及涉密和侵权行为，中标人应对本项目相关事项及因项目执行而获取的材料或信息等进行保密。</w:t>
      </w:r>
    </w:p>
    <w:p w:rsidR="005D7507" w:rsidRDefault="005D7507"/>
    <w:sectPr w:rsidR="005D7507" w:rsidSect="005D7507">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AF202E" w15:done="0"/>
  <w15:commentEx w15:paraId="227E2E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F81" w:rsidRDefault="004D2F81" w:rsidP="005D7507">
      <w:r>
        <w:separator/>
      </w:r>
    </w:p>
  </w:endnote>
  <w:endnote w:type="continuationSeparator" w:id="1">
    <w:p w:rsidR="004D2F81" w:rsidRDefault="004D2F81" w:rsidP="005D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07" w:rsidRDefault="005D7507">
    <w:pPr>
      <w:pStyle w:val="a7"/>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5D7507" w:rsidRDefault="004D2F81">
                <w:pPr>
                  <w:pStyle w:val="a7"/>
                </w:pPr>
                <w:r>
                  <w:rPr>
                    <w:rFonts w:hint="eastAsia"/>
                  </w:rPr>
                  <w:t>—</w:t>
                </w:r>
                <w:r>
                  <w:rPr>
                    <w:rFonts w:hint="eastAsia"/>
                  </w:rPr>
                  <w:t xml:space="preserve"> </w:t>
                </w:r>
                <w:r w:rsidR="005D7507">
                  <w:rPr>
                    <w:rFonts w:hint="eastAsia"/>
                  </w:rPr>
                  <w:fldChar w:fldCharType="begin"/>
                </w:r>
                <w:r>
                  <w:rPr>
                    <w:rFonts w:hint="eastAsia"/>
                  </w:rPr>
                  <w:instrText xml:space="preserve"> PAGE  \* MERGEFORMAT </w:instrText>
                </w:r>
                <w:r w:rsidR="005D7507">
                  <w:rPr>
                    <w:rFonts w:hint="eastAsia"/>
                  </w:rPr>
                  <w:fldChar w:fldCharType="separate"/>
                </w:r>
                <w:r w:rsidR="00824F95">
                  <w:rPr>
                    <w:noProof/>
                  </w:rPr>
                  <w:t>3</w:t>
                </w:r>
                <w:r w:rsidR="005D7507">
                  <w:rPr>
                    <w:rFonts w:hint="eastAsia"/>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F81" w:rsidRDefault="004D2F81" w:rsidP="005D7507">
      <w:r>
        <w:separator/>
      </w:r>
    </w:p>
  </w:footnote>
  <w:footnote w:type="continuationSeparator" w:id="1">
    <w:p w:rsidR="004D2F81" w:rsidRDefault="004D2F81" w:rsidP="005D75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zz">
    <w15:presenceInfo w15:providerId="None" w15:userId="gz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Y4M2ExOWRlZmQ5YjgwODU2YjVjNGM3NjQ4ZThlZGQifQ=="/>
  </w:docVars>
  <w:rsids>
    <w:rsidRoot w:val="6D0C31F0"/>
    <w:rsid w:val="00032697"/>
    <w:rsid w:val="000C710F"/>
    <w:rsid w:val="001F57F3"/>
    <w:rsid w:val="002809CF"/>
    <w:rsid w:val="00340CB8"/>
    <w:rsid w:val="00391650"/>
    <w:rsid w:val="004D2F81"/>
    <w:rsid w:val="005D7507"/>
    <w:rsid w:val="005E53AD"/>
    <w:rsid w:val="006405EE"/>
    <w:rsid w:val="00655F28"/>
    <w:rsid w:val="007A4F9E"/>
    <w:rsid w:val="00824F95"/>
    <w:rsid w:val="008D00D3"/>
    <w:rsid w:val="00992718"/>
    <w:rsid w:val="009A29DB"/>
    <w:rsid w:val="00AA54E1"/>
    <w:rsid w:val="00B81585"/>
    <w:rsid w:val="00B92C56"/>
    <w:rsid w:val="00BF4EAF"/>
    <w:rsid w:val="00D731A4"/>
    <w:rsid w:val="00E829FD"/>
    <w:rsid w:val="014158F0"/>
    <w:rsid w:val="01A44624"/>
    <w:rsid w:val="01D6727C"/>
    <w:rsid w:val="02664F8E"/>
    <w:rsid w:val="02D072C1"/>
    <w:rsid w:val="02F84A6A"/>
    <w:rsid w:val="032E6271"/>
    <w:rsid w:val="03644B3B"/>
    <w:rsid w:val="03D72375"/>
    <w:rsid w:val="04A27DCD"/>
    <w:rsid w:val="051B5156"/>
    <w:rsid w:val="05315BA7"/>
    <w:rsid w:val="05D60F1C"/>
    <w:rsid w:val="06FE0BDE"/>
    <w:rsid w:val="08205139"/>
    <w:rsid w:val="08A123C8"/>
    <w:rsid w:val="08A14B2A"/>
    <w:rsid w:val="093A1D2E"/>
    <w:rsid w:val="09B3165B"/>
    <w:rsid w:val="0A696B3F"/>
    <w:rsid w:val="0B2B2590"/>
    <w:rsid w:val="0B446D77"/>
    <w:rsid w:val="0D1C4596"/>
    <w:rsid w:val="0E756441"/>
    <w:rsid w:val="0E944449"/>
    <w:rsid w:val="0EC54FE4"/>
    <w:rsid w:val="0F95757A"/>
    <w:rsid w:val="0FF843CF"/>
    <w:rsid w:val="0FFA54D3"/>
    <w:rsid w:val="112871B6"/>
    <w:rsid w:val="113A7148"/>
    <w:rsid w:val="1181221B"/>
    <w:rsid w:val="118B6492"/>
    <w:rsid w:val="11AC639B"/>
    <w:rsid w:val="12420A78"/>
    <w:rsid w:val="128C35D7"/>
    <w:rsid w:val="1404342C"/>
    <w:rsid w:val="144A7B45"/>
    <w:rsid w:val="14780739"/>
    <w:rsid w:val="14854167"/>
    <w:rsid w:val="148928A2"/>
    <w:rsid w:val="14A426D0"/>
    <w:rsid w:val="14AB3808"/>
    <w:rsid w:val="14C6011C"/>
    <w:rsid w:val="15326CEB"/>
    <w:rsid w:val="156874D4"/>
    <w:rsid w:val="15957B21"/>
    <w:rsid w:val="166E06BB"/>
    <w:rsid w:val="17257F63"/>
    <w:rsid w:val="17656736"/>
    <w:rsid w:val="182C6531"/>
    <w:rsid w:val="191525AB"/>
    <w:rsid w:val="19972CB2"/>
    <w:rsid w:val="19D815FA"/>
    <w:rsid w:val="1A634950"/>
    <w:rsid w:val="1B0026B8"/>
    <w:rsid w:val="1B263697"/>
    <w:rsid w:val="1B364A39"/>
    <w:rsid w:val="1B674EBF"/>
    <w:rsid w:val="1BBB3D75"/>
    <w:rsid w:val="1BFC3BF6"/>
    <w:rsid w:val="1C257463"/>
    <w:rsid w:val="1D3334CF"/>
    <w:rsid w:val="1D695E36"/>
    <w:rsid w:val="1DFE4F74"/>
    <w:rsid w:val="1E0E597E"/>
    <w:rsid w:val="1E1E529D"/>
    <w:rsid w:val="1EDC5E91"/>
    <w:rsid w:val="1F1D1535"/>
    <w:rsid w:val="1F253AAF"/>
    <w:rsid w:val="203362AB"/>
    <w:rsid w:val="205C12F8"/>
    <w:rsid w:val="20AF79F6"/>
    <w:rsid w:val="21784C2D"/>
    <w:rsid w:val="21854834"/>
    <w:rsid w:val="219D70DE"/>
    <w:rsid w:val="21B926F8"/>
    <w:rsid w:val="21CF70AC"/>
    <w:rsid w:val="22042D3C"/>
    <w:rsid w:val="22981A33"/>
    <w:rsid w:val="23A345EA"/>
    <w:rsid w:val="2422303A"/>
    <w:rsid w:val="24383765"/>
    <w:rsid w:val="247505CC"/>
    <w:rsid w:val="24CB7E62"/>
    <w:rsid w:val="25406F93"/>
    <w:rsid w:val="265E218A"/>
    <w:rsid w:val="26865D87"/>
    <w:rsid w:val="26E575ED"/>
    <w:rsid w:val="26E87B48"/>
    <w:rsid w:val="27591E9B"/>
    <w:rsid w:val="28550017"/>
    <w:rsid w:val="29697FB8"/>
    <w:rsid w:val="296A35B9"/>
    <w:rsid w:val="298B4304"/>
    <w:rsid w:val="29D6291A"/>
    <w:rsid w:val="2A306060"/>
    <w:rsid w:val="2A9550C4"/>
    <w:rsid w:val="2AC0255C"/>
    <w:rsid w:val="2B4D48DC"/>
    <w:rsid w:val="2C0146BF"/>
    <w:rsid w:val="2C067565"/>
    <w:rsid w:val="2C285837"/>
    <w:rsid w:val="2C5D34B6"/>
    <w:rsid w:val="2CC542F2"/>
    <w:rsid w:val="2CC96C4A"/>
    <w:rsid w:val="2D7413F8"/>
    <w:rsid w:val="2DCC78DC"/>
    <w:rsid w:val="2E6005FB"/>
    <w:rsid w:val="2EB144D5"/>
    <w:rsid w:val="2ED46621"/>
    <w:rsid w:val="2F084DD9"/>
    <w:rsid w:val="2FC966D4"/>
    <w:rsid w:val="2FE73D4B"/>
    <w:rsid w:val="30750CE8"/>
    <w:rsid w:val="30C001AB"/>
    <w:rsid w:val="30DC583C"/>
    <w:rsid w:val="30FC20C8"/>
    <w:rsid w:val="30FF3B36"/>
    <w:rsid w:val="31E272B9"/>
    <w:rsid w:val="32160C91"/>
    <w:rsid w:val="32845658"/>
    <w:rsid w:val="32D24FED"/>
    <w:rsid w:val="332C3C09"/>
    <w:rsid w:val="334E5482"/>
    <w:rsid w:val="34A04025"/>
    <w:rsid w:val="34BE08D0"/>
    <w:rsid w:val="34EC1D98"/>
    <w:rsid w:val="351F2712"/>
    <w:rsid w:val="35783198"/>
    <w:rsid w:val="35EA579E"/>
    <w:rsid w:val="36674F23"/>
    <w:rsid w:val="36F6093B"/>
    <w:rsid w:val="377356B6"/>
    <w:rsid w:val="378F7836"/>
    <w:rsid w:val="379369F2"/>
    <w:rsid w:val="37F82972"/>
    <w:rsid w:val="38F82633"/>
    <w:rsid w:val="39744332"/>
    <w:rsid w:val="398170F7"/>
    <w:rsid w:val="39852189"/>
    <w:rsid w:val="3A603628"/>
    <w:rsid w:val="3A6572C7"/>
    <w:rsid w:val="3C5179D5"/>
    <w:rsid w:val="3C8A10BE"/>
    <w:rsid w:val="3CD10814"/>
    <w:rsid w:val="3D631020"/>
    <w:rsid w:val="3DDB1445"/>
    <w:rsid w:val="3E191EF5"/>
    <w:rsid w:val="3E87498E"/>
    <w:rsid w:val="3E8C37E2"/>
    <w:rsid w:val="3EBF2932"/>
    <w:rsid w:val="3F96192C"/>
    <w:rsid w:val="3FA73C6A"/>
    <w:rsid w:val="3FAF512D"/>
    <w:rsid w:val="3FC92494"/>
    <w:rsid w:val="3FF41BBA"/>
    <w:rsid w:val="40811D00"/>
    <w:rsid w:val="40872E5C"/>
    <w:rsid w:val="40A626A2"/>
    <w:rsid w:val="40CA25DE"/>
    <w:rsid w:val="410A5D76"/>
    <w:rsid w:val="415F515D"/>
    <w:rsid w:val="41EC1E4A"/>
    <w:rsid w:val="41F8060B"/>
    <w:rsid w:val="42765F58"/>
    <w:rsid w:val="427F7E2D"/>
    <w:rsid w:val="430D637A"/>
    <w:rsid w:val="43AB3A7C"/>
    <w:rsid w:val="44240BC7"/>
    <w:rsid w:val="446C7C69"/>
    <w:rsid w:val="44BD5154"/>
    <w:rsid w:val="4516792D"/>
    <w:rsid w:val="452335C7"/>
    <w:rsid w:val="45310769"/>
    <w:rsid w:val="45791936"/>
    <w:rsid w:val="464D551B"/>
    <w:rsid w:val="46823932"/>
    <w:rsid w:val="47126FD2"/>
    <w:rsid w:val="488D023F"/>
    <w:rsid w:val="488F17B3"/>
    <w:rsid w:val="48F9039C"/>
    <w:rsid w:val="491C0BA8"/>
    <w:rsid w:val="49380D2E"/>
    <w:rsid w:val="494B3E1A"/>
    <w:rsid w:val="49B03E80"/>
    <w:rsid w:val="4D417DE8"/>
    <w:rsid w:val="4D506492"/>
    <w:rsid w:val="4DB126FA"/>
    <w:rsid w:val="4DF64F6D"/>
    <w:rsid w:val="4E645B76"/>
    <w:rsid w:val="4F18757E"/>
    <w:rsid w:val="4F745767"/>
    <w:rsid w:val="4FC64283"/>
    <w:rsid w:val="504042FB"/>
    <w:rsid w:val="508C2904"/>
    <w:rsid w:val="51046D56"/>
    <w:rsid w:val="5122135D"/>
    <w:rsid w:val="540D2FE7"/>
    <w:rsid w:val="54706AFC"/>
    <w:rsid w:val="56902B8F"/>
    <w:rsid w:val="571C5530"/>
    <w:rsid w:val="57430E8A"/>
    <w:rsid w:val="577C4264"/>
    <w:rsid w:val="5884352E"/>
    <w:rsid w:val="58D25784"/>
    <w:rsid w:val="5908247E"/>
    <w:rsid w:val="590E4E2E"/>
    <w:rsid w:val="59F520DD"/>
    <w:rsid w:val="5A043DDF"/>
    <w:rsid w:val="5ADA6F15"/>
    <w:rsid w:val="5B181EC2"/>
    <w:rsid w:val="5BA45242"/>
    <w:rsid w:val="5C154D83"/>
    <w:rsid w:val="5C460E0C"/>
    <w:rsid w:val="5C4A1E53"/>
    <w:rsid w:val="5D1834A7"/>
    <w:rsid w:val="5D886154"/>
    <w:rsid w:val="5D9D73C7"/>
    <w:rsid w:val="5DDD0EED"/>
    <w:rsid w:val="5DF82F98"/>
    <w:rsid w:val="5E540B99"/>
    <w:rsid w:val="5EE74FA9"/>
    <w:rsid w:val="5FF37CBB"/>
    <w:rsid w:val="6014179D"/>
    <w:rsid w:val="60185654"/>
    <w:rsid w:val="602A6FE3"/>
    <w:rsid w:val="60852E1D"/>
    <w:rsid w:val="60CF7E4C"/>
    <w:rsid w:val="61887116"/>
    <w:rsid w:val="61C41865"/>
    <w:rsid w:val="62907E35"/>
    <w:rsid w:val="62B879E1"/>
    <w:rsid w:val="63696289"/>
    <w:rsid w:val="63AB561B"/>
    <w:rsid w:val="63CF6151"/>
    <w:rsid w:val="64677969"/>
    <w:rsid w:val="65325F6C"/>
    <w:rsid w:val="657500A6"/>
    <w:rsid w:val="65801E12"/>
    <w:rsid w:val="66DF62A4"/>
    <w:rsid w:val="671C5399"/>
    <w:rsid w:val="673C3E16"/>
    <w:rsid w:val="677376B1"/>
    <w:rsid w:val="67A02FC3"/>
    <w:rsid w:val="694D5FEE"/>
    <w:rsid w:val="6998573A"/>
    <w:rsid w:val="6A45722B"/>
    <w:rsid w:val="6A76127D"/>
    <w:rsid w:val="6BE918C1"/>
    <w:rsid w:val="6D0C31F0"/>
    <w:rsid w:val="6D5F4F2B"/>
    <w:rsid w:val="6D8965C6"/>
    <w:rsid w:val="6DF11A48"/>
    <w:rsid w:val="6E51194D"/>
    <w:rsid w:val="6E91166C"/>
    <w:rsid w:val="6ED12D94"/>
    <w:rsid w:val="6F1071FD"/>
    <w:rsid w:val="6F9A5D39"/>
    <w:rsid w:val="70492B83"/>
    <w:rsid w:val="704D60F7"/>
    <w:rsid w:val="71082A12"/>
    <w:rsid w:val="717C7127"/>
    <w:rsid w:val="721D7097"/>
    <w:rsid w:val="721F1A6C"/>
    <w:rsid w:val="72E77F4C"/>
    <w:rsid w:val="73563331"/>
    <w:rsid w:val="735B62D7"/>
    <w:rsid w:val="748B6316"/>
    <w:rsid w:val="74A232A9"/>
    <w:rsid w:val="74B0217D"/>
    <w:rsid w:val="75682CEC"/>
    <w:rsid w:val="777A6BCE"/>
    <w:rsid w:val="77A7508C"/>
    <w:rsid w:val="78286DF0"/>
    <w:rsid w:val="78B35BA3"/>
    <w:rsid w:val="79015D26"/>
    <w:rsid w:val="791D2474"/>
    <w:rsid w:val="79D37014"/>
    <w:rsid w:val="7A2B20F8"/>
    <w:rsid w:val="7BD84D86"/>
    <w:rsid w:val="7C5C6905"/>
    <w:rsid w:val="7CB70EBF"/>
    <w:rsid w:val="7D4202F8"/>
    <w:rsid w:val="7D675BC0"/>
    <w:rsid w:val="7DA61157"/>
    <w:rsid w:val="7E457D90"/>
    <w:rsid w:val="7EFD5C29"/>
    <w:rsid w:val="7F446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3"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D7507"/>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
    <w:qFormat/>
    <w:rsid w:val="005D7507"/>
    <w:pPr>
      <w:ind w:firstLineChars="100" w:firstLine="420"/>
    </w:pPr>
  </w:style>
  <w:style w:type="paragraph" w:styleId="a3">
    <w:name w:val="Normal Indent"/>
    <w:basedOn w:val="a"/>
    <w:qFormat/>
    <w:rsid w:val="005D7507"/>
    <w:pPr>
      <w:spacing w:line="360" w:lineRule="auto"/>
      <w:ind w:firstLine="420"/>
    </w:pPr>
    <w:rPr>
      <w:rFonts w:ascii="宋体"/>
    </w:rPr>
  </w:style>
  <w:style w:type="paragraph" w:styleId="a4">
    <w:name w:val="annotation text"/>
    <w:basedOn w:val="a"/>
    <w:rsid w:val="005D7507"/>
  </w:style>
  <w:style w:type="paragraph" w:styleId="a5">
    <w:name w:val="Plain Text"/>
    <w:basedOn w:val="a"/>
    <w:qFormat/>
    <w:rsid w:val="005D7507"/>
    <w:pPr>
      <w:widowControl w:val="0"/>
      <w:jc w:val="both"/>
    </w:pPr>
    <w:rPr>
      <w:rFonts w:ascii="宋体" w:hAnsi="Courier New"/>
      <w:kern w:val="2"/>
    </w:rPr>
  </w:style>
  <w:style w:type="paragraph" w:styleId="a6">
    <w:name w:val="Balloon Text"/>
    <w:basedOn w:val="a"/>
    <w:link w:val="Char"/>
    <w:qFormat/>
    <w:rsid w:val="005D7507"/>
    <w:pPr>
      <w:widowControl w:val="0"/>
    </w:pPr>
    <w:rPr>
      <w:rFonts w:eastAsia="Times New Roman"/>
      <w:color w:val="000000"/>
      <w:sz w:val="18"/>
      <w:szCs w:val="18"/>
      <w:lang w:eastAsia="en-US" w:bidi="en-US"/>
    </w:rPr>
  </w:style>
  <w:style w:type="paragraph" w:styleId="a7">
    <w:name w:val="footer"/>
    <w:basedOn w:val="a"/>
    <w:qFormat/>
    <w:rsid w:val="005D7507"/>
    <w:pPr>
      <w:tabs>
        <w:tab w:val="center" w:pos="4153"/>
        <w:tab w:val="right" w:pos="8306"/>
      </w:tabs>
      <w:snapToGrid w:val="0"/>
    </w:pPr>
    <w:rPr>
      <w:sz w:val="18"/>
    </w:rPr>
  </w:style>
  <w:style w:type="paragraph" w:styleId="a8">
    <w:name w:val="header"/>
    <w:basedOn w:val="a"/>
    <w:qFormat/>
    <w:rsid w:val="005D750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3">
    <w:name w:val="Body Text Indent 3"/>
    <w:basedOn w:val="a"/>
    <w:link w:val="3Char"/>
    <w:uiPriority w:val="99"/>
    <w:unhideWhenUsed/>
    <w:qFormat/>
    <w:rsid w:val="005D7507"/>
    <w:pPr>
      <w:widowControl w:val="0"/>
      <w:spacing w:after="120"/>
      <w:ind w:leftChars="200" w:left="420"/>
    </w:pPr>
    <w:rPr>
      <w:rFonts w:eastAsia="Times New Roman"/>
      <w:color w:val="000000"/>
      <w:sz w:val="16"/>
      <w:szCs w:val="16"/>
      <w:lang w:eastAsia="en-US" w:bidi="en-US"/>
    </w:rPr>
  </w:style>
  <w:style w:type="paragraph" w:customStyle="1" w:styleId="a9">
    <w:name w:val="图"/>
    <w:basedOn w:val="a"/>
    <w:qFormat/>
    <w:rsid w:val="005D7507"/>
    <w:pPr>
      <w:keepNext/>
      <w:widowControl w:val="0"/>
      <w:adjustRightInd w:val="0"/>
      <w:spacing w:line="300" w:lineRule="auto"/>
      <w:jc w:val="center"/>
      <w:textAlignment w:val="center"/>
    </w:pPr>
    <w:rPr>
      <w:snapToGrid w:val="0"/>
      <w:spacing w:val="20"/>
      <w:sz w:val="24"/>
    </w:rPr>
  </w:style>
  <w:style w:type="character" w:customStyle="1" w:styleId="Char">
    <w:name w:val="批注框文本 Char"/>
    <w:basedOn w:val="a0"/>
    <w:link w:val="a6"/>
    <w:qFormat/>
    <w:rsid w:val="005D7507"/>
    <w:rPr>
      <w:rFonts w:eastAsia="Times New Roman"/>
      <w:color w:val="000000"/>
      <w:sz w:val="18"/>
      <w:szCs w:val="18"/>
      <w:lang w:eastAsia="en-US" w:bidi="en-US"/>
    </w:rPr>
  </w:style>
  <w:style w:type="character" w:customStyle="1" w:styleId="Bodytext1">
    <w:name w:val="Body text|1_"/>
    <w:basedOn w:val="a0"/>
    <w:link w:val="Bodytext10"/>
    <w:qFormat/>
    <w:rsid w:val="005D7507"/>
    <w:rPr>
      <w:rFonts w:ascii="宋体" w:hAnsi="宋体" w:cs="宋体"/>
      <w:sz w:val="28"/>
      <w:szCs w:val="28"/>
      <w:lang w:val="zh-TW" w:eastAsia="zh-TW" w:bidi="zh-TW"/>
    </w:rPr>
  </w:style>
  <w:style w:type="paragraph" w:customStyle="1" w:styleId="Bodytext10">
    <w:name w:val="Body text|1"/>
    <w:basedOn w:val="a"/>
    <w:link w:val="Bodytext1"/>
    <w:qFormat/>
    <w:rsid w:val="005D7507"/>
    <w:pPr>
      <w:widowControl w:val="0"/>
      <w:spacing w:line="446" w:lineRule="auto"/>
      <w:ind w:firstLine="400"/>
    </w:pPr>
    <w:rPr>
      <w:rFonts w:ascii="宋体" w:hAnsi="宋体" w:cs="宋体"/>
      <w:sz w:val="28"/>
      <w:szCs w:val="28"/>
      <w:lang w:val="zh-TW" w:eastAsia="zh-TW" w:bidi="zh-TW"/>
    </w:rPr>
  </w:style>
  <w:style w:type="paragraph" w:customStyle="1" w:styleId="Style3">
    <w:name w:val="_Style 3"/>
    <w:next w:val="3"/>
    <w:uiPriority w:val="1"/>
    <w:qFormat/>
    <w:rsid w:val="005D7507"/>
    <w:pPr>
      <w:widowControl w:val="0"/>
      <w:jc w:val="both"/>
    </w:pPr>
    <w:rPr>
      <w:rFonts w:ascii="Calibri" w:hAnsi="Calibri"/>
      <w:kern w:val="2"/>
      <w:sz w:val="21"/>
      <w:szCs w:val="22"/>
    </w:rPr>
  </w:style>
  <w:style w:type="character" w:customStyle="1" w:styleId="3Char">
    <w:name w:val="正文文本缩进 3 Char"/>
    <w:basedOn w:val="a0"/>
    <w:link w:val="3"/>
    <w:uiPriority w:val="99"/>
    <w:qFormat/>
    <w:rsid w:val="005D7507"/>
    <w:rPr>
      <w:rFonts w:eastAsia="Times New Roman"/>
      <w:color w:val="000000"/>
      <w:sz w:val="16"/>
      <w:szCs w:val="16"/>
      <w:lang w:eastAsia="en-US" w:bidi="en-US"/>
    </w:rPr>
  </w:style>
  <w:style w:type="character" w:styleId="aa">
    <w:name w:val="annotation reference"/>
    <w:basedOn w:val="a0"/>
    <w:rsid w:val="005D750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385</Words>
  <Characters>2196</Characters>
  <Application>Microsoft Office Word</Application>
  <DocSecurity>0</DocSecurity>
  <Lines>18</Lines>
  <Paragraphs>5</Paragraphs>
  <ScaleCrop>false</ScaleCrop>
  <Company>区商务和金融工作局（区旅游局)</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guhj</dc:creator>
  <cp:lastModifiedBy>谢露湉</cp:lastModifiedBy>
  <cp:revision>14</cp:revision>
  <cp:lastPrinted>2023-08-21T02:59:00Z</cp:lastPrinted>
  <dcterms:created xsi:type="dcterms:W3CDTF">2021-07-16T02:30:00Z</dcterms:created>
  <dcterms:modified xsi:type="dcterms:W3CDTF">2023-09-27T06:28:00Z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13EFF668333E49A89305DD16A859B7C0</vt:lpwstr>
  </property>
</Properties>
</file>