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both"/>
        <w:rPr>
          <w:rFonts w:hint="eastAsia" w:ascii="黑体" w:eastAsia="黑体" w:cs="仿宋_GB2312"/>
          <w:b/>
          <w:bCs/>
          <w:sz w:val="28"/>
          <w:szCs w:val="28"/>
          <w:lang w:eastAsia="zh-CN"/>
        </w:rPr>
      </w:pPr>
      <w:r>
        <w:rPr>
          <w:rFonts w:ascii="黑体" w:eastAsia="黑体" w:cs="仿宋_GB2312"/>
          <w:b/>
          <w:bCs/>
          <w:sz w:val="28"/>
          <w:szCs w:val="28"/>
        </w:rPr>
        <w:t>附件</w:t>
      </w:r>
      <w:r>
        <w:rPr>
          <w:rFonts w:hint="eastAsia" w:ascii="黑体" w:eastAsia="黑体" w:cs="仿宋_GB2312"/>
          <w:b/>
          <w:bCs/>
          <w:sz w:val="28"/>
          <w:szCs w:val="28"/>
          <w:lang w:val="en-US" w:eastAsia="zh-CN"/>
        </w:rPr>
        <w:t>8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2024年天河区生鲜乳质量安全例行检测和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监督执法检测抽样报价明细表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2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00"/>
        <w:gridCol w:w="1383"/>
        <w:gridCol w:w="1534"/>
        <w:gridCol w:w="800"/>
        <w:gridCol w:w="146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检测依据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判定依据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脂肪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汞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铬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总砷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氨苄西林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苯唑西林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阿莫西林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黄曲霉毒素M1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硫氰酸</w:t>
            </w: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  <w:t>钠(以硫氰酸根计)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L-羟脯氨酸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酸度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44"/>
          <w:szCs w:val="44"/>
        </w:rPr>
        <w:sectPr>
          <w:footerReference r:id="rId3" w:type="default"/>
          <w:type w:val="continuous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line="360" w:lineRule="auto"/>
        <w:jc w:val="both"/>
      </w:pPr>
      <w:bookmarkStart w:id="0" w:name="_GoBack"/>
    </w:p>
    <w:bookmarkEnd w:id="0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09962F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uiPriority w:val="99"/>
    <w:rPr>
      <w:color w:val="333333"/>
      <w:u w:val="none"/>
    </w:rPr>
  </w:style>
  <w:style w:type="character" w:styleId="16">
    <w:name w:val="Hyperlink"/>
    <w:basedOn w:val="13"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uiPriority w:val="0"/>
    <w:rPr>
      <w:kern w:val="2"/>
      <w:sz w:val="21"/>
      <w:szCs w:val="22"/>
    </w:rPr>
  </w:style>
  <w:style w:type="character" w:customStyle="1" w:styleId="18">
    <w:name w:val="font0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2023-11-09T09:18:37Z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6E35112EAEA74358B5F6EE5F8F618137_13</vt:lpwstr>
  </property>
</Properties>
</file>