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sz w:val="32"/>
          <w:szCs w:val="32"/>
          <w:lang w:eastAsia="zh-CN"/>
        </w:rPr>
      </w:pPr>
    </w:p>
    <w:p>
      <w:pPr>
        <w:pStyle w:val="5"/>
        <w:rPr>
          <w:rFonts w:hint="default" w:ascii="Times New Roman" w:hAnsi="Times New Roman" w:cs="Times New Roman"/>
          <w:color w:val="auto"/>
          <w:sz w:val="32"/>
          <w:szCs w:val="32"/>
          <w:lang w:val="en-US" w:eastAsia="zh-CN"/>
        </w:rPr>
      </w:pPr>
    </w:p>
    <w:p>
      <w:pPr>
        <w:rPr>
          <w:rFonts w:hint="default" w:ascii="Times New Roman" w:hAnsi="Times New Roman" w:cs="Times New Roman"/>
          <w:color w:val="auto"/>
          <w:sz w:val="32"/>
          <w:szCs w:val="32"/>
          <w:lang w:val="en-US" w:eastAsia="zh-CN"/>
        </w:rPr>
      </w:pP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广州天河知识产权发展与保护状况</w:t>
      </w:r>
    </w:p>
    <w:p>
      <w:pPr>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方正仿宋_GBK" w:cs="Times New Roman"/>
          <w:color w:val="auto"/>
          <w:sz w:val="32"/>
          <w:szCs w:val="32"/>
        </w:rPr>
      </w:pPr>
    </w:p>
    <w:p>
      <w:pPr>
        <w:spacing w:line="600" w:lineRule="exact"/>
        <w:rPr>
          <w:rFonts w:hint="default" w:ascii="Times New Roman" w:hAnsi="Times New Roman" w:eastAsia="方正仿宋_GBK" w:cs="Times New Roman"/>
          <w:color w:val="auto"/>
          <w:sz w:val="32"/>
          <w:szCs w:val="32"/>
        </w:rPr>
      </w:pPr>
    </w:p>
    <w:p>
      <w:pPr>
        <w:pStyle w:val="5"/>
        <w:rPr>
          <w:rFonts w:hint="default" w:ascii="Times New Roman" w:hAnsi="Times New Roman" w:eastAsia="方正小标宋简体" w:cs="Times New Roman"/>
          <w:color w:val="auto"/>
          <w:sz w:val="32"/>
          <w:szCs w:val="32"/>
        </w:rPr>
      </w:pPr>
    </w:p>
    <w:p>
      <w:pPr>
        <w:rPr>
          <w:rFonts w:hint="default" w:ascii="Times New Roman" w:hAnsi="Times New Roman" w:cs="Times New Roman"/>
          <w:color w:val="auto"/>
          <w:sz w:val="32"/>
          <w:szCs w:val="32"/>
        </w:rPr>
      </w:pPr>
    </w:p>
    <w:p>
      <w:pPr>
        <w:pStyle w:val="7"/>
        <w:rPr>
          <w:rFonts w:hint="default" w:ascii="Times New Roman" w:hAnsi="Times New Roman" w:cs="Times New Roman"/>
          <w:color w:val="auto"/>
          <w:sz w:val="32"/>
          <w:szCs w:val="32"/>
        </w:rPr>
      </w:pPr>
    </w:p>
    <w:p>
      <w:pPr>
        <w:pStyle w:val="7"/>
        <w:rPr>
          <w:rFonts w:hint="default"/>
          <w:color w:val="auto"/>
        </w:rPr>
      </w:pPr>
    </w:p>
    <w:p>
      <w:pPr>
        <w:spacing w:line="600" w:lineRule="exact"/>
        <w:jc w:val="center"/>
        <w:rPr>
          <w:rFonts w:hint="default" w:ascii="Times New Roman" w:hAnsi="Times New Roman" w:eastAsia="仿宋_GB2312" w:cs="Times New Roman"/>
          <w:color w:val="auto"/>
          <w:sz w:val="32"/>
          <w:szCs w:val="32"/>
          <w:lang w:eastAsia="zh-CN"/>
        </w:rPr>
        <w:sectPr>
          <w:pgSz w:w="11906" w:h="16838"/>
          <w:pgMar w:top="1440" w:right="1797" w:bottom="1440" w:left="1797" w:header="851" w:footer="992" w:gutter="0"/>
          <w:pgNumType w:fmt="numberInDash" w:start="2"/>
          <w:cols w:space="720" w:num="1"/>
          <w:docGrid w:type="linesAndChars" w:linePitch="312" w:charSpace="0"/>
        </w:sectPr>
      </w:pPr>
      <w:r>
        <w:rPr>
          <w:rFonts w:hint="default" w:ascii="Times New Roman" w:hAnsi="Times New Roman" w:eastAsia="方正小标宋_GBK" w:cs="Times New Roman"/>
          <w:b w:val="0"/>
          <w:bCs w:val="0"/>
          <w:color w:val="auto"/>
          <w:sz w:val="32"/>
          <w:szCs w:val="32"/>
        </w:rPr>
        <w:t>广州市</w:t>
      </w:r>
      <w:r>
        <w:rPr>
          <w:rFonts w:hint="default" w:ascii="Times New Roman" w:hAnsi="Times New Roman" w:eastAsia="方正小标宋_GBK" w:cs="Times New Roman"/>
          <w:b w:val="0"/>
          <w:bCs w:val="0"/>
          <w:color w:val="auto"/>
          <w:sz w:val="32"/>
          <w:szCs w:val="32"/>
          <w:lang w:eastAsia="zh-CN"/>
        </w:rPr>
        <w:t>天河区</w:t>
      </w:r>
      <w:r>
        <w:rPr>
          <w:rFonts w:hint="default" w:ascii="Times New Roman" w:hAnsi="Times New Roman" w:eastAsia="方正小标宋_GBK" w:cs="Times New Roman"/>
          <w:b w:val="0"/>
          <w:bCs w:val="0"/>
          <w:color w:val="auto"/>
          <w:sz w:val="32"/>
          <w:szCs w:val="32"/>
        </w:rPr>
        <w:t>知识产权工作领导小组办公室</w:t>
      </w:r>
    </w:p>
    <w:p>
      <w:pPr>
        <w:spacing w:line="600" w:lineRule="exact"/>
        <w:jc w:val="center"/>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目</w:t>
      </w:r>
      <w:r>
        <w:rPr>
          <w:rFonts w:hint="default" w:ascii="Times New Roman" w:hAnsi="Times New Roman" w:eastAsia="方正小标宋_GBK" w:cs="Times New Roman"/>
          <w:b w:val="0"/>
          <w:bCs w:val="0"/>
          <w:color w:val="auto"/>
          <w:sz w:val="44"/>
          <w:szCs w:val="44"/>
          <w:lang w:val="en-US" w:eastAsia="zh-CN"/>
        </w:rPr>
        <w:t xml:space="preserve">  </w:t>
      </w:r>
      <w:r>
        <w:rPr>
          <w:rFonts w:hint="default" w:ascii="Times New Roman" w:hAnsi="Times New Roman" w:eastAsia="方正小标宋_GBK" w:cs="Times New Roman"/>
          <w:b w:val="0"/>
          <w:bCs w:val="0"/>
          <w:color w:val="auto"/>
          <w:sz w:val="44"/>
          <w:szCs w:val="44"/>
          <w:lang w:eastAsia="zh-CN"/>
        </w:rPr>
        <w:t>录</w:t>
      </w:r>
    </w:p>
    <w:p>
      <w:pPr>
        <w:pStyle w:val="5"/>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知识产权创造</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p>
    <w:p>
      <w:pPr>
        <w:pStyle w:val="5"/>
        <w:numPr>
          <w:ilvl w:val="0"/>
          <w:numId w:val="1"/>
        </w:numPr>
        <w:ind w:left="0" w:leftChars="0" w:firstLine="0" w:firstLineChars="0"/>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val="en-US" w:eastAsia="zh-CN"/>
        </w:rPr>
        <w:t>知识产权保护…………………………………………1</w:t>
      </w:r>
    </w:p>
    <w:p>
      <w:pPr>
        <w:pStyle w:val="5"/>
        <w:numPr>
          <w:ilvl w:val="0"/>
          <w:numId w:val="1"/>
        </w:numPr>
        <w:ind w:left="0" w:leftChars="0" w:firstLine="0" w:firstLineChars="0"/>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lang w:eastAsia="zh-CN"/>
        </w:rPr>
        <w:t>知识产权运用………………………………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lang w:eastAsia="zh-CN"/>
        </w:rPr>
        <w:t>………</w:t>
      </w:r>
      <w:r>
        <w:rPr>
          <w:rFonts w:hint="eastAsia" w:ascii="Times New Roman" w:hAnsi="Times New Roman" w:eastAsia="仿宋_GB2312" w:cs="Times New Roman"/>
          <w:b w:val="0"/>
          <w:bCs w:val="0"/>
          <w:color w:val="auto"/>
          <w:lang w:val="en-US" w:eastAsia="zh-CN"/>
        </w:rPr>
        <w:t>8</w:t>
      </w:r>
    </w:p>
    <w:p>
      <w:pPr>
        <w:pStyle w:val="5"/>
        <w:numPr>
          <w:ilvl w:val="0"/>
          <w:numId w:val="1"/>
        </w:numPr>
        <w:ind w:left="0"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lang w:val="en-US" w:eastAsia="zh-CN"/>
        </w:rPr>
        <w:t>知识产权管理和服务…………………………………</w:t>
      </w:r>
      <w:r>
        <w:rPr>
          <w:rFonts w:hint="eastAsia" w:ascii="Times New Roman" w:hAnsi="Times New Roman" w:eastAsia="仿宋_GB2312" w:cs="Times New Roman"/>
          <w:b w:val="0"/>
          <w:bCs w:val="0"/>
          <w:color w:val="auto"/>
          <w:lang w:val="en-US" w:eastAsia="zh-CN"/>
        </w:rPr>
        <w:t>9</w:t>
      </w:r>
    </w:p>
    <w:p>
      <w:pPr>
        <w:pStyle w:val="5"/>
        <w:numPr>
          <w:ilvl w:val="0"/>
          <w:numId w:val="1"/>
        </w:numPr>
        <w:ind w:left="0"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知识产权文化建设……………………………………1</w:t>
      </w:r>
      <w:r>
        <w:rPr>
          <w:rFonts w:hint="eastAsia" w:ascii="Times New Roman" w:hAnsi="Times New Roman" w:eastAsia="仿宋_GB2312" w:cs="Times New Roman"/>
          <w:b w:val="0"/>
          <w:bCs w:val="0"/>
          <w:color w:val="auto"/>
          <w:sz w:val="32"/>
          <w:szCs w:val="32"/>
          <w:lang w:val="en-US" w:eastAsia="zh-CN"/>
        </w:rPr>
        <w:t>0</w:t>
      </w: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pStyle w:val="7"/>
        <w:rPr>
          <w:rFonts w:hint="default"/>
          <w:color w:val="auto"/>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rPr>
          <w:rFonts w:hint="default" w:ascii="Times New Roman" w:hAnsi="Times New Roman" w:eastAsia="仿宋_GB2312" w:cs="Times New Roman"/>
          <w:color w:val="auto"/>
          <w:sz w:val="32"/>
          <w:szCs w:val="32"/>
        </w:rPr>
        <w:sectPr>
          <w:footerReference r:id="rId3" w:type="default"/>
          <w:pgSz w:w="11906" w:h="16838"/>
          <w:pgMar w:top="1440" w:right="1797" w:bottom="1440" w:left="1797" w:header="851" w:footer="992" w:gutter="0"/>
          <w:pgNumType w:fmt="numberInDash" w:start="1"/>
          <w:cols w:space="720" w:num="1"/>
          <w:docGrid w:type="linesAndChars" w:linePitch="312" w:charSpace="0"/>
        </w:sectPr>
      </w:pPr>
    </w:p>
    <w:p>
      <w:pPr>
        <w:spacing w:line="600" w:lineRule="exact"/>
        <w:ind w:firstLine="640" w:firstLineChars="200"/>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年，广州市天河区知识产权工作领导小组各成员单位深入学习贯彻党的“二十大”精神，全面落实党中央、国务院知识产权强国战略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围绕国家、省、市知识产权局关于知识产权工作的决策部署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紧扣区委、区政府中心工作，推动国家知识产权强县建设试点</w:t>
      </w:r>
      <w:r>
        <w:rPr>
          <w:rFonts w:hint="eastAsia" w:ascii="Times New Roman" w:hAnsi="Times New Roman" w:cs="Times New Roman"/>
          <w:color w:val="auto"/>
          <w:sz w:val="32"/>
          <w:szCs w:val="32"/>
          <w:lang w:eastAsia="zh-CN"/>
        </w:rPr>
        <w:t>县建设</w:t>
      </w:r>
      <w:r>
        <w:rPr>
          <w:rFonts w:hint="default" w:ascii="Times New Roman" w:hAnsi="Times New Roman" w:eastAsia="仿宋_GB2312" w:cs="Times New Roman"/>
          <w:color w:val="auto"/>
          <w:sz w:val="32"/>
          <w:szCs w:val="32"/>
        </w:rPr>
        <w:t>，加强知识产权管理，优化知识产权服务，促进知识产权高质量创造和高效益运用，打造知识产权保护高地，不断优化营商环境，助力经济高质量发展，取得显著成效。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一、知识产权创造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全年</w:t>
      </w:r>
      <w:r>
        <w:rPr>
          <w:rFonts w:hint="eastAsia"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lang w:val="en-US" w:eastAsia="zh-CN"/>
        </w:rPr>
        <w:t>专利授权量19298件，其中发明专利授权量9438件，同比增长29.6%；PCT国际专利申请量284件，占全市15.3%；每万人口发明专利拥有量189.7件，每万人口高价值发明专利拥有量78.7件。</w:t>
      </w:r>
      <w:r>
        <w:rPr>
          <w:rFonts w:hint="eastAsia" w:ascii="Times New Roman" w:hAnsi="Times New Roman" w:eastAsia="仿宋_GB2312" w:cs="Times New Roman"/>
          <w:color w:val="auto"/>
          <w:sz w:val="32"/>
          <w:szCs w:val="32"/>
          <w:lang w:val="en-US" w:eastAsia="zh-CN"/>
        </w:rPr>
        <w:t>全区</w:t>
      </w:r>
      <w:r>
        <w:rPr>
          <w:rFonts w:hint="default" w:ascii="Times New Roman" w:hAnsi="Times New Roman" w:eastAsia="仿宋_GB2312" w:cs="Times New Roman"/>
          <w:color w:val="auto"/>
          <w:sz w:val="32"/>
          <w:szCs w:val="32"/>
          <w:lang w:val="en-US" w:eastAsia="zh-CN"/>
        </w:rPr>
        <w:t>获得第二十四届中国专利奖20项，其中小鹏汽车获得外观设计金奖1项；发明专利授权量、有效发明专利总量、有效商标注册量稳居全市之首。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商标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全年全区商标申请量75214件，商标有效注册量544197件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shd w:val="clear" w:color="auto" w:fill="auto"/>
        </w:rPr>
      </w:pPr>
      <w:r>
        <w:rPr>
          <w:rFonts w:hint="default" w:ascii="Times New Roman" w:hAnsi="Times New Roman" w:eastAsia="仿宋_GB2312" w:cs="Times New Roman"/>
          <w:b w:val="0"/>
          <w:bCs w:val="0"/>
          <w:color w:val="auto"/>
          <w:sz w:val="32"/>
          <w:szCs w:val="32"/>
          <w:shd w:val="clear" w:color="auto" w:fill="auto"/>
          <w:lang w:eastAsia="zh-CN"/>
        </w:rPr>
        <w:t>版权：</w:t>
      </w:r>
      <w:r>
        <w:rPr>
          <w:rFonts w:hint="default" w:ascii="Times New Roman" w:hAnsi="Times New Roman" w:eastAsia="仿宋_GB2312" w:cs="Times New Roman"/>
          <w:color w:val="auto"/>
          <w:sz w:val="32"/>
          <w:szCs w:val="32"/>
          <w:lang w:val="en-US" w:eastAsia="zh-CN"/>
        </w:rPr>
        <w:t>全年全</w:t>
      </w:r>
      <w:r>
        <w:rPr>
          <w:rFonts w:hint="default" w:ascii="Times New Roman" w:hAnsi="Times New Roman" w:eastAsia="仿宋_GB2312" w:cs="Times New Roman"/>
          <w:b w:val="0"/>
          <w:bCs w:val="0"/>
          <w:color w:val="auto"/>
          <w:sz w:val="32"/>
          <w:szCs w:val="32"/>
          <w:shd w:val="clear" w:color="auto" w:fill="auto"/>
        </w:rPr>
        <w:t>区作品登记总量29148件，其中软件26190件，其他类型作品2958件。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二、知识产权保护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shd w:val="clear" w:color="auto" w:fill="auto"/>
        </w:rPr>
      </w:pPr>
      <w:r>
        <w:rPr>
          <w:rFonts w:hint="default" w:ascii="Times New Roman" w:hAnsi="Times New Roman" w:eastAsia="楷体_GB2312" w:cs="Times New Roman"/>
          <w:b w:val="0"/>
          <w:bCs w:val="0"/>
          <w:color w:val="auto"/>
          <w:sz w:val="32"/>
          <w:szCs w:val="32"/>
          <w:shd w:val="clear" w:color="auto" w:fill="auto"/>
        </w:rPr>
        <w:t>（一）司法保护</w:t>
      </w:r>
    </w:p>
    <w:p>
      <w:pPr>
        <w:pStyle w:val="2"/>
        <w:rPr>
          <w:rFonts w:hint="default" w:ascii="Times New Roman" w:hAnsi="Times New Roman" w:eastAsia="仿宋_GB2312" w:cs="Times New Roman"/>
          <w:b w:val="0"/>
          <w:bCs w:val="0"/>
          <w:color w:val="auto"/>
          <w:kern w:val="2"/>
          <w:sz w:val="32"/>
          <w:szCs w:val="32"/>
          <w:shd w:val="clear" w:color="auto" w:fill="auto"/>
          <w:lang w:val="en-US" w:eastAsia="zh-CN" w:bidi="ar-SA"/>
        </w:rPr>
      </w:pPr>
      <w:r>
        <w:rPr>
          <w:rFonts w:hint="default" w:ascii="Times New Roman" w:hAnsi="Times New Roman" w:eastAsia="仿宋_GB2312" w:cs="Times New Roman"/>
          <w:b/>
          <w:bCs/>
          <w:color w:val="auto"/>
          <w:sz w:val="32"/>
          <w:szCs w:val="32"/>
          <w:shd w:val="clear" w:color="auto" w:fill="auto"/>
        </w:rPr>
        <w:t>加强知识产权审判工作</w:t>
      </w:r>
      <w:r>
        <w:rPr>
          <w:rFonts w:hint="default" w:ascii="Times New Roman" w:hAnsi="Times New Roman" w:eastAsia="仿宋_GB2312" w:cs="Times New Roman"/>
          <w:b/>
          <w:bCs/>
          <w:color w:val="auto"/>
          <w:sz w:val="32"/>
          <w:szCs w:val="32"/>
          <w:highlight w:val="none"/>
          <w:shd w:val="clear" w:color="auto" w:fill="auto"/>
        </w:rPr>
        <w:t>。</w:t>
      </w:r>
      <w:r>
        <w:rPr>
          <w:rFonts w:hint="default" w:ascii="Times New Roman" w:hAnsi="Times New Roman" w:eastAsia="仿宋_GB2312" w:cs="Times New Roman"/>
          <w:b w:val="0"/>
          <w:bCs w:val="0"/>
          <w:color w:val="auto"/>
          <w:sz w:val="32"/>
          <w:szCs w:val="32"/>
          <w:highlight w:val="none"/>
          <w:shd w:val="clear" w:color="auto" w:fill="auto"/>
        </w:rPr>
        <w:t>区法院依法严惩侵权假冒刑事犯罪，</w:t>
      </w:r>
      <w:r>
        <w:rPr>
          <w:rFonts w:hint="eastAsia" w:eastAsia="仿宋_GB2312" w:cs="Times New Roman"/>
          <w:b w:val="0"/>
          <w:bCs w:val="0"/>
          <w:color w:val="auto"/>
          <w:sz w:val="32"/>
          <w:szCs w:val="32"/>
          <w:highlight w:val="none"/>
          <w:shd w:val="clear" w:color="auto" w:fill="auto"/>
          <w:lang w:eastAsia="zh-CN"/>
        </w:rPr>
        <w:t>全年</w:t>
      </w:r>
      <w:r>
        <w:rPr>
          <w:rFonts w:hint="default" w:ascii="Times New Roman" w:hAnsi="Times New Roman" w:eastAsia="仿宋_GB2312" w:cs="Times New Roman"/>
          <w:b w:val="0"/>
          <w:bCs w:val="0"/>
          <w:color w:val="auto"/>
          <w:sz w:val="32"/>
          <w:szCs w:val="32"/>
          <w:highlight w:val="none"/>
          <w:shd w:val="clear" w:color="auto" w:fill="auto"/>
        </w:rPr>
        <w:t>审结侵犯知识产权和制售假冒伪劣商品犯罪案件15件18人</w:t>
      </w:r>
      <w:r>
        <w:rPr>
          <w:rFonts w:hint="eastAsia" w:eastAsia="仿宋_GB2312" w:cs="Times New Roman"/>
          <w:b w:val="0"/>
          <w:bCs w:val="0"/>
          <w:color w:val="auto"/>
          <w:sz w:val="32"/>
          <w:szCs w:val="32"/>
          <w:highlight w:val="none"/>
          <w:shd w:val="clear" w:color="auto" w:fill="auto"/>
          <w:lang w:eastAsia="zh-CN"/>
        </w:rPr>
        <w:t>；</w:t>
      </w:r>
      <w:r>
        <w:rPr>
          <w:rFonts w:hint="default" w:ascii="Times New Roman" w:hAnsi="Times New Roman" w:eastAsia="仿宋_GB2312" w:cs="Times New Roman"/>
          <w:b w:val="0"/>
          <w:bCs w:val="0"/>
          <w:color w:val="auto"/>
          <w:sz w:val="32"/>
          <w:szCs w:val="32"/>
          <w:highlight w:val="none"/>
          <w:shd w:val="clear" w:color="auto" w:fill="auto"/>
        </w:rPr>
        <w:t>助力创新服务经济高质量发展，</w:t>
      </w:r>
      <w:r>
        <w:rPr>
          <w:rFonts w:hint="eastAsia" w:eastAsia="仿宋_GB2312" w:cs="Times New Roman"/>
          <w:b w:val="0"/>
          <w:bCs w:val="0"/>
          <w:color w:val="auto"/>
          <w:sz w:val="32"/>
          <w:szCs w:val="32"/>
          <w:highlight w:val="none"/>
          <w:shd w:val="clear" w:color="auto" w:fill="auto"/>
          <w:lang w:eastAsia="zh-CN"/>
        </w:rPr>
        <w:t>全年</w:t>
      </w:r>
      <w:r>
        <w:rPr>
          <w:rFonts w:hint="default" w:ascii="Times New Roman" w:hAnsi="Times New Roman" w:eastAsia="仿宋_GB2312" w:cs="Times New Roman"/>
          <w:b w:val="0"/>
          <w:bCs w:val="0"/>
          <w:color w:val="auto"/>
          <w:sz w:val="32"/>
          <w:szCs w:val="32"/>
          <w:highlight w:val="none"/>
          <w:shd w:val="clear" w:color="auto" w:fill="auto"/>
        </w:rPr>
        <w:t>审结知识产权与不正当竞争民事案件2396件，解决争议金额3.65亿元。审结涉网络游戏“租号”截单、“外挂”作弊等新类型案件，依法保障运营商、消费者合法权益，促进数字经济健康有序发展。适用反不正当竞争法对在香港上映的电影名称依法予以保护，“喜剧之王”诉“喜剧之王2018”不正当竞争纠纷案入选最高人民法院电影知识产权保护典型案例。审结腾讯公司诉珍分夺秒公司侵害商标权及不正当竞争案，认定抓取微信公众号用户信息构成不正当竞争，入选全省法院第一批数字经济知识产权保护典型案例。强化知识产权普法宣传，在世界知识产权日通过官方微博发布网络游戏典型案例，派员参加“2023年岭南知识产权诉讼大会”案例授课，达到“发布一案、治理一片”的良好效果。邀请阿里巴巴、拼多多、京东等电商平台座谈会商，推动知识产权纠纷源头治理。就外卖平台商家利用虚假营业证照实施侵权引发的监管问题向行政部门、平台经营者发送司法建议，推动构建知识产权大保护工作格局</w:t>
      </w:r>
      <w:r>
        <w:rPr>
          <w:rFonts w:hint="default" w:ascii="Times New Roman" w:hAnsi="Times New Roman" w:eastAsia="仿宋_GB2312" w:cs="Times New Roman"/>
          <w:b w:val="0"/>
          <w:bCs w:val="0"/>
          <w:color w:val="auto"/>
          <w:kern w:val="2"/>
          <w:sz w:val="32"/>
          <w:szCs w:val="32"/>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shd w:val="clear" w:color="auto" w:fill="auto"/>
        </w:rPr>
        <w:t>严打知</w:t>
      </w:r>
      <w:r>
        <w:rPr>
          <w:rFonts w:hint="default" w:ascii="Times New Roman" w:hAnsi="Times New Roman" w:eastAsia="仿宋_GB2312" w:cs="Times New Roman"/>
          <w:b/>
          <w:bCs/>
          <w:color w:val="auto"/>
          <w:sz w:val="32"/>
          <w:szCs w:val="32"/>
        </w:rPr>
        <w:t>识产权刑事犯罪。</w:t>
      </w:r>
      <w:r>
        <w:rPr>
          <w:rFonts w:hint="default" w:ascii="Times New Roman" w:hAnsi="Times New Roman" w:eastAsia="仿宋_GB2312" w:cs="Times New Roman"/>
          <w:color w:val="auto"/>
          <w:sz w:val="32"/>
          <w:szCs w:val="32"/>
          <w:lang w:eastAsia="zh-CN"/>
        </w:rPr>
        <w:t>区公安分局全年</w:t>
      </w:r>
      <w:r>
        <w:rPr>
          <w:rFonts w:hint="default" w:ascii="Times New Roman" w:hAnsi="Times New Roman" w:eastAsia="仿宋_GB2312" w:cs="Times New Roman"/>
          <w:color w:val="auto"/>
          <w:sz w:val="32"/>
          <w:szCs w:val="32"/>
          <w:highlight w:val="none"/>
          <w:lang w:val="en-US" w:eastAsia="zh-CN"/>
        </w:rPr>
        <w:t>累计</w:t>
      </w:r>
      <w:r>
        <w:rPr>
          <w:rFonts w:hint="default" w:ascii="Times New Roman" w:hAnsi="Times New Roman" w:eastAsia="仿宋_GB2312" w:cs="Times New Roman"/>
          <w:color w:val="auto"/>
          <w:sz w:val="32"/>
          <w:szCs w:val="32"/>
          <w:highlight w:val="none"/>
          <w:lang w:eastAsia="zh-CN"/>
        </w:rPr>
        <w:t>侦破知识产权案件</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lang w:eastAsia="zh-CN"/>
        </w:rPr>
        <w:t>宗，占比</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lang w:eastAsia="zh-CN"/>
        </w:rPr>
        <w:t>刑事拘留</w:t>
      </w:r>
      <w:r>
        <w:rPr>
          <w:rFonts w:hint="default" w:ascii="Times New Roman" w:hAnsi="Times New Roman" w:eastAsia="仿宋_GB2312" w:cs="Times New Roman"/>
          <w:color w:val="auto"/>
          <w:sz w:val="32"/>
          <w:szCs w:val="32"/>
          <w:highlight w:val="none"/>
          <w:lang w:val="en-US" w:eastAsia="zh-CN"/>
        </w:rPr>
        <w:t>150</w:t>
      </w:r>
      <w:r>
        <w:rPr>
          <w:rFonts w:hint="default" w:ascii="Times New Roman" w:hAnsi="Times New Roman" w:eastAsia="仿宋_GB2312" w:cs="Times New Roman"/>
          <w:color w:val="auto"/>
          <w:sz w:val="32"/>
          <w:szCs w:val="32"/>
          <w:highlight w:val="none"/>
          <w:lang w:eastAsia="zh-CN"/>
        </w:rPr>
        <w:t>人，占比</w:t>
      </w:r>
      <w:r>
        <w:rPr>
          <w:rFonts w:hint="default" w:ascii="Times New Roman" w:hAnsi="Times New Roman" w:eastAsia="仿宋_GB2312" w:cs="Times New Roman"/>
          <w:color w:val="auto"/>
          <w:sz w:val="32"/>
          <w:szCs w:val="32"/>
          <w:highlight w:val="none"/>
          <w:lang w:val="en-US" w:eastAsia="zh-CN"/>
        </w:rPr>
        <w:t>69.12%；</w:t>
      </w:r>
      <w:r>
        <w:rPr>
          <w:rFonts w:hint="default" w:ascii="Times New Roman" w:hAnsi="Times New Roman" w:eastAsia="仿宋_GB2312" w:cs="Times New Roman"/>
          <w:color w:val="auto"/>
          <w:sz w:val="32"/>
          <w:szCs w:val="32"/>
          <w:highlight w:val="none"/>
          <w:lang w:eastAsia="zh-CN"/>
        </w:rPr>
        <w:t>逮捕直诉</w:t>
      </w:r>
      <w:r>
        <w:rPr>
          <w:rFonts w:hint="default" w:ascii="Times New Roman" w:hAnsi="Times New Roman" w:eastAsia="仿宋_GB2312" w:cs="Times New Roman"/>
          <w:color w:val="auto"/>
          <w:sz w:val="32"/>
          <w:szCs w:val="32"/>
          <w:highlight w:val="none"/>
          <w:lang w:val="en-US" w:eastAsia="zh-CN"/>
        </w:rPr>
        <w:t>60人，占比66.67%；</w:t>
      </w:r>
      <w:r>
        <w:rPr>
          <w:rFonts w:hint="default" w:ascii="Times New Roman" w:hAnsi="Times New Roman" w:eastAsia="仿宋_GB2312" w:cs="Times New Roman"/>
          <w:color w:val="auto"/>
          <w:sz w:val="32"/>
          <w:szCs w:val="32"/>
          <w:highlight w:val="none"/>
          <w:lang w:eastAsia="zh-CN"/>
        </w:rPr>
        <w:t>打掉犯罪团伙</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lang w:eastAsia="zh-CN"/>
        </w:rPr>
        <w:t>个，涉案金额超过</w:t>
      </w:r>
      <w:r>
        <w:rPr>
          <w:rFonts w:hint="default" w:ascii="Times New Roman" w:hAnsi="Times New Roman" w:eastAsia="仿宋_GB2312" w:cs="Times New Roman"/>
          <w:color w:val="auto"/>
          <w:sz w:val="32"/>
          <w:szCs w:val="32"/>
          <w:highlight w:val="none"/>
          <w:lang w:val="en-US" w:eastAsia="zh-CN"/>
        </w:rPr>
        <w:t>4亿元人民币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获得公安部嘉奖令</w:t>
      </w:r>
      <w:r>
        <w:rPr>
          <w:rFonts w:hint="default" w:ascii="Times New Roman" w:hAnsi="Times New Roman" w:eastAsia="仿宋_GB2312" w:cs="Times New Roman"/>
          <w:color w:val="auto"/>
          <w:sz w:val="32"/>
          <w:szCs w:val="32"/>
          <w:highlight w:val="none"/>
          <w:lang w:val="en-US" w:eastAsia="zh-CN"/>
        </w:rPr>
        <w:t>1次、省厅贺电4次、省厅领导肯定批示1次</w:t>
      </w:r>
      <w:r>
        <w:rPr>
          <w:rFonts w:hint="default" w:ascii="Times New Roman" w:hAnsi="Times New Roman" w:eastAsia="仿宋_GB2312" w:cs="Times New Roman"/>
          <w:color w:val="auto"/>
          <w:sz w:val="32"/>
          <w:szCs w:val="32"/>
          <w:lang w:eastAsia="zh-CN"/>
        </w:rPr>
        <w:t>。查处区市场监督管理局移送辖内“啊强酸菜鱼”公司假冒注册商标“阿强”一案，该案是全省侦破的首宗假冒“服务类”商标案件，获得省厅贺电1封；在广州市番禺、白云等地捣毁5个制售假电池窝点，刑拘9名嫌疑人，现场查获假冒“松下”“金霸王”“GP”等品牌电池约500万粒、标识约100万张，电池原料、激光打码、包装贴牌等物品一批，涉案金额超过1000万元；在“1+N”“鹰击”专项打击整治行动涉知识产权违法犯罪打击专题期间，累计侦破知识产权案件14宗，刑事拘留43名嫌疑人，先后侦破“4.13”假冒机油专案、“4.17”假冒汽车配件系列案以及“4.23”假包专案等一批大要案件，获得省厅贺电和省厅领导的肯定批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充分履行检察职能。</w:t>
      </w:r>
      <w:r>
        <w:rPr>
          <w:rFonts w:hint="default" w:ascii="Times New Roman" w:hAnsi="Times New Roman" w:eastAsia="仿宋_GB2312" w:cs="Times New Roman"/>
          <w:color w:val="auto"/>
          <w:sz w:val="32"/>
          <w:szCs w:val="32"/>
          <w:lang w:eastAsia="zh-CN"/>
        </w:rPr>
        <w:t>区人民检察院加强在信息共享、业务支撑、办案协作、人才培育等方面的深度协作。加强与市场监督管理、烟草专卖局等相关部门的沟通联系，健全行政执法部门与司法机关信息共享、案情通报、案件移送制度，完善案件移送标准和程序。与公安机关以及市场监督管理局等行政执法部门联络员进行对接，做好立案监督工作。探索建立跨区域联席会议、线索通报、证据移转、案件协查、联合办案以及检验鉴定结果互认等制度，完善线索发现、源头追溯、属地查处机制，推动执法程序和标准统一化，对侵权假冒商品的生产、流通、销售形成全链条打击</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（二）行政保护</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强化专利行政执法保护。</w:t>
      </w:r>
      <w:r>
        <w:rPr>
          <w:rFonts w:hint="default" w:ascii="Times New Roman" w:hAnsi="Times New Roman" w:eastAsia="仿宋_GB2312" w:cs="Times New Roman"/>
          <w:color w:val="auto"/>
          <w:sz w:val="32"/>
          <w:szCs w:val="32"/>
          <w:u w:val="none"/>
          <w:lang w:val="en-US" w:eastAsia="zh-CN"/>
        </w:rPr>
        <w:t>区市场监管局</w:t>
      </w:r>
      <w:r>
        <w:rPr>
          <w:rFonts w:hint="default" w:ascii="Times New Roman" w:hAnsi="Times New Roman" w:eastAsia="仿宋_GB2312" w:cs="Times New Roman"/>
          <w:b w:val="0"/>
          <w:bCs w:val="0"/>
          <w:color w:val="auto"/>
          <w:sz w:val="32"/>
          <w:szCs w:val="32"/>
          <w:lang w:eastAsia="zh-CN"/>
        </w:rPr>
        <w:t>全年</w:t>
      </w:r>
      <w:r>
        <w:rPr>
          <w:rFonts w:hint="default" w:ascii="Times New Roman" w:hAnsi="Times New Roman" w:eastAsia="仿宋_GB2312" w:cs="Times New Roman"/>
          <w:color w:val="auto"/>
          <w:sz w:val="32"/>
          <w:szCs w:val="32"/>
          <w:highlight w:val="none"/>
        </w:rPr>
        <w:t>办结</w:t>
      </w:r>
      <w:r>
        <w:rPr>
          <w:rFonts w:hint="default" w:ascii="Times New Roman" w:hAnsi="Times New Roman" w:eastAsia="仿宋_GB2312" w:cs="Times New Roman"/>
          <w:color w:val="auto"/>
          <w:sz w:val="32"/>
          <w:szCs w:val="32"/>
          <w:lang w:val="en-US" w:eastAsia="zh-CN"/>
        </w:rPr>
        <w:t>专利侵权纠纷案件15宗；假冒专利案件1宗</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15宗</w:t>
      </w:r>
      <w:r>
        <w:rPr>
          <w:rFonts w:hint="default" w:ascii="Times New Roman" w:hAnsi="Times New Roman" w:eastAsia="仿宋_GB2312" w:cs="Times New Roman"/>
          <w:color w:val="auto"/>
          <w:sz w:val="32"/>
          <w:szCs w:val="32"/>
          <w:lang w:eastAsia="zh-CN"/>
        </w:rPr>
        <w:t>专利侵权纠纷案件</w:t>
      </w:r>
      <w:r>
        <w:rPr>
          <w:rFonts w:hint="default" w:ascii="Times New Roman" w:hAnsi="Times New Roman" w:eastAsia="仿宋_GB2312" w:cs="Times New Roman"/>
          <w:color w:val="auto"/>
          <w:sz w:val="32"/>
          <w:szCs w:val="32"/>
          <w:lang w:val="en-US" w:eastAsia="zh-CN"/>
        </w:rPr>
        <w:t>呈现出案件平均处理周期短的特点，</w:t>
      </w:r>
      <w:r>
        <w:rPr>
          <w:rFonts w:hint="default" w:ascii="Times New Roman" w:hAnsi="Times New Roman" w:eastAsia="仿宋_GB2312" w:cs="Times New Roman"/>
          <w:color w:val="auto"/>
          <w:sz w:val="32"/>
          <w:szCs w:val="32"/>
          <w:lang w:eastAsia="zh-CN"/>
        </w:rPr>
        <w:t>处理周期为</w:t>
      </w:r>
      <w:r>
        <w:rPr>
          <w:rFonts w:hint="default" w:ascii="Times New Roman" w:hAnsi="Times New Roman" w:eastAsia="仿宋_GB2312" w:cs="Times New Roman"/>
          <w:color w:val="auto"/>
          <w:sz w:val="32"/>
          <w:szCs w:val="32"/>
          <w:lang w:val="en-US" w:eastAsia="zh-CN"/>
        </w:rPr>
        <w:t>926天，平均周期为61.73天，约占法定</w:t>
      </w:r>
      <w:r>
        <w:rPr>
          <w:rFonts w:hint="default" w:ascii="Times New Roman" w:hAnsi="Times New Roman" w:eastAsia="仿宋_GB2312" w:cs="Times New Roman"/>
          <w:color w:val="auto"/>
          <w:sz w:val="32"/>
          <w:szCs w:val="32"/>
          <w:lang w:eastAsia="zh-CN"/>
        </w:rPr>
        <w:t>处理周期</w:t>
      </w:r>
      <w:r>
        <w:rPr>
          <w:rFonts w:hint="default" w:ascii="Times New Roman" w:hAnsi="Times New Roman" w:eastAsia="仿宋_GB2312" w:cs="Times New Roman"/>
          <w:color w:val="auto"/>
          <w:sz w:val="32"/>
          <w:szCs w:val="32"/>
          <w:lang w:val="en-US" w:eastAsia="zh-CN"/>
        </w:rPr>
        <w:t>2/3，有效解决知识产权保护周期长、程序繁琐问题，大幅</w:t>
      </w:r>
      <w:r>
        <w:rPr>
          <w:rFonts w:hint="default" w:ascii="Times New Roman" w:hAnsi="Times New Roman" w:eastAsia="仿宋_GB2312" w:cs="Times New Roman"/>
          <w:color w:val="auto"/>
          <w:sz w:val="32"/>
          <w:szCs w:val="32"/>
        </w:rPr>
        <w:t>降低时间</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经济成本</w:t>
      </w:r>
      <w:r>
        <w:rPr>
          <w:rFonts w:hint="default" w:ascii="Times New Roman" w:hAnsi="Times New Roman" w:eastAsia="仿宋_GB2312" w:cs="Times New Roman"/>
          <w:color w:val="auto"/>
          <w:kern w:val="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强化商标行政执法保护。</w:t>
      </w:r>
      <w:r>
        <w:rPr>
          <w:rFonts w:hint="default" w:ascii="Times New Roman" w:hAnsi="Times New Roman" w:eastAsia="仿宋_GB2312" w:cs="Times New Roman"/>
          <w:color w:val="auto"/>
          <w:sz w:val="32"/>
          <w:szCs w:val="32"/>
          <w:u w:val="none"/>
          <w:lang w:val="en-US" w:eastAsia="zh-CN"/>
        </w:rPr>
        <w:t>区市场监管局</w:t>
      </w:r>
      <w:r>
        <w:rPr>
          <w:rFonts w:hint="default" w:ascii="Times New Roman" w:hAnsi="Times New Roman" w:eastAsia="仿宋_GB2312" w:cs="Times New Roman"/>
          <w:b w:val="0"/>
          <w:bCs w:val="0"/>
          <w:color w:val="auto"/>
          <w:sz w:val="32"/>
          <w:szCs w:val="32"/>
          <w:lang w:eastAsia="zh-CN"/>
        </w:rPr>
        <w:t>全年</w:t>
      </w:r>
      <w:r>
        <w:rPr>
          <w:rFonts w:hint="default" w:ascii="Times New Roman" w:hAnsi="Times New Roman" w:eastAsia="仿宋_GB2312" w:cs="Times New Roman"/>
          <w:color w:val="auto"/>
          <w:sz w:val="32"/>
          <w:szCs w:val="32"/>
          <w:highlight w:val="none"/>
        </w:rPr>
        <w:t>办结</w:t>
      </w:r>
      <w:r>
        <w:rPr>
          <w:rFonts w:hint="default" w:ascii="Times New Roman" w:hAnsi="Times New Roman" w:eastAsia="仿宋_GB2312" w:cs="Times New Roman"/>
          <w:b w:val="0"/>
          <w:bCs w:val="0"/>
          <w:color w:val="auto"/>
          <w:sz w:val="32"/>
          <w:szCs w:val="32"/>
          <w:lang w:eastAsia="zh-CN"/>
        </w:rPr>
        <w:t>商标侵权案件结案100宗，违法金额52.75万元，罚没款128.19万元</w:t>
      </w:r>
      <w:r>
        <w:rPr>
          <w:rFonts w:hint="default" w:ascii="Times New Roman" w:hAnsi="Times New Roman" w:eastAsia="仿宋_GB2312" w:cs="Times New Roman"/>
          <w:color w:val="auto"/>
          <w:sz w:val="32"/>
          <w:szCs w:val="32"/>
          <w:lang w:val="en-US" w:eastAsia="zh-CN"/>
        </w:rPr>
        <w:t>。2宗知识产权保护案例获广州市市场监管系统“2023法治获得感十佳案例”征集评选活动的提名案例奖；上报1宗适用国家知识产权局指导案例</w:t>
      </w:r>
      <w:r>
        <w:rPr>
          <w:rFonts w:hint="eastAsia" w:ascii="Times New Roman" w:hAnsi="Times New Roman" w:eastAsia="仿宋_GB2312" w:cs="Times New Roman"/>
          <w:color w:val="auto"/>
          <w:sz w:val="32"/>
          <w:szCs w:val="32"/>
          <w:lang w:val="en-US" w:eastAsia="zh-CN"/>
        </w:rPr>
        <w:t>，全市仅2宗</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强化地理标志和特殊标志保护。</w:t>
      </w:r>
      <w:r>
        <w:rPr>
          <w:rFonts w:hint="default" w:ascii="Times New Roman" w:hAnsi="Times New Roman" w:eastAsia="仿宋_GB2312" w:cs="Times New Roman"/>
          <w:color w:val="auto"/>
          <w:sz w:val="32"/>
          <w:szCs w:val="32"/>
          <w:u w:val="none"/>
          <w:lang w:val="en-US" w:eastAsia="zh-CN"/>
        </w:rPr>
        <w:t>区市场监管局</w:t>
      </w:r>
      <w:r>
        <w:rPr>
          <w:rFonts w:hint="default" w:ascii="Times New Roman" w:hAnsi="Times New Roman" w:eastAsia="仿宋_GB2312" w:cs="Times New Roman"/>
          <w:color w:val="auto"/>
          <w:sz w:val="32"/>
          <w:szCs w:val="32"/>
          <w:lang w:eastAsia="zh-CN"/>
        </w:rPr>
        <w:t>切实贯彻地理标志保护战略部署，有效助力区域经济协调发展和乡村振兴战略实施。开展2023年“清源”地理标志保护、“护航-2023”新会陈皮地理标志保护和杭州亚运会和亚残运会知识产权保护</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专项行动。</w:t>
      </w:r>
      <w:r>
        <w:rPr>
          <w:rFonts w:hint="default" w:ascii="Times New Roman" w:hAnsi="Times New Roman" w:eastAsia="仿宋_GB2312" w:cs="Times New Roman"/>
          <w:color w:val="auto"/>
          <w:sz w:val="32"/>
          <w:szCs w:val="32"/>
          <w:lang w:val="en-US" w:eastAsia="zh-CN"/>
        </w:rPr>
        <w:t>全年共计检查各类线下市场51个、市场主体163个、电商平台1个、电商平台商户2个；核查上级交办地理标志线索3条；</w:t>
      </w:r>
      <w:r>
        <w:rPr>
          <w:rFonts w:hint="default" w:ascii="Times New Roman" w:hAnsi="Times New Roman" w:eastAsia="仿宋_GB2312" w:cs="Times New Roman"/>
          <w:color w:val="auto"/>
          <w:sz w:val="32"/>
          <w:szCs w:val="32"/>
          <w:lang w:eastAsia="zh-CN"/>
        </w:rPr>
        <w:t>查处</w:t>
      </w:r>
      <w:r>
        <w:rPr>
          <w:rFonts w:hint="default" w:ascii="Times New Roman" w:hAnsi="Times New Roman" w:eastAsia="仿宋_GB2312" w:cs="Times New Roman"/>
          <w:color w:val="auto"/>
          <w:sz w:val="32"/>
          <w:szCs w:val="32"/>
          <w:lang w:val="en-US" w:eastAsia="zh-CN"/>
        </w:rPr>
        <w:t>1宗</w:t>
      </w:r>
      <w:r>
        <w:rPr>
          <w:rFonts w:hint="default" w:ascii="Times New Roman" w:hAnsi="Times New Roman" w:eastAsia="仿宋_GB2312" w:cs="Times New Roman"/>
          <w:color w:val="auto"/>
          <w:sz w:val="32"/>
          <w:szCs w:val="32"/>
          <w:lang w:eastAsia="zh-CN"/>
        </w:rPr>
        <w:t>违法使用新会陈皮地理标志行为。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rPr>
        <w:t>持续做好版权执法监督。</w:t>
      </w:r>
      <w:r>
        <w:rPr>
          <w:rFonts w:hint="default" w:ascii="Times New Roman" w:hAnsi="Times New Roman" w:eastAsia="仿宋_GB2312" w:cs="Times New Roman"/>
          <w:color w:val="auto"/>
          <w:sz w:val="32"/>
          <w:szCs w:val="32"/>
          <w:lang w:eastAsia="zh-CN"/>
        </w:rPr>
        <w:t>区版权局牵头区文化市场执法队伍</w:t>
      </w:r>
      <w:r>
        <w:rPr>
          <w:rFonts w:hint="default" w:ascii="Times New Roman" w:hAnsi="Times New Roman" w:eastAsia="仿宋_GB2312" w:cs="Times New Roman"/>
          <w:color w:val="auto"/>
          <w:sz w:val="32"/>
          <w:szCs w:val="32"/>
          <w:lang w:val="en-US" w:eastAsia="zh-CN" w:bidi="ar"/>
        </w:rPr>
        <w:t>组织开展“青少年版权保护季”行动，推进打击网络侵权盗版“剑网2023”专项行动</w:t>
      </w:r>
      <w:r>
        <w:rPr>
          <w:rFonts w:hint="eastAsia" w:ascii="Times New Roman" w:hAnsi="Times New Roman" w:eastAsia="仿宋_GB2312" w:cs="Times New Roman"/>
          <w:color w:val="auto"/>
          <w:sz w:val="32"/>
          <w:szCs w:val="32"/>
          <w:lang w:val="en-US" w:eastAsia="zh-CN" w:bidi="ar"/>
        </w:rPr>
        <w:t>，</w:t>
      </w:r>
      <w:r>
        <w:rPr>
          <w:rFonts w:hint="default" w:ascii="Times New Roman" w:hAnsi="Times New Roman" w:eastAsia="仿宋_GB2312" w:cs="Times New Roman"/>
          <w:color w:val="auto"/>
          <w:sz w:val="32"/>
          <w:szCs w:val="32"/>
          <w:lang w:val="en-US" w:eastAsia="zh-CN"/>
        </w:rPr>
        <w:t>处理12345工单涉网络版权投诉41件。</w:t>
      </w:r>
      <w:r>
        <w:rPr>
          <w:rFonts w:hint="default" w:ascii="Times New Roman" w:hAnsi="Times New Roman" w:eastAsia="仿宋_GB2312" w:cs="Times New Roman"/>
          <w:color w:val="auto"/>
          <w:sz w:val="32"/>
          <w:szCs w:val="32"/>
          <w:lang w:val="en-US" w:eastAsia="zh-CN" w:bidi="ar"/>
        </w:rPr>
        <w:t>对8家存在未获得著作权人授权，使用他人作品进行商业营利的不正当竞争行为的场所作出警告的行政处罚，责令其停止相关侵权行为。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lang w:eastAsia="zh-CN"/>
        </w:rPr>
        <w:t>反不正当竞争行政保护。</w:t>
      </w:r>
      <w:r>
        <w:rPr>
          <w:rFonts w:hint="default" w:ascii="Times New Roman" w:hAnsi="Times New Roman" w:eastAsia="仿宋_GB2312" w:cs="Times New Roman"/>
          <w:b w:val="0"/>
          <w:bCs w:val="0"/>
          <w:color w:val="auto"/>
          <w:sz w:val="32"/>
          <w:szCs w:val="32"/>
          <w:lang w:eastAsia="zh-CN"/>
        </w:rPr>
        <w:t>区市场监管局加强不正当竞争监管</w:t>
      </w:r>
      <w:r>
        <w:rPr>
          <w:rFonts w:hint="default" w:ascii="Times New Roman" w:hAnsi="Times New Roman" w:eastAsia="仿宋_GB2312" w:cs="Times New Roman"/>
          <w:b w:val="0"/>
          <w:bCs w:val="0"/>
          <w:color w:val="auto"/>
          <w:kern w:val="2"/>
          <w:sz w:val="32"/>
          <w:szCs w:val="32"/>
          <w:lang w:val="en-US" w:eastAsia="zh-CN" w:bidi="ar-SA"/>
        </w:rPr>
        <w:t>，办理省、市上级部门转来涉嫌反不正当竞争线索59宗，其中立案25宗、结案13宗，罚款82.4万元</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强化农资打假力度。</w:t>
      </w:r>
      <w:r>
        <w:rPr>
          <w:rFonts w:hint="default" w:ascii="Times New Roman" w:hAnsi="Times New Roman" w:eastAsia="仿宋_GB2312" w:cs="Times New Roman"/>
          <w:color w:val="auto"/>
          <w:sz w:val="32"/>
          <w:szCs w:val="32"/>
          <w:lang w:val="en-US" w:eastAsia="zh-CN"/>
        </w:rPr>
        <w:t>区农业农村局重点打击生产经营假劣饲料和饲料添加剂、销售假劣兽药、</w:t>
      </w:r>
      <w:r>
        <w:rPr>
          <w:rFonts w:hint="default" w:ascii="Times New Roman" w:hAnsi="Times New Roman" w:eastAsia="仿宋_GB2312" w:cs="Times New Roman"/>
          <w:color w:val="auto"/>
          <w:sz w:val="32"/>
          <w:szCs w:val="32"/>
        </w:rPr>
        <w:t>侵犯农业植物新品种权行为</w:t>
      </w:r>
      <w:r>
        <w:rPr>
          <w:rFonts w:hint="default" w:ascii="Times New Roman" w:hAnsi="Times New Roman" w:eastAsia="仿宋_GB2312" w:cs="Times New Roman"/>
          <w:color w:val="auto"/>
          <w:sz w:val="32"/>
          <w:szCs w:val="32"/>
          <w:lang w:val="en-US" w:eastAsia="zh-CN"/>
        </w:rPr>
        <w:t>等违法行为，全年共出动260人次，检查饲料生产经营企业34家次，发现违法违规经营行为1起，立案1宗，罚没入库3508.3元；检查兽药生产（经营）企业共82家次，发现违法违规经营行为2起，立案2宗，罚没入库2976.6元；立案查处销售种子标签内容不符合规定案1宗，罚没入库10000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color w:val="auto"/>
          <w:sz w:val="32"/>
          <w:szCs w:val="32"/>
        </w:rPr>
      </w:pPr>
      <w:r>
        <w:rPr>
          <w:rFonts w:hint="default" w:ascii="Times New Roman" w:hAnsi="Times New Roman" w:eastAsia="楷体_GB2312" w:cs="Times New Roman"/>
          <w:b w:val="0"/>
          <w:bCs w:val="0"/>
          <w:color w:val="auto"/>
          <w:sz w:val="32"/>
          <w:szCs w:val="32"/>
        </w:rPr>
        <w:t>（三）</w:t>
      </w:r>
      <w:r>
        <w:rPr>
          <w:rFonts w:hint="default" w:ascii="Times New Roman" w:hAnsi="Times New Roman" w:eastAsia="楷体_GB2312" w:cs="Times New Roman"/>
          <w:b w:val="0"/>
          <w:bCs w:val="0"/>
          <w:color w:val="auto"/>
          <w:sz w:val="32"/>
          <w:szCs w:val="32"/>
          <w:lang w:eastAsia="zh-CN"/>
        </w:rPr>
        <w:t>全链条大</w:t>
      </w:r>
      <w:r>
        <w:rPr>
          <w:rFonts w:hint="default" w:ascii="Times New Roman" w:hAnsi="Times New Roman" w:eastAsia="楷体_GB2312" w:cs="Times New Roman"/>
          <w:b w:val="0"/>
          <w:bCs w:val="0"/>
          <w:color w:val="auto"/>
          <w:sz w:val="32"/>
          <w:szCs w:val="32"/>
        </w:rPr>
        <w:t>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构建知识产权信息公共服务网点。</w:t>
      </w:r>
      <w:r>
        <w:rPr>
          <w:rFonts w:hint="default" w:ascii="Times New Roman" w:hAnsi="Times New Roman" w:eastAsia="仿宋_GB2312" w:cs="Times New Roman"/>
          <w:b w:val="0"/>
          <w:bCs w:val="0"/>
          <w:color w:val="auto"/>
          <w:sz w:val="32"/>
          <w:szCs w:val="32"/>
          <w:lang w:eastAsia="zh-CN"/>
        </w:rPr>
        <w:t>辖内4家高校获得“高校国家知识产权信息服务中心”；1家获得“广东省知识产权公共服务网点”；围绕辖区产业园区设立知识产权工作服务站，在元岗智汇Park、前进盈科智谷、科技园管委会、中央商务区管委会等8个园区设立知识产权质押融资服务工作站；构建“一会三站一平台”工作模式，即天河区知识产权联合会、重点产业知识产权保护站、知识产权调解工作站以及商业秘密保护站以及天河区知识产权维权援助平台，多维度为天河区内企业提供公共服务。</w:t>
      </w:r>
    </w:p>
    <w:p>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完善知识产权纠纷</w:t>
      </w:r>
      <w:r>
        <w:rPr>
          <w:rFonts w:hint="default" w:ascii="Times New Roman" w:hAnsi="Times New Roman" w:eastAsia="仿宋_GB2312" w:cs="Times New Roman"/>
          <w:b/>
          <w:bCs/>
          <w:color w:val="auto"/>
          <w:sz w:val="32"/>
          <w:szCs w:val="32"/>
          <w:lang w:eastAsia="zh-CN"/>
        </w:rPr>
        <w:t>化</w:t>
      </w:r>
      <w:r>
        <w:rPr>
          <w:rFonts w:hint="default" w:ascii="Times New Roman" w:hAnsi="Times New Roman" w:eastAsia="仿宋_GB2312" w:cs="Times New Roman"/>
          <w:b/>
          <w:bCs/>
          <w:color w:val="auto"/>
          <w:sz w:val="32"/>
          <w:szCs w:val="32"/>
        </w:rPr>
        <w:t>解机制。</w:t>
      </w:r>
      <w:r>
        <w:rPr>
          <w:rFonts w:hint="default" w:ascii="Times New Roman" w:hAnsi="Times New Roman" w:eastAsia="仿宋_GB2312" w:cs="Times New Roman"/>
          <w:b w:val="0"/>
          <w:bCs w:val="0"/>
          <w:color w:val="auto"/>
          <w:sz w:val="32"/>
          <w:szCs w:val="32"/>
        </w:rPr>
        <w:t>区司法局与区市场监管局共同建设天河区知识产权调解工作站，通过整合资源，实现知识产权领域的人民调解、行政调解、法律咨询、法治宣传等法律服务职能，打造直接面向企事业单位、高校、个人及其他主体的综合性、一站式知识产权法律服务窗口，为涉及天河辖区内自然人、法人和非法人组织的知识产权事宜提供服务。区各人民调解组织</w:t>
      </w:r>
      <w:r>
        <w:rPr>
          <w:rFonts w:hint="default" w:ascii="Times New Roman" w:hAnsi="Times New Roman" w:eastAsia="仿宋_GB2312" w:cs="Times New Roman"/>
          <w:b w:val="0"/>
          <w:bCs w:val="0"/>
          <w:color w:val="auto"/>
          <w:sz w:val="32"/>
          <w:szCs w:val="32"/>
          <w:lang w:eastAsia="zh-CN"/>
        </w:rPr>
        <w:t>全年</w:t>
      </w:r>
      <w:r>
        <w:rPr>
          <w:rFonts w:hint="default" w:ascii="Times New Roman" w:hAnsi="Times New Roman" w:eastAsia="仿宋_GB2312" w:cs="Times New Roman"/>
          <w:b w:val="0"/>
          <w:bCs w:val="0"/>
          <w:color w:val="auto"/>
          <w:sz w:val="32"/>
          <w:szCs w:val="32"/>
        </w:rPr>
        <w:t>共化解知识产权纠纷107件。</w:t>
      </w:r>
    </w:p>
    <w:p>
      <w:pPr>
        <w:pStyle w:val="2"/>
        <w:rPr>
          <w:rFonts w:hint="default" w:ascii="Times New Roman" w:hAnsi="Times New Roman" w:cs="Times New Roman"/>
          <w:color w:val="auto"/>
          <w:lang w:eastAsia="zh-CN"/>
        </w:rPr>
      </w:pPr>
      <w:r>
        <w:rPr>
          <w:rFonts w:hint="default" w:ascii="Times New Roman" w:hAnsi="Times New Roman" w:eastAsia="仿宋_GB2312" w:cs="Times New Roman"/>
          <w:b/>
          <w:bCs/>
          <w:color w:val="auto"/>
          <w:sz w:val="32"/>
          <w:szCs w:val="32"/>
          <w:lang w:eastAsia="zh-CN"/>
        </w:rPr>
        <w:t>巩固软件正版化成果。</w:t>
      </w:r>
      <w:r>
        <w:rPr>
          <w:rFonts w:hint="default" w:ascii="Times New Roman" w:hAnsi="Times New Roman" w:eastAsia="仿宋_GB2312" w:cs="Times New Roman"/>
          <w:color w:val="auto"/>
          <w:sz w:val="32"/>
          <w:szCs w:val="32"/>
          <w:lang w:eastAsia="zh-CN"/>
        </w:rPr>
        <w:t>区版权局</w:t>
      </w:r>
      <w:r>
        <w:rPr>
          <w:rFonts w:hint="default" w:ascii="Times New Roman" w:hAnsi="Times New Roman" w:eastAsia="仿宋_GB2312" w:cs="Times New Roman"/>
          <w:color w:val="auto"/>
          <w:sz w:val="32"/>
          <w:szCs w:val="32"/>
          <w:lang w:eastAsia="zh-CN" w:bidi="ar"/>
        </w:rPr>
        <w:t>稳步</w:t>
      </w:r>
      <w:r>
        <w:rPr>
          <w:rFonts w:hint="default" w:ascii="Times New Roman" w:hAnsi="Times New Roman" w:eastAsia="仿宋_GB2312" w:cs="Times New Roman"/>
          <w:color w:val="auto"/>
          <w:sz w:val="32"/>
          <w:szCs w:val="32"/>
          <w:lang w:bidi="ar"/>
        </w:rPr>
        <w:t>推进软件正版化工作</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b w:val="0"/>
          <w:bCs w:val="0"/>
          <w:color w:val="auto"/>
          <w:sz w:val="32"/>
          <w:szCs w:val="32"/>
          <w:lang w:eastAsia="zh-CN"/>
        </w:rPr>
        <w:t>落实软件正版化采购，为区内党政机关采购WPS办公套装软件场地使用许可权（2023-2026），供全区党政机关和各部门使用，同时落实采购电脑时必须装配正版操作系统的工作要求，全力保障软件正版化正本清源；强化业务培训，组织开展全区党政机关及重点企业软件正版化工作培训，传达学习国家、省、市对推进使用正版软件工作的相关会议精神，推进全区软件正版化工作向纵深发展；加强督导检查，开展全区机关和重点企业软件正版化全覆盖检查工作，采取听取情况介绍、查阅文件资料、实地上机检测、现场反馈意见等方式，对通用的操作系统、办公及杀毒软件进行重点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32"/>
          <w:szCs w:val="32"/>
          <w:lang w:eastAsia="zh-CN"/>
        </w:rPr>
        <w:t>推进知识产权安全体系和能力现代化。</w:t>
      </w:r>
      <w:r>
        <w:rPr>
          <w:rFonts w:hint="default" w:ascii="Times New Roman" w:hAnsi="Times New Roman" w:eastAsia="仿宋_GB2312" w:cs="Times New Roman"/>
          <w:b w:val="0"/>
          <w:bCs w:val="0"/>
          <w:color w:val="auto"/>
          <w:sz w:val="32"/>
          <w:szCs w:val="32"/>
          <w:lang w:eastAsia="zh-CN"/>
        </w:rPr>
        <w:t>以天河南街为</w:t>
      </w:r>
      <w:r>
        <w:rPr>
          <w:rFonts w:hint="eastAsia" w:ascii="Times New Roman" w:hAnsi="Times New Roman" w:eastAsia="仿宋_GB2312" w:cs="Times New Roman"/>
          <w:b w:val="0"/>
          <w:bCs w:val="0"/>
          <w:color w:val="auto"/>
          <w:sz w:val="32"/>
          <w:szCs w:val="32"/>
          <w:lang w:eastAsia="zh-CN"/>
        </w:rPr>
        <w:t>代表</w:t>
      </w:r>
      <w:r>
        <w:rPr>
          <w:rFonts w:hint="default" w:ascii="Times New Roman" w:hAnsi="Times New Roman" w:eastAsia="仿宋_GB2312" w:cs="Times New Roman"/>
          <w:b w:val="0"/>
          <w:bCs w:val="0"/>
          <w:color w:val="auto"/>
          <w:sz w:val="32"/>
          <w:szCs w:val="32"/>
          <w:lang w:eastAsia="zh-CN"/>
        </w:rPr>
        <w:t>，创立综合治理新平台。创新联勤执法的管理模式，整合街道执法办等有关行政执法资源，建立与派出所、市场监管所等职能部门的联动机制，打造“一支队伍管到底，一支队伍管全面”的执法工作方式，及时发现和制止侵犯知识产权的行为。利用线上科技资源（公安视频监控、高位全景摄相头、商家视频等系统），基本实现一个大脑高度融合、快速智能指挥调度，做到全覆盖、全天候、无死角地收集处理信息</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利用线下人力资源（路面巡逻、社区网格化管理），及时掌握辖区知识产权工作动态。通过微信执法工作调度群、街道综合指挥平台迅速反馈有关情况，随时指挥调度，快速处理，有效震慑各种违法违规侵权行为，多措并举综合治理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color w:val="auto"/>
          <w:sz w:val="32"/>
          <w:szCs w:val="32"/>
        </w:rPr>
        <w:t>）协同</w:t>
      </w:r>
      <w:r>
        <w:rPr>
          <w:rFonts w:hint="default" w:ascii="Times New Roman" w:hAnsi="Times New Roman" w:eastAsia="楷体_GB2312" w:cs="Times New Roman"/>
          <w:b w:val="0"/>
          <w:bCs w:val="0"/>
          <w:color w:val="auto"/>
          <w:sz w:val="32"/>
          <w:szCs w:val="32"/>
          <w:lang w:eastAsia="zh-CN"/>
        </w:rPr>
        <w:t>快</w:t>
      </w:r>
      <w:r>
        <w:rPr>
          <w:rFonts w:hint="default" w:ascii="Times New Roman" w:hAnsi="Times New Roman" w:eastAsia="楷体_GB2312" w:cs="Times New Roman"/>
          <w:b w:val="0"/>
          <w:bCs w:val="0"/>
          <w:color w:val="auto"/>
          <w:sz w:val="32"/>
          <w:szCs w:val="32"/>
        </w:rPr>
        <w:t>保护</w:t>
      </w:r>
    </w:p>
    <w:p>
      <w:pPr>
        <w:widowControl w:val="0"/>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推动行政、仲裁、司法有机衔接，强化知识产权协同保护。</w:t>
      </w:r>
      <w:r>
        <w:rPr>
          <w:rFonts w:hint="default" w:ascii="Times New Roman" w:hAnsi="Times New Roman" w:eastAsia="仿宋_GB2312" w:cs="Times New Roman"/>
          <w:color w:val="auto"/>
          <w:sz w:val="32"/>
          <w:szCs w:val="32"/>
          <w:lang w:val="en-US" w:eastAsia="zh-CN"/>
        </w:rPr>
        <w:t>区市场监管局“建立‘三个通道’推动知识产权协同保护”获评2022年度广东省知识产权基层改革创新重大举措。</w:t>
      </w:r>
    </w:p>
    <w:p>
      <w:pPr>
        <w:widowControl w:val="0"/>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一是与广州知识产权法院合作，首创知识产权诉讼案件转为行政投诉案件的办案新模式。</w:t>
      </w:r>
      <w:r>
        <w:rPr>
          <w:rFonts w:hint="default" w:ascii="Times New Roman" w:hAnsi="Times New Roman" w:eastAsia="仿宋_GB2312" w:cs="Times New Roman"/>
          <w:color w:val="auto"/>
          <w:sz w:val="32"/>
          <w:szCs w:val="32"/>
          <w:lang w:val="en-US" w:eastAsia="zh-CN"/>
        </w:rPr>
        <w:t>建立联合专家组，制定《天河区专利线索行政处理指南》，早期介入诉前处理，通过初筛案源、研判选定案件、技术性洽谈原告、撤讼并转为行政受理、快速行政立案等环环相扣步骤，开创出知识产权诉讼案件转为行政投诉案件的办案新模式。</w:t>
      </w:r>
    </w:p>
    <w:p>
      <w:pPr>
        <w:widowControl w:val="0"/>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二是与广州仲裁委员会合作，首创知识产权行政投诉案件转为仲裁调解案件的办案新模式。</w:t>
      </w:r>
      <w:r>
        <w:rPr>
          <w:rFonts w:hint="default" w:ascii="Times New Roman" w:hAnsi="Times New Roman" w:eastAsia="仿宋_GB2312" w:cs="Times New Roman"/>
          <w:color w:val="auto"/>
          <w:sz w:val="32"/>
          <w:szCs w:val="32"/>
          <w:lang w:val="en-US" w:eastAsia="zh-CN"/>
        </w:rPr>
        <w:t>签订《知识产权仲裁战略合作框架协议》，建成立联合专家组，在尊重当事人意愿的前提下，促成双方将适合仲裁调解的案件推送至广州仲裁委员会在线争议解决平台（ODR）进行仲裁调解处理，推动“实现行政查处、行政调解和仲裁相结合，线上线下相结合的有机统一”真正落地，开创了知识产权行政投诉案件转为仲裁调解案件的办案新模式。</w:t>
      </w:r>
    </w:p>
    <w:p>
      <w:pPr>
        <w:widowControl w:val="0"/>
        <w:spacing w:line="600" w:lineRule="exact"/>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三是与天河区人民法院合作，首创“行政处罚+行政调解+司法确认”的知识产权办案新模式。</w:t>
      </w:r>
      <w:r>
        <w:rPr>
          <w:rFonts w:hint="default" w:ascii="Times New Roman" w:hAnsi="Times New Roman" w:eastAsia="仿宋_GB2312" w:cs="Times New Roman"/>
          <w:color w:val="auto"/>
          <w:sz w:val="32"/>
          <w:szCs w:val="32"/>
          <w:lang w:val="en-US" w:eastAsia="zh-CN"/>
        </w:rPr>
        <w:t>对同时侵害公共利益和民事权益的知识产权案件，依法予以行政处罚；并联合天河区知识产权联合会人民调解委员会积极开展行政调解；同时对接区法院，完成行政调解协议的司法确认，赋予调解协议强制执行力，开创了“行政处罚+行政调解+司法确认”的知识产权办案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三、知识产权运用</w:t>
      </w:r>
    </w:p>
    <w:p>
      <w:pPr>
        <w:keepNext w:val="0"/>
        <w:keepLines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推进天河高新区知识产权协同运营中心建设。</w:t>
      </w:r>
      <w:r>
        <w:rPr>
          <w:rFonts w:hint="default" w:ascii="Times New Roman" w:hAnsi="Times New Roman" w:eastAsia="仿宋_GB2312" w:cs="Times New Roman"/>
          <w:color w:val="auto"/>
          <w:sz w:val="32"/>
          <w:szCs w:val="32"/>
          <w:lang w:val="en-US" w:eastAsia="zh-CN"/>
        </w:rPr>
        <w:t>持续运营天河高新区知识产权公共服务站点、线上综合服务平台，开展知识产权驻点服务，为高新区创新主体提供实务培训、专利转化、质押融资、维权援助等综合性知识产权服务。</w:t>
      </w:r>
    </w:p>
    <w:p>
      <w:pPr>
        <w:keepNext w:val="0"/>
        <w:keepLines w:val="0"/>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开展质押融资“入园惠企”。</w:t>
      </w:r>
      <w:r>
        <w:rPr>
          <w:rFonts w:hint="default" w:ascii="Times New Roman" w:hAnsi="Times New Roman" w:eastAsia="仿宋_GB2312" w:cs="Times New Roman"/>
          <w:color w:val="auto"/>
          <w:sz w:val="32"/>
          <w:szCs w:val="32"/>
          <w:lang w:val="en-US" w:eastAsia="zh-CN"/>
        </w:rPr>
        <w:t>在元岗智汇Park等园区举办“入园惠企”知识产权质押融资政策宣讲会，强化“政企银保服”联动，推动区域知识产权质押融资规模较快增长。全年共完成知识产权质押融资金额5</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亿元，其中专利质押融资金额5</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亿元、商标质押融资金额0.9</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亿元，居全市第二。</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实施专利转化许可。</w:t>
      </w:r>
      <w:r>
        <w:rPr>
          <w:rFonts w:hint="eastAsia" w:ascii="仿宋_GB2312" w:hAnsi="仿宋_GB2312" w:eastAsia="仿宋_GB2312" w:cs="仿宋_GB2312"/>
          <w:color w:val="auto"/>
          <w:sz w:val="32"/>
          <w:szCs w:val="32"/>
          <w:lang w:val="en-US" w:eastAsia="zh-CN"/>
        </w:rPr>
        <w:t>组织软件与信息服务产业、智能家电行业、新一代信息技术等领域开展校企对接活动、专利成果推介会共5场。促成天河区企事业单位实现专利权转让、许可</w:t>
      </w:r>
      <w:r>
        <w:rPr>
          <w:rFonts w:hint="eastAsia" w:ascii="仿宋_GB2312" w:hAnsi="仿宋_GB2312" w:eastAsia="仿宋_GB2312" w:cs="仿宋_GB2312"/>
          <w:color w:val="auto"/>
          <w:sz w:val="32"/>
          <w:szCs w:val="32"/>
          <w:highlight w:val="none"/>
          <w:lang w:val="en-US" w:eastAsia="zh-CN"/>
        </w:rPr>
        <w:t>181项，并在国家知识产</w:t>
      </w:r>
      <w:bookmarkStart w:id="0" w:name="_GoBack"/>
      <w:bookmarkEnd w:id="0"/>
      <w:r>
        <w:rPr>
          <w:rFonts w:hint="eastAsia" w:ascii="仿宋_GB2312" w:hAnsi="仿宋_GB2312" w:eastAsia="仿宋_GB2312" w:cs="仿宋_GB2312"/>
          <w:color w:val="auto"/>
          <w:sz w:val="32"/>
          <w:szCs w:val="32"/>
          <w:highlight w:val="none"/>
          <w:lang w:val="en-US" w:eastAsia="zh-CN"/>
        </w:rPr>
        <w:t>权局登记备案，交易金额共计1512.28万元。2023年天河区完成专利转让5127笔次，专利许可221笔次。搭建专利开放许可展示运营平台，运用大数据、人工智能等新技术，按产业细分</w:t>
      </w:r>
      <w:r>
        <w:rPr>
          <w:rFonts w:hint="eastAsia" w:ascii="仿宋_GB2312" w:hAnsi="仿宋_GB2312" w:eastAsia="仿宋_GB2312" w:cs="仿宋_GB2312"/>
          <w:color w:val="auto"/>
          <w:sz w:val="32"/>
          <w:szCs w:val="32"/>
          <w:lang w:val="en-US" w:eastAsia="zh-CN"/>
        </w:rPr>
        <w:t>领域向企业匹配推送；畅通开放许可流程、打通关键堵点，形成天河特色的专利开放许可工作机制。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推动知识产权证券化。</w:t>
      </w:r>
      <w:r>
        <w:rPr>
          <w:rFonts w:hint="eastAsia" w:ascii="仿宋_GB2312" w:hAnsi="仿宋_GB2312" w:eastAsia="仿宋_GB2312" w:cs="仿宋_GB2312"/>
          <w:color w:val="auto"/>
          <w:sz w:val="32"/>
          <w:szCs w:val="32"/>
          <w:lang w:val="en-US" w:eastAsia="zh-CN"/>
        </w:rPr>
        <w:t>坚持政府引导、市场主导原则，引导推动区内富有知识产权的科技型中小企业积极参与，制定方案措施，完善政策保障；推动知识产权服务机构牵头，协调金融、企业、院所、中介服务等各类市场主体分工协作，形成市场化、综合化、可持续、可复制的知识产权证券化模式。全区首支知识产权证券化产品已通过深圳证券交易所的初审，并获得该所发出的《挂牌条件无异议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四、知识产权管理和服务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kern w:val="2"/>
          <w:sz w:val="32"/>
          <w:szCs w:val="32"/>
          <w:lang w:bidi="ar-SA"/>
        </w:rPr>
        <w:t>维护知识产权创造秩序。</w:t>
      </w:r>
      <w:r>
        <w:rPr>
          <w:rFonts w:hint="eastAsia" w:ascii="仿宋_GB2312" w:hAnsi="仿宋_GB2312" w:eastAsia="仿宋_GB2312" w:cs="仿宋_GB2312"/>
          <w:color w:val="auto"/>
          <w:sz w:val="32"/>
          <w:szCs w:val="32"/>
          <w:lang w:val="en-US" w:eastAsia="zh-CN"/>
        </w:rPr>
        <w:t>开展“蓝天”专项整治行动和12批次省局前端排查、3批次非正常专利申请专项整治，对3805件省局前端排查和1096件国家非正常专利申请通过电话联系、实地核查等方式，督促其主动撤回申请共计4075件，保护正常创新活动，为企业创新发展营造良好空间。严格规范专利申请行为，严厉打击不以保护创新为目的的非正常专利申请行为和不以使用为目的的恶意商标注册行为，促进知识产权高质量发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bidi="ar-SA"/>
        </w:rPr>
      </w:pPr>
      <w:r>
        <w:rPr>
          <w:rFonts w:hint="default" w:ascii="Times New Roman" w:hAnsi="Times New Roman" w:eastAsia="仿宋_GB2312" w:cs="Times New Roman"/>
          <w:color w:val="auto"/>
          <w:kern w:val="2"/>
          <w:sz w:val="32"/>
          <w:szCs w:val="32"/>
          <w:lang w:bidi="ar-SA"/>
        </w:rPr>
        <w:t>参加国家知识产权</w:t>
      </w:r>
      <w:r>
        <w:rPr>
          <w:rFonts w:hint="default" w:ascii="Times New Roman" w:hAnsi="Times New Roman" w:eastAsia="仿宋_GB2312" w:cs="Times New Roman"/>
          <w:color w:val="auto"/>
          <w:kern w:val="2"/>
          <w:sz w:val="32"/>
          <w:szCs w:val="32"/>
          <w:lang w:eastAsia="zh-CN" w:bidi="ar-SA"/>
        </w:rPr>
        <w:t>总</w:t>
      </w:r>
      <w:r>
        <w:rPr>
          <w:rFonts w:hint="default" w:ascii="Times New Roman" w:hAnsi="Times New Roman" w:eastAsia="仿宋_GB2312" w:cs="Times New Roman"/>
          <w:color w:val="auto"/>
          <w:kern w:val="2"/>
          <w:sz w:val="32"/>
          <w:szCs w:val="32"/>
          <w:lang w:bidi="ar-SA"/>
        </w:rPr>
        <w:t>局组织</w:t>
      </w:r>
      <w:r>
        <w:rPr>
          <w:rFonts w:hint="default" w:ascii="Times New Roman" w:hAnsi="Times New Roman" w:eastAsia="仿宋_GB2312" w:cs="Times New Roman"/>
          <w:color w:val="auto"/>
          <w:kern w:val="2"/>
          <w:sz w:val="32"/>
          <w:szCs w:val="32"/>
          <w:lang w:eastAsia="zh-CN" w:bidi="ar-SA"/>
        </w:rPr>
        <w:t>的</w:t>
      </w:r>
      <w:r>
        <w:rPr>
          <w:rFonts w:hint="default" w:ascii="Times New Roman" w:hAnsi="Times New Roman" w:eastAsia="仿宋_GB2312" w:cs="Times New Roman"/>
          <w:color w:val="auto"/>
          <w:kern w:val="2"/>
          <w:sz w:val="32"/>
          <w:szCs w:val="32"/>
          <w:lang w:bidi="ar-SA"/>
        </w:rPr>
        <w:t>14省市单位跨区域“双随机、一公开”监督检查行动，随机抽取天河辖区2家知识产权服务机构进行调研座谈，4家商标代理机构进行现场检查。</w:t>
      </w:r>
      <w:r>
        <w:rPr>
          <w:rFonts w:hint="eastAsia" w:ascii="仿宋_GB2312" w:hAnsi="仿宋_GB2312" w:eastAsia="仿宋_GB2312" w:cs="仿宋_GB2312"/>
          <w:color w:val="auto"/>
          <w:kern w:val="2"/>
          <w:sz w:val="32"/>
          <w:szCs w:val="32"/>
          <w:lang w:val="en-US" w:eastAsia="zh-CN" w:bidi="ar-SA"/>
        </w:rPr>
        <w:t>开展“双随机、一公开”检查。全年开展专利代理机构检查13家次，商标代理机构187家次。</w:t>
      </w:r>
    </w:p>
    <w:p>
      <w:pPr>
        <w:keepNext w:val="0"/>
        <w:keepLines w:val="0"/>
        <w:pageBreakBefore w:val="0"/>
        <w:widowControl/>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kern w:val="2"/>
          <w:sz w:val="32"/>
          <w:szCs w:val="32"/>
          <w:lang w:bidi="ar-SA"/>
        </w:rPr>
        <w:t>上线运营知识产权维权援助信息化平台。</w:t>
      </w:r>
      <w:r>
        <w:rPr>
          <w:rFonts w:hint="default" w:ascii="Times New Roman" w:hAnsi="Times New Roman" w:eastAsia="仿宋_GB2312" w:cs="Times New Roman"/>
          <w:b w:val="0"/>
          <w:bCs w:val="0"/>
          <w:color w:val="auto"/>
          <w:kern w:val="2"/>
          <w:sz w:val="32"/>
          <w:szCs w:val="32"/>
          <w:lang w:bidi="ar-SA"/>
        </w:rPr>
        <w:t>全面加强知识产权公共服务智能化建设，全方位整合天河区知识产权相关人才、专家、师资、代理机构等资源并建立相应的智库、信息库，为执法人员及企业提供在线知识产权信息检索、法律咨询等综合性维权服务。平台新增注册用户超过300人，用户使用平台维权咨询功能发起法律咨询共380条，其中线上咨询转线下案件处理15宗，平台总答复率达到100%以上，有效推动线上线下综合维权服务融合发展。</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知识产权</w:t>
      </w:r>
      <w:r>
        <w:rPr>
          <w:rFonts w:hint="default" w:ascii="Times New Roman" w:hAnsi="Times New Roman" w:eastAsia="黑体" w:cs="Times New Roman"/>
          <w:color w:val="auto"/>
          <w:sz w:val="32"/>
          <w:szCs w:val="32"/>
          <w:lang w:eastAsia="zh-CN"/>
        </w:rPr>
        <w:t>文化建设</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eastAsia="zh-CN"/>
        </w:rPr>
        <w:t>广泛化</w:t>
      </w:r>
      <w:r>
        <w:rPr>
          <w:rFonts w:hint="default" w:ascii="Times New Roman" w:hAnsi="Times New Roman" w:eastAsia="仿宋_GB2312" w:cs="Times New Roman"/>
          <w:b/>
          <w:bCs/>
          <w:color w:val="auto"/>
          <w:sz w:val="32"/>
          <w:szCs w:val="32"/>
          <w:lang w:eastAsia="zh-CN"/>
        </w:rPr>
        <w:t>宣传。</w:t>
      </w:r>
      <w:r>
        <w:rPr>
          <w:rFonts w:hint="default" w:ascii="Times New Roman" w:hAnsi="Times New Roman" w:eastAsia="仿宋_GB2312" w:cs="Times New Roman"/>
          <w:b w:val="0"/>
          <w:bCs w:val="0"/>
          <w:color w:val="auto"/>
          <w:sz w:val="32"/>
          <w:szCs w:val="32"/>
          <w:lang w:eastAsia="zh-CN"/>
        </w:rPr>
        <w:t>区知识产权领导小组多个成员单位共同组织开展“天河智造，知引未来”知识产权宣传周主题活动、“我与原创有个约会”线上音乐会、知识产权金融培训等活动，举行知识产权高质量创造奖颁奖、天河区知识产权维权援助平台上线发布、国家知识产权强县建设试点县启动等三大仪式，设计天河区知识产权强区建设宣传展板，多平台、多角度开展知识产权公益宣传，持续营造尊重知识、崇尚创新、诚信守法的良好营商环境。《穗府信息》《天河信息》、广州日报、南方都市报、新快报等平台逾10次刊登天河区知识产权工作动态</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分众化宣传。</w:t>
      </w:r>
      <w:r>
        <w:rPr>
          <w:rFonts w:hint="default" w:ascii="Times New Roman" w:hAnsi="Times New Roman" w:eastAsia="仿宋_GB2312" w:cs="Times New Roman"/>
          <w:b w:val="0"/>
          <w:bCs w:val="0"/>
          <w:color w:val="auto"/>
          <w:sz w:val="32"/>
          <w:szCs w:val="32"/>
          <w:lang w:eastAsia="zh-CN"/>
        </w:rPr>
        <w:t>区农业农村局开展种业知识产权保护政策宣传，开展新修订《中华人民共和国种子法》《广东省种子条例》及其配套规章的宣贯活动，积极宣传种业知识产权保护内容；强化涉农企业知识产权宣传，促进涉农企业了解商标、专利申请和保护的政策、指南等，提供知识产权咨询、维权援助端口、侵权应对能力提升实务等内容。</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普教化宣传。</w:t>
      </w:r>
      <w:r>
        <w:rPr>
          <w:rFonts w:hint="default" w:ascii="Times New Roman" w:hAnsi="Times New Roman" w:eastAsia="仿宋_GB2312" w:cs="Times New Roman"/>
          <w:b w:val="0"/>
          <w:bCs w:val="0"/>
          <w:color w:val="auto"/>
          <w:sz w:val="32"/>
          <w:szCs w:val="32"/>
          <w:lang w:eastAsia="zh-CN"/>
        </w:rPr>
        <w:t>区教育局</w:t>
      </w:r>
      <w:r>
        <w:rPr>
          <w:rFonts w:hint="default" w:ascii="Times New Roman" w:hAnsi="Times New Roman" w:eastAsia="仿宋_GB2312" w:cs="Times New Roman"/>
          <w:b w:val="0"/>
          <w:bCs w:val="0"/>
          <w:color w:val="auto"/>
          <w:sz w:val="32"/>
          <w:szCs w:val="31"/>
        </w:rPr>
        <w:t>在全区中小学中开展以“</w:t>
      </w:r>
      <w:r>
        <w:rPr>
          <w:rFonts w:hint="default" w:ascii="Times New Roman" w:hAnsi="Times New Roman" w:eastAsia="仿宋_GB2312" w:cs="Times New Roman"/>
          <w:b w:val="0"/>
          <w:bCs w:val="0"/>
          <w:color w:val="auto"/>
          <w:sz w:val="32"/>
          <w:szCs w:val="31"/>
          <w:lang w:eastAsia="zh-CN"/>
        </w:rPr>
        <w:t>保护知识产权</w:t>
      </w:r>
      <w:r>
        <w:rPr>
          <w:rFonts w:hint="default" w:ascii="Times New Roman" w:hAnsi="Times New Roman" w:eastAsia="仿宋_GB2312" w:cs="Times New Roman"/>
          <w:b w:val="0"/>
          <w:bCs w:val="0"/>
          <w:color w:val="auto"/>
          <w:sz w:val="32"/>
          <w:szCs w:val="31"/>
          <w:lang w:val="en-US" w:eastAsia="zh-CN"/>
        </w:rPr>
        <w:t xml:space="preserve"> 践行科技创新 享受智慧生活</w:t>
      </w:r>
      <w:r>
        <w:rPr>
          <w:rFonts w:hint="default" w:ascii="Times New Roman" w:hAnsi="Times New Roman" w:eastAsia="仿宋_GB2312" w:cs="Times New Roman"/>
          <w:b w:val="0"/>
          <w:bCs w:val="0"/>
          <w:color w:val="auto"/>
          <w:sz w:val="32"/>
          <w:szCs w:val="31"/>
        </w:rPr>
        <w:t>”为主题的教育</w:t>
      </w:r>
      <w:r>
        <w:rPr>
          <w:rFonts w:hint="default" w:ascii="Times New Roman" w:hAnsi="Times New Roman" w:eastAsia="仿宋_GB2312" w:cs="Times New Roman"/>
          <w:b w:val="0"/>
          <w:bCs w:val="0"/>
          <w:color w:val="auto"/>
          <w:sz w:val="32"/>
          <w:szCs w:val="31"/>
          <w:lang w:eastAsia="zh-CN"/>
        </w:rPr>
        <w:t>系列</w:t>
      </w:r>
      <w:r>
        <w:rPr>
          <w:rFonts w:hint="default" w:ascii="Times New Roman" w:hAnsi="Times New Roman" w:eastAsia="仿宋_GB2312" w:cs="Times New Roman"/>
          <w:b w:val="0"/>
          <w:bCs w:val="0"/>
          <w:color w:val="auto"/>
          <w:sz w:val="32"/>
          <w:szCs w:val="31"/>
        </w:rPr>
        <w:t>活动</w:t>
      </w:r>
      <w:r>
        <w:rPr>
          <w:rFonts w:hint="default" w:ascii="Times New Roman" w:hAnsi="Times New Roman" w:eastAsia="仿宋_GB2312" w:cs="Times New Roman"/>
          <w:b w:val="0"/>
          <w:bCs w:val="0"/>
          <w:color w:val="auto"/>
          <w:sz w:val="32"/>
          <w:szCs w:val="31"/>
          <w:lang w:eastAsia="zh-CN"/>
        </w:rPr>
        <w:t>，</w:t>
      </w:r>
      <w:r>
        <w:rPr>
          <w:rFonts w:hint="default" w:ascii="Times New Roman" w:hAnsi="Times New Roman" w:eastAsia="仿宋_GB2312" w:cs="Times New Roman"/>
          <w:color w:val="auto"/>
          <w:sz w:val="32"/>
          <w:szCs w:val="31"/>
          <w:lang w:eastAsia="zh-CN"/>
        </w:rPr>
        <w:t>实现了知识产权教育广泛普及</w:t>
      </w:r>
      <w:r>
        <w:rPr>
          <w:rFonts w:hint="default" w:ascii="Times New Roman" w:hAnsi="Times New Roman" w:eastAsia="仿宋_GB2312" w:cs="Times New Roman"/>
          <w:b w:val="0"/>
          <w:bCs w:val="0"/>
          <w:color w:val="auto"/>
          <w:sz w:val="32"/>
          <w:szCs w:val="32"/>
          <w:lang w:eastAsia="zh-CN"/>
        </w:rPr>
        <w:t>。大力支持学校开展科研项目，鼓励师生申请专利，在5个区赛事中设置了知识产权专利相关赛项。组织6</w:t>
      </w:r>
      <w:r>
        <w:rPr>
          <w:rFonts w:hint="eastAsia" w:ascii="Times New Roman" w:hAnsi="Times New Roman" w:eastAsia="仿宋_GB2312" w:cs="Times New Roman"/>
          <w:b w:val="0"/>
          <w:bCs w:val="0"/>
          <w:color w:val="auto"/>
          <w:sz w:val="32"/>
          <w:szCs w:val="32"/>
          <w:lang w:eastAsia="zh-CN"/>
        </w:rPr>
        <w:t>场</w:t>
      </w:r>
      <w:r>
        <w:rPr>
          <w:rFonts w:hint="default" w:ascii="Times New Roman" w:hAnsi="Times New Roman" w:eastAsia="仿宋_GB2312" w:cs="Times New Roman"/>
          <w:b w:val="0"/>
          <w:bCs w:val="0"/>
          <w:color w:val="auto"/>
          <w:sz w:val="32"/>
          <w:szCs w:val="32"/>
          <w:lang w:eastAsia="zh-CN"/>
        </w:rPr>
        <w:t>覆盖小学到高中的知识产权培训和知识产权进校园活动，大大提高学校科研管理人员和教师的知识产权素养。</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警示化宣传。</w:t>
      </w:r>
      <w:r>
        <w:rPr>
          <w:rFonts w:hint="default" w:ascii="Times New Roman" w:hAnsi="Times New Roman" w:eastAsia="仿宋_GB2312" w:cs="Times New Roman"/>
          <w:b w:val="0"/>
          <w:bCs w:val="0"/>
          <w:color w:val="auto"/>
          <w:sz w:val="32"/>
          <w:szCs w:val="32"/>
          <w:lang w:val="en-US" w:eastAsia="zh-CN"/>
        </w:rPr>
        <w:t>区法院在“2023年岭南知识产权诉讼大会”分享关于优衣库公司因遭受侵权人的恶意诉讼提起“因恶意提起知识产权诉讼损害责任纠纷”一案诉讼，达到“以案释法、以案普法”的良好宣传效果。先后在人民日报、南方都市报刊登腾讯公司与银光公司、谢荣著作权侵权及不正当竞争纠纷案。</w:t>
      </w:r>
      <w:r>
        <w:rPr>
          <w:rFonts w:hint="eastAsia" w:ascii="Times New Roman" w:hAnsi="Times New Roman" w:eastAsia="仿宋_GB2312" w:cs="Times New Roman"/>
          <w:b w:val="0"/>
          <w:bCs w:val="0"/>
          <w:color w:val="auto"/>
          <w:sz w:val="32"/>
          <w:szCs w:val="32"/>
          <w:lang w:val="en-US" w:eastAsia="zh-CN"/>
        </w:rPr>
        <w:t>区检察院</w:t>
      </w:r>
      <w:r>
        <w:rPr>
          <w:rFonts w:hint="default" w:ascii="Times New Roman" w:hAnsi="Times New Roman" w:eastAsia="仿宋_GB2312" w:cs="Times New Roman"/>
          <w:color w:val="auto"/>
          <w:kern w:val="2"/>
          <w:sz w:val="32"/>
          <w:szCs w:val="32"/>
          <w:highlight w:val="none"/>
          <w:lang w:val="en-US" w:eastAsia="zh-CN" w:bidi="ar-SA"/>
        </w:rPr>
        <w:t>联合区工商联</w:t>
      </w:r>
      <w:r>
        <w:rPr>
          <w:rFonts w:hint="eastAsia" w:ascii="Times New Roman" w:hAnsi="Times New Roman" w:eastAsia="仿宋_GB2312" w:cs="Times New Roman"/>
          <w:color w:val="auto"/>
          <w:kern w:val="2"/>
          <w:sz w:val="32"/>
          <w:szCs w:val="32"/>
          <w:highlight w:val="none"/>
          <w:lang w:val="en-US" w:eastAsia="zh-CN" w:bidi="ar-SA"/>
        </w:rPr>
        <w:t>区</w:t>
      </w:r>
      <w:r>
        <w:rPr>
          <w:rFonts w:hint="default" w:ascii="Times New Roman" w:hAnsi="Times New Roman" w:eastAsia="仿宋_GB2312" w:cs="Times New Roman"/>
          <w:color w:val="auto"/>
          <w:kern w:val="2"/>
          <w:sz w:val="32"/>
          <w:szCs w:val="32"/>
          <w:highlight w:val="none"/>
          <w:lang w:val="en-US" w:eastAsia="zh-CN" w:bidi="ar-SA"/>
        </w:rPr>
        <w:t>行业协会开展“普法进企业”活动，通过典型案例宣讲、专题辅导等方式帮助网易、酷狗、优视等高新科技企业完善保密措施及内控机制，提高企业知识产权自我保护能力。</w:t>
      </w:r>
    </w:p>
    <w:p>
      <w:pPr>
        <w:keepNext w:val="0"/>
        <w:keepLines w:val="0"/>
        <w:pageBreakBefore w:val="0"/>
        <w:widowControl/>
        <w:numPr>
          <w:ilvl w:val="0"/>
          <w:numId w:val="0"/>
        </w:numPr>
        <w:pBdr>
          <w:top w:val="none" w:color="000000" w:sz="0" w:space="0"/>
          <w:left w:val="none" w:color="000000" w:sz="0" w:space="0"/>
          <w:bottom w:val="none" w:color="000000" w:sz="0" w:space="31"/>
          <w:right w:val="none" w:color="000000" w:sz="0" w:space="0"/>
        </w:pBdr>
        <w:kinsoku/>
        <w:wordWrap/>
        <w:overflowPunct/>
        <w:topLinePunct/>
        <w:autoSpaceDE w:val="0"/>
        <w:autoSpaceDN w:val="0"/>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b/>
          <w:bCs/>
          <w:color w:val="auto"/>
          <w:sz w:val="32"/>
          <w:szCs w:val="32"/>
          <w:highlight w:val="none"/>
          <w:lang w:val="en-US" w:eastAsia="zh-CN"/>
        </w:rPr>
        <w:t>专业化宣传</w:t>
      </w:r>
      <w:r>
        <w:rPr>
          <w:rFonts w:hint="default" w:ascii="Times New Roman" w:hAnsi="Times New Roman" w:eastAsia="仿宋_GB2312" w:cs="Times New Roman"/>
          <w:b/>
          <w:bCs/>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区工商联上下联动协同举办“送法明规助企飞”之知识产权加速企业创新创造主题分享活动，协调解决民营企业知识产权受侵的问题，配合市工商联收集企业自主品牌遭到假冒侵权现象的情况。前进街道商会联合省知识产权保护中心等单位举办“知识产权进园区”培训活动，采取“线下+线上”相结合的方式开展，邀请具有专业经验的老师在知识产权成本管理、知识产权助力专业技术人才提升、商标申请、知识产权鉴定实务、企业商业秘密管理等方面给企业作现场培训分享。</w:t>
      </w:r>
    </w:p>
    <w:p>
      <w:pPr>
        <w:rPr>
          <w:rFonts w:hint="default"/>
          <w:color w:val="auto"/>
        </w:rPr>
      </w:pPr>
    </w:p>
    <w:sectPr>
      <w:headerReference r:id="rId4" w:type="default"/>
      <w:footerReference r:id="rId5" w:type="default"/>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4148A"/>
    <w:multiLevelType w:val="singleLevel"/>
    <w:tmpl w:val="2334148A"/>
    <w:lvl w:ilvl="0" w:tentative="0">
      <w:start w:val="1"/>
      <w:numFmt w:val="chineseCounting"/>
      <w:suff w:val="nothing"/>
      <w:lvlText w:val="%1、"/>
      <w:lvlJc w:val="left"/>
      <w:rPr>
        <w:rFonts w:hint="eastAsia" w:ascii="仿宋_GB2312" w:hAnsi="仿宋_GB2312" w:eastAsia="仿宋_GB2312" w:cs="仿宋_GB2312"/>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18"/>
    <w:rsid w:val="00197A2D"/>
    <w:rsid w:val="0020466B"/>
    <w:rsid w:val="00292FDC"/>
    <w:rsid w:val="003675E8"/>
    <w:rsid w:val="00380602"/>
    <w:rsid w:val="00406D2C"/>
    <w:rsid w:val="007372B0"/>
    <w:rsid w:val="00896620"/>
    <w:rsid w:val="00897072"/>
    <w:rsid w:val="00955518"/>
    <w:rsid w:val="00A30BCD"/>
    <w:rsid w:val="00C1353A"/>
    <w:rsid w:val="00CC1787"/>
    <w:rsid w:val="00CC555D"/>
    <w:rsid w:val="00D8596D"/>
    <w:rsid w:val="00DB58DE"/>
    <w:rsid w:val="00EB5539"/>
    <w:rsid w:val="00EC5144"/>
    <w:rsid w:val="00FD699F"/>
    <w:rsid w:val="0106663B"/>
    <w:rsid w:val="01351709"/>
    <w:rsid w:val="0171156E"/>
    <w:rsid w:val="0172376C"/>
    <w:rsid w:val="01877E8E"/>
    <w:rsid w:val="01D34B7C"/>
    <w:rsid w:val="02412B40"/>
    <w:rsid w:val="025D6BED"/>
    <w:rsid w:val="025F257B"/>
    <w:rsid w:val="02F15C09"/>
    <w:rsid w:val="03020A00"/>
    <w:rsid w:val="032C725A"/>
    <w:rsid w:val="03312448"/>
    <w:rsid w:val="03407473"/>
    <w:rsid w:val="03716AB5"/>
    <w:rsid w:val="03772BBD"/>
    <w:rsid w:val="0378063E"/>
    <w:rsid w:val="0380374F"/>
    <w:rsid w:val="038E27E2"/>
    <w:rsid w:val="039D2DFC"/>
    <w:rsid w:val="03C0602F"/>
    <w:rsid w:val="03DC6164"/>
    <w:rsid w:val="0413083D"/>
    <w:rsid w:val="042774DD"/>
    <w:rsid w:val="04337CF1"/>
    <w:rsid w:val="0456002C"/>
    <w:rsid w:val="046E56D3"/>
    <w:rsid w:val="04953394"/>
    <w:rsid w:val="049F3CA4"/>
    <w:rsid w:val="05016810"/>
    <w:rsid w:val="050C0E92"/>
    <w:rsid w:val="051922E9"/>
    <w:rsid w:val="051E1FF4"/>
    <w:rsid w:val="05B16FE4"/>
    <w:rsid w:val="061B0C12"/>
    <w:rsid w:val="062A65CD"/>
    <w:rsid w:val="06374CBF"/>
    <w:rsid w:val="063B36C5"/>
    <w:rsid w:val="06572FF5"/>
    <w:rsid w:val="06606C02"/>
    <w:rsid w:val="0695635D"/>
    <w:rsid w:val="06BF391E"/>
    <w:rsid w:val="06C071A1"/>
    <w:rsid w:val="06F84D7D"/>
    <w:rsid w:val="06FE2509"/>
    <w:rsid w:val="079600FE"/>
    <w:rsid w:val="07F6399B"/>
    <w:rsid w:val="083002FD"/>
    <w:rsid w:val="084E7320"/>
    <w:rsid w:val="08A15138"/>
    <w:rsid w:val="08BB5CE2"/>
    <w:rsid w:val="08BF0E65"/>
    <w:rsid w:val="090E4468"/>
    <w:rsid w:val="091B157F"/>
    <w:rsid w:val="09296AC6"/>
    <w:rsid w:val="09654536"/>
    <w:rsid w:val="09750994"/>
    <w:rsid w:val="09AC306C"/>
    <w:rsid w:val="09B713FD"/>
    <w:rsid w:val="09E9197B"/>
    <w:rsid w:val="0A3010C7"/>
    <w:rsid w:val="0A5E508E"/>
    <w:rsid w:val="0AA43604"/>
    <w:rsid w:val="0AC677F0"/>
    <w:rsid w:val="0ADA4D40"/>
    <w:rsid w:val="0ADE7F7D"/>
    <w:rsid w:val="0AF7560D"/>
    <w:rsid w:val="0AFA6591"/>
    <w:rsid w:val="0AFC5785"/>
    <w:rsid w:val="0B1316BA"/>
    <w:rsid w:val="0B2E1EE3"/>
    <w:rsid w:val="0B347670"/>
    <w:rsid w:val="0B3908F6"/>
    <w:rsid w:val="0B5C4AE0"/>
    <w:rsid w:val="0B7F21E6"/>
    <w:rsid w:val="0BE977F2"/>
    <w:rsid w:val="0BFA0333"/>
    <w:rsid w:val="0C115D59"/>
    <w:rsid w:val="0C25027D"/>
    <w:rsid w:val="0C6D0671"/>
    <w:rsid w:val="0C8E0BA6"/>
    <w:rsid w:val="0C984D39"/>
    <w:rsid w:val="0CA24A72"/>
    <w:rsid w:val="0CC0267A"/>
    <w:rsid w:val="0CF550D2"/>
    <w:rsid w:val="0CFA5C71"/>
    <w:rsid w:val="0D07450F"/>
    <w:rsid w:val="0D0D0C68"/>
    <w:rsid w:val="0D39103F"/>
    <w:rsid w:val="0D643188"/>
    <w:rsid w:val="0D832500"/>
    <w:rsid w:val="0DBA2892"/>
    <w:rsid w:val="0DC00AA8"/>
    <w:rsid w:val="0DDF44F8"/>
    <w:rsid w:val="0DEB3061"/>
    <w:rsid w:val="0E216DBE"/>
    <w:rsid w:val="0E33255C"/>
    <w:rsid w:val="0E8222DB"/>
    <w:rsid w:val="0EAA5A1E"/>
    <w:rsid w:val="0EAE6622"/>
    <w:rsid w:val="0EE61FFF"/>
    <w:rsid w:val="0F0C223F"/>
    <w:rsid w:val="0F0D7CC0"/>
    <w:rsid w:val="0F5F09C4"/>
    <w:rsid w:val="0F6B5ADC"/>
    <w:rsid w:val="0F796FF0"/>
    <w:rsid w:val="0F9D3D2C"/>
    <w:rsid w:val="0FA7463C"/>
    <w:rsid w:val="0FCD6A7A"/>
    <w:rsid w:val="10247828"/>
    <w:rsid w:val="103D5E34"/>
    <w:rsid w:val="10663775"/>
    <w:rsid w:val="107E469F"/>
    <w:rsid w:val="10811658"/>
    <w:rsid w:val="10AB793D"/>
    <w:rsid w:val="10B4158E"/>
    <w:rsid w:val="10B56D77"/>
    <w:rsid w:val="11010968"/>
    <w:rsid w:val="11273833"/>
    <w:rsid w:val="11B25995"/>
    <w:rsid w:val="11CC10FB"/>
    <w:rsid w:val="11D35ECA"/>
    <w:rsid w:val="12317569"/>
    <w:rsid w:val="12624579"/>
    <w:rsid w:val="126E269F"/>
    <w:rsid w:val="12912E05"/>
    <w:rsid w:val="12BD11FC"/>
    <w:rsid w:val="12BD38C9"/>
    <w:rsid w:val="12DE2F04"/>
    <w:rsid w:val="12E4356D"/>
    <w:rsid w:val="12F91530"/>
    <w:rsid w:val="130804C5"/>
    <w:rsid w:val="13126856"/>
    <w:rsid w:val="13671B64"/>
    <w:rsid w:val="137333F8"/>
    <w:rsid w:val="13833692"/>
    <w:rsid w:val="138F3C22"/>
    <w:rsid w:val="13DA2417"/>
    <w:rsid w:val="13EA433B"/>
    <w:rsid w:val="13EE241B"/>
    <w:rsid w:val="13FF1475"/>
    <w:rsid w:val="140E1078"/>
    <w:rsid w:val="143324E1"/>
    <w:rsid w:val="145F42FA"/>
    <w:rsid w:val="1487159F"/>
    <w:rsid w:val="1488089C"/>
    <w:rsid w:val="14AF0539"/>
    <w:rsid w:val="14D22C7E"/>
    <w:rsid w:val="14E21050"/>
    <w:rsid w:val="14EB7761"/>
    <w:rsid w:val="15142B24"/>
    <w:rsid w:val="15396F21"/>
    <w:rsid w:val="15E675F9"/>
    <w:rsid w:val="15F42192"/>
    <w:rsid w:val="16383B80"/>
    <w:rsid w:val="16702556"/>
    <w:rsid w:val="16822CFB"/>
    <w:rsid w:val="169B16A6"/>
    <w:rsid w:val="16A641B4"/>
    <w:rsid w:val="16B05DC8"/>
    <w:rsid w:val="16B953D3"/>
    <w:rsid w:val="16D34A09"/>
    <w:rsid w:val="16E31A9A"/>
    <w:rsid w:val="16E939A4"/>
    <w:rsid w:val="170035C9"/>
    <w:rsid w:val="17814E1C"/>
    <w:rsid w:val="18181DEA"/>
    <w:rsid w:val="18191B17"/>
    <w:rsid w:val="1869511A"/>
    <w:rsid w:val="188B43D5"/>
    <w:rsid w:val="18A26578"/>
    <w:rsid w:val="18AF588E"/>
    <w:rsid w:val="18B835D1"/>
    <w:rsid w:val="18ED2F7C"/>
    <w:rsid w:val="18F3507E"/>
    <w:rsid w:val="190F6BAC"/>
    <w:rsid w:val="195E692B"/>
    <w:rsid w:val="19632DB3"/>
    <w:rsid w:val="197D71E0"/>
    <w:rsid w:val="19846B6B"/>
    <w:rsid w:val="19DC71FA"/>
    <w:rsid w:val="1A21446B"/>
    <w:rsid w:val="1A2E7004"/>
    <w:rsid w:val="1A3A7593"/>
    <w:rsid w:val="1A4459E1"/>
    <w:rsid w:val="1A4E1AB7"/>
    <w:rsid w:val="1A5326BB"/>
    <w:rsid w:val="1A5E1D51"/>
    <w:rsid w:val="1A747203"/>
    <w:rsid w:val="1A9447AA"/>
    <w:rsid w:val="1A967CAD"/>
    <w:rsid w:val="1ABB0DE6"/>
    <w:rsid w:val="1AF65748"/>
    <w:rsid w:val="1B003AD9"/>
    <w:rsid w:val="1B134CF8"/>
    <w:rsid w:val="1BA942F2"/>
    <w:rsid w:val="1BD06730"/>
    <w:rsid w:val="1BE608D3"/>
    <w:rsid w:val="1BFB4FF6"/>
    <w:rsid w:val="1C13269C"/>
    <w:rsid w:val="1C3F7586"/>
    <w:rsid w:val="1C4353EA"/>
    <w:rsid w:val="1C561E8C"/>
    <w:rsid w:val="1C930F8D"/>
    <w:rsid w:val="1CDB5968"/>
    <w:rsid w:val="1CEC7E01"/>
    <w:rsid w:val="1CF63F94"/>
    <w:rsid w:val="1D505927"/>
    <w:rsid w:val="1D7D3E6D"/>
    <w:rsid w:val="1DA52E33"/>
    <w:rsid w:val="1DAE6BF4"/>
    <w:rsid w:val="1DB033C2"/>
    <w:rsid w:val="1DDE6490"/>
    <w:rsid w:val="1DE50D6A"/>
    <w:rsid w:val="1DF039D0"/>
    <w:rsid w:val="1E0F6C5F"/>
    <w:rsid w:val="1E1B263C"/>
    <w:rsid w:val="1E2C658F"/>
    <w:rsid w:val="1E4361B4"/>
    <w:rsid w:val="1F2A1B1E"/>
    <w:rsid w:val="1F355B4E"/>
    <w:rsid w:val="1F395447"/>
    <w:rsid w:val="1F84119B"/>
    <w:rsid w:val="1FC73DB2"/>
    <w:rsid w:val="1FC85FB0"/>
    <w:rsid w:val="1FD049FA"/>
    <w:rsid w:val="1FE53362"/>
    <w:rsid w:val="2008481B"/>
    <w:rsid w:val="20197AE2"/>
    <w:rsid w:val="20245070"/>
    <w:rsid w:val="2026764F"/>
    <w:rsid w:val="208863EE"/>
    <w:rsid w:val="20963186"/>
    <w:rsid w:val="20AB78A8"/>
    <w:rsid w:val="20B4385B"/>
    <w:rsid w:val="20BC55C4"/>
    <w:rsid w:val="20EE292D"/>
    <w:rsid w:val="213B5E92"/>
    <w:rsid w:val="213C3913"/>
    <w:rsid w:val="215D76CB"/>
    <w:rsid w:val="21775CF7"/>
    <w:rsid w:val="21CD0C84"/>
    <w:rsid w:val="21DC5A1B"/>
    <w:rsid w:val="21DC7C19"/>
    <w:rsid w:val="22484D4A"/>
    <w:rsid w:val="224D11D2"/>
    <w:rsid w:val="224F7F58"/>
    <w:rsid w:val="225F01F3"/>
    <w:rsid w:val="22A10C5C"/>
    <w:rsid w:val="22E845A7"/>
    <w:rsid w:val="23112215"/>
    <w:rsid w:val="236B742B"/>
    <w:rsid w:val="238A445D"/>
    <w:rsid w:val="239A63CC"/>
    <w:rsid w:val="239C59FC"/>
    <w:rsid w:val="23DA54E1"/>
    <w:rsid w:val="23E612F3"/>
    <w:rsid w:val="23FA0B3C"/>
    <w:rsid w:val="241C17CD"/>
    <w:rsid w:val="24267B5E"/>
    <w:rsid w:val="24323971"/>
    <w:rsid w:val="24423C0B"/>
    <w:rsid w:val="24952391"/>
    <w:rsid w:val="24CF45A0"/>
    <w:rsid w:val="24FA0C9D"/>
    <w:rsid w:val="250C32D4"/>
    <w:rsid w:val="25327D57"/>
    <w:rsid w:val="255E30DE"/>
    <w:rsid w:val="25B6156F"/>
    <w:rsid w:val="25B924F3"/>
    <w:rsid w:val="2606737E"/>
    <w:rsid w:val="261B6D15"/>
    <w:rsid w:val="269E1316"/>
    <w:rsid w:val="26D36C94"/>
    <w:rsid w:val="26DC5ACE"/>
    <w:rsid w:val="26E4675D"/>
    <w:rsid w:val="2701248A"/>
    <w:rsid w:val="270B661D"/>
    <w:rsid w:val="270E3D1E"/>
    <w:rsid w:val="27125FA8"/>
    <w:rsid w:val="27172430"/>
    <w:rsid w:val="27310A5B"/>
    <w:rsid w:val="276521AF"/>
    <w:rsid w:val="27AB4EA2"/>
    <w:rsid w:val="27AC6324"/>
    <w:rsid w:val="27B74537"/>
    <w:rsid w:val="27BA2F3E"/>
    <w:rsid w:val="27C477A3"/>
    <w:rsid w:val="27E32A7D"/>
    <w:rsid w:val="281B09D9"/>
    <w:rsid w:val="28216165"/>
    <w:rsid w:val="283D4410"/>
    <w:rsid w:val="28D45C09"/>
    <w:rsid w:val="290D4AE9"/>
    <w:rsid w:val="29295547"/>
    <w:rsid w:val="294604C6"/>
    <w:rsid w:val="29470146"/>
    <w:rsid w:val="29763213"/>
    <w:rsid w:val="298D2E39"/>
    <w:rsid w:val="29B4657B"/>
    <w:rsid w:val="2A1C75E6"/>
    <w:rsid w:val="2A234631"/>
    <w:rsid w:val="2A3F06DE"/>
    <w:rsid w:val="2A585CB7"/>
    <w:rsid w:val="2A5F41D4"/>
    <w:rsid w:val="2A8433D1"/>
    <w:rsid w:val="2AD4000F"/>
    <w:rsid w:val="2AE568ED"/>
    <w:rsid w:val="2AFF5299"/>
    <w:rsid w:val="2B28065B"/>
    <w:rsid w:val="2B6E0DD0"/>
    <w:rsid w:val="2B9D609C"/>
    <w:rsid w:val="2BB24D3C"/>
    <w:rsid w:val="2BCF28DD"/>
    <w:rsid w:val="2BF31029"/>
    <w:rsid w:val="2C0A70B9"/>
    <w:rsid w:val="2C6F4039"/>
    <w:rsid w:val="2C706097"/>
    <w:rsid w:val="2C896F9E"/>
    <w:rsid w:val="2CAC5BC5"/>
    <w:rsid w:val="2CDE7D2D"/>
    <w:rsid w:val="2D7E65B1"/>
    <w:rsid w:val="2DC36E58"/>
    <w:rsid w:val="2E1732AD"/>
    <w:rsid w:val="2E445076"/>
    <w:rsid w:val="2E801657"/>
    <w:rsid w:val="2E8D676F"/>
    <w:rsid w:val="2E917373"/>
    <w:rsid w:val="2F4B7E26"/>
    <w:rsid w:val="2FDF2898"/>
    <w:rsid w:val="2FF14047"/>
    <w:rsid w:val="30383623"/>
    <w:rsid w:val="303C1DFA"/>
    <w:rsid w:val="306A49FB"/>
    <w:rsid w:val="30840ACC"/>
    <w:rsid w:val="30A722E1"/>
    <w:rsid w:val="30B31448"/>
    <w:rsid w:val="30D46628"/>
    <w:rsid w:val="30DA3DB5"/>
    <w:rsid w:val="30EF26D5"/>
    <w:rsid w:val="30F85563"/>
    <w:rsid w:val="314E04F1"/>
    <w:rsid w:val="31A50EFF"/>
    <w:rsid w:val="31D616CE"/>
    <w:rsid w:val="324314C0"/>
    <w:rsid w:val="32437B04"/>
    <w:rsid w:val="32560D23"/>
    <w:rsid w:val="326649B8"/>
    <w:rsid w:val="328259EC"/>
    <w:rsid w:val="32A66524"/>
    <w:rsid w:val="33234BF4"/>
    <w:rsid w:val="333C7D1C"/>
    <w:rsid w:val="337F1A8A"/>
    <w:rsid w:val="33913A91"/>
    <w:rsid w:val="33AE25D9"/>
    <w:rsid w:val="33BD1CEF"/>
    <w:rsid w:val="33CC1B89"/>
    <w:rsid w:val="33CF4B12"/>
    <w:rsid w:val="34060A6A"/>
    <w:rsid w:val="341C7F1C"/>
    <w:rsid w:val="34410850"/>
    <w:rsid w:val="3473581A"/>
    <w:rsid w:val="34763D72"/>
    <w:rsid w:val="347F213E"/>
    <w:rsid w:val="348A543F"/>
    <w:rsid w:val="34D2328A"/>
    <w:rsid w:val="34D73B3B"/>
    <w:rsid w:val="350E5A19"/>
    <w:rsid w:val="351B4D2E"/>
    <w:rsid w:val="35324954"/>
    <w:rsid w:val="356B252F"/>
    <w:rsid w:val="359F2D89"/>
    <w:rsid w:val="35EA0E7A"/>
    <w:rsid w:val="361E10D9"/>
    <w:rsid w:val="36293FBE"/>
    <w:rsid w:val="36393E81"/>
    <w:rsid w:val="36566064"/>
    <w:rsid w:val="367033BA"/>
    <w:rsid w:val="36992FA1"/>
    <w:rsid w:val="369B3F26"/>
    <w:rsid w:val="36FC5F32"/>
    <w:rsid w:val="37083255"/>
    <w:rsid w:val="37103EE5"/>
    <w:rsid w:val="37227682"/>
    <w:rsid w:val="373950A9"/>
    <w:rsid w:val="37535C53"/>
    <w:rsid w:val="376A5878"/>
    <w:rsid w:val="376D427E"/>
    <w:rsid w:val="377E4518"/>
    <w:rsid w:val="379850C2"/>
    <w:rsid w:val="37A07F50"/>
    <w:rsid w:val="37B449F3"/>
    <w:rsid w:val="37BD5302"/>
    <w:rsid w:val="37E26479"/>
    <w:rsid w:val="37FC4DE7"/>
    <w:rsid w:val="38225026"/>
    <w:rsid w:val="384F6DEF"/>
    <w:rsid w:val="38762532"/>
    <w:rsid w:val="38777FB4"/>
    <w:rsid w:val="388060BC"/>
    <w:rsid w:val="389152DA"/>
    <w:rsid w:val="38B953CA"/>
    <w:rsid w:val="38D91DC5"/>
    <w:rsid w:val="39026893"/>
    <w:rsid w:val="39297D5A"/>
    <w:rsid w:val="39530C1B"/>
    <w:rsid w:val="396E4903"/>
    <w:rsid w:val="39A47721"/>
    <w:rsid w:val="3A195161"/>
    <w:rsid w:val="3A274477"/>
    <w:rsid w:val="3ACF2D0A"/>
    <w:rsid w:val="3AE96733"/>
    <w:rsid w:val="3AF11A86"/>
    <w:rsid w:val="3AF173C3"/>
    <w:rsid w:val="3AFE0C57"/>
    <w:rsid w:val="3B363BCE"/>
    <w:rsid w:val="3B617677"/>
    <w:rsid w:val="3BC606A0"/>
    <w:rsid w:val="3BD244B2"/>
    <w:rsid w:val="3BE31084"/>
    <w:rsid w:val="3CA364A9"/>
    <w:rsid w:val="3D205459"/>
    <w:rsid w:val="3D263ADF"/>
    <w:rsid w:val="3D2E623A"/>
    <w:rsid w:val="3D43308F"/>
    <w:rsid w:val="3D464014"/>
    <w:rsid w:val="3D950CBD"/>
    <w:rsid w:val="3DC75867"/>
    <w:rsid w:val="3DEB25A4"/>
    <w:rsid w:val="3E037C4A"/>
    <w:rsid w:val="3E05674E"/>
    <w:rsid w:val="3E0C47F9"/>
    <w:rsid w:val="3E137EE5"/>
    <w:rsid w:val="3E5B195E"/>
    <w:rsid w:val="3E81631A"/>
    <w:rsid w:val="3E9165B5"/>
    <w:rsid w:val="3ECA073B"/>
    <w:rsid w:val="3EDF4135"/>
    <w:rsid w:val="3EF01E51"/>
    <w:rsid w:val="3F3874BF"/>
    <w:rsid w:val="3F3E0C80"/>
    <w:rsid w:val="3F54722E"/>
    <w:rsid w:val="3F576CC8"/>
    <w:rsid w:val="3F59277A"/>
    <w:rsid w:val="3F703557"/>
    <w:rsid w:val="3FC578AB"/>
    <w:rsid w:val="40061999"/>
    <w:rsid w:val="40197335"/>
    <w:rsid w:val="403C55CC"/>
    <w:rsid w:val="406946E9"/>
    <w:rsid w:val="4096443B"/>
    <w:rsid w:val="41240AEC"/>
    <w:rsid w:val="412C1E99"/>
    <w:rsid w:val="414A67AD"/>
    <w:rsid w:val="415B6A48"/>
    <w:rsid w:val="41741B70"/>
    <w:rsid w:val="41952474"/>
    <w:rsid w:val="42495197"/>
    <w:rsid w:val="426C4A67"/>
    <w:rsid w:val="42990996"/>
    <w:rsid w:val="429A3B51"/>
    <w:rsid w:val="429B28DB"/>
    <w:rsid w:val="42BB5270"/>
    <w:rsid w:val="42EF6D61"/>
    <w:rsid w:val="43430AE7"/>
    <w:rsid w:val="437B712C"/>
    <w:rsid w:val="43AD2714"/>
    <w:rsid w:val="4428205E"/>
    <w:rsid w:val="446B764F"/>
    <w:rsid w:val="44BF212C"/>
    <w:rsid w:val="44D934D4"/>
    <w:rsid w:val="44DC2E06"/>
    <w:rsid w:val="45212801"/>
    <w:rsid w:val="45375A9E"/>
    <w:rsid w:val="4549123C"/>
    <w:rsid w:val="457110FB"/>
    <w:rsid w:val="457300F8"/>
    <w:rsid w:val="457C4F0E"/>
    <w:rsid w:val="45B06662"/>
    <w:rsid w:val="45EF19CA"/>
    <w:rsid w:val="46170C28"/>
    <w:rsid w:val="46257D27"/>
    <w:rsid w:val="46271B24"/>
    <w:rsid w:val="464E3068"/>
    <w:rsid w:val="465E7A7F"/>
    <w:rsid w:val="4696565B"/>
    <w:rsid w:val="46B94916"/>
    <w:rsid w:val="46D44FF5"/>
    <w:rsid w:val="46F25D74"/>
    <w:rsid w:val="46F53476"/>
    <w:rsid w:val="47257848"/>
    <w:rsid w:val="47531291"/>
    <w:rsid w:val="47552596"/>
    <w:rsid w:val="477F6C5D"/>
    <w:rsid w:val="47A47D96"/>
    <w:rsid w:val="47F77BA0"/>
    <w:rsid w:val="48264E6C"/>
    <w:rsid w:val="48690DD9"/>
    <w:rsid w:val="48F54240"/>
    <w:rsid w:val="48FC5DC9"/>
    <w:rsid w:val="493A6F33"/>
    <w:rsid w:val="494A71CD"/>
    <w:rsid w:val="49801C26"/>
    <w:rsid w:val="49B358F8"/>
    <w:rsid w:val="49C76CAB"/>
    <w:rsid w:val="49F53DE3"/>
    <w:rsid w:val="4A2026A9"/>
    <w:rsid w:val="4A4D5AF6"/>
    <w:rsid w:val="4A5420E9"/>
    <w:rsid w:val="4A7F1081"/>
    <w:rsid w:val="4ADB665F"/>
    <w:rsid w:val="4AF074FE"/>
    <w:rsid w:val="4AF1414D"/>
    <w:rsid w:val="4AF57209"/>
    <w:rsid w:val="4AFC79D2"/>
    <w:rsid w:val="4B19413E"/>
    <w:rsid w:val="4B5F55B3"/>
    <w:rsid w:val="4B91290A"/>
    <w:rsid w:val="4B961E9B"/>
    <w:rsid w:val="4BF722AF"/>
    <w:rsid w:val="4C0D4452"/>
    <w:rsid w:val="4C1053D7"/>
    <w:rsid w:val="4CCA390C"/>
    <w:rsid w:val="4CED3AC0"/>
    <w:rsid w:val="4CF77C53"/>
    <w:rsid w:val="4D221D9C"/>
    <w:rsid w:val="4D486759"/>
    <w:rsid w:val="4D570F71"/>
    <w:rsid w:val="4D773A25"/>
    <w:rsid w:val="4D7A022C"/>
    <w:rsid w:val="4DAC067B"/>
    <w:rsid w:val="4DE26957"/>
    <w:rsid w:val="4E4E2408"/>
    <w:rsid w:val="4E5D2171"/>
    <w:rsid w:val="4E7D54D1"/>
    <w:rsid w:val="4E8273DA"/>
    <w:rsid w:val="4EA42211"/>
    <w:rsid w:val="4EB04A26"/>
    <w:rsid w:val="4EB44B64"/>
    <w:rsid w:val="4EDD1C98"/>
    <w:rsid w:val="4EF30992"/>
    <w:rsid w:val="4F124ACB"/>
    <w:rsid w:val="4F16494C"/>
    <w:rsid w:val="4F531CB1"/>
    <w:rsid w:val="4FB6657F"/>
    <w:rsid w:val="4FF26337"/>
    <w:rsid w:val="500B7261"/>
    <w:rsid w:val="50211405"/>
    <w:rsid w:val="5091713A"/>
    <w:rsid w:val="50CF02A4"/>
    <w:rsid w:val="50E469E0"/>
    <w:rsid w:val="514F07F2"/>
    <w:rsid w:val="51544C79"/>
    <w:rsid w:val="518A0D40"/>
    <w:rsid w:val="519B0C71"/>
    <w:rsid w:val="51AA7C07"/>
    <w:rsid w:val="51DB42C9"/>
    <w:rsid w:val="51E656A2"/>
    <w:rsid w:val="52264FD2"/>
    <w:rsid w:val="52283D58"/>
    <w:rsid w:val="523555EC"/>
    <w:rsid w:val="52466B8B"/>
    <w:rsid w:val="5257772E"/>
    <w:rsid w:val="526F1F4E"/>
    <w:rsid w:val="52DB4773"/>
    <w:rsid w:val="52E00CE4"/>
    <w:rsid w:val="52F61E27"/>
    <w:rsid w:val="53244EF5"/>
    <w:rsid w:val="5350123C"/>
    <w:rsid w:val="5376727D"/>
    <w:rsid w:val="53A43FB0"/>
    <w:rsid w:val="53BB08EB"/>
    <w:rsid w:val="53C93484"/>
    <w:rsid w:val="544A055A"/>
    <w:rsid w:val="5469558C"/>
    <w:rsid w:val="547F3EAC"/>
    <w:rsid w:val="54DD7AC9"/>
    <w:rsid w:val="54F363EA"/>
    <w:rsid w:val="54F55170"/>
    <w:rsid w:val="550A44F2"/>
    <w:rsid w:val="5510701F"/>
    <w:rsid w:val="55301AD2"/>
    <w:rsid w:val="557E1851"/>
    <w:rsid w:val="559801FC"/>
    <w:rsid w:val="559F1D86"/>
    <w:rsid w:val="55A3400F"/>
    <w:rsid w:val="55AD6B1D"/>
    <w:rsid w:val="55D36D5C"/>
    <w:rsid w:val="55EC5708"/>
    <w:rsid w:val="55F4252E"/>
    <w:rsid w:val="55F8151B"/>
    <w:rsid w:val="560165A7"/>
    <w:rsid w:val="560378AC"/>
    <w:rsid w:val="560E36BE"/>
    <w:rsid w:val="565A24B9"/>
    <w:rsid w:val="56661B4F"/>
    <w:rsid w:val="56856B80"/>
    <w:rsid w:val="56D227CA"/>
    <w:rsid w:val="56D82D87"/>
    <w:rsid w:val="56F8617F"/>
    <w:rsid w:val="5729188C"/>
    <w:rsid w:val="577F454D"/>
    <w:rsid w:val="57FB1BE5"/>
    <w:rsid w:val="580B1E7F"/>
    <w:rsid w:val="582165A1"/>
    <w:rsid w:val="58244FA7"/>
    <w:rsid w:val="582D36B9"/>
    <w:rsid w:val="583536F5"/>
    <w:rsid w:val="584F166F"/>
    <w:rsid w:val="5856487D"/>
    <w:rsid w:val="585A3283"/>
    <w:rsid w:val="5888231D"/>
    <w:rsid w:val="589752E6"/>
    <w:rsid w:val="58C3742F"/>
    <w:rsid w:val="59001493"/>
    <w:rsid w:val="59051F8A"/>
    <w:rsid w:val="593A6F98"/>
    <w:rsid w:val="598E5935"/>
    <w:rsid w:val="59943F04"/>
    <w:rsid w:val="5999038C"/>
    <w:rsid w:val="59A318D5"/>
    <w:rsid w:val="59B61EBB"/>
    <w:rsid w:val="59D63A74"/>
    <w:rsid w:val="59E6048B"/>
    <w:rsid w:val="5A3E471D"/>
    <w:rsid w:val="5A48722B"/>
    <w:rsid w:val="5A671CDE"/>
    <w:rsid w:val="5ABE2890"/>
    <w:rsid w:val="5AC94301"/>
    <w:rsid w:val="5ADC7773"/>
    <w:rsid w:val="5AF42EDA"/>
    <w:rsid w:val="5B013B36"/>
    <w:rsid w:val="5B301727"/>
    <w:rsid w:val="5B4900D3"/>
    <w:rsid w:val="5B7D1826"/>
    <w:rsid w:val="5BF175E7"/>
    <w:rsid w:val="5C733038"/>
    <w:rsid w:val="5C7E6E4B"/>
    <w:rsid w:val="5CCE050A"/>
    <w:rsid w:val="5CDA3488"/>
    <w:rsid w:val="5D8F46FD"/>
    <w:rsid w:val="5DA2372A"/>
    <w:rsid w:val="5DDE4DBD"/>
    <w:rsid w:val="5E1A20EF"/>
    <w:rsid w:val="5E1C33F4"/>
    <w:rsid w:val="5E3774A1"/>
    <w:rsid w:val="5E3D70F6"/>
    <w:rsid w:val="5E4951BD"/>
    <w:rsid w:val="5E600665"/>
    <w:rsid w:val="5E666CEB"/>
    <w:rsid w:val="5E6A0F75"/>
    <w:rsid w:val="5E9C6848"/>
    <w:rsid w:val="5E9F5BCB"/>
    <w:rsid w:val="5EA16ED0"/>
    <w:rsid w:val="5EA72FD8"/>
    <w:rsid w:val="5EC24E86"/>
    <w:rsid w:val="5ED42BA2"/>
    <w:rsid w:val="5ED91228"/>
    <w:rsid w:val="5EDA6CAA"/>
    <w:rsid w:val="5EE43C27"/>
    <w:rsid w:val="5F374E45"/>
    <w:rsid w:val="5F4750E0"/>
    <w:rsid w:val="5F6D531F"/>
    <w:rsid w:val="5FF25578"/>
    <w:rsid w:val="5FF81680"/>
    <w:rsid w:val="6012222A"/>
    <w:rsid w:val="60266CCC"/>
    <w:rsid w:val="607D18D9"/>
    <w:rsid w:val="609D3493"/>
    <w:rsid w:val="609E0F14"/>
    <w:rsid w:val="60A11E99"/>
    <w:rsid w:val="60C62FD2"/>
    <w:rsid w:val="60DE647B"/>
    <w:rsid w:val="60FC5A2B"/>
    <w:rsid w:val="615A3846"/>
    <w:rsid w:val="61755B85"/>
    <w:rsid w:val="619239A0"/>
    <w:rsid w:val="61AD1F0C"/>
    <w:rsid w:val="61C21F70"/>
    <w:rsid w:val="61D1258B"/>
    <w:rsid w:val="61DD3E1F"/>
    <w:rsid w:val="61E60EAB"/>
    <w:rsid w:val="61EC0BB6"/>
    <w:rsid w:val="61EC2DB5"/>
    <w:rsid w:val="62367D31"/>
    <w:rsid w:val="62587EE5"/>
    <w:rsid w:val="625D50F7"/>
    <w:rsid w:val="62631B22"/>
    <w:rsid w:val="6264757B"/>
    <w:rsid w:val="62762D19"/>
    <w:rsid w:val="62773FD4"/>
    <w:rsid w:val="629038C3"/>
    <w:rsid w:val="62B778F8"/>
    <w:rsid w:val="62CB49A1"/>
    <w:rsid w:val="62E36B14"/>
    <w:rsid w:val="62F97A6F"/>
    <w:rsid w:val="633A1857"/>
    <w:rsid w:val="634D3C76"/>
    <w:rsid w:val="634F5833"/>
    <w:rsid w:val="6377EB20"/>
    <w:rsid w:val="637F0FCD"/>
    <w:rsid w:val="64037F21"/>
    <w:rsid w:val="64467711"/>
    <w:rsid w:val="646215BF"/>
    <w:rsid w:val="64634AC2"/>
    <w:rsid w:val="64775CE1"/>
    <w:rsid w:val="64A22124"/>
    <w:rsid w:val="64C228DE"/>
    <w:rsid w:val="64D65CFB"/>
    <w:rsid w:val="64E04C97"/>
    <w:rsid w:val="651A139D"/>
    <w:rsid w:val="65304D5A"/>
    <w:rsid w:val="65312B91"/>
    <w:rsid w:val="656D2D76"/>
    <w:rsid w:val="65894B1F"/>
    <w:rsid w:val="65966139"/>
    <w:rsid w:val="65D3019C"/>
    <w:rsid w:val="65E052B4"/>
    <w:rsid w:val="65FE53A8"/>
    <w:rsid w:val="661B6392"/>
    <w:rsid w:val="66246CA2"/>
    <w:rsid w:val="66595E77"/>
    <w:rsid w:val="666B7416"/>
    <w:rsid w:val="66BF0F11"/>
    <w:rsid w:val="66F620CC"/>
    <w:rsid w:val="67026690"/>
    <w:rsid w:val="673C1CED"/>
    <w:rsid w:val="673C3EEB"/>
    <w:rsid w:val="67631BAC"/>
    <w:rsid w:val="67673E36"/>
    <w:rsid w:val="678F5EF4"/>
    <w:rsid w:val="67CA2856"/>
    <w:rsid w:val="68543295"/>
    <w:rsid w:val="686626D4"/>
    <w:rsid w:val="686D205F"/>
    <w:rsid w:val="68706867"/>
    <w:rsid w:val="688A7410"/>
    <w:rsid w:val="68CD5D25"/>
    <w:rsid w:val="69135570"/>
    <w:rsid w:val="69660078"/>
    <w:rsid w:val="696C5805"/>
    <w:rsid w:val="698C2CAC"/>
    <w:rsid w:val="69A555DF"/>
    <w:rsid w:val="69BD1895"/>
    <w:rsid w:val="69DE22C1"/>
    <w:rsid w:val="69E13245"/>
    <w:rsid w:val="69ED7058"/>
    <w:rsid w:val="69F134E0"/>
    <w:rsid w:val="6A095303"/>
    <w:rsid w:val="6A3437D6"/>
    <w:rsid w:val="6A5D63E6"/>
    <w:rsid w:val="6A5F3BF1"/>
    <w:rsid w:val="6A5F3D9D"/>
    <w:rsid w:val="6AAA308F"/>
    <w:rsid w:val="6AB278EE"/>
    <w:rsid w:val="6ABA1153"/>
    <w:rsid w:val="6AF36585"/>
    <w:rsid w:val="6B150A32"/>
    <w:rsid w:val="6B1732C2"/>
    <w:rsid w:val="6B205CF8"/>
    <w:rsid w:val="6B5C28A9"/>
    <w:rsid w:val="6B792062"/>
    <w:rsid w:val="6BB17C3D"/>
    <w:rsid w:val="6C09284A"/>
    <w:rsid w:val="6C0960CD"/>
    <w:rsid w:val="6C253895"/>
    <w:rsid w:val="6C2A6602"/>
    <w:rsid w:val="6C386C1D"/>
    <w:rsid w:val="6C535248"/>
    <w:rsid w:val="6C734478"/>
    <w:rsid w:val="6C917122"/>
    <w:rsid w:val="6CD00095"/>
    <w:rsid w:val="6CDF702A"/>
    <w:rsid w:val="6D15619B"/>
    <w:rsid w:val="6D170809"/>
    <w:rsid w:val="6D462252"/>
    <w:rsid w:val="6D4E4B4A"/>
    <w:rsid w:val="6D9518BB"/>
    <w:rsid w:val="6DB31CD3"/>
    <w:rsid w:val="6DE6435A"/>
    <w:rsid w:val="6E072901"/>
    <w:rsid w:val="6E4C12C0"/>
    <w:rsid w:val="6E526F0C"/>
    <w:rsid w:val="6E550CE1"/>
    <w:rsid w:val="6E710C21"/>
    <w:rsid w:val="6E97417D"/>
    <w:rsid w:val="6EA50F15"/>
    <w:rsid w:val="6ED15AA2"/>
    <w:rsid w:val="6F275FEB"/>
    <w:rsid w:val="6F2E33F7"/>
    <w:rsid w:val="6F3A1408"/>
    <w:rsid w:val="6F904395"/>
    <w:rsid w:val="6FA355B4"/>
    <w:rsid w:val="6FA9425D"/>
    <w:rsid w:val="6FB56B53"/>
    <w:rsid w:val="6FCB457A"/>
    <w:rsid w:val="6FF3443A"/>
    <w:rsid w:val="709D104F"/>
    <w:rsid w:val="70A94E62"/>
    <w:rsid w:val="71165496"/>
    <w:rsid w:val="711A3E9C"/>
    <w:rsid w:val="71953FC5"/>
    <w:rsid w:val="71CF6AAF"/>
    <w:rsid w:val="71D3415E"/>
    <w:rsid w:val="720F4029"/>
    <w:rsid w:val="723D2CFA"/>
    <w:rsid w:val="725B6D60"/>
    <w:rsid w:val="7297468D"/>
    <w:rsid w:val="72A64CA8"/>
    <w:rsid w:val="72C22F53"/>
    <w:rsid w:val="72CC7891"/>
    <w:rsid w:val="72CF47E7"/>
    <w:rsid w:val="72DA7D89"/>
    <w:rsid w:val="72DF0305"/>
    <w:rsid w:val="72E158F4"/>
    <w:rsid w:val="730E682F"/>
    <w:rsid w:val="734844B1"/>
    <w:rsid w:val="73532842"/>
    <w:rsid w:val="73790497"/>
    <w:rsid w:val="739B2C36"/>
    <w:rsid w:val="73A338C6"/>
    <w:rsid w:val="73AD174C"/>
    <w:rsid w:val="73CB1207"/>
    <w:rsid w:val="745436E9"/>
    <w:rsid w:val="74570DEB"/>
    <w:rsid w:val="74DA0BC5"/>
    <w:rsid w:val="750F0599"/>
    <w:rsid w:val="75315B60"/>
    <w:rsid w:val="756B0CB3"/>
    <w:rsid w:val="759D6F04"/>
    <w:rsid w:val="75A00E24"/>
    <w:rsid w:val="75A20E0D"/>
    <w:rsid w:val="75C31342"/>
    <w:rsid w:val="76016C28"/>
    <w:rsid w:val="76954F1D"/>
    <w:rsid w:val="76AD6D41"/>
    <w:rsid w:val="76BD6FDB"/>
    <w:rsid w:val="77221A4C"/>
    <w:rsid w:val="773D7394"/>
    <w:rsid w:val="7813790D"/>
    <w:rsid w:val="78376848"/>
    <w:rsid w:val="788B1B55"/>
    <w:rsid w:val="78C706B5"/>
    <w:rsid w:val="78F57EFF"/>
    <w:rsid w:val="7904051A"/>
    <w:rsid w:val="790E3028"/>
    <w:rsid w:val="79383E6C"/>
    <w:rsid w:val="79750042"/>
    <w:rsid w:val="798A03F3"/>
    <w:rsid w:val="79B934C1"/>
    <w:rsid w:val="79E12EE1"/>
    <w:rsid w:val="79E72DFB"/>
    <w:rsid w:val="7A0069D3"/>
    <w:rsid w:val="7A140357"/>
    <w:rsid w:val="7A3A2795"/>
    <w:rsid w:val="7A48532E"/>
    <w:rsid w:val="7A5F4F53"/>
    <w:rsid w:val="7AA57C46"/>
    <w:rsid w:val="7ABC786B"/>
    <w:rsid w:val="7B147EFA"/>
    <w:rsid w:val="7B3A48B6"/>
    <w:rsid w:val="7B590E48"/>
    <w:rsid w:val="7B6B418C"/>
    <w:rsid w:val="7B7D40A6"/>
    <w:rsid w:val="7BA74806"/>
    <w:rsid w:val="7C01687E"/>
    <w:rsid w:val="7C0B6016"/>
    <w:rsid w:val="7C282964"/>
    <w:rsid w:val="7C3847D9"/>
    <w:rsid w:val="7C694FA8"/>
    <w:rsid w:val="7D14003D"/>
    <w:rsid w:val="7D200FD9"/>
    <w:rsid w:val="7D306F70"/>
    <w:rsid w:val="7D416415"/>
    <w:rsid w:val="7D651C73"/>
    <w:rsid w:val="7D6D4BD6"/>
    <w:rsid w:val="7D786C80"/>
    <w:rsid w:val="7D79646A"/>
    <w:rsid w:val="7DB47549"/>
    <w:rsid w:val="7DDF5E0F"/>
    <w:rsid w:val="7E230E82"/>
    <w:rsid w:val="7E285309"/>
    <w:rsid w:val="7E2A2A0B"/>
    <w:rsid w:val="7E426B42"/>
    <w:rsid w:val="7E635932"/>
    <w:rsid w:val="7E7E2495"/>
    <w:rsid w:val="7EAC3633"/>
    <w:rsid w:val="7EE13B3B"/>
    <w:rsid w:val="7F13084A"/>
    <w:rsid w:val="7F2351A1"/>
    <w:rsid w:val="7F2E18A1"/>
    <w:rsid w:val="7F3818C3"/>
    <w:rsid w:val="7F385146"/>
    <w:rsid w:val="7F8364BF"/>
    <w:rsid w:val="7FE21D5C"/>
    <w:rsid w:val="B7FFEF56"/>
    <w:rsid w:val="BEFB1C0C"/>
    <w:rsid w:val="F6FB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7"/>
    <w:qFormat/>
    <w:uiPriority w:val="0"/>
    <w:pPr>
      <w:keepNext/>
      <w:jc w:val="center"/>
      <w:outlineLvl w:val="0"/>
    </w:pPr>
    <w:rPr>
      <w:rFonts w:ascii="Times New Roman" w:hAnsi="Times New Roman" w:eastAsia="宋体" w:cs="Times New Roman"/>
      <w:sz w:val="28"/>
      <w:szCs w:val="20"/>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5"/>
    <w:basedOn w:val="3"/>
    <w:next w:val="1"/>
    <w:qFormat/>
    <w:uiPriority w:val="0"/>
    <w:pPr>
      <w:ind w:firstLine="200" w:firstLineChars="200"/>
    </w:pPr>
    <w:rPr>
      <w:rFonts w:ascii="Times New Roman" w:hAnsi="Times New Roman" w:eastAsia="宋体" w:cs="Times New Roman"/>
      <w:sz w:val="24"/>
      <w:szCs w:val="22"/>
    </w:rPr>
  </w:style>
  <w:style w:type="paragraph" w:customStyle="1" w:styleId="3">
    <w:name w:val="正文 New New"/>
    <w:next w:val="2"/>
    <w:qFormat/>
    <w:uiPriority w:val="0"/>
    <w:pPr>
      <w:widowControl w:val="0"/>
      <w:jc w:val="both"/>
    </w:pPr>
    <w:rPr>
      <w:rFonts w:ascii="等线" w:hAnsi="等线" w:eastAsia="宋体" w:cs="Times New Roman"/>
      <w:kern w:val="2"/>
      <w:sz w:val="21"/>
      <w:szCs w:val="24"/>
      <w:lang w:val="en-US" w:eastAsia="zh-CN"/>
    </w:rPr>
  </w:style>
  <w:style w:type="paragraph" w:styleId="6">
    <w:name w:val="Normal Indent"/>
    <w:basedOn w:val="1"/>
    <w:next w:val="1"/>
    <w:unhideWhenUsed/>
    <w:qFormat/>
    <w:uiPriority w:val="0"/>
    <w:pPr>
      <w:ind w:firstLine="200" w:firstLineChars="200"/>
    </w:pPr>
  </w:style>
  <w:style w:type="paragraph" w:styleId="7">
    <w:name w:val="Body Text"/>
    <w:basedOn w:val="1"/>
    <w:next w:val="1"/>
    <w:qFormat/>
    <w:uiPriority w:val="0"/>
    <w:pPr>
      <w:spacing w:before="0" w:after="140" w:line="276" w:lineRule="auto"/>
    </w:pPr>
  </w:style>
  <w:style w:type="paragraph" w:styleId="8">
    <w:name w:val="Date"/>
    <w:basedOn w:val="1"/>
    <w:next w:val="1"/>
    <w:link w:val="16"/>
    <w:semiHidden/>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日期 字符"/>
    <w:basedOn w:val="15"/>
    <w:link w:val="8"/>
    <w:semiHidden/>
    <w:qFormat/>
    <w:uiPriority w:val="99"/>
  </w:style>
  <w:style w:type="character" w:customStyle="1" w:styleId="17">
    <w:name w:val="标题 1 字符"/>
    <w:basedOn w:val="15"/>
    <w:link w:val="4"/>
    <w:qFormat/>
    <w:uiPriority w:val="0"/>
    <w:rPr>
      <w:rFonts w:ascii="Times New Roman" w:hAnsi="Times New Roman" w:eastAsia="宋体" w:cs="Times New Roman"/>
      <w:sz w:val="28"/>
      <w:szCs w:val="20"/>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paragraph" w:customStyle="1" w:styleId="2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3621</Words>
  <Characters>20646</Characters>
  <Lines>172</Lines>
  <Paragraphs>48</Paragraphs>
  <TotalTime>13</TotalTime>
  <ScaleCrop>false</ScaleCrop>
  <LinksUpToDate>false</LinksUpToDate>
  <CharactersWithSpaces>24219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2023-05-15T23:26:00Z</dcterms:created>
  <dc:creator>LIUMINYI</dc:creator>
  <cp:lastModifiedBy>张嘉俊</cp:lastModifiedBy>
  <dcterms:modified xsi:type="dcterms:W3CDTF">2024-04-19T02:23:43Z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6D381CB3359849B2B5A9B971332FE939</vt:lpwstr>
  </property>
</Properties>
</file>