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p>
    <w:p>
      <w:pPr>
        <w:pStyle w:val="12"/>
        <w:ind w:left="0" w:firstLine="0" w:firstLineChars="0"/>
        <w:rPr>
          <w:rFonts w:hint="default" w:ascii="Times New Roman" w:hAnsi="Times New Roman" w:eastAsia="黑体" w:cs="Times New Roman"/>
          <w:sz w:val="32"/>
          <w:szCs w:val="32"/>
          <w:highlight w:val="none"/>
          <w:lang w:val="en-US" w:eastAsia="zh-CN"/>
        </w:rPr>
      </w:pPr>
    </w:p>
    <w:p>
      <w:pPr>
        <w:pageBreakBefore w:val="0"/>
        <w:kinsoku/>
        <w:topLinePunct w:val="0"/>
        <w:bidi w:val="0"/>
        <w:spacing w:beforeLines="0" w:afterLines="0" w:line="600" w:lineRule="exact"/>
        <w:ind w:right="0" w:rightChars="0"/>
        <w:jc w:val="center"/>
        <w:textAlignment w:val="auto"/>
        <w:rPr>
          <w:rFonts w:hint="default" w:ascii="Times New Roman" w:hAnsi="Times New Roman" w:eastAsia="方正小标宋_GBK" w:cs="Times New Roman"/>
          <w:color w:val="auto"/>
          <w:spacing w:val="-11"/>
          <w:sz w:val="44"/>
          <w:szCs w:val="44"/>
          <w:highlight w:val="none"/>
          <w:lang w:eastAsia="zh-CN"/>
        </w:rPr>
      </w:pPr>
      <w:r>
        <w:rPr>
          <w:rFonts w:hint="default" w:ascii="Times New Roman" w:hAnsi="Times New Roman" w:eastAsia="方正小标宋_GBK" w:cs="Times New Roman"/>
          <w:b w:val="0"/>
          <w:bCs w:val="0"/>
          <w:color w:val="auto"/>
          <w:spacing w:val="-11"/>
          <w:kern w:val="2"/>
          <w:sz w:val="44"/>
          <w:szCs w:val="44"/>
          <w:highlight w:val="none"/>
          <w:lang w:eastAsia="zh-CN"/>
        </w:rPr>
        <w:t>天河区</w:t>
      </w:r>
      <w:r>
        <w:rPr>
          <w:rFonts w:hint="default" w:ascii="Times New Roman" w:hAnsi="Times New Roman" w:eastAsia="方正小标宋_GBK" w:cs="Times New Roman"/>
          <w:color w:val="auto"/>
          <w:spacing w:val="-11"/>
          <w:sz w:val="44"/>
          <w:szCs w:val="44"/>
          <w:highlight w:val="none"/>
          <w:lang w:val="en-US" w:eastAsia="zh-CN"/>
        </w:rPr>
        <w:t>2024年下半年焕新惠民</w:t>
      </w:r>
      <w:r>
        <w:rPr>
          <w:rFonts w:hint="default" w:ascii="Times New Roman" w:hAnsi="Times New Roman" w:eastAsia="方正小标宋_GBK" w:cs="Times New Roman"/>
          <w:color w:val="auto"/>
          <w:spacing w:val="-11"/>
          <w:sz w:val="44"/>
          <w:szCs w:val="44"/>
          <w:highlight w:val="none"/>
        </w:rPr>
        <w:t>促消费</w:t>
      </w:r>
      <w:r>
        <w:rPr>
          <w:rFonts w:hint="default" w:ascii="Times New Roman" w:hAnsi="Times New Roman" w:eastAsia="方正小标宋_GBK" w:cs="Times New Roman"/>
          <w:color w:val="auto"/>
          <w:spacing w:val="-11"/>
          <w:sz w:val="44"/>
          <w:szCs w:val="44"/>
          <w:highlight w:val="none"/>
          <w:lang w:eastAsia="zh-CN"/>
        </w:rPr>
        <w:t>专项</w:t>
      </w:r>
    </w:p>
    <w:p>
      <w:pPr>
        <w:pageBreakBefore w:val="0"/>
        <w:kinsoku/>
        <w:topLinePunct w:val="0"/>
        <w:bidi w:val="0"/>
        <w:spacing w:beforeLines="0" w:afterLines="0" w:line="600" w:lineRule="exact"/>
        <w:ind w:right="0" w:rightChars="0"/>
        <w:jc w:val="center"/>
        <w:textAlignment w:val="auto"/>
        <w:rPr>
          <w:rFonts w:hint="default" w:ascii="Times New Roman" w:hAnsi="Times New Roman" w:eastAsia="方正小标宋_GBK" w:cs="Times New Roman"/>
          <w:color w:val="auto"/>
          <w:spacing w:val="-11"/>
          <w:sz w:val="44"/>
          <w:szCs w:val="44"/>
          <w:highlight w:val="none"/>
        </w:rPr>
      </w:pPr>
      <w:r>
        <w:rPr>
          <w:rFonts w:hint="default" w:ascii="Times New Roman" w:hAnsi="Times New Roman" w:eastAsia="方正小标宋_GBK" w:cs="Times New Roman"/>
          <w:color w:val="auto"/>
          <w:spacing w:val="-11"/>
          <w:sz w:val="44"/>
          <w:szCs w:val="44"/>
          <w:highlight w:val="none"/>
        </w:rPr>
        <w:t>活动工作方案</w:t>
      </w:r>
    </w:p>
    <w:p>
      <w:pPr>
        <w:pStyle w:val="2"/>
        <w:pageBreakBefore w:val="0"/>
        <w:widowControl/>
        <w:kinsoku/>
        <w:topLinePunct w:val="0"/>
        <w:bidi w:val="0"/>
        <w:spacing w:beforeLines="-2147483648" w:afterLines="-2147483648" w:line="500" w:lineRule="exact"/>
        <w:ind w:right="0" w:rightChars="0" w:firstLineChars="0"/>
        <w:jc w:val="center"/>
        <w:textAlignment w:val="auto"/>
        <w:rPr>
          <w:rFonts w:hint="default" w:ascii="Times New Roman" w:hAnsi="Times New Roman" w:eastAsia="楷体" w:cs="Times New Roman"/>
          <w:b w:val="0"/>
          <w:bCs w:val="0"/>
          <w:color w:val="auto"/>
          <w:spacing w:val="-11"/>
          <w:sz w:val="32"/>
          <w:szCs w:val="32"/>
          <w:highlight w:val="none"/>
          <w:lang w:eastAsia="zh-CN"/>
        </w:rPr>
      </w:pPr>
      <w:r>
        <w:rPr>
          <w:rFonts w:hint="default" w:ascii="Times New Roman" w:hAnsi="Times New Roman" w:eastAsia="楷体" w:cs="Times New Roman"/>
          <w:color w:val="auto"/>
          <w:spacing w:val="-11"/>
          <w:sz w:val="32"/>
          <w:szCs w:val="32"/>
          <w:highlight w:val="none"/>
          <w:lang w:eastAsia="zh-CN"/>
        </w:rPr>
        <w:t>（征求意见稿）</w:t>
      </w:r>
    </w:p>
    <w:p>
      <w:pPr>
        <w:pageBreakBefore w:val="0"/>
        <w:widowControl/>
        <w:kinsoku/>
        <w:topLinePunct w:val="0"/>
        <w:bidi w:val="0"/>
        <w:spacing w:beforeLines="0" w:afterLines="0" w:line="56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深入贯彻落实国务院印发的《推动大规模设备更新和消费品以旧换新行动方案》，认真落实商务部2024“消费促进年”各项要求，充分发挥汽车在消费市场“顶梁柱”作用，重点推动绿色智能家电及家居消费换新</w:t>
      </w:r>
      <w:r>
        <w:rPr>
          <w:rFonts w:hint="default" w:ascii="Times New Roman" w:hAnsi="Times New Roman" w:eastAsia="仿宋_GB2312" w:cs="Times New Roman"/>
          <w:color w:val="auto"/>
          <w:kern w:val="0"/>
          <w:sz w:val="32"/>
          <w:szCs w:val="32"/>
          <w:highlight w:val="none"/>
        </w:rPr>
        <w:t>，提振消费信心，推动我区消费市场高质量发展，助力国际消费中心城市建设，特制定</w:t>
      </w:r>
      <w:r>
        <w:rPr>
          <w:rFonts w:hint="default" w:ascii="Times New Roman" w:hAnsi="Times New Roman" w:eastAsia="仿宋_GB2312" w:cs="Times New Roman"/>
          <w:color w:val="auto"/>
          <w:kern w:val="0"/>
          <w:sz w:val="32"/>
          <w:szCs w:val="32"/>
          <w:highlight w:val="none"/>
          <w:lang w:val="en-US" w:eastAsia="zh-CN"/>
        </w:rPr>
        <w:t>本</w:t>
      </w:r>
      <w:r>
        <w:rPr>
          <w:rFonts w:hint="default" w:ascii="Times New Roman" w:hAnsi="Times New Roman" w:eastAsia="仿宋_GB2312" w:cs="Times New Roman"/>
          <w:color w:val="auto"/>
          <w:kern w:val="0"/>
          <w:sz w:val="32"/>
          <w:szCs w:val="32"/>
          <w:highlight w:val="none"/>
        </w:rPr>
        <w:t>工作方案。</w:t>
      </w:r>
    </w:p>
    <w:p>
      <w:pPr>
        <w:pageBreakBefore w:val="0"/>
        <w:numPr>
          <w:ilvl w:val="0"/>
          <w:numId w:val="0"/>
        </w:numPr>
        <w:kinsoku/>
        <w:topLinePunct w:val="0"/>
        <w:bidi w:val="0"/>
        <w:spacing w:beforeLines="0" w:afterLines="0" w:line="560" w:lineRule="exact"/>
        <w:ind w:left="0" w:leftChars="0" w:right="0" w:rightChars="0" w:firstLine="640" w:firstLineChars="200"/>
        <w:jc w:val="left"/>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eastAsia="zh-CN"/>
        </w:rPr>
        <w:t>一、</w:t>
      </w:r>
      <w:r>
        <w:rPr>
          <w:rFonts w:hint="default" w:ascii="Times New Roman" w:hAnsi="Times New Roman" w:eastAsia="黑体" w:cs="Times New Roman"/>
          <w:b w:val="0"/>
          <w:bCs w:val="0"/>
          <w:color w:val="auto"/>
          <w:kern w:val="0"/>
          <w:sz w:val="32"/>
          <w:szCs w:val="32"/>
          <w:highlight w:val="none"/>
        </w:rPr>
        <w:t>工作思路</w:t>
      </w:r>
    </w:p>
    <w:p>
      <w:pPr>
        <w:pageBreakBefore w:val="0"/>
        <w:kinsoku/>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eastAsia="zh-CN"/>
        </w:rPr>
        <w:t>基于“让利于民、助商惠民”的总体要求，按照“</w:t>
      </w:r>
      <w:r>
        <w:rPr>
          <w:rFonts w:hint="default" w:ascii="Times New Roman" w:hAnsi="Times New Roman" w:eastAsia="仿宋_GB2312" w:cs="Times New Roman"/>
          <w:color w:val="auto"/>
          <w:sz w:val="32"/>
          <w:szCs w:val="32"/>
          <w:highlight w:val="none"/>
        </w:rPr>
        <w:t>科学统筹、</w:t>
      </w:r>
      <w:r>
        <w:rPr>
          <w:rFonts w:hint="default" w:ascii="Times New Roman" w:hAnsi="Times New Roman" w:eastAsia="仿宋_GB2312" w:cs="Times New Roman"/>
          <w:color w:val="auto"/>
          <w:sz w:val="32"/>
          <w:szCs w:val="32"/>
          <w:highlight w:val="none"/>
          <w:lang w:eastAsia="zh-CN"/>
        </w:rPr>
        <w:t>政企联动</w:t>
      </w:r>
      <w:r>
        <w:rPr>
          <w:rFonts w:hint="default" w:ascii="Times New Roman" w:hAnsi="Times New Roman" w:eastAsia="仿宋_GB2312" w:cs="Times New Roman"/>
          <w:color w:val="auto"/>
          <w:sz w:val="32"/>
          <w:szCs w:val="32"/>
          <w:highlight w:val="none"/>
        </w:rPr>
        <w:t>、分类分级、滚动推进</w:t>
      </w:r>
      <w:r>
        <w:rPr>
          <w:rFonts w:hint="default" w:ascii="Times New Roman" w:hAnsi="Times New Roman" w:eastAsia="仿宋_GB2312" w:cs="Times New Roman"/>
          <w:color w:val="auto"/>
          <w:sz w:val="32"/>
          <w:szCs w:val="32"/>
          <w:highlight w:val="none"/>
          <w:lang w:eastAsia="zh-CN"/>
        </w:rPr>
        <w:t>”的工作思路，组织举办</w:t>
      </w:r>
      <w:r>
        <w:rPr>
          <w:rFonts w:hint="default" w:ascii="Times New Roman" w:hAnsi="Times New Roman" w:eastAsia="仿宋_GB2312" w:cs="Times New Roman"/>
          <w:color w:val="auto"/>
          <w:sz w:val="32"/>
          <w:szCs w:val="32"/>
          <w:highlight w:val="none"/>
        </w:rPr>
        <w:t>以“</w:t>
      </w:r>
      <w:r>
        <w:rPr>
          <w:rFonts w:hint="default" w:ascii="Times New Roman" w:hAnsi="Times New Roman" w:eastAsia="仿宋_GB2312" w:cs="Times New Roman"/>
          <w:color w:val="auto"/>
          <w:sz w:val="32"/>
          <w:szCs w:val="32"/>
          <w:highlight w:val="none"/>
          <w:lang w:eastAsia="zh-CN"/>
        </w:rPr>
        <w:t>天河焕新惠民</w:t>
      </w:r>
      <w:r>
        <w:rPr>
          <w:rFonts w:hint="default" w:ascii="Times New Roman" w:hAnsi="Times New Roman" w:eastAsia="仿宋_GB2312" w:cs="Times New Roman"/>
          <w:color w:val="auto"/>
          <w:sz w:val="32"/>
          <w:szCs w:val="32"/>
          <w:highlight w:val="none"/>
        </w:rPr>
        <w:t>”为活动主题</w:t>
      </w:r>
      <w:r>
        <w:rPr>
          <w:rFonts w:hint="default" w:ascii="Times New Roman" w:hAnsi="Times New Roman" w:eastAsia="仿宋_GB2312" w:cs="Times New Roman"/>
          <w:color w:val="auto"/>
          <w:sz w:val="32"/>
          <w:szCs w:val="32"/>
          <w:highlight w:val="none"/>
          <w:lang w:eastAsia="zh-CN"/>
        </w:rPr>
        <w:t>的促消费活动。通过在汽车、家居家电、珠宝等大宗消费领域发放政府消费补贴或消费券，并充分整合消费平台、企业商家、金融机构等市场主体资源，丰富消费供给，提振消费信心，扩大消费补贴或消费券乘数效应，拉动我区经济持续增长。</w:t>
      </w:r>
    </w:p>
    <w:p>
      <w:pPr>
        <w:pStyle w:val="6"/>
        <w:pageBreakBefore w:val="0"/>
        <w:numPr>
          <w:ilvl w:val="0"/>
          <w:numId w:val="1"/>
        </w:numPr>
        <w:kinsoku/>
        <w:topLinePunct w:val="0"/>
        <w:bidi w:val="0"/>
        <w:spacing w:beforeLines="0" w:afterLines="0" w:line="560" w:lineRule="exact"/>
        <w:ind w:left="0" w:right="0" w:rightChars="0" w:firstLine="640" w:firstLineChars="200"/>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活动时间</w:t>
      </w:r>
    </w:p>
    <w:p>
      <w:pPr>
        <w:spacing w:beforeLines="0" w:afterLines="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月至</w:t>
      </w:r>
      <w:r>
        <w:rPr>
          <w:rFonts w:hint="default" w:ascii="Times New Roman" w:hAnsi="Times New Roman" w:eastAsia="仿宋_GB2312" w:cs="Times New Roman"/>
          <w:color w:val="auto"/>
          <w:sz w:val="32"/>
          <w:szCs w:val="32"/>
          <w:highlight w:val="none"/>
          <w:lang w:val="en-US" w:eastAsia="zh-CN"/>
        </w:rPr>
        <w:t>11月。</w:t>
      </w:r>
    </w:p>
    <w:p>
      <w:pPr>
        <w:pStyle w:val="6"/>
        <w:pageBreakBefore w:val="0"/>
        <w:numPr>
          <w:ilvl w:val="0"/>
          <w:numId w:val="0"/>
        </w:numPr>
        <w:kinsoku/>
        <w:topLinePunct w:val="0"/>
        <w:bidi w:val="0"/>
        <w:spacing w:beforeLines="0" w:afterLines="0" w:line="560" w:lineRule="exact"/>
        <w:ind w:left="0" w:right="0" w:rightChars="0"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活动</w:t>
      </w:r>
      <w:r>
        <w:rPr>
          <w:rFonts w:hint="default" w:ascii="Times New Roman" w:hAnsi="Times New Roman" w:eastAsia="黑体" w:cs="Times New Roman"/>
          <w:color w:val="auto"/>
          <w:sz w:val="32"/>
          <w:szCs w:val="32"/>
          <w:highlight w:val="none"/>
          <w:lang w:eastAsia="zh-CN"/>
        </w:rPr>
        <w:t>组织安排</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rPr>
        <w:t>（一）</w:t>
      </w:r>
      <w:r>
        <w:rPr>
          <w:rFonts w:hint="default" w:ascii="Times New Roman" w:hAnsi="Times New Roman" w:eastAsia="楷体" w:cs="Times New Roman"/>
          <w:color w:val="auto"/>
          <w:kern w:val="0"/>
          <w:sz w:val="32"/>
          <w:szCs w:val="32"/>
          <w:highlight w:val="none"/>
          <w:lang w:eastAsia="zh-CN"/>
        </w:rPr>
        <w:t>主办</w:t>
      </w:r>
      <w:r>
        <w:rPr>
          <w:rFonts w:hint="default" w:ascii="Times New Roman" w:hAnsi="Times New Roman" w:eastAsia="楷体" w:cs="Times New Roman"/>
          <w:color w:val="auto"/>
          <w:kern w:val="0"/>
          <w:sz w:val="32"/>
          <w:szCs w:val="32"/>
          <w:highlight w:val="none"/>
        </w:rPr>
        <w:t>单位：</w:t>
      </w:r>
      <w:r>
        <w:rPr>
          <w:rFonts w:hint="default" w:ascii="Times New Roman" w:hAnsi="Times New Roman" w:eastAsia="仿宋_GB2312" w:cs="Times New Roman"/>
          <w:color w:val="auto"/>
          <w:kern w:val="0"/>
          <w:sz w:val="32"/>
          <w:szCs w:val="32"/>
          <w:highlight w:val="none"/>
          <w:lang w:eastAsia="zh-CN"/>
        </w:rPr>
        <w:t>天河</w:t>
      </w:r>
      <w:r>
        <w:rPr>
          <w:rFonts w:hint="default" w:ascii="Times New Roman" w:hAnsi="Times New Roman" w:eastAsia="仿宋_GB2312" w:cs="Times New Roman"/>
          <w:color w:val="auto"/>
          <w:kern w:val="0"/>
          <w:sz w:val="32"/>
          <w:szCs w:val="32"/>
          <w:highlight w:val="none"/>
        </w:rPr>
        <w:t>区</w:t>
      </w:r>
      <w:r>
        <w:rPr>
          <w:rFonts w:hint="default" w:ascii="Times New Roman" w:hAnsi="Times New Roman" w:eastAsia="仿宋_GB2312" w:cs="Times New Roman"/>
          <w:color w:val="auto"/>
          <w:kern w:val="0"/>
          <w:sz w:val="32"/>
          <w:szCs w:val="32"/>
          <w:highlight w:val="none"/>
          <w:lang w:eastAsia="zh-CN"/>
        </w:rPr>
        <w:t>人民</w:t>
      </w:r>
      <w:r>
        <w:rPr>
          <w:rFonts w:hint="default" w:ascii="Times New Roman" w:hAnsi="Times New Roman" w:eastAsia="仿宋_GB2312" w:cs="Times New Roman"/>
          <w:color w:val="auto"/>
          <w:kern w:val="0"/>
          <w:sz w:val="32"/>
          <w:szCs w:val="32"/>
          <w:highlight w:val="none"/>
        </w:rPr>
        <w:t>政府</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w:t>
      </w:r>
      <w:r>
        <w:rPr>
          <w:rFonts w:hint="default" w:ascii="Times New Roman" w:hAnsi="Times New Roman" w:eastAsia="楷体" w:cs="Times New Roman"/>
          <w:color w:val="auto"/>
          <w:kern w:val="0"/>
          <w:sz w:val="32"/>
          <w:szCs w:val="32"/>
          <w:highlight w:val="none"/>
          <w:lang w:val="en-US" w:eastAsia="zh-CN"/>
        </w:rPr>
        <w:t>承办单位：</w:t>
      </w:r>
      <w:r>
        <w:rPr>
          <w:rFonts w:hint="default" w:ascii="Times New Roman" w:hAnsi="Times New Roman" w:eastAsia="仿宋_GB2312" w:cs="Times New Roman"/>
          <w:color w:val="auto"/>
          <w:kern w:val="0"/>
          <w:sz w:val="32"/>
          <w:szCs w:val="32"/>
          <w:highlight w:val="none"/>
          <w:lang w:eastAsia="zh-CN"/>
        </w:rPr>
        <w:t>天河</w:t>
      </w:r>
      <w:r>
        <w:rPr>
          <w:rFonts w:hint="default" w:ascii="Times New Roman" w:hAnsi="Times New Roman" w:eastAsia="仿宋_GB2312" w:cs="Times New Roman"/>
          <w:color w:val="auto"/>
          <w:kern w:val="0"/>
          <w:sz w:val="32"/>
          <w:szCs w:val="32"/>
          <w:highlight w:val="none"/>
        </w:rPr>
        <w:t>区</w:t>
      </w:r>
      <w:r>
        <w:rPr>
          <w:rFonts w:hint="default" w:ascii="Times New Roman" w:hAnsi="Times New Roman" w:eastAsia="仿宋_GB2312" w:cs="Times New Roman"/>
          <w:color w:val="auto"/>
          <w:kern w:val="0"/>
          <w:sz w:val="32"/>
          <w:szCs w:val="32"/>
          <w:highlight w:val="none"/>
          <w:lang w:val="en-US" w:eastAsia="zh-CN"/>
        </w:rPr>
        <w:t>商务局</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楷体" w:cs="Times New Roman"/>
          <w:color w:val="auto"/>
          <w:kern w:val="0"/>
          <w:sz w:val="32"/>
          <w:szCs w:val="32"/>
          <w:highlight w:val="none"/>
        </w:rPr>
        <w:t>（</w:t>
      </w:r>
      <w:r>
        <w:rPr>
          <w:rFonts w:hint="default" w:ascii="Times New Roman" w:hAnsi="Times New Roman" w:eastAsia="楷体" w:cs="Times New Roman"/>
          <w:color w:val="auto"/>
          <w:kern w:val="0"/>
          <w:sz w:val="32"/>
          <w:szCs w:val="32"/>
          <w:highlight w:val="none"/>
          <w:lang w:val="en-US" w:eastAsia="zh-CN"/>
        </w:rPr>
        <w:t>三</w:t>
      </w:r>
      <w:r>
        <w:rPr>
          <w:rFonts w:hint="default" w:ascii="Times New Roman" w:hAnsi="Times New Roman" w:eastAsia="楷体" w:cs="Times New Roman"/>
          <w:color w:val="auto"/>
          <w:kern w:val="0"/>
          <w:sz w:val="32"/>
          <w:szCs w:val="32"/>
          <w:highlight w:val="none"/>
        </w:rPr>
        <w:t>）</w:t>
      </w:r>
      <w:r>
        <w:rPr>
          <w:rFonts w:hint="default" w:ascii="Times New Roman" w:hAnsi="Times New Roman" w:eastAsia="楷体" w:cs="Times New Roman"/>
          <w:color w:val="auto"/>
          <w:kern w:val="0"/>
          <w:sz w:val="32"/>
          <w:szCs w:val="32"/>
          <w:highlight w:val="none"/>
          <w:lang w:eastAsia="zh-CN"/>
        </w:rPr>
        <w:t>参与</w:t>
      </w:r>
      <w:r>
        <w:rPr>
          <w:rFonts w:hint="default" w:ascii="Times New Roman" w:hAnsi="Times New Roman" w:eastAsia="楷体" w:cs="Times New Roman"/>
          <w:color w:val="auto"/>
          <w:kern w:val="0"/>
          <w:sz w:val="32"/>
          <w:szCs w:val="32"/>
          <w:highlight w:val="none"/>
        </w:rPr>
        <w:t>单位</w:t>
      </w:r>
      <w:r>
        <w:rPr>
          <w:rFonts w:hint="default" w:ascii="Times New Roman" w:hAnsi="Times New Roman" w:eastAsia="楷体" w:cs="Times New Roman"/>
          <w:color w:val="auto"/>
          <w:kern w:val="0"/>
          <w:sz w:val="32"/>
          <w:szCs w:val="32"/>
          <w:highlight w:val="none"/>
          <w:lang w:eastAsia="zh-CN"/>
        </w:rPr>
        <w:t>范围</w:t>
      </w:r>
      <w:r>
        <w:rPr>
          <w:rFonts w:hint="default" w:ascii="Times New Roman" w:hAnsi="Times New Roman" w:eastAsia="楷体"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区政府有关部门；各消费类平台；各商业载体、商贸企业；各行业商（协）会等。</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楷体" w:cs="Times New Roman"/>
          <w:color w:val="auto"/>
          <w:kern w:val="0"/>
          <w:sz w:val="32"/>
          <w:szCs w:val="32"/>
          <w:highlight w:val="none"/>
          <w:lang w:eastAsia="zh-CN"/>
        </w:rPr>
        <w:t>（四）</w:t>
      </w:r>
      <w:r>
        <w:rPr>
          <w:rFonts w:hint="default" w:ascii="Times New Roman" w:hAnsi="Times New Roman" w:eastAsia="楷体" w:cs="Times New Roman"/>
          <w:color w:val="auto"/>
          <w:kern w:val="0"/>
          <w:sz w:val="32"/>
          <w:szCs w:val="32"/>
          <w:highlight w:val="none"/>
        </w:rPr>
        <w:t>消费券发放</w:t>
      </w:r>
      <w:r>
        <w:rPr>
          <w:rFonts w:hint="default" w:ascii="Times New Roman" w:hAnsi="Times New Roman" w:eastAsia="楷体" w:cs="Times New Roman"/>
          <w:color w:val="auto"/>
          <w:kern w:val="0"/>
          <w:sz w:val="32"/>
          <w:szCs w:val="32"/>
          <w:highlight w:val="none"/>
          <w:lang w:eastAsia="zh-CN"/>
        </w:rPr>
        <w:t>合作平台</w:t>
      </w:r>
      <w:r>
        <w:rPr>
          <w:rFonts w:hint="default" w:ascii="Times New Roman" w:hAnsi="Times New Roman" w:eastAsia="楷体" w:cs="Times New Roman"/>
          <w:color w:val="auto"/>
          <w:kern w:val="0"/>
          <w:sz w:val="32"/>
          <w:szCs w:val="32"/>
          <w:highlight w:val="none"/>
        </w:rPr>
        <w:t>遴选</w:t>
      </w:r>
      <w:r>
        <w:rPr>
          <w:rFonts w:hint="default" w:ascii="Times New Roman" w:hAnsi="Times New Roman" w:eastAsia="楷体" w:cs="Times New Roman"/>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按照分类合作的原则，根据</w:t>
      </w:r>
      <w:r>
        <w:rPr>
          <w:rFonts w:hint="default" w:ascii="Times New Roman" w:hAnsi="Times New Roman" w:eastAsia="仿宋_GB2312" w:cs="Times New Roman"/>
          <w:color w:val="auto"/>
          <w:sz w:val="32"/>
          <w:szCs w:val="32"/>
          <w:highlight w:val="none"/>
          <w:lang w:eastAsia="zh-CN"/>
        </w:rPr>
        <w:t>汽车、家居家电、珠宝等</w:t>
      </w:r>
      <w:r>
        <w:rPr>
          <w:rFonts w:hint="default" w:ascii="Times New Roman" w:hAnsi="Times New Roman" w:eastAsia="仿宋_GB2312" w:cs="Times New Roman"/>
          <w:color w:val="auto"/>
          <w:sz w:val="32"/>
          <w:szCs w:val="32"/>
          <w:highlight w:val="none"/>
        </w:rPr>
        <w:t>资源特点，通过公开征集的方式，由各合作</w:t>
      </w:r>
      <w:r>
        <w:rPr>
          <w:rFonts w:hint="default" w:ascii="Times New Roman" w:hAnsi="Times New Roman" w:eastAsia="仿宋_GB2312" w:cs="Times New Roman"/>
          <w:color w:val="auto"/>
          <w:sz w:val="32"/>
          <w:szCs w:val="32"/>
          <w:highlight w:val="none"/>
          <w:lang w:eastAsia="zh-CN"/>
        </w:rPr>
        <w:t>平台</w:t>
      </w:r>
      <w:r>
        <w:rPr>
          <w:rFonts w:hint="default" w:ascii="Times New Roman" w:hAnsi="Times New Roman" w:eastAsia="仿宋_GB2312" w:cs="Times New Roman"/>
          <w:color w:val="auto"/>
          <w:sz w:val="32"/>
          <w:szCs w:val="32"/>
          <w:highlight w:val="none"/>
        </w:rPr>
        <w:t>提供方案参与遴选。由分管区领导牵头，区商务局成立遴选工作小组，择优确定合作</w:t>
      </w:r>
      <w:r>
        <w:rPr>
          <w:rFonts w:hint="default" w:ascii="Times New Roman" w:hAnsi="Times New Roman" w:eastAsia="仿宋_GB2312" w:cs="Times New Roman"/>
          <w:color w:val="auto"/>
          <w:sz w:val="32"/>
          <w:szCs w:val="32"/>
          <w:highlight w:val="none"/>
          <w:lang w:eastAsia="zh-CN"/>
        </w:rPr>
        <w:t>平台</w:t>
      </w:r>
      <w:r>
        <w:rPr>
          <w:rFonts w:hint="default" w:ascii="Times New Roman" w:hAnsi="Times New Roman" w:eastAsia="仿宋_GB2312" w:cs="Times New Roman"/>
          <w:color w:val="auto"/>
          <w:sz w:val="32"/>
          <w:szCs w:val="32"/>
          <w:highlight w:val="none"/>
        </w:rPr>
        <w:t>。</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四、活动内容</w:t>
      </w:r>
    </w:p>
    <w:p>
      <w:pPr>
        <w:pageBreakBefore w:val="0"/>
        <w:widowControl/>
        <w:kinsoku/>
        <w:wordWrap/>
        <w:overflowPunct/>
        <w:topLinePunct w:val="0"/>
        <w:bidi w:val="0"/>
        <w:snapToGrid/>
        <w:spacing w:beforeLines="0" w:afterLines="0"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消费补贴或消费券</w:t>
      </w:r>
      <w:r>
        <w:rPr>
          <w:rFonts w:hint="default" w:ascii="Times New Roman" w:hAnsi="Times New Roman" w:eastAsia="仿宋_GB2312" w:cs="Times New Roman"/>
          <w:b w:val="0"/>
          <w:bCs w:val="0"/>
          <w:color w:val="auto"/>
          <w:kern w:val="0"/>
          <w:sz w:val="32"/>
          <w:szCs w:val="32"/>
          <w:highlight w:val="none"/>
          <w:lang w:eastAsia="zh-CN"/>
        </w:rPr>
        <w:t>采用政企联动、分类发放、滚动使用的发放方式，总额为</w:t>
      </w:r>
      <w:r>
        <w:rPr>
          <w:rFonts w:hint="default" w:ascii="Times New Roman" w:hAnsi="Times New Roman" w:eastAsia="仿宋_GB2312" w:cs="Times New Roman"/>
          <w:b w:val="0"/>
          <w:bCs w:val="0"/>
          <w:color w:val="auto"/>
          <w:kern w:val="0"/>
          <w:sz w:val="32"/>
          <w:szCs w:val="32"/>
          <w:highlight w:val="none"/>
          <w:lang w:val="en-US" w:eastAsia="zh-CN"/>
        </w:rPr>
        <w:t>1100.13万元</w:t>
      </w:r>
      <w:r>
        <w:rPr>
          <w:rFonts w:hint="default" w:ascii="Times New Roman" w:hAnsi="Times New Roman" w:eastAsia="仿宋_GB2312" w:cs="Times New Roman"/>
          <w:color w:val="000000"/>
          <w:sz w:val="32"/>
          <w:szCs w:val="32"/>
          <w:highlight w:val="none"/>
          <w:lang w:val="en-US" w:eastAsia="zh-CN"/>
        </w:rPr>
        <w:t>（其中1000万元为区财政资金，100.13万元为</w:t>
      </w:r>
      <w:r>
        <w:rPr>
          <w:rFonts w:hint="default" w:ascii="Times New Roman" w:hAnsi="Times New Roman" w:eastAsia="仿宋_GB2312" w:cs="Times New Roman"/>
          <w:color w:val="000000"/>
          <w:kern w:val="0"/>
          <w:sz w:val="32"/>
          <w:szCs w:val="32"/>
          <w:highlight w:val="none"/>
          <w:lang w:eastAsia="zh-CN"/>
        </w:rPr>
        <w:t>省级消费券财政补贴资金</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color w:val="000000"/>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活动共分为</w:t>
      </w:r>
      <w:r>
        <w:rPr>
          <w:rFonts w:hint="default" w:ascii="Times New Roman" w:hAnsi="Times New Roman" w:eastAsia="仿宋_GB2312" w:cs="Times New Roman"/>
          <w:b w:val="0"/>
          <w:bCs w:val="0"/>
          <w:color w:val="auto"/>
          <w:kern w:val="0"/>
          <w:sz w:val="32"/>
          <w:szCs w:val="32"/>
          <w:highlight w:val="none"/>
          <w:lang w:val="en-US" w:eastAsia="zh-CN"/>
        </w:rPr>
        <w:t>2个专场，</w:t>
      </w:r>
      <w:r>
        <w:rPr>
          <w:rFonts w:hint="default" w:ascii="Times New Roman" w:hAnsi="Times New Roman" w:eastAsia="仿宋_GB2312" w:cs="Times New Roman"/>
          <w:b/>
          <w:bCs/>
          <w:color w:val="auto"/>
          <w:kern w:val="0"/>
          <w:sz w:val="32"/>
          <w:szCs w:val="32"/>
          <w:highlight w:val="none"/>
          <w:lang w:val="en-US" w:eastAsia="zh-CN"/>
        </w:rPr>
        <w:t>一是</w:t>
      </w:r>
      <w:r>
        <w:rPr>
          <w:rFonts w:hint="default" w:ascii="Times New Roman" w:hAnsi="Times New Roman" w:eastAsia="仿宋_GB2312" w:cs="Times New Roman"/>
          <w:color w:val="auto"/>
          <w:kern w:val="0"/>
          <w:sz w:val="32"/>
          <w:szCs w:val="32"/>
          <w:highlight w:val="none"/>
          <w:lang w:val="en-US" w:eastAsia="zh-CN"/>
        </w:rPr>
        <w:t>“畅航人生”汽车零售专场1000万元；</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color w:val="auto"/>
          <w:kern w:val="0"/>
          <w:sz w:val="32"/>
          <w:szCs w:val="32"/>
          <w:highlight w:val="none"/>
          <w:lang w:val="en-US" w:eastAsia="zh-CN"/>
        </w:rPr>
        <w:t xml:space="preserve"> “品质消费”商圈乐购专场100.13万元。</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（一）</w:t>
      </w:r>
      <w:r>
        <w:rPr>
          <w:rFonts w:hint="default" w:ascii="Times New Roman" w:hAnsi="Times New Roman" w:eastAsia="方正楷体_GBK" w:cs="Times New Roman"/>
          <w:color w:val="auto"/>
          <w:kern w:val="0"/>
          <w:sz w:val="32"/>
          <w:szCs w:val="32"/>
          <w:highlight w:val="none"/>
          <w:lang w:val="en-US" w:eastAsia="zh-CN"/>
        </w:rPr>
        <w:t>“畅航人生”汽车零售专场（附件1）</w:t>
      </w:r>
    </w:p>
    <w:p>
      <w:pPr>
        <w:widowControl/>
        <w:spacing w:beforeLines="0" w:afterLines="0" w:line="560" w:lineRule="exact"/>
        <w:ind w:firstLine="643" w:firstLineChars="200"/>
        <w:jc w:val="left"/>
        <w:rPr>
          <w:rFonts w:hint="default" w:ascii="Times New Roman" w:hAnsi="Times New Roman" w:eastAsia="仿宋_GB2312" w:cs="Times New Roman"/>
          <w:sz w:val="32"/>
          <w:highlight w:val="none"/>
          <w:lang w:eastAsia="zh-CN"/>
        </w:rPr>
      </w:pPr>
      <w:r>
        <w:rPr>
          <w:rFonts w:hint="default" w:ascii="Times New Roman" w:hAnsi="Times New Roman" w:eastAsia="仿宋_GB2312" w:cs="Times New Roman"/>
          <w:b/>
          <w:bCs/>
          <w:color w:val="auto"/>
          <w:kern w:val="0"/>
          <w:sz w:val="32"/>
          <w:szCs w:val="32"/>
          <w:highlight w:val="none"/>
        </w:rPr>
        <w:t>活动时间：</w:t>
      </w:r>
      <w:r>
        <w:rPr>
          <w:rFonts w:hint="default" w:ascii="Times New Roman" w:hAnsi="Times New Roman" w:eastAsia="仿宋_GB2312" w:cs="Times New Roman"/>
          <w:color w:val="auto"/>
          <w:sz w:val="32"/>
          <w:szCs w:val="32"/>
          <w:highlight w:val="none"/>
          <w:lang w:eastAsia="zh-CN"/>
        </w:rPr>
        <w:t>2024年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月至</w:t>
      </w: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eastAsia="zh-CN"/>
        </w:rPr>
        <w:t>，分两轮发放汽车消费补贴。第一轮于</w:t>
      </w:r>
      <w:r>
        <w:rPr>
          <w:rFonts w:hint="default" w:ascii="Times New Roman" w:hAnsi="Times New Roman" w:eastAsia="仿宋_GB2312" w:cs="Times New Roman"/>
          <w:color w:val="auto"/>
          <w:sz w:val="32"/>
          <w:szCs w:val="32"/>
          <w:highlight w:val="none"/>
          <w:lang w:val="en-US" w:eastAsia="zh-CN"/>
        </w:rPr>
        <w:t>8月（暂定）发放</w:t>
      </w:r>
      <w:r>
        <w:rPr>
          <w:rFonts w:hint="eastAsia" w:ascii="Times New Roman" w:hAnsi="Times New Roman" w:eastAsia="仿宋_GB2312" w:cs="Times New Roman"/>
          <w:color w:val="auto"/>
          <w:sz w:val="32"/>
          <w:szCs w:val="32"/>
          <w:highlight w:val="none"/>
          <w:lang w:val="en-US" w:eastAsia="zh-CN"/>
        </w:rPr>
        <w:t>500万元；</w:t>
      </w:r>
      <w:r>
        <w:rPr>
          <w:rFonts w:hint="default" w:ascii="Times New Roman" w:hAnsi="Times New Roman" w:eastAsia="仿宋_GB2312" w:cs="Times New Roman"/>
          <w:color w:val="auto"/>
          <w:sz w:val="32"/>
          <w:szCs w:val="32"/>
          <w:highlight w:val="none"/>
          <w:lang w:val="en-US" w:eastAsia="zh-CN"/>
        </w:rPr>
        <w:t>第二轮于10月（暂定）发放</w:t>
      </w:r>
      <w:r>
        <w:rPr>
          <w:rFonts w:hint="eastAsia" w:ascii="Times New Roman" w:hAnsi="Times New Roman" w:eastAsia="仿宋_GB2312" w:cs="Times New Roman"/>
          <w:color w:val="auto"/>
          <w:sz w:val="32"/>
          <w:szCs w:val="32"/>
          <w:highlight w:val="none"/>
          <w:lang w:val="en-US" w:eastAsia="zh-CN"/>
        </w:rPr>
        <w:t>500万元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rPr>
        <w:t>如</w:t>
      </w:r>
      <w:r>
        <w:rPr>
          <w:rFonts w:hint="default" w:ascii="Times New Roman" w:hAnsi="Times New Roman" w:eastAsia="仿宋_GB2312" w:cs="Times New Roman"/>
          <w:color w:val="000000"/>
          <w:kern w:val="0"/>
          <w:sz w:val="32"/>
          <w:szCs w:val="32"/>
          <w:highlight w:val="none"/>
          <w:lang w:eastAsia="zh-CN"/>
        </w:rPr>
        <w:t>汽车补贴</w:t>
      </w:r>
      <w:r>
        <w:rPr>
          <w:rFonts w:hint="default" w:ascii="Times New Roman" w:hAnsi="Times New Roman" w:eastAsia="仿宋_GB2312" w:cs="Times New Roman"/>
          <w:color w:val="000000"/>
          <w:kern w:val="0"/>
          <w:sz w:val="32"/>
          <w:szCs w:val="32"/>
          <w:highlight w:val="none"/>
        </w:rPr>
        <w:t>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Style w:val="18"/>
        <w:pageBreakBefore w:val="0"/>
        <w:kinsoku/>
        <w:wordWrap/>
        <w:overflowPunct/>
        <w:topLinePunct w:val="0"/>
        <w:bidi w:val="0"/>
        <w:snapToGrid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参与企业：</w:t>
      </w:r>
      <w:r>
        <w:rPr>
          <w:rFonts w:hint="default" w:ascii="Times New Roman" w:hAnsi="Times New Roman" w:eastAsia="仿宋_GB2312" w:cs="Times New Roman"/>
          <w:color w:val="auto"/>
          <w:kern w:val="0"/>
          <w:sz w:val="32"/>
          <w:szCs w:val="32"/>
          <w:highlight w:val="none"/>
          <w:lang w:eastAsia="zh-CN"/>
        </w:rPr>
        <w:t>汽车销售企业</w:t>
      </w:r>
    </w:p>
    <w:p>
      <w:pPr>
        <w:pageBreakBefore w:val="0"/>
        <w:kinsoku/>
        <w:wordWrap/>
        <w:overflowPunct/>
        <w:topLinePunct w:val="0"/>
        <w:bidi w:val="0"/>
        <w:snapToGrid/>
        <w:spacing w:beforeLines="-2147483648" w:afterLines="-2147483648" w:line="560" w:lineRule="exact"/>
        <w:ind w:right="0" w:rightChars="0" w:firstLine="643"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活动内容：</w:t>
      </w:r>
      <w:r>
        <w:rPr>
          <w:rFonts w:hint="default" w:ascii="Times New Roman" w:hAnsi="Times New Roman" w:eastAsia="仿宋_GB2312" w:cs="Times New Roman"/>
          <w:b w:val="0"/>
          <w:bCs w:val="0"/>
          <w:color w:val="auto"/>
          <w:kern w:val="0"/>
          <w:sz w:val="32"/>
          <w:szCs w:val="32"/>
          <w:highlight w:val="none"/>
          <w:lang w:eastAsia="zh-CN"/>
        </w:rPr>
        <w:t>发放汽车消费补贴，</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扩大政府消费</w:t>
      </w:r>
      <w:r>
        <w:rPr>
          <w:rFonts w:hint="default" w:ascii="Times New Roman" w:hAnsi="Times New Roman" w:eastAsia="仿宋_GB2312" w:cs="Times New Roman"/>
          <w:bCs/>
          <w:sz w:val="32"/>
          <w:szCs w:val="32"/>
          <w:highlight w:val="none"/>
          <w:lang w:eastAsia="zh-CN"/>
        </w:rPr>
        <w:t>补贴</w:t>
      </w:r>
      <w:r>
        <w:rPr>
          <w:rFonts w:hint="default" w:ascii="Times New Roman" w:hAnsi="Times New Roman" w:eastAsia="仿宋_GB2312" w:cs="Times New Roman"/>
          <w:bCs/>
          <w:sz w:val="32"/>
          <w:szCs w:val="32"/>
          <w:highlight w:val="none"/>
        </w:rPr>
        <w:t>激发居民消费的乘数效应，</w:t>
      </w:r>
      <w:r>
        <w:rPr>
          <w:rFonts w:hint="default" w:ascii="Times New Roman" w:hAnsi="Times New Roman" w:eastAsia="仿宋_GB2312" w:cs="Times New Roman"/>
          <w:color w:val="auto"/>
          <w:kern w:val="0"/>
          <w:sz w:val="32"/>
          <w:szCs w:val="32"/>
          <w:highlight w:val="none"/>
          <w:lang w:eastAsia="zh-CN"/>
        </w:rPr>
        <w:t>促进全区汽车消费提质扩容。</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资金安排：</w:t>
      </w:r>
      <w:r>
        <w:rPr>
          <w:rFonts w:hint="default" w:ascii="Times New Roman" w:hAnsi="Times New Roman" w:eastAsia="仿宋_GB2312" w:cs="Times New Roman"/>
          <w:b w:val="0"/>
          <w:bCs w:val="0"/>
          <w:color w:val="auto"/>
          <w:kern w:val="0"/>
          <w:sz w:val="32"/>
          <w:szCs w:val="32"/>
          <w:highlight w:val="none"/>
          <w:lang w:val="en-US" w:eastAsia="zh-CN"/>
        </w:rPr>
        <w:t>汽车零售</w:t>
      </w:r>
      <w:r>
        <w:rPr>
          <w:rFonts w:hint="default" w:ascii="Times New Roman" w:hAnsi="Times New Roman" w:eastAsia="仿宋_GB2312" w:cs="Times New Roman"/>
          <w:color w:val="auto"/>
          <w:kern w:val="0"/>
          <w:sz w:val="32"/>
          <w:szCs w:val="32"/>
          <w:highlight w:val="none"/>
          <w:lang w:val="en-US" w:eastAsia="zh-CN"/>
        </w:rPr>
        <w:t>专场</w:t>
      </w:r>
      <w:r>
        <w:rPr>
          <w:rFonts w:hint="default" w:ascii="Times New Roman" w:hAnsi="Times New Roman" w:eastAsia="仿宋_GB2312" w:cs="Times New Roman"/>
          <w:color w:val="auto"/>
          <w:kern w:val="0"/>
          <w:sz w:val="32"/>
          <w:szCs w:val="32"/>
          <w:highlight w:val="none"/>
        </w:rPr>
        <w:t>活动费用</w:t>
      </w:r>
      <w:r>
        <w:rPr>
          <w:rFonts w:hint="default" w:ascii="Times New Roman" w:hAnsi="Times New Roman" w:eastAsia="仿宋_GB2312" w:cs="Times New Roman"/>
          <w:color w:val="auto"/>
          <w:kern w:val="0"/>
          <w:sz w:val="32"/>
          <w:szCs w:val="32"/>
          <w:highlight w:val="none"/>
          <w:lang w:eastAsia="zh-CN"/>
        </w:rPr>
        <w:t>为</w:t>
      </w:r>
      <w:r>
        <w:rPr>
          <w:rFonts w:hint="default" w:ascii="Times New Roman" w:hAnsi="Times New Roman" w:eastAsia="仿宋_GB2312" w:cs="Times New Roman"/>
          <w:color w:val="auto"/>
          <w:kern w:val="0"/>
          <w:sz w:val="32"/>
          <w:szCs w:val="32"/>
          <w:highlight w:val="none"/>
          <w:lang w:val="en-US" w:eastAsia="zh-CN"/>
        </w:rPr>
        <w:t>1000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，均为</w:t>
      </w:r>
      <w:r>
        <w:rPr>
          <w:rFonts w:hint="default" w:ascii="Times New Roman" w:hAnsi="Times New Roman" w:eastAsia="仿宋_GB2312" w:cs="Times New Roman"/>
          <w:color w:val="000000"/>
          <w:kern w:val="0"/>
          <w:sz w:val="32"/>
          <w:szCs w:val="32"/>
          <w:highlight w:val="none"/>
          <w:lang w:eastAsia="zh-CN"/>
        </w:rPr>
        <w:t>天河区财政资金</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补贴标准：</w:t>
      </w:r>
      <w:r>
        <w:rPr>
          <w:rFonts w:hint="default" w:ascii="Times New Roman" w:hAnsi="Times New Roman" w:eastAsia="仿宋_GB2312" w:cs="Times New Roman"/>
          <w:color w:val="auto"/>
          <w:kern w:val="0"/>
          <w:sz w:val="32"/>
          <w:szCs w:val="32"/>
          <w:highlight w:val="none"/>
          <w:lang w:val="en-US" w:eastAsia="zh-CN"/>
        </w:rPr>
        <w:t>车价10万元（含）-20万元补贴1000元、20万元（含）-30万元补贴2000元、30万元</w:t>
      </w:r>
      <w:r>
        <w:rPr>
          <w:rFonts w:hint="eastAsia" w:ascii="Times New Roman" w:hAnsi="Times New Roman" w:eastAsia="仿宋_GB2312" w:cs="Times New Roman"/>
          <w:color w:val="auto"/>
          <w:kern w:val="0"/>
          <w:sz w:val="32"/>
          <w:szCs w:val="32"/>
          <w:highlight w:val="none"/>
          <w:lang w:val="en-US" w:eastAsia="zh-CN"/>
        </w:rPr>
        <w:t>（含）</w:t>
      </w:r>
      <w:r>
        <w:rPr>
          <w:rFonts w:hint="default" w:ascii="Times New Roman" w:hAnsi="Times New Roman" w:eastAsia="仿宋_GB2312" w:cs="Times New Roman"/>
          <w:color w:val="auto"/>
          <w:kern w:val="0"/>
          <w:sz w:val="32"/>
          <w:szCs w:val="32"/>
          <w:highlight w:val="none"/>
          <w:lang w:val="en-US" w:eastAsia="zh-CN"/>
        </w:rPr>
        <w:t>以上补贴3000元</w:t>
      </w:r>
      <w:r>
        <w:rPr>
          <w:rFonts w:hint="default" w:ascii="Times New Roman" w:hAnsi="Times New Roman" w:eastAsia="仿宋_GB2312" w:cs="Times New Roman"/>
          <w:color w:val="auto"/>
          <w:kern w:val="0"/>
          <w:sz w:val="32"/>
          <w:szCs w:val="32"/>
          <w:highlight w:val="none"/>
        </w:rPr>
        <w:t>。</w:t>
      </w:r>
    </w:p>
    <w:p>
      <w:pPr>
        <w:pageBreakBefore w:val="0"/>
        <w:widowControl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rPr>
        <w:t>补贴方式：</w:t>
      </w:r>
      <w:r>
        <w:rPr>
          <w:rFonts w:hint="default" w:ascii="Times New Roman" w:hAnsi="Times New Roman" w:eastAsia="仿宋_GB2312" w:cs="Times New Roman"/>
          <w:b w:val="0"/>
          <w:bCs w:val="0"/>
          <w:color w:val="auto"/>
          <w:kern w:val="0"/>
          <w:sz w:val="32"/>
          <w:szCs w:val="32"/>
          <w:highlight w:val="none"/>
          <w:lang w:val="en-US" w:eastAsia="zh-CN"/>
        </w:rPr>
        <w:t>汽车消费补贴采用现金转账形式通过合作平台发放至消费者提交申请时的个人银行账户。</w:t>
      </w:r>
    </w:p>
    <w:p>
      <w:pPr>
        <w:pageBreakBefore w:val="0"/>
        <w:widowControl/>
        <w:kinsoku/>
        <w:wordWrap/>
        <w:overflowPunct/>
        <w:topLinePunct w:val="0"/>
        <w:bidi w:val="0"/>
        <w:spacing w:beforeLines="0" w:afterLines="0" w:line="560" w:lineRule="exact"/>
        <w:ind w:right="0" w:rightChars="0" w:firstLine="640" w:firstLineChars="200"/>
        <w:textAlignment w:val="auto"/>
        <w:rPr>
          <w:rFonts w:hint="default" w:ascii="Times New Roman" w:hAnsi="Times New Roman" w:eastAsia="方正楷体_GBK" w:cs="Times New Roman"/>
          <w:color w:val="000000"/>
          <w:kern w:val="0"/>
          <w:sz w:val="32"/>
          <w:szCs w:val="32"/>
          <w:highlight w:val="none"/>
          <w:lang w:val="en-US" w:eastAsia="zh-CN"/>
        </w:rPr>
      </w:pPr>
      <w:r>
        <w:rPr>
          <w:rFonts w:hint="default" w:ascii="Times New Roman" w:hAnsi="Times New Roman" w:eastAsia="楷体" w:cs="Times New Roman"/>
          <w:color w:val="auto"/>
          <w:kern w:val="0"/>
          <w:sz w:val="32"/>
          <w:szCs w:val="32"/>
          <w:highlight w:val="none"/>
          <w:lang w:val="en-US" w:eastAsia="zh-CN"/>
        </w:rPr>
        <w:t>（二）“品质消费”商圈乐购</w:t>
      </w:r>
      <w:r>
        <w:rPr>
          <w:rFonts w:hint="default" w:ascii="Times New Roman" w:hAnsi="Times New Roman" w:eastAsia="方正楷体_GBK" w:cs="Times New Roman"/>
          <w:color w:val="000000"/>
          <w:kern w:val="0"/>
          <w:sz w:val="32"/>
          <w:szCs w:val="32"/>
          <w:highlight w:val="none"/>
          <w:lang w:val="en-US" w:eastAsia="zh-CN"/>
        </w:rPr>
        <w:t>专场（附件2）</w:t>
      </w:r>
    </w:p>
    <w:p>
      <w:pPr>
        <w:pageBreakBefore w:val="0"/>
        <w:widowControl/>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活动时间：</w:t>
      </w:r>
      <w:r>
        <w:rPr>
          <w:rFonts w:hint="default" w:ascii="Times New Roman" w:hAnsi="Times New Roman" w:eastAsia="仿宋_GB2312" w:cs="Times New Roman"/>
          <w:color w:val="000000"/>
          <w:kern w:val="0"/>
          <w:sz w:val="32"/>
          <w:szCs w:val="32"/>
          <w:highlight w:val="none"/>
          <w:lang w:val="en-US" w:eastAsia="zh-CN"/>
        </w:rPr>
        <w:t>2024年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000000"/>
          <w:kern w:val="0"/>
          <w:sz w:val="32"/>
          <w:szCs w:val="32"/>
          <w:highlight w:val="none"/>
          <w:lang w:val="en-US" w:eastAsia="zh-CN"/>
        </w:rPr>
        <w:t>至</w:t>
      </w:r>
      <w:r>
        <w:rPr>
          <w:rFonts w:hint="eastAsia" w:ascii="Times New Roman" w:hAnsi="Times New Roman" w:eastAsia="仿宋_GB2312" w:cs="Times New Roman"/>
          <w:color w:val="000000"/>
          <w:kern w:val="0"/>
          <w:sz w:val="32"/>
          <w:szCs w:val="32"/>
          <w:highlight w:val="none"/>
          <w:lang w:val="en-US" w:eastAsia="zh-CN"/>
        </w:rPr>
        <w:t>11</w:t>
      </w:r>
      <w:r>
        <w:rPr>
          <w:rFonts w:hint="default" w:ascii="Times New Roman" w:hAnsi="Times New Roman" w:eastAsia="仿宋_GB2312" w:cs="Times New Roman"/>
          <w:color w:val="000000"/>
          <w:kern w:val="0"/>
          <w:sz w:val="32"/>
          <w:szCs w:val="32"/>
          <w:highlight w:val="none"/>
          <w:lang w:val="en-US" w:eastAsia="zh-CN"/>
        </w:rPr>
        <w:t>月30日（暂定），如</w:t>
      </w:r>
      <w:r>
        <w:rPr>
          <w:rFonts w:hint="default" w:ascii="Times New Roman" w:hAnsi="Times New Roman" w:eastAsia="仿宋_GB2312" w:cs="Times New Roman"/>
          <w:color w:val="000000"/>
          <w:kern w:val="0"/>
          <w:sz w:val="32"/>
          <w:szCs w:val="32"/>
          <w:highlight w:val="none"/>
        </w:rPr>
        <w:t>消费券资金</w:t>
      </w:r>
      <w:r>
        <w:rPr>
          <w:rFonts w:hint="default" w:ascii="Times New Roman" w:hAnsi="Times New Roman" w:eastAsia="仿宋_GB2312" w:cs="Times New Roman"/>
          <w:color w:val="000000"/>
          <w:kern w:val="0"/>
          <w:sz w:val="32"/>
          <w:szCs w:val="32"/>
          <w:highlight w:val="none"/>
          <w:lang w:eastAsia="zh-CN"/>
        </w:rPr>
        <w:t>提前</w:t>
      </w:r>
      <w:r>
        <w:rPr>
          <w:rFonts w:hint="default" w:ascii="Times New Roman" w:hAnsi="Times New Roman" w:eastAsia="仿宋_GB2312" w:cs="Times New Roman"/>
          <w:color w:val="000000"/>
          <w:kern w:val="0"/>
          <w:sz w:val="32"/>
          <w:szCs w:val="32"/>
          <w:highlight w:val="none"/>
        </w:rPr>
        <w:t>核销完毕</w:t>
      </w:r>
      <w:r>
        <w:rPr>
          <w:rFonts w:hint="default" w:ascii="Times New Roman" w:hAnsi="Times New Roman" w:eastAsia="仿宋_GB2312" w:cs="Times New Roman"/>
          <w:color w:val="000000"/>
          <w:kern w:val="0"/>
          <w:sz w:val="32"/>
          <w:szCs w:val="32"/>
          <w:highlight w:val="none"/>
          <w:lang w:eastAsia="zh-CN"/>
        </w:rPr>
        <w:t>，则按资金实际核销完毕的时间作为活动结束时间</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参与企业：</w:t>
      </w:r>
      <w:r>
        <w:rPr>
          <w:rFonts w:hint="default" w:ascii="Times New Roman" w:hAnsi="Times New Roman" w:eastAsia="仿宋_GB2312" w:cs="Times New Roman"/>
          <w:color w:val="000000"/>
          <w:kern w:val="0"/>
          <w:sz w:val="32"/>
          <w:szCs w:val="32"/>
          <w:highlight w:val="none"/>
          <w:lang w:eastAsia="zh-CN"/>
        </w:rPr>
        <w:t>参与购物节的商业载体内</w:t>
      </w:r>
      <w:r>
        <w:rPr>
          <w:rFonts w:hint="default" w:ascii="Times New Roman" w:hAnsi="Times New Roman" w:eastAsia="仿宋_GB2312" w:cs="Times New Roman"/>
          <w:color w:val="000000"/>
          <w:kern w:val="0"/>
          <w:sz w:val="32"/>
          <w:szCs w:val="32"/>
          <w:highlight w:val="none"/>
          <w:lang w:val="en-US" w:eastAsia="zh-CN"/>
        </w:rPr>
        <w:t>能开具统一发票的</w:t>
      </w:r>
      <w:r>
        <w:rPr>
          <w:rFonts w:hint="default" w:ascii="Times New Roman" w:hAnsi="Times New Roman" w:eastAsia="仿宋_GB2312" w:cs="Times New Roman"/>
          <w:color w:val="000000"/>
          <w:kern w:val="0"/>
          <w:sz w:val="32"/>
          <w:szCs w:val="32"/>
          <w:highlight w:val="none"/>
          <w:lang w:eastAsia="zh-CN"/>
        </w:rPr>
        <w:t>家居家电、珠宝</w:t>
      </w:r>
      <w:r>
        <w:rPr>
          <w:rFonts w:hint="default" w:ascii="Times New Roman" w:hAnsi="Times New Roman" w:eastAsia="仿宋_GB2312" w:cs="Times New Roman"/>
          <w:color w:val="000000"/>
          <w:kern w:val="0"/>
          <w:sz w:val="32"/>
          <w:szCs w:val="32"/>
          <w:highlight w:val="none"/>
          <w:lang w:val="en-US" w:eastAsia="zh-CN"/>
        </w:rPr>
        <w:t>企业商户</w:t>
      </w:r>
      <w:r>
        <w:rPr>
          <w:rFonts w:hint="eastAsia"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eastAsia="zh-CN"/>
        </w:rPr>
      </w:pPr>
      <w:r>
        <w:rPr>
          <w:rFonts w:hint="default" w:ascii="Times New Roman" w:hAnsi="Times New Roman" w:eastAsia="仿宋_GB2312" w:cs="Times New Roman"/>
          <w:b/>
          <w:bCs/>
          <w:color w:val="000000"/>
          <w:kern w:val="0"/>
          <w:sz w:val="32"/>
          <w:szCs w:val="32"/>
          <w:highlight w:val="none"/>
        </w:rPr>
        <w:t>活动内容：</w:t>
      </w:r>
      <w:r>
        <w:rPr>
          <w:rFonts w:hint="default" w:ascii="Times New Roman" w:hAnsi="Times New Roman" w:eastAsia="仿宋_GB2312" w:cs="Times New Roman"/>
          <w:b w:val="0"/>
          <w:bCs w:val="0"/>
          <w:color w:val="000000"/>
          <w:kern w:val="0"/>
          <w:sz w:val="32"/>
          <w:szCs w:val="32"/>
          <w:highlight w:val="none"/>
          <w:lang w:eastAsia="zh-CN"/>
        </w:rPr>
        <w:t>结合广州国际购物节发放商圈乐购消费券，</w:t>
      </w:r>
      <w:r>
        <w:rPr>
          <w:rFonts w:hint="default" w:ascii="Times New Roman" w:hAnsi="Times New Roman" w:eastAsia="仿宋_GB2312" w:cs="Times New Roman"/>
          <w:color w:val="000000"/>
          <w:kern w:val="0"/>
          <w:sz w:val="32"/>
          <w:szCs w:val="32"/>
          <w:highlight w:val="none"/>
        </w:rPr>
        <w:t>鼓励支持</w:t>
      </w:r>
      <w:r>
        <w:rPr>
          <w:rFonts w:hint="default" w:ascii="Times New Roman" w:hAnsi="Times New Roman" w:eastAsia="仿宋_GB2312" w:cs="Times New Roman"/>
          <w:color w:val="000000"/>
          <w:kern w:val="0"/>
          <w:sz w:val="32"/>
          <w:szCs w:val="32"/>
          <w:highlight w:val="none"/>
          <w:lang w:eastAsia="zh-CN"/>
        </w:rPr>
        <w:t>积极参与购物节的商业载体内的家居家电、珠宝企业大宗消费类商户</w:t>
      </w:r>
      <w:r>
        <w:rPr>
          <w:rFonts w:hint="default" w:ascii="Times New Roman" w:hAnsi="Times New Roman" w:eastAsia="仿宋_GB2312" w:cs="Times New Roman"/>
          <w:color w:val="000000"/>
          <w:kern w:val="0"/>
          <w:sz w:val="32"/>
          <w:szCs w:val="32"/>
          <w:highlight w:val="none"/>
        </w:rPr>
        <w:t>开展促消费活动</w:t>
      </w:r>
      <w:r>
        <w:rPr>
          <w:rFonts w:hint="default" w:ascii="Times New Roman" w:hAnsi="Times New Roman" w:eastAsia="仿宋_GB2312" w:cs="Times New Roman"/>
          <w:color w:val="000000"/>
          <w:kern w:val="0"/>
          <w:sz w:val="32"/>
          <w:szCs w:val="32"/>
          <w:highlight w:val="none"/>
          <w:lang w:eastAsia="zh-CN"/>
        </w:rPr>
        <w:t>。通过“政府补贴+企业让利”的方式</w:t>
      </w:r>
      <w:r>
        <w:rPr>
          <w:rFonts w:hint="default" w:ascii="Times New Roman" w:hAnsi="Times New Roman" w:eastAsia="仿宋_GB2312" w:cs="Times New Roman"/>
          <w:color w:val="000000"/>
          <w:kern w:val="0"/>
          <w:sz w:val="32"/>
          <w:szCs w:val="32"/>
          <w:highlight w:val="none"/>
        </w:rPr>
        <w:t>，</w:t>
      </w:r>
      <w:r>
        <w:rPr>
          <w:rFonts w:hint="default" w:ascii="Times New Roman" w:hAnsi="Times New Roman" w:eastAsia="仿宋_GB2312" w:cs="Times New Roman"/>
          <w:bCs/>
          <w:sz w:val="32"/>
          <w:szCs w:val="32"/>
          <w:highlight w:val="none"/>
        </w:rPr>
        <w:t>扩大政府消费券激发居民消费的乘数效应，</w:t>
      </w:r>
      <w:r>
        <w:rPr>
          <w:rFonts w:hint="default" w:ascii="Times New Roman" w:hAnsi="Times New Roman" w:eastAsia="仿宋_GB2312" w:cs="Times New Roman"/>
          <w:color w:val="000000"/>
          <w:kern w:val="0"/>
          <w:sz w:val="32"/>
          <w:szCs w:val="32"/>
          <w:highlight w:val="none"/>
        </w:rPr>
        <w:t>吸引消费者</w:t>
      </w:r>
      <w:r>
        <w:rPr>
          <w:rFonts w:hint="default" w:ascii="Times New Roman" w:hAnsi="Times New Roman" w:eastAsia="仿宋_GB2312" w:cs="Times New Roman"/>
          <w:color w:val="000000"/>
          <w:kern w:val="0"/>
          <w:sz w:val="32"/>
          <w:szCs w:val="32"/>
          <w:highlight w:val="none"/>
          <w:lang w:val="en-US" w:eastAsia="zh-CN"/>
        </w:rPr>
        <w:t>线上领取消费券，到</w:t>
      </w:r>
      <w:r>
        <w:rPr>
          <w:rFonts w:hint="default" w:ascii="Times New Roman" w:hAnsi="Times New Roman" w:eastAsia="仿宋_GB2312" w:cs="Times New Roman"/>
          <w:color w:val="000000"/>
          <w:kern w:val="0"/>
          <w:sz w:val="32"/>
          <w:szCs w:val="32"/>
          <w:highlight w:val="none"/>
        </w:rPr>
        <w:t>线下</w:t>
      </w:r>
      <w:r>
        <w:rPr>
          <w:rFonts w:hint="default" w:ascii="Times New Roman" w:hAnsi="Times New Roman" w:eastAsia="仿宋_GB2312" w:cs="Times New Roman"/>
          <w:color w:val="000000"/>
          <w:kern w:val="0"/>
          <w:sz w:val="32"/>
          <w:szCs w:val="32"/>
          <w:highlight w:val="none"/>
          <w:lang w:eastAsia="zh-CN"/>
        </w:rPr>
        <w:t>门</w:t>
      </w:r>
      <w:r>
        <w:rPr>
          <w:rFonts w:hint="default" w:ascii="Times New Roman" w:hAnsi="Times New Roman" w:eastAsia="仿宋_GB2312" w:cs="Times New Roman"/>
          <w:color w:val="000000"/>
          <w:kern w:val="0"/>
          <w:sz w:val="32"/>
          <w:szCs w:val="32"/>
          <w:highlight w:val="none"/>
        </w:rPr>
        <w:t>店消费</w:t>
      </w:r>
      <w:r>
        <w:rPr>
          <w:rFonts w:hint="default" w:ascii="Times New Roman" w:hAnsi="Times New Roman" w:eastAsia="仿宋_GB2312" w:cs="Times New Roman"/>
          <w:color w:val="000000"/>
          <w:kern w:val="0"/>
          <w:sz w:val="32"/>
          <w:szCs w:val="32"/>
          <w:highlight w:val="none"/>
          <w:lang w:eastAsia="zh-CN"/>
        </w:rPr>
        <w:t>，营造商圈消费氛围，</w:t>
      </w:r>
      <w:r>
        <w:rPr>
          <w:rFonts w:hint="default" w:ascii="Times New Roman" w:hAnsi="Times New Roman" w:eastAsia="仿宋_GB2312" w:cs="Times New Roman"/>
          <w:sz w:val="32"/>
          <w:szCs w:val="32"/>
          <w:highlight w:val="none"/>
        </w:rPr>
        <w:t>进一步拉动区域内居民消费。</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资金安排：</w:t>
      </w:r>
      <w:r>
        <w:rPr>
          <w:rFonts w:hint="default" w:ascii="Times New Roman" w:hAnsi="Times New Roman" w:eastAsia="仿宋_GB2312" w:cs="Times New Roman"/>
          <w:b w:val="0"/>
          <w:bCs w:val="0"/>
          <w:color w:val="000000"/>
          <w:kern w:val="0"/>
          <w:sz w:val="32"/>
          <w:szCs w:val="32"/>
          <w:highlight w:val="none"/>
          <w:lang w:eastAsia="zh-CN"/>
        </w:rPr>
        <w:t>商圈乐购</w:t>
      </w:r>
      <w:r>
        <w:rPr>
          <w:rFonts w:hint="default" w:ascii="Times New Roman" w:hAnsi="Times New Roman" w:eastAsia="仿宋_GB2312" w:cs="Times New Roman"/>
          <w:color w:val="000000"/>
          <w:kern w:val="0"/>
          <w:sz w:val="32"/>
          <w:szCs w:val="32"/>
          <w:highlight w:val="none"/>
          <w:lang w:val="en-US" w:eastAsia="zh-CN"/>
        </w:rPr>
        <w:t>专场</w:t>
      </w:r>
      <w:r>
        <w:rPr>
          <w:rFonts w:hint="default" w:ascii="Times New Roman" w:hAnsi="Times New Roman" w:eastAsia="仿宋_GB2312" w:cs="Times New Roman"/>
          <w:color w:val="000000"/>
          <w:kern w:val="0"/>
          <w:sz w:val="32"/>
          <w:szCs w:val="32"/>
          <w:highlight w:val="none"/>
        </w:rPr>
        <w:t>促消费</w:t>
      </w:r>
      <w:r>
        <w:rPr>
          <w:rFonts w:hint="eastAsia" w:ascii="Times New Roman" w:hAnsi="Times New Roman" w:eastAsia="仿宋_GB2312" w:cs="Times New Roman"/>
          <w:color w:val="000000"/>
          <w:kern w:val="0"/>
          <w:sz w:val="32"/>
          <w:szCs w:val="32"/>
          <w:highlight w:val="none"/>
          <w:lang w:eastAsia="zh-CN"/>
        </w:rPr>
        <w:t>资金</w:t>
      </w:r>
      <w:r>
        <w:rPr>
          <w:rFonts w:hint="default" w:ascii="Times New Roman" w:hAnsi="Times New Roman" w:eastAsia="仿宋_GB2312" w:cs="Times New Roman"/>
          <w:color w:val="000000"/>
          <w:kern w:val="0"/>
          <w:sz w:val="32"/>
          <w:szCs w:val="32"/>
          <w:highlight w:val="none"/>
          <w:lang w:eastAsia="zh-CN"/>
        </w:rPr>
        <w:t>为</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00</w:t>
      </w:r>
      <w:r>
        <w:rPr>
          <w:rFonts w:hint="default" w:ascii="Times New Roman" w:hAnsi="Times New Roman" w:eastAsia="仿宋_GB2312" w:cs="Times New Roman"/>
          <w:color w:val="000000"/>
          <w:kern w:val="0"/>
          <w:sz w:val="32"/>
          <w:szCs w:val="32"/>
          <w:highlight w:val="none"/>
          <w:lang w:val="en-US" w:eastAsia="zh-CN"/>
        </w:rPr>
        <w:t>.13</w:t>
      </w:r>
      <w:r>
        <w:rPr>
          <w:rFonts w:hint="default" w:ascii="Times New Roman" w:hAnsi="Times New Roman" w:eastAsia="仿宋_GB2312" w:cs="Times New Roman"/>
          <w:color w:val="000000"/>
          <w:kern w:val="0"/>
          <w:sz w:val="32"/>
          <w:szCs w:val="32"/>
          <w:highlight w:val="none"/>
        </w:rPr>
        <w:t>万元</w:t>
      </w:r>
      <w:r>
        <w:rPr>
          <w:rFonts w:hint="default" w:ascii="Times New Roman" w:hAnsi="Times New Roman" w:eastAsia="仿宋_GB2312" w:cs="Times New Roman"/>
          <w:color w:val="000000"/>
          <w:kern w:val="0"/>
          <w:sz w:val="32"/>
          <w:szCs w:val="32"/>
          <w:highlight w:val="none"/>
          <w:lang w:eastAsia="zh-CN"/>
        </w:rPr>
        <w:t>，均为省级消费券财政补贴资金</w:t>
      </w:r>
      <w:r>
        <w:rPr>
          <w:rFonts w:hint="default" w:ascii="Times New Roman" w:hAnsi="Times New Roman" w:eastAsia="仿宋_GB2312" w:cs="Times New Roman"/>
          <w:color w:val="000000"/>
          <w:kern w:val="0"/>
          <w:sz w:val="32"/>
          <w:szCs w:val="32"/>
          <w:highlight w:val="none"/>
          <w:lang w:val="en-US" w:eastAsia="zh-CN"/>
        </w:rPr>
        <w:t>。</w:t>
      </w:r>
    </w:p>
    <w:p>
      <w:pPr>
        <w:pageBreakBefore w:val="0"/>
        <w:kinsoku/>
        <w:wordWrap/>
        <w:overflowPunct/>
        <w:topLinePunct w:val="0"/>
        <w:bidi w:val="0"/>
        <w:spacing w:beforeLines="0" w:afterLines="0" w:line="560" w:lineRule="exact"/>
        <w:ind w:right="0" w:rightChars="0" w:firstLine="643"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b/>
          <w:bCs/>
          <w:color w:val="000000"/>
          <w:kern w:val="0"/>
          <w:sz w:val="32"/>
          <w:szCs w:val="32"/>
          <w:highlight w:val="none"/>
        </w:rPr>
        <w:t>补贴标准：</w:t>
      </w:r>
      <w:r>
        <w:rPr>
          <w:rFonts w:hint="default" w:ascii="Times New Roman" w:hAnsi="Times New Roman" w:eastAsia="仿宋_GB2312" w:cs="Times New Roman"/>
          <w:b w:val="0"/>
          <w:bCs/>
          <w:color w:val="auto"/>
          <w:kern w:val="2"/>
          <w:sz w:val="32"/>
          <w:szCs w:val="32"/>
          <w:highlight w:val="none"/>
          <w:lang w:eastAsia="zh-CN"/>
        </w:rPr>
        <w:t>发放</w:t>
      </w:r>
      <w:r>
        <w:rPr>
          <w:rFonts w:hint="default" w:ascii="Times New Roman" w:hAnsi="Times New Roman" w:eastAsia="仿宋_GB2312" w:cs="Times New Roman"/>
          <w:bCs/>
          <w:sz w:val="32"/>
          <w:szCs w:val="32"/>
          <w:highlight w:val="none"/>
        </w:rPr>
        <w:t>面额为</w:t>
      </w:r>
      <w:r>
        <w:rPr>
          <w:rFonts w:hint="default" w:ascii="Times New Roman" w:hAnsi="Times New Roman" w:eastAsia="仿宋_GB2312" w:cs="Times New Roman"/>
          <w:sz w:val="32"/>
          <w:szCs w:val="32"/>
          <w:highlight w:val="none"/>
        </w:rPr>
        <w:t>“满</w:t>
      </w:r>
      <w:r>
        <w:rPr>
          <w:rFonts w:hint="default" w:ascii="Times New Roman" w:hAnsi="Times New Roman" w:eastAsia="仿宋_GB2312" w:cs="Times New Roman"/>
          <w:sz w:val="32"/>
          <w:szCs w:val="32"/>
          <w:highlight w:val="none"/>
          <w:lang w:val="en-US" w:eastAsia="zh-CN"/>
        </w:rPr>
        <w:t>10000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元”“满</w:t>
      </w:r>
      <w:r>
        <w:rPr>
          <w:rFonts w:hint="default" w:ascii="Times New Roman" w:hAnsi="Times New Roman" w:eastAsia="仿宋_GB2312" w:cs="Times New Roman"/>
          <w:sz w:val="32"/>
          <w:szCs w:val="32"/>
          <w:highlight w:val="none"/>
          <w:lang w:val="en-US" w:eastAsia="zh-CN"/>
        </w:rPr>
        <w:t>5000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元”“满</w:t>
      </w:r>
      <w:r>
        <w:rPr>
          <w:rFonts w:hint="default" w:ascii="Times New Roman" w:hAnsi="Times New Roman" w:eastAsia="仿宋_GB2312" w:cs="Times New Roman"/>
          <w:sz w:val="32"/>
          <w:szCs w:val="32"/>
          <w:highlight w:val="none"/>
          <w:lang w:val="en-US" w:eastAsia="zh-CN"/>
        </w:rPr>
        <w:t>2000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200</w:t>
      </w:r>
      <w:r>
        <w:rPr>
          <w:rFonts w:hint="default" w:ascii="Times New Roman" w:hAnsi="Times New Roman" w:eastAsia="仿宋_GB2312" w:cs="Times New Roman"/>
          <w:sz w:val="32"/>
          <w:szCs w:val="32"/>
          <w:highlight w:val="none"/>
        </w:rPr>
        <w:t>元”“满</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减</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元”</w:t>
      </w:r>
      <w:r>
        <w:rPr>
          <w:rFonts w:hint="default" w:ascii="Times New Roman" w:hAnsi="Times New Roman" w:eastAsia="仿宋_GB2312" w:cs="Times New Roman"/>
          <w:sz w:val="32"/>
          <w:szCs w:val="32"/>
          <w:highlight w:val="none"/>
          <w:lang w:val="en-US" w:eastAsia="zh-CN"/>
        </w:rPr>
        <w:t>4种消费券</w:t>
      </w:r>
      <w:r>
        <w:rPr>
          <w:rFonts w:hint="default" w:ascii="Times New Roman" w:hAnsi="Times New Roman" w:eastAsia="仿宋_GB2312" w:cs="Times New Roman"/>
          <w:color w:val="000000"/>
          <w:kern w:val="0"/>
          <w:sz w:val="32"/>
          <w:szCs w:val="32"/>
          <w:highlight w:val="none"/>
        </w:rPr>
        <w:t>。</w:t>
      </w:r>
    </w:p>
    <w:p>
      <w:pPr>
        <w:pageBreakBefore w:val="0"/>
        <w:widowControl/>
        <w:kinsoku/>
        <w:wordWrap/>
        <w:overflowPunct/>
        <w:topLinePunct w:val="0"/>
        <w:bidi w:val="0"/>
        <w:spacing w:beforeLines="-2147483648" w:afterLines="-2147483648" w:line="560" w:lineRule="exact"/>
        <w:ind w:right="0" w:rightChars="0" w:firstLine="643" w:firstLineChars="200"/>
        <w:textAlignment w:val="auto"/>
        <w:rPr>
          <w:rFonts w:hint="default" w:ascii="Times New Roman" w:hAnsi="Times New Roman" w:eastAsia="方正楷体_GBK" w:cs="Times New Roman"/>
          <w:color w:val="auto"/>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rPr>
        <w:t>补贴方式：</w:t>
      </w:r>
      <w:r>
        <w:rPr>
          <w:rFonts w:hint="default" w:ascii="Times New Roman" w:hAnsi="Times New Roman" w:eastAsia="仿宋_GB2312" w:cs="Times New Roman"/>
          <w:color w:val="000000"/>
          <w:kern w:val="0"/>
          <w:sz w:val="32"/>
          <w:szCs w:val="32"/>
          <w:highlight w:val="none"/>
          <w:lang w:eastAsia="zh-CN"/>
        </w:rPr>
        <w:t>商业载体内家居家电、珠宝大宗消费类企业商户通过合作平台</w:t>
      </w:r>
      <w:r>
        <w:rPr>
          <w:rFonts w:hint="default" w:ascii="Times New Roman" w:hAnsi="Times New Roman" w:eastAsia="仿宋_GB2312" w:cs="Times New Roman"/>
          <w:color w:val="000000"/>
          <w:kern w:val="0"/>
          <w:sz w:val="32"/>
          <w:szCs w:val="32"/>
          <w:highlight w:val="none"/>
        </w:rPr>
        <w:t>开展</w:t>
      </w:r>
      <w:r>
        <w:rPr>
          <w:rFonts w:hint="default" w:ascii="Times New Roman" w:hAnsi="Times New Roman" w:eastAsia="仿宋_GB2312" w:cs="Times New Roman"/>
          <w:color w:val="000000"/>
          <w:kern w:val="0"/>
          <w:sz w:val="32"/>
          <w:szCs w:val="32"/>
          <w:highlight w:val="none"/>
          <w:lang w:eastAsia="zh-CN"/>
        </w:rPr>
        <w:t>线上消费券发放</w:t>
      </w:r>
      <w:r>
        <w:rPr>
          <w:rFonts w:hint="default" w:ascii="Times New Roman" w:hAnsi="Times New Roman" w:eastAsia="仿宋_GB2312" w:cs="Times New Roman"/>
          <w:color w:val="000000"/>
          <w:kern w:val="0"/>
          <w:sz w:val="32"/>
          <w:szCs w:val="32"/>
          <w:highlight w:val="none"/>
        </w:rPr>
        <w:t>活动。</w:t>
      </w:r>
    </w:p>
    <w:p>
      <w:pPr>
        <w:pStyle w:val="18"/>
        <w:snapToGrid w:val="0"/>
        <w:spacing w:beforeLines="0" w:afterLines="0" w:line="560" w:lineRule="exact"/>
        <w:ind w:firstLine="64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上述各专场的消费补贴或消费券</w:t>
      </w:r>
      <w:r>
        <w:rPr>
          <w:rFonts w:hint="default" w:ascii="Times New Roman" w:hAnsi="Times New Roman" w:eastAsia="仿宋_GB2312" w:cs="Times New Roman"/>
          <w:color w:val="auto"/>
          <w:kern w:val="0"/>
          <w:sz w:val="32"/>
          <w:szCs w:val="32"/>
          <w:highlight w:val="none"/>
        </w:rPr>
        <w:t>的配置、有效期</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轮次、发券计划等可</w:t>
      </w:r>
      <w:r>
        <w:rPr>
          <w:rFonts w:hint="default" w:ascii="Times New Roman" w:hAnsi="Times New Roman" w:eastAsia="仿宋_GB2312" w:cs="Times New Roman"/>
          <w:color w:val="auto"/>
          <w:kern w:val="0"/>
          <w:sz w:val="32"/>
          <w:szCs w:val="32"/>
          <w:highlight w:val="none"/>
        </w:rPr>
        <w:t>由区商务局</w:t>
      </w:r>
      <w:r>
        <w:rPr>
          <w:rFonts w:hint="default" w:ascii="Times New Roman" w:hAnsi="Times New Roman" w:eastAsia="仿宋_GB2312" w:cs="Times New Roman"/>
          <w:color w:val="auto"/>
          <w:kern w:val="0"/>
          <w:sz w:val="32"/>
          <w:szCs w:val="32"/>
          <w:highlight w:val="none"/>
          <w:lang w:val="en-US" w:eastAsia="zh-CN"/>
        </w:rPr>
        <w:t>与合作平台</w:t>
      </w: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kern w:val="0"/>
          <w:sz w:val="32"/>
          <w:szCs w:val="32"/>
          <w:highlight w:val="none"/>
          <w:lang w:val="en-US" w:eastAsia="zh-CN"/>
        </w:rPr>
        <w:t>活动实际执行情况</w:t>
      </w:r>
      <w:r>
        <w:rPr>
          <w:rFonts w:hint="default" w:ascii="Times New Roman" w:hAnsi="Times New Roman" w:eastAsia="仿宋_GB2312" w:cs="Times New Roman"/>
          <w:color w:val="auto"/>
          <w:kern w:val="0"/>
          <w:sz w:val="32"/>
          <w:szCs w:val="32"/>
          <w:highlight w:val="none"/>
        </w:rPr>
        <w:t>进行</w:t>
      </w:r>
      <w:r>
        <w:rPr>
          <w:rFonts w:hint="default" w:ascii="Times New Roman" w:hAnsi="Times New Roman" w:eastAsia="仿宋_GB2312" w:cs="Times New Roman"/>
          <w:color w:val="auto"/>
          <w:kern w:val="0"/>
          <w:sz w:val="32"/>
          <w:szCs w:val="32"/>
          <w:highlight w:val="none"/>
          <w:lang w:val="en-US" w:eastAsia="zh-CN"/>
        </w:rPr>
        <w:t>适当调整</w:t>
      </w:r>
      <w:r>
        <w:rPr>
          <w:rFonts w:hint="default" w:ascii="Times New Roman" w:hAnsi="Times New Roman" w:eastAsia="仿宋_GB2312" w:cs="Times New Roman"/>
          <w:color w:val="auto"/>
          <w:kern w:val="0"/>
          <w:sz w:val="32"/>
          <w:szCs w:val="32"/>
          <w:highlight w:val="none"/>
        </w:rPr>
        <w:t>，在保证绩效目标实现的前提下，调整不再另行报批。</w:t>
      </w:r>
    </w:p>
    <w:p>
      <w:pPr>
        <w:pStyle w:val="12"/>
        <w:ind w:left="0" w:firstLine="0" w:firstLineChars="0"/>
        <w:rPr>
          <w:rFonts w:hint="default" w:ascii="Times New Roman" w:hAnsi="Times New Roman" w:cs="Times New Roman"/>
          <w:color w:val="auto"/>
          <w:highlight w:val="none"/>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9BD1B"/>
    <w:multiLevelType w:val="singleLevel"/>
    <w:tmpl w:val="6459BD1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B6A"/>
    <w:rsid w:val="009E0C08"/>
    <w:rsid w:val="01401F5A"/>
    <w:rsid w:val="01C61CD7"/>
    <w:rsid w:val="020C0A77"/>
    <w:rsid w:val="029525CA"/>
    <w:rsid w:val="02ED698C"/>
    <w:rsid w:val="030B7344"/>
    <w:rsid w:val="04691C4E"/>
    <w:rsid w:val="04862D7A"/>
    <w:rsid w:val="04A0322C"/>
    <w:rsid w:val="05174C0C"/>
    <w:rsid w:val="052D0F89"/>
    <w:rsid w:val="055446CC"/>
    <w:rsid w:val="061030E5"/>
    <w:rsid w:val="067D1F89"/>
    <w:rsid w:val="067D59F3"/>
    <w:rsid w:val="07020522"/>
    <w:rsid w:val="070B795F"/>
    <w:rsid w:val="079216F8"/>
    <w:rsid w:val="07B26B54"/>
    <w:rsid w:val="08133FB1"/>
    <w:rsid w:val="08194986"/>
    <w:rsid w:val="084556D1"/>
    <w:rsid w:val="08DF4963"/>
    <w:rsid w:val="09906355"/>
    <w:rsid w:val="09A1725A"/>
    <w:rsid w:val="0A130C6D"/>
    <w:rsid w:val="0A3454BE"/>
    <w:rsid w:val="0A5115FC"/>
    <w:rsid w:val="0A9D4C01"/>
    <w:rsid w:val="0B525A3D"/>
    <w:rsid w:val="0B5A7561"/>
    <w:rsid w:val="0C1569C9"/>
    <w:rsid w:val="0C30080D"/>
    <w:rsid w:val="0CC1656E"/>
    <w:rsid w:val="0CC60D00"/>
    <w:rsid w:val="0CD17FDB"/>
    <w:rsid w:val="0CD77B72"/>
    <w:rsid w:val="0D0A0539"/>
    <w:rsid w:val="0D524167"/>
    <w:rsid w:val="0DA0414D"/>
    <w:rsid w:val="0DBC0D8C"/>
    <w:rsid w:val="0E451681"/>
    <w:rsid w:val="0E7175EC"/>
    <w:rsid w:val="0FBD2063"/>
    <w:rsid w:val="103819AC"/>
    <w:rsid w:val="10DF56FB"/>
    <w:rsid w:val="12095763"/>
    <w:rsid w:val="12342862"/>
    <w:rsid w:val="12827087"/>
    <w:rsid w:val="140B1A18"/>
    <w:rsid w:val="147E1BC8"/>
    <w:rsid w:val="14A17BA3"/>
    <w:rsid w:val="14B95C8D"/>
    <w:rsid w:val="14C729EB"/>
    <w:rsid w:val="1518152A"/>
    <w:rsid w:val="15930E74"/>
    <w:rsid w:val="15FD604A"/>
    <w:rsid w:val="170A2501"/>
    <w:rsid w:val="175A4F5C"/>
    <w:rsid w:val="179B4BC8"/>
    <w:rsid w:val="18294330"/>
    <w:rsid w:val="1894478D"/>
    <w:rsid w:val="19170735"/>
    <w:rsid w:val="19E000CF"/>
    <w:rsid w:val="1A360B8D"/>
    <w:rsid w:val="1A501008"/>
    <w:rsid w:val="1A907FA2"/>
    <w:rsid w:val="1AA25CBE"/>
    <w:rsid w:val="1B420797"/>
    <w:rsid w:val="1BB42683"/>
    <w:rsid w:val="1BEC1CD8"/>
    <w:rsid w:val="1C4A05F8"/>
    <w:rsid w:val="1CC41839"/>
    <w:rsid w:val="1D047A26"/>
    <w:rsid w:val="1D0A7099"/>
    <w:rsid w:val="1D245D5D"/>
    <w:rsid w:val="1D3E761A"/>
    <w:rsid w:val="1D444093"/>
    <w:rsid w:val="1DC10DDB"/>
    <w:rsid w:val="1EB12C24"/>
    <w:rsid w:val="1EE2266D"/>
    <w:rsid w:val="1F5A3024"/>
    <w:rsid w:val="1F6558CF"/>
    <w:rsid w:val="1FA06E3F"/>
    <w:rsid w:val="20A342FE"/>
    <w:rsid w:val="20AD7578"/>
    <w:rsid w:val="21244AFC"/>
    <w:rsid w:val="21326467"/>
    <w:rsid w:val="21620BCE"/>
    <w:rsid w:val="21E8505C"/>
    <w:rsid w:val="22511D47"/>
    <w:rsid w:val="22BB7D90"/>
    <w:rsid w:val="22D94689"/>
    <w:rsid w:val="22FC2FF7"/>
    <w:rsid w:val="230248B3"/>
    <w:rsid w:val="23D407A6"/>
    <w:rsid w:val="242B1BD0"/>
    <w:rsid w:val="249A6818"/>
    <w:rsid w:val="24FB55B8"/>
    <w:rsid w:val="25780405"/>
    <w:rsid w:val="258B7398"/>
    <w:rsid w:val="25D90BE3"/>
    <w:rsid w:val="261A2E9A"/>
    <w:rsid w:val="26AD3332"/>
    <w:rsid w:val="27475541"/>
    <w:rsid w:val="27B841B7"/>
    <w:rsid w:val="280A688C"/>
    <w:rsid w:val="288F421B"/>
    <w:rsid w:val="28F348C5"/>
    <w:rsid w:val="29032ED5"/>
    <w:rsid w:val="29887889"/>
    <w:rsid w:val="29B53FFD"/>
    <w:rsid w:val="29EA317A"/>
    <w:rsid w:val="29EA3299"/>
    <w:rsid w:val="2A3B55B9"/>
    <w:rsid w:val="2AB70C30"/>
    <w:rsid w:val="2AF82AAE"/>
    <w:rsid w:val="2B0C0D2B"/>
    <w:rsid w:val="2B513A1E"/>
    <w:rsid w:val="2B6146AB"/>
    <w:rsid w:val="2C594250"/>
    <w:rsid w:val="2CEC3F5B"/>
    <w:rsid w:val="2D3A4580"/>
    <w:rsid w:val="2D705ED3"/>
    <w:rsid w:val="2E0E349D"/>
    <w:rsid w:val="2E7F51EA"/>
    <w:rsid w:val="2E9C371E"/>
    <w:rsid w:val="2F5D7D41"/>
    <w:rsid w:val="2F7D3838"/>
    <w:rsid w:val="2F8F1814"/>
    <w:rsid w:val="2F901849"/>
    <w:rsid w:val="2FCE6E3A"/>
    <w:rsid w:val="2FE73D65"/>
    <w:rsid w:val="2FED2345"/>
    <w:rsid w:val="309405E2"/>
    <w:rsid w:val="30AE284A"/>
    <w:rsid w:val="30E047AD"/>
    <w:rsid w:val="31761D00"/>
    <w:rsid w:val="322701D4"/>
    <w:rsid w:val="323A4C76"/>
    <w:rsid w:val="3286126A"/>
    <w:rsid w:val="32EC51EE"/>
    <w:rsid w:val="330B7B68"/>
    <w:rsid w:val="34502EAD"/>
    <w:rsid w:val="352E29F5"/>
    <w:rsid w:val="35DC067B"/>
    <w:rsid w:val="385378DF"/>
    <w:rsid w:val="386F17EC"/>
    <w:rsid w:val="38A5752E"/>
    <w:rsid w:val="38FC020D"/>
    <w:rsid w:val="390860E7"/>
    <w:rsid w:val="3B216561"/>
    <w:rsid w:val="3B233F97"/>
    <w:rsid w:val="3B46104B"/>
    <w:rsid w:val="3B6A3DCE"/>
    <w:rsid w:val="3B9968D7"/>
    <w:rsid w:val="3BF8489E"/>
    <w:rsid w:val="3C1F32C4"/>
    <w:rsid w:val="3C28163E"/>
    <w:rsid w:val="3C757B03"/>
    <w:rsid w:val="3C8A3C61"/>
    <w:rsid w:val="3CD13C69"/>
    <w:rsid w:val="3CF36C7D"/>
    <w:rsid w:val="3D1E06C9"/>
    <w:rsid w:val="3D880AC1"/>
    <w:rsid w:val="3E5524BD"/>
    <w:rsid w:val="3E873323"/>
    <w:rsid w:val="3E937780"/>
    <w:rsid w:val="3F160A07"/>
    <w:rsid w:val="3F5D5293"/>
    <w:rsid w:val="40192BB8"/>
    <w:rsid w:val="404E0687"/>
    <w:rsid w:val="404E1296"/>
    <w:rsid w:val="40942502"/>
    <w:rsid w:val="40AD0742"/>
    <w:rsid w:val="416658FC"/>
    <w:rsid w:val="41D73DC5"/>
    <w:rsid w:val="4228738C"/>
    <w:rsid w:val="428C3235"/>
    <w:rsid w:val="439C7059"/>
    <w:rsid w:val="44EF5EA0"/>
    <w:rsid w:val="45412B2B"/>
    <w:rsid w:val="461D5BFE"/>
    <w:rsid w:val="46DC3BD1"/>
    <w:rsid w:val="46E025D7"/>
    <w:rsid w:val="472C670F"/>
    <w:rsid w:val="47426DF8"/>
    <w:rsid w:val="480E117E"/>
    <w:rsid w:val="48A07286"/>
    <w:rsid w:val="4901423B"/>
    <w:rsid w:val="493E20B6"/>
    <w:rsid w:val="494C6E4D"/>
    <w:rsid w:val="49965787"/>
    <w:rsid w:val="49B144BC"/>
    <w:rsid w:val="4A3B288C"/>
    <w:rsid w:val="4A78386B"/>
    <w:rsid w:val="4AF304A4"/>
    <w:rsid w:val="4B244187"/>
    <w:rsid w:val="4B2C65CB"/>
    <w:rsid w:val="4B44784C"/>
    <w:rsid w:val="4C01301C"/>
    <w:rsid w:val="4C1C71CA"/>
    <w:rsid w:val="4C1E61C0"/>
    <w:rsid w:val="4C7B089A"/>
    <w:rsid w:val="4C9E4096"/>
    <w:rsid w:val="4CAA7E64"/>
    <w:rsid w:val="4CD01F92"/>
    <w:rsid w:val="4CF34FC6"/>
    <w:rsid w:val="4D5F057C"/>
    <w:rsid w:val="4D724FD5"/>
    <w:rsid w:val="4DBC408C"/>
    <w:rsid w:val="4DE67EE0"/>
    <w:rsid w:val="4DEB24B9"/>
    <w:rsid w:val="4EA330F5"/>
    <w:rsid w:val="4EAF27D8"/>
    <w:rsid w:val="4ED6174E"/>
    <w:rsid w:val="4F381487"/>
    <w:rsid w:val="4F876C88"/>
    <w:rsid w:val="4F947C73"/>
    <w:rsid w:val="4FBF6A32"/>
    <w:rsid w:val="501036E9"/>
    <w:rsid w:val="50253EAC"/>
    <w:rsid w:val="50914A6B"/>
    <w:rsid w:val="51023F76"/>
    <w:rsid w:val="51E460B9"/>
    <w:rsid w:val="51F34BC0"/>
    <w:rsid w:val="5252299E"/>
    <w:rsid w:val="52651AA0"/>
    <w:rsid w:val="52686D40"/>
    <w:rsid w:val="52A122EE"/>
    <w:rsid w:val="52E96DE7"/>
    <w:rsid w:val="5313415D"/>
    <w:rsid w:val="534976B3"/>
    <w:rsid w:val="5383467E"/>
    <w:rsid w:val="5394597F"/>
    <w:rsid w:val="53ED1FDE"/>
    <w:rsid w:val="549B3377"/>
    <w:rsid w:val="54FF41C3"/>
    <w:rsid w:val="55124694"/>
    <w:rsid w:val="55B16C61"/>
    <w:rsid w:val="563A2D8A"/>
    <w:rsid w:val="565C3DDE"/>
    <w:rsid w:val="568D78BC"/>
    <w:rsid w:val="56AD7438"/>
    <w:rsid w:val="56B86403"/>
    <w:rsid w:val="56E27412"/>
    <w:rsid w:val="56F11733"/>
    <w:rsid w:val="56F17D12"/>
    <w:rsid w:val="572440FC"/>
    <w:rsid w:val="580C0882"/>
    <w:rsid w:val="58135E39"/>
    <w:rsid w:val="5833236B"/>
    <w:rsid w:val="5862288E"/>
    <w:rsid w:val="58BA45A1"/>
    <w:rsid w:val="590A03D5"/>
    <w:rsid w:val="592C47DF"/>
    <w:rsid w:val="598361E9"/>
    <w:rsid w:val="599D5E47"/>
    <w:rsid w:val="59B210B2"/>
    <w:rsid w:val="59E003F1"/>
    <w:rsid w:val="5A797464"/>
    <w:rsid w:val="5ADD112C"/>
    <w:rsid w:val="5B2868B2"/>
    <w:rsid w:val="5B5F3DC6"/>
    <w:rsid w:val="5B9C6858"/>
    <w:rsid w:val="5BA01580"/>
    <w:rsid w:val="5BF17940"/>
    <w:rsid w:val="5C59288A"/>
    <w:rsid w:val="5C642E7D"/>
    <w:rsid w:val="5C96416C"/>
    <w:rsid w:val="5CAB7AA5"/>
    <w:rsid w:val="5D1B689A"/>
    <w:rsid w:val="5D40278C"/>
    <w:rsid w:val="5D471260"/>
    <w:rsid w:val="5D584715"/>
    <w:rsid w:val="5D795E84"/>
    <w:rsid w:val="5E364A2F"/>
    <w:rsid w:val="5F546974"/>
    <w:rsid w:val="5FAD5B82"/>
    <w:rsid w:val="5FF63903"/>
    <w:rsid w:val="60536729"/>
    <w:rsid w:val="617E0582"/>
    <w:rsid w:val="61DA5735"/>
    <w:rsid w:val="61E24A24"/>
    <w:rsid w:val="625008DB"/>
    <w:rsid w:val="632F62AD"/>
    <w:rsid w:val="638B18D3"/>
    <w:rsid w:val="643B6F4D"/>
    <w:rsid w:val="64DB247B"/>
    <w:rsid w:val="657D1B52"/>
    <w:rsid w:val="65AE4722"/>
    <w:rsid w:val="660E37E5"/>
    <w:rsid w:val="66366FDA"/>
    <w:rsid w:val="6666770B"/>
    <w:rsid w:val="671B675C"/>
    <w:rsid w:val="693F23B7"/>
    <w:rsid w:val="69943146"/>
    <w:rsid w:val="69AE3DF8"/>
    <w:rsid w:val="69EC15D6"/>
    <w:rsid w:val="69F44AD5"/>
    <w:rsid w:val="6A1614B9"/>
    <w:rsid w:val="6A7C1DBF"/>
    <w:rsid w:val="6AE331DC"/>
    <w:rsid w:val="6B2E7664"/>
    <w:rsid w:val="6B5B4B11"/>
    <w:rsid w:val="6BE4017A"/>
    <w:rsid w:val="6C913CD4"/>
    <w:rsid w:val="6D2A25C0"/>
    <w:rsid w:val="6D2C799F"/>
    <w:rsid w:val="6DDC428B"/>
    <w:rsid w:val="6E065D0C"/>
    <w:rsid w:val="6E161FCE"/>
    <w:rsid w:val="6E3F3AEF"/>
    <w:rsid w:val="6E633F0D"/>
    <w:rsid w:val="6E8872CD"/>
    <w:rsid w:val="6ED6723F"/>
    <w:rsid w:val="6F187AC9"/>
    <w:rsid w:val="6F1D062A"/>
    <w:rsid w:val="6F720B28"/>
    <w:rsid w:val="6F730668"/>
    <w:rsid w:val="704B09D6"/>
    <w:rsid w:val="707C49E4"/>
    <w:rsid w:val="710C4362"/>
    <w:rsid w:val="71735CF2"/>
    <w:rsid w:val="71AC257F"/>
    <w:rsid w:val="72010916"/>
    <w:rsid w:val="720D4729"/>
    <w:rsid w:val="72633795"/>
    <w:rsid w:val="728111C9"/>
    <w:rsid w:val="7336484A"/>
    <w:rsid w:val="73D8631E"/>
    <w:rsid w:val="74117876"/>
    <w:rsid w:val="74166C9B"/>
    <w:rsid w:val="741A403E"/>
    <w:rsid w:val="7510601B"/>
    <w:rsid w:val="75787A72"/>
    <w:rsid w:val="765E1329"/>
    <w:rsid w:val="76A9033B"/>
    <w:rsid w:val="76F32855"/>
    <w:rsid w:val="7718171C"/>
    <w:rsid w:val="77F263D0"/>
    <w:rsid w:val="77FB3F93"/>
    <w:rsid w:val="77FD6ED2"/>
    <w:rsid w:val="792A2958"/>
    <w:rsid w:val="798937E9"/>
    <w:rsid w:val="7A2A3042"/>
    <w:rsid w:val="7A854972"/>
    <w:rsid w:val="7BB035FB"/>
    <w:rsid w:val="7BCE5CE2"/>
    <w:rsid w:val="7BD05D0E"/>
    <w:rsid w:val="7BF134DB"/>
    <w:rsid w:val="7C46731F"/>
    <w:rsid w:val="7CC940C8"/>
    <w:rsid w:val="7D87657D"/>
    <w:rsid w:val="7DA4198E"/>
    <w:rsid w:val="7E7F66F8"/>
    <w:rsid w:val="7E926F37"/>
    <w:rsid w:val="7EA056DE"/>
    <w:rsid w:val="7EAE16D9"/>
    <w:rsid w:val="BBFF7A72"/>
    <w:rsid w:val="EFFF4122"/>
    <w:rsid w:val="F3C77488"/>
    <w:rsid w:val="FFCEAD58"/>
    <w:rsid w:val="FFD8D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line="600" w:lineRule="exact"/>
      <w:jc w:val="center"/>
      <w:outlineLvl w:val="0"/>
    </w:pPr>
    <w:rPr>
      <w:rFonts w:ascii="方正小标宋_GBK" w:hAnsi="Calibri" w:eastAsia="方正小标宋_GBK" w:cs="Times New Roman"/>
      <w:bCs/>
      <w:kern w:val="44"/>
      <w:sz w:val="44"/>
      <w:szCs w:val="44"/>
    </w:rPr>
  </w:style>
  <w:style w:type="paragraph" w:styleId="2">
    <w:name w:val="heading 2"/>
    <w:basedOn w:val="1"/>
    <w:next w:val="1"/>
    <w:unhideWhenUsed/>
    <w:qFormat/>
    <w:uiPriority w:val="0"/>
    <w:pPr>
      <w:keepNext/>
      <w:keepLines/>
      <w:spacing w:before="260" w:after="260" w:line="413" w:lineRule="auto"/>
      <w:outlineLvl w:val="1"/>
    </w:pPr>
    <w:rPr>
      <w:rFonts w:ascii="宋体" w:hAnsi="宋体"/>
      <w:b/>
      <w:bCs/>
      <w:sz w:val="30"/>
      <w:szCs w:val="3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before="66" w:beforeLines="0" w:afterLines="0"/>
      <w:ind w:left="109"/>
    </w:pPr>
    <w:rPr>
      <w:rFonts w:hint="eastAsia" w:ascii="宋体" w:hAnsi="宋体" w:eastAsia="宋体"/>
      <w:sz w:val="27"/>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4"/>
    <w:basedOn w:val="1"/>
    <w:next w:val="1"/>
    <w:qFormat/>
    <w:uiPriority w:val="0"/>
    <w:pPr>
      <w:ind w:left="1260" w:leftChars="600"/>
    </w:pPr>
  </w:style>
  <w:style w:type="paragraph" w:styleId="9">
    <w:name w:val="toc 2"/>
    <w:basedOn w:val="1"/>
    <w:next w:val="1"/>
    <w:qFormat/>
    <w:uiPriority w:val="0"/>
    <w:pPr>
      <w:ind w:left="420" w:leftChars="200"/>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qFormat/>
    <w:uiPriority w:val="0"/>
    <w:pPr>
      <w:spacing w:before="240" w:after="60"/>
      <w:jc w:val="center"/>
      <w:outlineLvl w:val="0"/>
    </w:pPr>
    <w:rPr>
      <w:rFonts w:ascii="Arial" w:hAnsi="Arial"/>
      <w:b/>
    </w:rPr>
  </w:style>
  <w:style w:type="paragraph" w:styleId="12">
    <w:name w:val="Body Text First Indent"/>
    <w:basedOn w:val="6"/>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17">
    <w:name w:val="_Style 2"/>
    <w:basedOn w:val="1"/>
    <w:qFormat/>
    <w:uiPriority w:val="0"/>
    <w:pPr>
      <w:widowControl w:val="0"/>
      <w:spacing w:after="0"/>
      <w:ind w:firstLine="420" w:firstLineChars="200"/>
      <w:jc w:val="both"/>
    </w:pPr>
    <w:rPr>
      <w:rFonts w:ascii="Times New Roman" w:hAnsi="Times New Roman" w:eastAsia="华文仿宋" w:cs="Times New Roman"/>
      <w:kern w:val="2"/>
      <w:sz w:val="32"/>
      <w:lang w:val="en-US" w:eastAsia="zh-CN" w:bidi="ar-SA"/>
    </w:rPr>
  </w:style>
  <w:style w:type="paragraph" w:customStyle="1" w:styleId="18">
    <w:name w:val="List Paragraph_61ab78db-b7cb-4f6e-acac-6da289495293"/>
    <w:basedOn w:val="1"/>
    <w:qFormat/>
    <w:uiPriority w:val="0"/>
    <w:pPr>
      <w:ind w:firstLine="420" w:firstLineChars="200"/>
    </w:pPr>
    <w:rPr>
      <w:rFonts w:ascii="Times New Roman" w:hAnsi="Times New Roman" w:eastAsia="宋体" w:cs="Times New Roman"/>
    </w:rPr>
  </w:style>
  <w:style w:type="paragraph" w:customStyle="1"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2023-02-24T15:23:00Z</dcterms:created>
  <dc:creator>guhj</dc:creator>
  <cp:lastModifiedBy>liangyongj</cp:lastModifiedBy>
  <cp:lastPrinted>2024-07-31T08:48:00Z</cp:lastPrinted>
  <dcterms:modified xsi:type="dcterms:W3CDTF">2024-07-31T10:10:04Z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95CDE9629F774BDE8BE205D033FAEC22</vt:lpwstr>
  </property>
</Properties>
</file>