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rPr>
          <w:rFonts w:hint="eastAsia" w:ascii="黑体" w:hAnsi="黑体" w:eastAsia="黑体"/>
          <w:sz w:val="32"/>
          <w:szCs w:val="32"/>
        </w:rPr>
      </w:pPr>
      <w:r>
        <w:rPr>
          <w:rFonts w:hint="eastAsia" w:ascii="黑体" w:hAnsi="黑体" w:eastAsia="黑体"/>
          <w:sz w:val="32"/>
          <w:szCs w:val="32"/>
        </w:rPr>
        <w:t>附件</w:t>
      </w:r>
    </w:p>
    <w:p>
      <w:pPr>
        <w:pStyle w:val="2"/>
        <w:spacing w:before="0" w:beforeAutospacing="0" w:after="0" w:afterAutospacing="0" w:line="560" w:lineRule="exact"/>
        <w:rPr>
          <w:rFonts w:hint="eastAsia" w:ascii="仿宋_GB2312" w:eastAsia="仿宋_GB2312"/>
          <w:sz w:val="32"/>
          <w:szCs w:val="32"/>
        </w:rPr>
      </w:pPr>
    </w:p>
    <w:p>
      <w:pPr>
        <w:autoSpaceDE w:val="0"/>
        <w:autoSpaceDN w:val="0"/>
        <w:adjustRightInd w:val="0"/>
        <w:spacing w:after="312" w:afterLines="100" w:line="600" w:lineRule="exact"/>
        <w:jc w:val="center"/>
        <w:rPr>
          <w:rFonts w:hint="eastAsia" w:ascii="方正小标宋_GBK" w:eastAsia="方正小标宋_GBK"/>
          <w:sz w:val="44"/>
          <w:szCs w:val="44"/>
        </w:rPr>
      </w:pPr>
      <w:r>
        <w:rPr>
          <w:rFonts w:hint="eastAsia" w:ascii="方正小标宋_GBK" w:eastAsia="方正小标宋_GBK"/>
          <w:sz w:val="44"/>
          <w:szCs w:val="44"/>
        </w:rPr>
        <w:t>天河区行政区划图更新编制项目评分表</w:t>
      </w:r>
    </w:p>
    <w:tbl>
      <w:tblPr>
        <w:tblStyle w:val="5"/>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10"/>
        <w:gridCol w:w="6082"/>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8" w:type="dxa"/>
            <w:noWrap w:val="0"/>
            <w:vAlign w:val="center"/>
          </w:tcPr>
          <w:p>
            <w:pPr>
              <w:pStyle w:val="7"/>
              <w:spacing w:line="360" w:lineRule="exact"/>
              <w:jc w:val="center"/>
              <w:rPr>
                <w:rFonts w:ascii="方正黑体_GBK" w:eastAsia="方正黑体_GBK"/>
              </w:rPr>
            </w:pPr>
            <w:r>
              <w:rPr>
                <w:rFonts w:hint="eastAsia" w:ascii="方正黑体_GBK" w:eastAsia="方正黑体_GBK"/>
              </w:rPr>
              <w:t>序号</w:t>
            </w:r>
          </w:p>
        </w:tc>
        <w:tc>
          <w:tcPr>
            <w:tcW w:w="1210" w:type="dxa"/>
            <w:noWrap w:val="0"/>
            <w:vAlign w:val="center"/>
          </w:tcPr>
          <w:p>
            <w:pPr>
              <w:pStyle w:val="7"/>
              <w:spacing w:line="360" w:lineRule="exact"/>
              <w:jc w:val="center"/>
              <w:rPr>
                <w:rFonts w:ascii="方正黑体_GBK" w:eastAsia="方正黑体_GBK"/>
              </w:rPr>
            </w:pPr>
            <w:r>
              <w:rPr>
                <w:rFonts w:hint="eastAsia" w:ascii="方正黑体_GBK" w:eastAsia="方正黑体_GBK"/>
              </w:rPr>
              <w:t>评分因素</w:t>
            </w:r>
          </w:p>
        </w:tc>
        <w:tc>
          <w:tcPr>
            <w:tcW w:w="6082" w:type="dxa"/>
            <w:noWrap w:val="0"/>
            <w:vAlign w:val="center"/>
          </w:tcPr>
          <w:p>
            <w:pPr>
              <w:pStyle w:val="7"/>
              <w:spacing w:line="360" w:lineRule="exact"/>
              <w:jc w:val="center"/>
              <w:rPr>
                <w:rFonts w:ascii="方正黑体_GBK" w:eastAsia="方正黑体_GBK"/>
              </w:rPr>
            </w:pPr>
            <w:r>
              <w:rPr>
                <w:rFonts w:hint="eastAsia" w:ascii="方正黑体_GBK" w:eastAsia="方正黑体_GBK"/>
              </w:rPr>
              <w:t>评分标准</w:t>
            </w:r>
          </w:p>
        </w:tc>
        <w:tc>
          <w:tcPr>
            <w:tcW w:w="801" w:type="dxa"/>
            <w:noWrap w:val="0"/>
            <w:vAlign w:val="center"/>
          </w:tcPr>
          <w:p>
            <w:pPr>
              <w:pStyle w:val="7"/>
              <w:spacing w:line="360" w:lineRule="exact"/>
              <w:jc w:val="center"/>
              <w:rPr>
                <w:rFonts w:ascii="方正黑体_GBK" w:eastAsia="方正黑体_GBK"/>
              </w:rPr>
            </w:pPr>
            <w:r>
              <w:rPr>
                <w:rFonts w:hint="eastAsia" w:ascii="方正黑体_GBK" w:eastAsia="方正黑体_GBK"/>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98" w:type="dxa"/>
            <w:noWrap w:val="0"/>
            <w:vAlign w:val="center"/>
          </w:tcPr>
          <w:p>
            <w:pPr>
              <w:pStyle w:val="7"/>
              <w:spacing w:line="300" w:lineRule="exact"/>
              <w:jc w:val="center"/>
              <w:rPr>
                <w:rFonts w:hint="eastAsia" w:ascii="宋体" w:hAnsi="宋体"/>
                <w:sz w:val="21"/>
                <w:szCs w:val="21"/>
              </w:rPr>
            </w:pPr>
            <w:r>
              <w:rPr>
                <w:rFonts w:hint="eastAsia" w:ascii="宋体" w:hAnsi="宋体"/>
                <w:sz w:val="21"/>
                <w:szCs w:val="21"/>
              </w:rPr>
              <w:t>1</w:t>
            </w:r>
          </w:p>
        </w:tc>
        <w:tc>
          <w:tcPr>
            <w:tcW w:w="1210" w:type="dxa"/>
            <w:noWrap w:val="0"/>
            <w:vAlign w:val="center"/>
          </w:tcPr>
          <w:p>
            <w:pPr>
              <w:pStyle w:val="7"/>
              <w:spacing w:line="300" w:lineRule="exact"/>
              <w:jc w:val="center"/>
              <w:rPr>
                <w:rFonts w:ascii="宋体" w:hAnsi="宋体"/>
                <w:sz w:val="21"/>
                <w:szCs w:val="21"/>
              </w:rPr>
            </w:pPr>
            <w:r>
              <w:rPr>
                <w:rFonts w:hint="eastAsia" w:ascii="宋体" w:hAnsi="宋体"/>
                <w:sz w:val="21"/>
                <w:szCs w:val="21"/>
              </w:rPr>
              <w:t>实施方案（30分）</w:t>
            </w:r>
          </w:p>
        </w:tc>
        <w:tc>
          <w:tcPr>
            <w:tcW w:w="6082" w:type="dxa"/>
            <w:noWrap w:val="0"/>
            <w:vAlign w:val="top"/>
          </w:tcPr>
          <w:p>
            <w:pPr>
              <w:pStyle w:val="8"/>
              <w:rPr>
                <w:rFonts w:hint="eastAsia" w:ascii="宋体" w:hAnsi="宋体"/>
              </w:rPr>
            </w:pPr>
            <w:r>
              <w:rPr>
                <w:rFonts w:hint="eastAsia" w:ascii="宋体" w:hAnsi="宋体"/>
              </w:rPr>
              <w:t>包含项目需求分析、技术路线、进度保障、质量保障、服务承诺等内容。</w:t>
            </w:r>
          </w:p>
          <w:p>
            <w:pPr>
              <w:pStyle w:val="8"/>
              <w:rPr>
                <w:rFonts w:hint="eastAsia" w:ascii="宋体" w:hAnsi="宋体"/>
              </w:rPr>
            </w:pPr>
            <w:r>
              <w:rPr>
                <w:rFonts w:hint="eastAsia" w:ascii="宋体" w:hAnsi="宋体"/>
              </w:rPr>
              <w:t>1.实施方案要素完备，描述清晰，逻辑合理，可行性和可操作性强，得30分；</w:t>
            </w:r>
          </w:p>
          <w:p>
            <w:pPr>
              <w:pStyle w:val="8"/>
              <w:rPr>
                <w:rFonts w:hint="eastAsia" w:ascii="宋体" w:hAnsi="宋体"/>
              </w:rPr>
            </w:pPr>
            <w:r>
              <w:rPr>
                <w:rFonts w:hint="eastAsia" w:ascii="宋体" w:hAnsi="宋体"/>
              </w:rPr>
              <w:t>2.实施方案要素完备，描述较清晰，逻辑较合理，可行性和可操作性较强，得20-25分；</w:t>
            </w:r>
          </w:p>
          <w:p>
            <w:pPr>
              <w:pStyle w:val="8"/>
              <w:rPr>
                <w:rFonts w:hint="eastAsia" w:ascii="宋体" w:hAnsi="宋体"/>
              </w:rPr>
            </w:pPr>
            <w:r>
              <w:rPr>
                <w:rFonts w:hint="eastAsia" w:ascii="宋体" w:hAnsi="宋体"/>
              </w:rPr>
              <w:t>3.实施方案要素基本完备，描述不够清晰，逻辑不够合理，可行性和可操作性一般，得15-20分；</w:t>
            </w:r>
          </w:p>
          <w:p>
            <w:pPr>
              <w:pStyle w:val="8"/>
              <w:rPr>
                <w:rFonts w:hint="eastAsia" w:ascii="宋体" w:hAnsi="宋体"/>
              </w:rPr>
            </w:pPr>
            <w:r>
              <w:rPr>
                <w:rFonts w:hint="eastAsia" w:ascii="宋体" w:hAnsi="宋体"/>
              </w:rPr>
              <w:t>4.实施方案要素不完备，描述不清晰，逻辑不合理，可行性和可操作性差，得10-15分；</w:t>
            </w:r>
          </w:p>
          <w:p>
            <w:pPr>
              <w:pStyle w:val="8"/>
              <w:rPr>
                <w:rFonts w:hint="eastAsia" w:ascii="宋体" w:hAnsi="宋体"/>
              </w:rPr>
            </w:pPr>
            <w:r>
              <w:rPr>
                <w:rFonts w:hint="eastAsia" w:ascii="宋体" w:hAnsi="宋体"/>
              </w:rPr>
              <w:t>5.无实施方案，得0分。</w:t>
            </w:r>
          </w:p>
        </w:tc>
        <w:tc>
          <w:tcPr>
            <w:tcW w:w="801" w:type="dxa"/>
            <w:noWrap w:val="0"/>
            <w:vAlign w:val="top"/>
          </w:tcPr>
          <w:p>
            <w:pPr>
              <w:pStyle w:val="7"/>
              <w:spacing w:line="2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98" w:type="dxa"/>
            <w:noWrap w:val="0"/>
            <w:vAlign w:val="center"/>
          </w:tcPr>
          <w:p>
            <w:pPr>
              <w:pStyle w:val="7"/>
              <w:spacing w:line="300" w:lineRule="exact"/>
              <w:jc w:val="center"/>
              <w:rPr>
                <w:rFonts w:hint="eastAsia" w:ascii="宋体" w:hAnsi="宋体"/>
                <w:sz w:val="21"/>
                <w:szCs w:val="21"/>
              </w:rPr>
            </w:pPr>
            <w:r>
              <w:rPr>
                <w:rFonts w:hint="eastAsia" w:ascii="宋体" w:hAnsi="宋体"/>
                <w:sz w:val="21"/>
                <w:szCs w:val="21"/>
              </w:rPr>
              <w:t>2</w:t>
            </w:r>
          </w:p>
        </w:tc>
        <w:tc>
          <w:tcPr>
            <w:tcW w:w="1210" w:type="dxa"/>
            <w:noWrap w:val="0"/>
            <w:vAlign w:val="center"/>
          </w:tcPr>
          <w:p>
            <w:pPr>
              <w:pStyle w:val="8"/>
              <w:rPr>
                <w:rFonts w:hint="eastAsia" w:ascii="宋体" w:hAnsi="宋体"/>
              </w:rPr>
            </w:pPr>
            <w:r>
              <w:rPr>
                <w:rFonts w:hint="eastAsia" w:ascii="宋体" w:hAnsi="宋体"/>
              </w:rPr>
              <w:t>企业资质（10分）</w:t>
            </w:r>
          </w:p>
        </w:tc>
        <w:tc>
          <w:tcPr>
            <w:tcW w:w="6082" w:type="dxa"/>
            <w:noWrap w:val="0"/>
            <w:vAlign w:val="top"/>
          </w:tcPr>
          <w:p>
            <w:pPr>
              <w:pStyle w:val="8"/>
              <w:rPr>
                <w:rFonts w:hint="eastAsia" w:ascii="宋体" w:hAnsi="宋体"/>
              </w:rPr>
            </w:pPr>
            <w:r>
              <w:rPr>
                <w:rFonts w:hint="eastAsia" w:ascii="宋体" w:hAnsi="宋体"/>
              </w:rPr>
              <w:t>1.具有有效的质量管理体系认证证书，得3分。</w:t>
            </w:r>
          </w:p>
          <w:p>
            <w:pPr>
              <w:pStyle w:val="8"/>
              <w:rPr>
                <w:rFonts w:hint="eastAsia" w:ascii="宋体" w:hAnsi="宋体"/>
              </w:rPr>
            </w:pPr>
            <w:r>
              <w:rPr>
                <w:rFonts w:hint="eastAsia" w:ascii="宋体" w:hAnsi="宋体"/>
              </w:rPr>
              <w:t>2.具有有效的专业范围含地图编制的乙级及以上测绘资质证书，甲级的得7分，乙级的得4分。</w:t>
            </w:r>
          </w:p>
          <w:p>
            <w:pPr>
              <w:pStyle w:val="8"/>
              <w:rPr>
                <w:rFonts w:hint="eastAsia" w:ascii="宋体" w:hAnsi="宋体"/>
              </w:rPr>
            </w:pPr>
            <w:r>
              <w:rPr>
                <w:rFonts w:hint="eastAsia" w:ascii="宋体" w:hAnsi="宋体"/>
              </w:rPr>
              <w:t>本项最高得10分。</w:t>
            </w:r>
          </w:p>
        </w:tc>
        <w:tc>
          <w:tcPr>
            <w:tcW w:w="801" w:type="dxa"/>
            <w:noWrap w:val="0"/>
            <w:vAlign w:val="top"/>
          </w:tcPr>
          <w:p>
            <w:pPr>
              <w:pStyle w:val="7"/>
              <w:spacing w:line="2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98" w:type="dxa"/>
            <w:noWrap w:val="0"/>
            <w:vAlign w:val="center"/>
          </w:tcPr>
          <w:p>
            <w:pPr>
              <w:pStyle w:val="7"/>
              <w:spacing w:line="300" w:lineRule="exact"/>
              <w:jc w:val="center"/>
              <w:rPr>
                <w:rFonts w:hint="eastAsia" w:ascii="宋体" w:hAnsi="宋体"/>
                <w:sz w:val="21"/>
                <w:szCs w:val="21"/>
              </w:rPr>
            </w:pPr>
            <w:r>
              <w:rPr>
                <w:rFonts w:hint="eastAsia" w:ascii="宋体" w:hAnsi="宋体"/>
                <w:sz w:val="21"/>
                <w:szCs w:val="21"/>
              </w:rPr>
              <w:t>3</w:t>
            </w:r>
          </w:p>
        </w:tc>
        <w:tc>
          <w:tcPr>
            <w:tcW w:w="1210" w:type="dxa"/>
            <w:noWrap w:val="0"/>
            <w:vAlign w:val="center"/>
          </w:tcPr>
          <w:p>
            <w:pPr>
              <w:pStyle w:val="7"/>
              <w:spacing w:line="300" w:lineRule="exact"/>
              <w:jc w:val="center"/>
              <w:rPr>
                <w:rFonts w:hint="eastAsia" w:ascii="宋体" w:hAnsi="宋体"/>
                <w:sz w:val="21"/>
                <w:szCs w:val="21"/>
              </w:rPr>
            </w:pPr>
            <w:r>
              <w:rPr>
                <w:rFonts w:hint="eastAsia" w:ascii="宋体" w:hAnsi="宋体"/>
                <w:sz w:val="21"/>
                <w:szCs w:val="21"/>
              </w:rPr>
              <w:t>拟投入人员情况</w:t>
            </w:r>
          </w:p>
          <w:p>
            <w:pPr>
              <w:pStyle w:val="7"/>
              <w:spacing w:line="300" w:lineRule="exact"/>
              <w:jc w:val="center"/>
              <w:rPr>
                <w:rFonts w:ascii="宋体" w:hAnsi="宋体"/>
                <w:sz w:val="21"/>
                <w:szCs w:val="21"/>
              </w:rPr>
            </w:pPr>
            <w:r>
              <w:rPr>
                <w:rFonts w:hint="eastAsia" w:ascii="宋体" w:hAnsi="宋体"/>
                <w:sz w:val="21"/>
                <w:szCs w:val="21"/>
              </w:rPr>
              <w:t>（20分）</w:t>
            </w:r>
          </w:p>
        </w:tc>
        <w:tc>
          <w:tcPr>
            <w:tcW w:w="6082" w:type="dxa"/>
            <w:noWrap w:val="0"/>
            <w:vAlign w:val="top"/>
          </w:tcPr>
          <w:p>
            <w:pPr>
              <w:pStyle w:val="8"/>
              <w:rPr>
                <w:rFonts w:hint="eastAsia" w:ascii="宋体" w:hAnsi="宋体"/>
              </w:rPr>
            </w:pPr>
            <w:r>
              <w:rPr>
                <w:rFonts w:hint="eastAsia" w:ascii="宋体" w:hAnsi="宋体"/>
              </w:rPr>
              <w:t>1.项目负责人具有测绘类专业高级职称的得4分，中级职称的得2分，其他情况不得分；项目负责人具有注册测绘师证书的得2分，其他情况不得分。本项最高得6分。</w:t>
            </w:r>
          </w:p>
          <w:p>
            <w:pPr>
              <w:pStyle w:val="8"/>
              <w:rPr>
                <w:rFonts w:hint="eastAsia" w:ascii="宋体" w:hAnsi="宋体"/>
              </w:rPr>
            </w:pPr>
            <w:r>
              <w:rPr>
                <w:rFonts w:hint="eastAsia" w:ascii="宋体" w:hAnsi="宋体"/>
              </w:rPr>
              <w:t>2.技术人员（不含项目负责人）中每具有一名测绘类专业高级职称的，每提供一个得4分，其他情况不得分，最高8分。</w:t>
            </w:r>
          </w:p>
          <w:p>
            <w:pPr>
              <w:pStyle w:val="8"/>
              <w:rPr>
                <w:rFonts w:hint="eastAsia" w:ascii="宋体" w:hAnsi="宋体"/>
              </w:rPr>
            </w:pPr>
            <w:r>
              <w:rPr>
                <w:rFonts w:hint="eastAsia" w:ascii="宋体" w:hAnsi="宋体"/>
              </w:rPr>
              <w:t>3.作业人员、管理人员和质检人员具备测绘工程师或以上职称的，每提供一个得2分，其他情况不得分，最高6分。</w:t>
            </w:r>
          </w:p>
          <w:p>
            <w:pPr>
              <w:pStyle w:val="3"/>
              <w:spacing w:before="0" w:after="0" w:line="280" w:lineRule="exact"/>
              <w:jc w:val="left"/>
              <w:rPr>
                <w:rFonts w:ascii="宋体" w:hAnsi="宋体"/>
                <w:sz w:val="21"/>
                <w:szCs w:val="21"/>
              </w:rPr>
            </w:pPr>
            <w:r>
              <w:rPr>
                <w:rFonts w:hint="eastAsia" w:ascii="宋体" w:hAnsi="宋体" w:cs="宋体"/>
                <w:b w:val="0"/>
                <w:bCs w:val="0"/>
                <w:sz w:val="21"/>
                <w:szCs w:val="21"/>
              </w:rPr>
              <w:t>注：需提供相关人员的职称证书、资格证书以及近三个月内任意一个月的社保证明，不提供的不得分。</w:t>
            </w:r>
          </w:p>
        </w:tc>
        <w:tc>
          <w:tcPr>
            <w:tcW w:w="801" w:type="dxa"/>
            <w:noWrap w:val="0"/>
            <w:vAlign w:val="top"/>
          </w:tcPr>
          <w:p>
            <w:pPr>
              <w:pStyle w:val="7"/>
              <w:spacing w:line="2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98" w:type="dxa"/>
            <w:noWrap w:val="0"/>
            <w:vAlign w:val="center"/>
          </w:tcPr>
          <w:p>
            <w:pPr>
              <w:pStyle w:val="7"/>
              <w:spacing w:line="300" w:lineRule="exact"/>
              <w:jc w:val="center"/>
              <w:rPr>
                <w:rFonts w:hint="eastAsia" w:ascii="宋体" w:hAnsi="宋体"/>
                <w:sz w:val="21"/>
                <w:szCs w:val="21"/>
              </w:rPr>
            </w:pPr>
            <w:r>
              <w:rPr>
                <w:rFonts w:hint="eastAsia" w:ascii="宋体" w:hAnsi="宋体"/>
                <w:sz w:val="21"/>
                <w:szCs w:val="21"/>
              </w:rPr>
              <w:t>4</w:t>
            </w:r>
          </w:p>
        </w:tc>
        <w:tc>
          <w:tcPr>
            <w:tcW w:w="1210" w:type="dxa"/>
            <w:noWrap w:val="0"/>
            <w:vAlign w:val="center"/>
          </w:tcPr>
          <w:p>
            <w:pPr>
              <w:pStyle w:val="7"/>
              <w:spacing w:line="300" w:lineRule="exact"/>
              <w:jc w:val="center"/>
              <w:rPr>
                <w:rFonts w:ascii="宋体" w:hAnsi="宋体"/>
                <w:sz w:val="21"/>
                <w:szCs w:val="21"/>
              </w:rPr>
            </w:pPr>
            <w:r>
              <w:rPr>
                <w:rFonts w:hint="eastAsia" w:ascii="宋体" w:hAnsi="宋体"/>
                <w:sz w:val="21"/>
                <w:szCs w:val="21"/>
              </w:rPr>
              <w:t>以往业绩（20分）</w:t>
            </w:r>
          </w:p>
        </w:tc>
        <w:tc>
          <w:tcPr>
            <w:tcW w:w="6082" w:type="dxa"/>
            <w:noWrap w:val="0"/>
            <w:vAlign w:val="top"/>
          </w:tcPr>
          <w:p>
            <w:pPr>
              <w:pStyle w:val="8"/>
              <w:rPr>
                <w:rFonts w:hint="eastAsia" w:ascii="宋体" w:hAnsi="宋体"/>
              </w:rPr>
            </w:pPr>
            <w:r>
              <w:rPr>
                <w:rFonts w:hint="eastAsia" w:ascii="宋体" w:hAnsi="宋体"/>
              </w:rPr>
              <w:t>投标人近五年具有类似项目业绩的，每提供一项得4分，最高20分。</w:t>
            </w:r>
          </w:p>
          <w:p>
            <w:pPr>
              <w:pStyle w:val="8"/>
              <w:rPr>
                <w:rFonts w:hint="eastAsia" w:ascii="宋体" w:hAnsi="宋体"/>
              </w:rPr>
            </w:pPr>
            <w:r>
              <w:rPr>
                <w:rFonts w:hint="eastAsia" w:ascii="宋体" w:hAnsi="宋体"/>
              </w:rPr>
              <w:t>注：需提供以往类似项目的合同书复印件或中标通知书并加盖投标人公章，不提供的不得分。</w:t>
            </w:r>
          </w:p>
        </w:tc>
        <w:tc>
          <w:tcPr>
            <w:tcW w:w="801" w:type="dxa"/>
            <w:noWrap w:val="0"/>
            <w:vAlign w:val="top"/>
          </w:tcPr>
          <w:p>
            <w:pPr>
              <w:pStyle w:val="7"/>
              <w:spacing w:line="2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98" w:type="dxa"/>
            <w:noWrap w:val="0"/>
            <w:vAlign w:val="center"/>
          </w:tcPr>
          <w:p>
            <w:pPr>
              <w:pStyle w:val="7"/>
              <w:spacing w:line="300" w:lineRule="exact"/>
              <w:jc w:val="center"/>
              <w:rPr>
                <w:rFonts w:hint="eastAsia" w:ascii="宋体" w:hAnsi="宋体"/>
                <w:sz w:val="21"/>
                <w:szCs w:val="21"/>
              </w:rPr>
            </w:pPr>
            <w:r>
              <w:rPr>
                <w:rFonts w:hint="eastAsia" w:ascii="宋体" w:hAnsi="宋体"/>
                <w:sz w:val="21"/>
                <w:szCs w:val="21"/>
              </w:rPr>
              <w:t>5</w:t>
            </w:r>
          </w:p>
        </w:tc>
        <w:tc>
          <w:tcPr>
            <w:tcW w:w="1210" w:type="dxa"/>
            <w:noWrap w:val="0"/>
            <w:vAlign w:val="center"/>
          </w:tcPr>
          <w:p>
            <w:pPr>
              <w:pStyle w:val="7"/>
              <w:spacing w:line="300" w:lineRule="exact"/>
              <w:jc w:val="center"/>
              <w:rPr>
                <w:rFonts w:ascii="宋体" w:hAnsi="宋体"/>
                <w:sz w:val="21"/>
                <w:szCs w:val="21"/>
              </w:rPr>
            </w:pPr>
            <w:r>
              <w:rPr>
                <w:rFonts w:hint="eastAsia" w:ascii="宋体" w:hAnsi="宋体"/>
                <w:sz w:val="21"/>
                <w:szCs w:val="21"/>
              </w:rPr>
              <w:t>项目报价（20分）</w:t>
            </w:r>
          </w:p>
        </w:tc>
        <w:tc>
          <w:tcPr>
            <w:tcW w:w="6082" w:type="dxa"/>
            <w:noWrap w:val="0"/>
            <w:vAlign w:val="center"/>
          </w:tcPr>
          <w:p>
            <w:pPr>
              <w:pStyle w:val="8"/>
              <w:rPr>
                <w:rFonts w:hint="eastAsia" w:ascii="宋体" w:hAnsi="宋体"/>
              </w:rPr>
            </w:pPr>
            <w:r>
              <w:rPr>
                <w:rFonts w:hint="eastAsia" w:ascii="宋体" w:hAnsi="宋体"/>
              </w:rPr>
              <w:t>投标报价得分=（评标基准价/投标报价）×20分</w:t>
            </w:r>
          </w:p>
          <w:p>
            <w:pPr>
              <w:pStyle w:val="7"/>
              <w:spacing w:line="280" w:lineRule="exact"/>
              <w:jc w:val="both"/>
              <w:rPr>
                <w:rFonts w:ascii="宋体" w:hAnsi="宋体"/>
                <w:sz w:val="21"/>
                <w:szCs w:val="21"/>
              </w:rPr>
            </w:pPr>
            <w:r>
              <w:rPr>
                <w:rFonts w:hint="eastAsia" w:ascii="宋体" w:hAnsi="宋体" w:cs="宋体"/>
                <w:kern w:val="2"/>
                <w:sz w:val="21"/>
                <w:szCs w:val="21"/>
              </w:rPr>
              <w:t>注：投标价格最低的报价为评标基准价。</w:t>
            </w:r>
          </w:p>
        </w:tc>
        <w:tc>
          <w:tcPr>
            <w:tcW w:w="801" w:type="dxa"/>
            <w:noWrap w:val="0"/>
            <w:vAlign w:val="top"/>
          </w:tcPr>
          <w:p>
            <w:pPr>
              <w:pStyle w:val="7"/>
              <w:spacing w:line="2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990" w:type="dxa"/>
            <w:gridSpan w:val="3"/>
            <w:noWrap w:val="0"/>
            <w:vAlign w:val="center"/>
          </w:tcPr>
          <w:p>
            <w:pPr>
              <w:pStyle w:val="7"/>
              <w:spacing w:line="280" w:lineRule="exact"/>
              <w:jc w:val="center"/>
              <w:rPr>
                <w:rFonts w:hint="eastAsia" w:ascii="宋体" w:hAnsi="宋体"/>
                <w:sz w:val="21"/>
                <w:szCs w:val="21"/>
              </w:rPr>
            </w:pPr>
            <w:r>
              <w:rPr>
                <w:rFonts w:hint="eastAsia" w:ascii="宋体" w:hAnsi="宋体"/>
                <w:sz w:val="21"/>
                <w:szCs w:val="21"/>
              </w:rPr>
              <w:t>合计：</w:t>
            </w:r>
          </w:p>
        </w:tc>
        <w:tc>
          <w:tcPr>
            <w:tcW w:w="801" w:type="dxa"/>
            <w:noWrap w:val="0"/>
            <w:vAlign w:val="top"/>
          </w:tcPr>
          <w:p>
            <w:pPr>
              <w:pStyle w:val="7"/>
              <w:spacing w:line="200" w:lineRule="exact"/>
              <w:rPr>
                <w:sz w:val="18"/>
                <w:szCs w:val="18"/>
              </w:rPr>
            </w:pPr>
          </w:p>
        </w:tc>
      </w:tr>
    </w:tbl>
    <w:p>
      <w:pPr>
        <w:pStyle w:val="8"/>
        <w:widowControl w:val="0"/>
        <w:rPr>
          <w:rFonts w:hint="eastAsia" w:ascii="宋体" w:hAnsi="宋体"/>
        </w:rPr>
      </w:pPr>
      <w:r>
        <w:rPr>
          <w:rFonts w:hint="eastAsia"/>
        </w:rPr>
        <w:t>说明：按总得分由高到低的顺序确定中选人；如总得分相同，则按报价低者得的原则确定中选人；如总得分和报价都相同，则由评选小组抽签随机确定。总得分排名第一的投标供应商为第一中标候选人，排名第二的为第二中标候选人，以此类推。</w:t>
      </w:r>
    </w:p>
    <w:p>
      <w:bookmarkStart w:id="0" w:name="_GoBack"/>
      <w:bookmarkEnd w:id="0"/>
    </w:p>
    <w:sectPr>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A5473"/>
    <w:rsid w:val="732A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paragraph" w:styleId="3">
    <w:name w:val="Title"/>
    <w:basedOn w:val="1"/>
    <w:next w:val="1"/>
    <w:uiPriority w:val="0"/>
    <w:pPr>
      <w:spacing w:before="240" w:after="60"/>
      <w:jc w:val="center"/>
      <w:outlineLvl w:val="0"/>
    </w:pPr>
    <w:rPr>
      <w:rFonts w:ascii="Calibri Light" w:hAnsi="Calibri Light"/>
      <w:b/>
      <w:bCs/>
      <w:sz w:val="32"/>
      <w:szCs w:val="32"/>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_1"/>
    <w:basedOn w:val="1"/>
    <w:uiPriority w:val="0"/>
    <w:pPr>
      <w:widowControl/>
      <w:jc w:val="left"/>
    </w:pPr>
    <w:rPr>
      <w:kern w:val="0"/>
      <w:sz w:val="24"/>
    </w:rPr>
  </w:style>
  <w:style w:type="paragraph" w:customStyle="1" w:styleId="8">
    <w:name w:val="Normal"/>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2024-08-07T08:46:00Z</dcterms:created>
  <dc:creator>郭燕芬</dc:creator>
  <cp:lastModifiedBy>郭燕芬</cp:lastModifiedBy>
  <dcterms:modified xsi:type="dcterms:W3CDTF">2024-08-07T08:47:05Z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