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0" w:type="auto"/>
        <w:tblInd w:w="0" w:type="dxa"/>
        <w:tblLayout w:type="autofit"/>
        <w:tblCellMar>
          <w:top w:w="0" w:type="dxa"/>
          <w:left w:w="108" w:type="dxa"/>
          <w:bottom w:w="0" w:type="dxa"/>
          <w:right w:w="108" w:type="dxa"/>
        </w:tblCellMar>
      </w:tblPr>
      <w:tblGrid>
        <w:gridCol w:w="9629"/>
      </w:tblGrid>
      <w:tr>
        <w:tblPrEx>
          <w:tblCellMar>
            <w:top w:w="0" w:type="dxa"/>
            <w:left w:w="108" w:type="dxa"/>
            <w:bottom w:w="0" w:type="dxa"/>
            <w:right w:w="108" w:type="dxa"/>
          </w:tblCellMar>
        </w:tblPrEx>
        <w:trPr>
          <w:trHeight w:val="2835" w:hRule="exact"/>
        </w:trPr>
        <w:tc>
          <w:tcPr>
            <w:tcW w:w="9629" w:type="dxa"/>
            <w:noWrap w:val="0"/>
            <w:vAlign w:val="top"/>
          </w:tcPr>
          <w:p>
            <w:pPr>
              <w:snapToGrid w:val="0"/>
              <w:spacing w:line="1000" w:lineRule="exact"/>
              <w:jc w:val="both"/>
              <w:rPr>
                <w:rFonts w:hint="eastAsia" w:ascii="方正小标宋_GBK" w:hAnsi="方正小标宋_GBK" w:eastAsia="方正小标宋_GBK" w:cs="方正小标宋_GBK"/>
                <w:sz w:val="32"/>
                <w:szCs w:val="32"/>
              </w:rPr>
            </w:pPr>
          </w:p>
        </w:tc>
      </w:tr>
    </w:tbl>
    <w:p>
      <w:pPr>
        <w:keepNext w:val="0"/>
        <w:keepLines w:val="0"/>
        <w:pageBreakBefore w:val="0"/>
        <w:widowControl w:val="0"/>
        <w:kinsoku/>
        <w:wordWrap/>
        <w:overflowPunct/>
        <w:topLinePunct w:val="0"/>
        <w:autoSpaceDE/>
        <w:autoSpaceDN/>
        <w:bidi w:val="0"/>
        <w:adjustRightInd/>
        <w:snapToGrid/>
        <w:spacing w:line="1120" w:lineRule="exact"/>
        <w:jc w:val="center"/>
        <w:textAlignment w:val="auto"/>
        <w:rPr>
          <w:rFonts w:hint="eastAsia" w:ascii="宋体" w:hAnsi="Times New Roman" w:eastAsia="宋体" w:cs="Times New Roman"/>
          <w:b/>
          <w:bCs/>
          <w:sz w:val="84"/>
          <w:szCs w:val="84"/>
          <w:lang w:eastAsia="zh-CN"/>
        </w:rPr>
      </w:pPr>
      <w:r>
        <w:rPr>
          <w:rFonts w:hint="eastAsia" w:ascii="方正大标宋_GBK" w:hAnsi="方正大标宋_GBK" w:eastAsia="方正大标宋_GBK" w:cs="方正大标宋_GBK"/>
          <w:b w:val="0"/>
          <w:bCs w:val="0"/>
          <w:sz w:val="84"/>
          <w:szCs w:val="84"/>
        </w:rPr>
        <w:fldChar w:fldCharType="begin"/>
      </w:r>
      <w:r>
        <w:rPr>
          <w:rFonts w:hint="eastAsia" w:ascii="方正大标宋_GBK" w:hAnsi="方正大标宋_GBK" w:eastAsia="方正大标宋_GBK" w:cs="方正大标宋_GBK"/>
          <w:b w:val="0"/>
          <w:bCs w:val="0"/>
          <w:sz w:val="84"/>
          <w:szCs w:val="84"/>
        </w:rPr>
        <w:instrText xml:space="preserve"> eq \o\ac(</w:instrText>
      </w:r>
      <w:r>
        <w:rPr>
          <w:rFonts w:hint="eastAsia" w:ascii="方正大标宋_GBK" w:hAnsi="方正大标宋_GBK" w:eastAsia="方正大标宋_GBK" w:cs="方正大标宋_GBK"/>
          <w:b w:val="0"/>
          <w:bCs w:val="0"/>
          <w:position w:val="-16"/>
          <w:sz w:val="127"/>
          <w:szCs w:val="84"/>
        </w:rPr>
        <w:instrText xml:space="preserve">○</w:instrText>
      </w:r>
      <w:r>
        <w:rPr>
          <w:rFonts w:hint="eastAsia" w:ascii="方正大标宋_GBK" w:hAnsi="方正大标宋_GBK" w:eastAsia="方正大标宋_GBK" w:cs="方正大标宋_GBK"/>
          <w:b w:val="0"/>
          <w:bCs w:val="0"/>
          <w:position w:val="0"/>
          <w:sz w:val="84"/>
          <w:szCs w:val="84"/>
        </w:rPr>
        <w:instrText xml:space="preserve">,F)</w:instrText>
      </w:r>
      <w:r>
        <w:rPr>
          <w:rFonts w:hint="eastAsia" w:ascii="方正大标宋_GBK" w:hAnsi="方正大标宋_GBK" w:eastAsia="方正大标宋_GBK" w:cs="方正大标宋_GBK"/>
          <w:b w:val="0"/>
          <w:bCs w:val="0"/>
          <w:sz w:val="84"/>
          <w:szCs w:val="84"/>
        </w:rPr>
        <w:fldChar w:fldCharType="end"/>
      </w:r>
      <w:r>
        <w:rPr>
          <w:rFonts w:hint="eastAsia" w:ascii="宋体" w:hAnsi="宋体" w:eastAsia="宋体" w:cs="宋体"/>
          <w:b/>
          <w:bCs/>
          <w:sz w:val="84"/>
          <w:szCs w:val="84"/>
          <w:lang w:val="en-US" w:eastAsia="zh-CN"/>
        </w:rPr>
        <w:t>规模以上</w:t>
      </w:r>
      <w:r>
        <w:rPr>
          <w:rFonts w:hint="eastAsia" w:ascii="宋体" w:hAnsi="Times New Roman" w:eastAsia="宋体" w:cs="Times New Roman"/>
          <w:b/>
          <w:bCs/>
          <w:sz w:val="84"/>
          <w:szCs w:val="84"/>
          <w:lang w:eastAsia="zh-CN"/>
        </w:rPr>
        <w:t>服务业</w:t>
      </w:r>
    </w:p>
    <w:p>
      <w:pPr>
        <w:keepNext w:val="0"/>
        <w:keepLines w:val="0"/>
        <w:pageBreakBefore w:val="0"/>
        <w:widowControl w:val="0"/>
        <w:kinsoku/>
        <w:wordWrap/>
        <w:overflowPunct/>
        <w:topLinePunct w:val="0"/>
        <w:autoSpaceDE/>
        <w:autoSpaceDN/>
        <w:bidi w:val="0"/>
        <w:adjustRightInd/>
        <w:snapToGrid/>
        <w:spacing w:line="1120" w:lineRule="exact"/>
        <w:jc w:val="center"/>
        <w:textAlignment w:val="auto"/>
        <w:rPr>
          <w:rFonts w:hint="eastAsia" w:ascii="宋体" w:hAnsi="Times New Roman" w:eastAsia="宋体" w:cs="Times New Roman"/>
          <w:b/>
          <w:bCs/>
          <w:sz w:val="84"/>
          <w:szCs w:val="84"/>
        </w:rPr>
      </w:pPr>
      <w:r>
        <w:rPr>
          <w:rFonts w:hint="eastAsia" w:ascii="宋体" w:hAnsi="Times New Roman" w:cs="Times New Roman"/>
          <w:b/>
          <w:bCs/>
          <w:sz w:val="84"/>
          <w:szCs w:val="84"/>
          <w:lang w:eastAsia="zh-CN"/>
        </w:rPr>
        <w:t>一套</w:t>
      </w:r>
      <w:r>
        <w:rPr>
          <w:rFonts w:hint="eastAsia" w:ascii="宋体" w:hAnsi="Times New Roman" w:eastAsia="宋体" w:cs="Times New Roman"/>
          <w:b/>
          <w:bCs/>
          <w:sz w:val="84"/>
          <w:szCs w:val="84"/>
        </w:rPr>
        <w:t>表制度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楷体_GB2312" w:hAnsi="宋体" w:eastAsia="楷体_GB2312" w:cs="Times New Roman"/>
          <w:sz w:val="32"/>
          <w:szCs w:val="32"/>
        </w:rPr>
      </w:pPr>
      <w:r>
        <w:rPr>
          <w:rFonts w:hint="eastAsia" w:ascii="楷体_GB2312" w:hAnsi="宋体" w:eastAsia="楷体_GB2312" w:cs="楷体_GB2312"/>
          <w:sz w:val="32"/>
          <w:szCs w:val="32"/>
        </w:rPr>
        <w:t>（</w:t>
      </w:r>
      <w:r>
        <w:rPr>
          <w:rFonts w:hint="eastAsia" w:ascii="楷体_GB2312" w:hAnsi="宋体" w:eastAsia="楷体_GB2312" w:cs="楷体_GB2312"/>
          <w:sz w:val="32"/>
          <w:szCs w:val="32"/>
          <w:lang w:eastAsia="zh-CN"/>
        </w:rPr>
        <w:t>202</w:t>
      </w:r>
      <w:r>
        <w:rPr>
          <w:rFonts w:hint="eastAsia" w:ascii="楷体_GB2312" w:hAnsi="宋体" w:eastAsia="楷体_GB2312" w:cs="楷体_GB2312"/>
          <w:sz w:val="32"/>
          <w:szCs w:val="32"/>
          <w:lang w:val="en-US" w:eastAsia="zh-CN"/>
        </w:rPr>
        <w:t>4</w:t>
      </w:r>
      <w:r>
        <w:rPr>
          <w:rFonts w:hint="eastAsia" w:ascii="楷体_GB2312" w:hAnsi="宋体" w:eastAsia="楷体_GB2312" w:cs="楷体_GB2312"/>
          <w:sz w:val="32"/>
          <w:szCs w:val="32"/>
          <w:lang w:eastAsia="zh-CN"/>
        </w:rPr>
        <w:t>年统计年报和202</w:t>
      </w:r>
      <w:r>
        <w:rPr>
          <w:rFonts w:hint="eastAsia" w:ascii="楷体_GB2312" w:hAnsi="宋体" w:eastAsia="楷体_GB2312" w:cs="楷体_GB2312"/>
          <w:sz w:val="32"/>
          <w:szCs w:val="32"/>
          <w:lang w:val="en-US" w:eastAsia="zh-CN"/>
        </w:rPr>
        <w:t>5</w:t>
      </w:r>
      <w:r>
        <w:rPr>
          <w:rFonts w:hint="eastAsia" w:ascii="楷体_GB2312" w:hAnsi="宋体" w:eastAsia="楷体_GB2312" w:cs="楷体_GB2312"/>
          <w:sz w:val="32"/>
          <w:szCs w:val="32"/>
          <w:lang w:eastAsia="zh-CN"/>
        </w:rPr>
        <w:t>年定期统计报表</w:t>
      </w:r>
      <w:r>
        <w:rPr>
          <w:rFonts w:hint="eastAsia" w:ascii="楷体_GB2312" w:hAnsi="宋体"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32"/>
          <w:szCs w:val="32"/>
        </w:rPr>
      </w:pPr>
      <w:r>
        <w:rPr>
          <w:rFonts w:hint="eastAsia" w:ascii="宋体" w:hAnsi="宋体" w:eastAsia="宋体"/>
          <w:sz w:val="36"/>
          <w:szCs w:val="36"/>
        </w:rPr>
        <w:t xml:space="preserve"> </w:t>
      </w:r>
    </w:p>
    <w:p>
      <w:pPr>
        <w:jc w:val="center"/>
        <w:rPr>
          <w:rFonts w:hint="eastAsia" w:ascii="楷体_GB2312" w:hAnsi="Times New Roman" w:eastAsia="楷体_GB2312" w:cs="Times New Roman"/>
          <w:sz w:val="32"/>
        </w:rPr>
      </w:pPr>
    </w:p>
    <w:p>
      <w:pPr>
        <w:rPr>
          <w:rFonts w:hint="eastAsia" w:ascii="宋体" w:hAnsi="Times New Roman" w:eastAsia="宋体" w:cs="Times New Roman"/>
        </w:rPr>
      </w:pPr>
    </w:p>
    <w:p>
      <w:pPr>
        <w:rPr>
          <w:rFonts w:ascii="宋体" w:hAnsi="Times New Roman" w:eastAsia="宋体" w:cs="Times New Roman"/>
        </w:rPr>
      </w:pPr>
    </w:p>
    <w:p>
      <w:pPr>
        <w:jc w:val="center"/>
        <w:rPr>
          <w:rFonts w:ascii="楷体_GB2312" w:hAnsi="Times New Roman" w:eastAsia="楷体_GB2312" w:cs="Times New Roman"/>
          <w:sz w:val="32"/>
        </w:rPr>
      </w:pPr>
    </w:p>
    <w:p>
      <w:pPr>
        <w:rPr>
          <w:rFonts w:hint="eastAsia" w:ascii="宋体" w:hAnsi="Times New Roman" w:eastAsia="宋体" w:cs="Times New Roman"/>
        </w:rPr>
      </w:pPr>
    </w:p>
    <w:p>
      <w:pPr>
        <w:rPr>
          <w:rFonts w:hint="eastAsia" w:ascii="宋体" w:hAnsi="Times New Roman" w:eastAsia="宋体" w:cs="Times New Roman"/>
        </w:rPr>
      </w:pPr>
    </w:p>
    <w:p>
      <w:pPr>
        <w:rPr>
          <w:rFonts w:hint="eastAsia" w:ascii="宋体" w:hAnsi="Times New Roman" w:eastAsia="宋体" w:cs="Times New Roman"/>
        </w:rPr>
      </w:pPr>
    </w:p>
    <w:p>
      <w:pPr>
        <w:rPr>
          <w:rFonts w:hint="eastAsia" w:ascii="宋体" w:hAnsi="Times New Roman" w:eastAsia="宋体" w:cs="Times New Roman"/>
        </w:rPr>
      </w:pPr>
    </w:p>
    <w:p>
      <w:pPr>
        <w:rPr>
          <w:rFonts w:hint="eastAsia" w:ascii="宋体" w:hAnsi="Times New Roman" w:eastAsia="宋体" w:cs="Times New Roman"/>
        </w:rPr>
      </w:pPr>
    </w:p>
    <w:p>
      <w:pPr>
        <w:rPr>
          <w:rFonts w:hint="eastAsia" w:ascii="宋体" w:hAnsi="Times New Roman" w:eastAsia="宋体" w:cs="Times New Roman"/>
        </w:rPr>
      </w:pPr>
    </w:p>
    <w:p>
      <w:pPr>
        <w:rPr>
          <w:rFonts w:hint="eastAsia" w:ascii="宋体" w:hAnsi="Times New Roman" w:eastAsia="宋体" w:cs="Times New Roman"/>
        </w:rPr>
      </w:pPr>
    </w:p>
    <w:p>
      <w:pPr>
        <w:pStyle w:val="2"/>
        <w:ind w:left="0" w:leftChars="0" w:firstLine="0" w:firstLineChars="0"/>
        <w:rPr>
          <w:rFonts w:hint="eastAsia"/>
        </w:rPr>
      </w:pPr>
    </w:p>
    <w:p>
      <w:pPr>
        <w:rPr>
          <w:rFonts w:hint="eastAsia" w:ascii="宋体" w:hAnsi="Times New Roman" w:eastAsia="宋体" w:cs="Times New Roman"/>
        </w:rPr>
      </w:pPr>
    </w:p>
    <w:p>
      <w:pPr>
        <w:pStyle w:val="2"/>
        <w:rPr>
          <w:rFonts w:hint="eastAsia" w:ascii="宋体" w:hAnsi="Times New Roman" w:eastAsia="宋体" w:cs="Times New Roman"/>
        </w:rPr>
      </w:pPr>
    </w:p>
    <w:p>
      <w:pPr>
        <w:pStyle w:val="2"/>
        <w:ind w:left="0" w:leftChars="0" w:firstLine="0" w:firstLineChars="0"/>
        <w:rPr>
          <w:rFonts w:hint="eastAsia"/>
        </w:rPr>
      </w:pPr>
    </w:p>
    <w:p>
      <w:pPr>
        <w:autoSpaceDE w:val="0"/>
        <w:autoSpaceDN w:val="0"/>
        <w:adjustRightInd w:val="0"/>
        <w:jc w:val="center"/>
        <w:rPr>
          <w:rFonts w:hint="eastAsia" w:ascii="楷体_GB2312" w:hAnsi="宋体" w:eastAsia="楷体_GB2312" w:cs="楷体_GB2312"/>
          <w:color w:val="000000"/>
          <w:kern w:val="0"/>
          <w:sz w:val="32"/>
          <w:szCs w:val="32"/>
          <w:lang w:val="en-US" w:eastAsia="zh-CN"/>
        </w:rPr>
      </w:pPr>
    </w:p>
    <w:p>
      <w:pPr>
        <w:autoSpaceDE/>
        <w:autoSpaceDN/>
        <w:adjustRightInd w:val="0"/>
        <w:spacing w:line="420" w:lineRule="exact"/>
        <w:jc w:val="center"/>
        <w:outlineLvl w:val="9"/>
        <w:rPr>
          <w:rFonts w:hint="eastAsia" w:ascii="楷体_GB2312" w:hAnsi="宋体" w:eastAsia="楷体_GB2312" w:cs="Times New Roman"/>
          <w:color w:val="000000"/>
          <w:kern w:val="0"/>
          <w:sz w:val="32"/>
          <w:szCs w:val="32"/>
        </w:rPr>
      </w:pPr>
      <w:r>
        <w:rPr>
          <w:rFonts w:hint="eastAsia" w:ascii="楷体_GB2312" w:hAnsi="宋体" w:eastAsia="楷体_GB2312" w:cs="Times New Roman"/>
          <w:color w:val="000000"/>
          <w:kern w:val="0"/>
          <w:sz w:val="32"/>
          <w:szCs w:val="32"/>
          <w:lang w:val="en-US" w:eastAsia="zh-CN"/>
        </w:rPr>
        <w:t>广</w:t>
      </w:r>
      <w:r>
        <w:rPr>
          <w:rFonts w:hint="eastAsia" w:ascii="楷体_GB2312" w:hAnsi="宋体" w:eastAsia="楷体_GB2312" w:cs="Times New Roman"/>
          <w:color w:val="000000"/>
          <w:spacing w:val="0"/>
          <w:kern w:val="0"/>
          <w:sz w:val="32"/>
          <w:szCs w:val="32"/>
          <w:lang w:eastAsia="zh-CN"/>
        </w:rPr>
        <w:t>州</w:t>
      </w:r>
      <w:r>
        <w:rPr>
          <w:rFonts w:hint="eastAsia" w:ascii="楷体_GB2312" w:hAnsi="宋体" w:eastAsia="楷体_GB2312" w:cs="Times New Roman"/>
          <w:color w:val="000000"/>
          <w:spacing w:val="0"/>
          <w:kern w:val="0"/>
          <w:sz w:val="32"/>
          <w:szCs w:val="32"/>
        </w:rPr>
        <w:t>市统计</w:t>
      </w:r>
      <w:r>
        <w:rPr>
          <w:rFonts w:hint="eastAsia" w:ascii="楷体_GB2312" w:hAnsi="宋体" w:eastAsia="楷体_GB2312" w:cs="Times New Roman"/>
          <w:color w:val="000000"/>
          <w:kern w:val="0"/>
          <w:sz w:val="32"/>
          <w:szCs w:val="32"/>
        </w:rPr>
        <w:t>局</w:t>
      </w:r>
    </w:p>
    <w:p>
      <w:pPr>
        <w:adjustRightInd w:val="0"/>
        <w:spacing w:line="420" w:lineRule="exact"/>
        <w:jc w:val="center"/>
        <w:outlineLvl w:val="9"/>
        <w:rPr>
          <w:rFonts w:hint="eastAsia" w:ascii="楷体_GB2312" w:hAnsi="宋体" w:eastAsia="楷体_GB2312" w:cs="Times New Roman"/>
          <w:color w:val="000000"/>
          <w:kern w:val="0"/>
          <w:sz w:val="32"/>
          <w:szCs w:val="32"/>
        </w:rPr>
      </w:pPr>
      <w:bookmarkStart w:id="0" w:name="_Toc28111"/>
      <w:r>
        <w:rPr>
          <w:rFonts w:hint="eastAsia" w:ascii="楷体_GB2312" w:hAnsi="宋体" w:eastAsia="楷体_GB2312" w:cs="Times New Roman"/>
          <w:color w:val="000000"/>
          <w:kern w:val="0"/>
          <w:sz w:val="32"/>
          <w:szCs w:val="32"/>
        </w:rPr>
        <w:t>20</w:t>
      </w:r>
      <w:r>
        <w:rPr>
          <w:rFonts w:hint="eastAsia" w:ascii="楷体_GB2312" w:hAnsi="宋体" w:eastAsia="楷体_GB2312" w:cs="Times New Roman"/>
          <w:color w:val="000000"/>
          <w:kern w:val="0"/>
          <w:sz w:val="32"/>
          <w:szCs w:val="32"/>
          <w:lang w:val="en-US" w:eastAsia="zh-CN"/>
        </w:rPr>
        <w:t>24</w:t>
      </w:r>
      <w:r>
        <w:rPr>
          <w:rFonts w:hint="eastAsia" w:ascii="楷体_GB2312" w:hAnsi="宋体" w:eastAsia="楷体_GB2312" w:cs="Times New Roman"/>
          <w:color w:val="000000"/>
          <w:kern w:val="0"/>
          <w:sz w:val="32"/>
          <w:szCs w:val="32"/>
        </w:rPr>
        <w:t>年1</w:t>
      </w:r>
      <w:r>
        <w:rPr>
          <w:rFonts w:hint="eastAsia" w:ascii="楷体_GB2312" w:hAnsi="宋体" w:eastAsia="楷体_GB2312" w:cs="Times New Roman"/>
          <w:color w:val="000000"/>
          <w:kern w:val="0"/>
          <w:sz w:val="32"/>
          <w:szCs w:val="32"/>
          <w:lang w:val="en-US" w:eastAsia="zh-CN"/>
        </w:rPr>
        <w:t>2</w:t>
      </w:r>
      <w:r>
        <w:rPr>
          <w:rFonts w:hint="eastAsia" w:ascii="楷体_GB2312" w:hAnsi="宋体" w:eastAsia="楷体_GB2312" w:cs="Times New Roman"/>
          <w:color w:val="000000"/>
          <w:kern w:val="0"/>
          <w:sz w:val="32"/>
          <w:szCs w:val="32"/>
        </w:rPr>
        <w:t>月</w:t>
      </w:r>
      <w:bookmarkEnd w:id="0"/>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_GBK" w:hAnsi="方正小标宋_GBK" w:eastAsia="方正小标宋_GBK" w:cs="方正小标宋_GBK"/>
          <w:color w:val="C00000"/>
          <w:sz w:val="44"/>
          <w:szCs w:val="44"/>
          <w:highlight w:val="yellow"/>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_GB2312" w:hAnsi="宋体" w:eastAsia="楷体_GB2312" w:cs="Times New Roman"/>
          <w:spacing w:val="-8"/>
          <w:sz w:val="44"/>
          <w:szCs w:val="44"/>
        </w:rPr>
      </w:pPr>
    </w:p>
    <w:p>
      <w:pPr>
        <w:spacing w:line="360" w:lineRule="exact"/>
        <w:jc w:val="center"/>
        <w:rPr>
          <w:rFonts w:hint="eastAsia" w:ascii="楷体_GB2312" w:hAnsi="宋体" w:eastAsia="楷体_GB2312" w:cs="Times New Roman"/>
          <w:spacing w:val="-8"/>
          <w:sz w:val="32"/>
          <w:szCs w:val="32"/>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360" w:lineRule="exact"/>
        <w:rPr>
          <w:rFonts w:ascii="Times New Roman" w:hAnsi="Times New Roman" w:eastAsia="宋体" w:cs="Times New Roman"/>
          <w:spacing w:val="-8"/>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hint="eastAsia" w:ascii="Times New Roman" w:hAnsi="Times New Roman" w:eastAsia="宋体" w:cs="Times New Roman"/>
          <w:sz w:val="28"/>
          <w:szCs w:val="20"/>
        </w:rPr>
      </w:pPr>
    </w:p>
    <w:p>
      <w:pPr>
        <w:keepNext w:val="0"/>
        <w:keepLines w:val="0"/>
        <w:widowControl/>
        <w:suppressLineNumbers w:val="0"/>
        <w:jc w:val="left"/>
        <w:rPr>
          <w:rFonts w:ascii="宋体" w:hAnsi="宋体" w:eastAsia="宋体" w:cs="宋体"/>
          <w:kern w:val="0"/>
          <w:sz w:val="24"/>
          <w:szCs w:val="24"/>
          <w:lang w:val="en-US" w:eastAsia="zh-CN" w:bidi="ar"/>
        </w:rPr>
        <w:sectPr>
          <w:headerReference r:id="rId3" w:type="default"/>
          <w:footerReference r:id="rId4" w:type="default"/>
          <w:pgSz w:w="11906" w:h="16838"/>
          <w:pgMar w:top="1440" w:right="1134" w:bottom="1440" w:left="1134" w:header="851" w:footer="850" w:gutter="0"/>
          <w:pgBorders>
            <w:top w:val="none" w:sz="0" w:space="0"/>
            <w:left w:val="none" w:sz="0" w:space="0"/>
            <w:bottom w:val="none" w:sz="0" w:space="0"/>
            <w:right w:val="none" w:sz="0" w:space="0"/>
          </w:pgBorders>
          <w:pgNumType w:fmt="decimal" w:start="1"/>
          <w:cols w:space="720" w:num="1"/>
          <w:docGrid w:type="lines" w:linePitch="312" w:charSpace="0"/>
        </w:sectPr>
      </w:pPr>
      <w:r>
        <w:rPr>
          <w:rFonts w:ascii="宋体" w:hAnsi="宋体" w:eastAsia="宋体" w:cs="宋体"/>
          <w:kern w:val="0"/>
          <w:sz w:val="24"/>
          <w:szCs w:val="24"/>
          <w:lang w:val="en-US" w:eastAsia="zh-CN" w:bidi="ar"/>
        </w:rPr>
        <w:t>本制度由</w:t>
      </w:r>
      <w:r>
        <w:rPr>
          <w:rFonts w:hint="eastAsia" w:ascii="宋体" w:hAnsi="宋体" w:eastAsia="宋体" w:cs="宋体"/>
          <w:kern w:val="0"/>
          <w:sz w:val="24"/>
          <w:szCs w:val="24"/>
          <w:lang w:val="en-US" w:eastAsia="zh-CN" w:bidi="ar"/>
        </w:rPr>
        <w:t>广州市</w:t>
      </w:r>
      <w:r>
        <w:rPr>
          <w:rFonts w:ascii="宋体" w:hAnsi="宋体" w:eastAsia="宋体" w:cs="宋体"/>
          <w:kern w:val="0"/>
          <w:sz w:val="24"/>
          <w:szCs w:val="24"/>
          <w:lang w:val="en-US" w:eastAsia="zh-CN" w:bidi="ar"/>
        </w:rPr>
        <w:t>统计局负责解释</w:t>
      </w:r>
      <w:r>
        <w:rPr>
          <w:rFonts w:hint="eastAsia" w:ascii="宋体" w:hAnsi="宋体" w:cs="宋体"/>
          <w:kern w:val="0"/>
          <w:sz w:val="24"/>
          <w:szCs w:val="24"/>
          <w:lang w:val="en-US" w:eastAsia="zh-CN" w:bidi="ar"/>
        </w:rPr>
        <w:t>。</w:t>
      </w:r>
    </w:p>
    <w:p>
      <w:pPr>
        <w:adjustRightInd w:val="0"/>
        <w:snapToGrid w:val="0"/>
        <w:spacing w:beforeLines="0" w:afterLines="0"/>
        <w:ind w:firstLine="440" w:firstLineChars="100"/>
        <w:jc w:val="center"/>
        <w:rPr>
          <w:rFonts w:hint="eastAsia" w:ascii="华文中宋" w:hAnsi="华文中宋" w:eastAsia="华文中宋" w:cs="Times New Roman"/>
          <w:b/>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ind w:firstLine="0" w:firstLineChars="0"/>
        <w:jc w:val="center"/>
        <w:textAlignment w:val="auto"/>
        <w:rPr>
          <w:rFonts w:hint="eastAsia" w:ascii="华文中宋" w:hAnsi="华文中宋" w:eastAsia="华文中宋" w:cs="Times New Roman"/>
          <w:b/>
          <w:sz w:val="40"/>
          <w:szCs w:val="24"/>
        </w:rPr>
      </w:pPr>
      <w:r>
        <w:rPr>
          <w:rFonts w:hint="eastAsia" w:ascii="华文中宋" w:hAnsi="华文中宋" w:eastAsia="华文中宋" w:cs="Times New Roman"/>
          <w:b/>
          <w:sz w:val="44"/>
          <w:szCs w:val="44"/>
        </w:rPr>
        <w:t>广州市统计信用告知书</w:t>
      </w: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hint="eastAsia" w:ascii="仿宋_GB2312" w:hAnsi="仿宋_GB2312" w:eastAsia="仿宋_GB2312" w:cs="仿宋_GB2312"/>
          <w:sz w:val="30"/>
          <w:szCs w:val="30"/>
        </w:rPr>
        <w:t>统计严重失信行为的，</w:t>
      </w:r>
      <w:r>
        <w:rPr>
          <w:rFonts w:hint="eastAsia" w:ascii="仿宋_GB2312" w:hAnsi="仿宋_GB2312" w:eastAsia="仿宋_GB2312" w:cs="仿宋_GB2312"/>
          <w:sz w:val="30"/>
          <w:szCs w:val="30"/>
          <w:lang w:val="zh-CN"/>
        </w:rPr>
        <w:t>依据《</w:t>
      </w:r>
      <w:r>
        <w:rPr>
          <w:rFonts w:hint="eastAsia" w:ascii="仿宋_GB2312" w:hAnsi="仿宋_GB2312" w:eastAsia="仿宋_GB2312" w:cs="仿宋_GB2312"/>
          <w:sz w:val="30"/>
          <w:szCs w:val="30"/>
        </w:rPr>
        <w:t>统计严重失信</w:t>
      </w:r>
      <w:r>
        <w:rPr>
          <w:rFonts w:hint="eastAsia" w:ascii="仿宋_GB2312" w:hAnsi="仿宋_GB2312" w:eastAsia="仿宋_GB2312" w:cs="仿宋_GB2312"/>
          <w:sz w:val="30"/>
          <w:szCs w:val="30"/>
          <w:lang w:val="zh-CN"/>
        </w:rPr>
        <w:t>企业</w:t>
      </w:r>
      <w:r>
        <w:rPr>
          <w:rFonts w:hint="eastAsia" w:ascii="仿宋_GB2312" w:hAnsi="仿宋_GB2312" w:eastAsia="仿宋_GB2312" w:cs="仿宋_GB2312"/>
          <w:color w:val="000000" w:themeColor="text1"/>
          <w:sz w:val="30"/>
          <w:szCs w:val="30"/>
          <w:lang w:val="zh-CN"/>
          <w14:textFill>
            <w14:solidFill>
              <w14:schemeClr w14:val="tx1"/>
            </w14:solidFill>
          </w14:textFill>
        </w:rPr>
        <w:t>信用</w:t>
      </w:r>
      <w:r>
        <w:rPr>
          <w:rFonts w:hint="eastAsia" w:ascii="仿宋_GB2312" w:hAnsi="仿宋_GB2312" w:eastAsia="仿宋_GB2312" w:cs="仿宋_GB2312"/>
          <w:sz w:val="30"/>
          <w:szCs w:val="30"/>
          <w:lang w:val="zh-CN"/>
        </w:rPr>
        <w:t>管理办法》的规定认定为统计严重失信企业。</w:t>
      </w: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统计严重失信信息将通过广州市统计局门户网站公开，</w:t>
      </w:r>
      <w:r>
        <w:rPr>
          <w:rFonts w:hint="eastAsia" w:ascii="仿宋_GB2312" w:hAnsi="仿宋_GB2312" w:eastAsia="仿宋_GB2312" w:cs="仿宋_GB2312"/>
          <w:sz w:val="30"/>
          <w:szCs w:val="30"/>
        </w:rPr>
        <w:t>并</w:t>
      </w:r>
      <w:r>
        <w:rPr>
          <w:rFonts w:hint="eastAsia" w:ascii="仿宋_GB2312" w:hAnsi="仿宋_GB2312" w:eastAsia="仿宋_GB2312" w:cs="仿宋_GB2312"/>
          <w:sz w:val="30"/>
          <w:szCs w:val="30"/>
          <w:lang w:val="zh-CN"/>
        </w:rPr>
        <w:t>推送到上一级统计机构，</w:t>
      </w:r>
      <w:r>
        <w:rPr>
          <w:rFonts w:hint="eastAsia" w:ascii="仿宋_GB2312" w:hAnsi="仿宋_GB2312" w:eastAsia="仿宋_GB2312" w:cs="仿宋_GB2312"/>
          <w:sz w:val="30"/>
          <w:szCs w:val="30"/>
        </w:rPr>
        <w:t>最终由</w:t>
      </w:r>
      <w:r>
        <w:rPr>
          <w:rFonts w:hint="eastAsia" w:ascii="仿宋_GB2312" w:hAnsi="仿宋_GB2312" w:eastAsia="仿宋_GB2312" w:cs="仿宋_GB2312"/>
          <w:sz w:val="30"/>
          <w:szCs w:val="30"/>
          <w:lang w:val="zh-CN"/>
        </w:rPr>
        <w:t>国家统计局推送至全国信用信息共享平台和国家企业信用信息公示系统，并在“信用中国”网站等公示。</w:t>
      </w:r>
      <w:r>
        <w:rPr>
          <w:rFonts w:hint="eastAsia" w:ascii="仿宋_GB2312" w:hAnsi="Times New Roman" w:eastAsia="仿宋_GB2312" w:cs="Times New Roman"/>
          <w:sz w:val="30"/>
          <w:szCs w:val="30"/>
        </w:rPr>
        <w:t>公示信息包括企业名称、地址、统一社会信用代码、法定代表人或者负责人、统计违法行为、依法处理</w:t>
      </w:r>
      <w:r>
        <w:rPr>
          <w:rFonts w:hint="eastAsia" w:ascii="仿宋_GB2312" w:hAnsi="Times New Roman" w:eastAsia="仿宋_GB2312" w:cs="Times New Roman"/>
          <w:sz w:val="30"/>
          <w:szCs w:val="24"/>
        </w:rPr>
        <w:t>情</w:t>
      </w:r>
      <w:r>
        <w:rPr>
          <w:rFonts w:hint="eastAsia" w:ascii="仿宋_GB2312" w:hAnsi="Times New Roman" w:eastAsia="仿宋_GB2312" w:cs="Times New Roman"/>
          <w:sz w:val="30"/>
          <w:szCs w:val="30"/>
        </w:rPr>
        <w:t>况等。</w:t>
      </w: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default" w:ascii="仿宋_GB2312" w:hAnsi="仿宋_GB2312" w:eastAsia="仿宋_GB2312" w:cs="仿宋_GB2312"/>
          <w:sz w:val="30"/>
          <w:szCs w:val="30"/>
          <w:lang w:val="zh-CN"/>
        </w:rPr>
        <mc:AlternateContent>
          <mc:Choice Requires="wpg">
            <w:drawing>
              <wp:anchor distT="0" distB="0" distL="114300" distR="114300" simplePos="0" relativeHeight="251660288" behindDoc="0" locked="0" layoutInCell="1" allowOverlap="1">
                <wp:simplePos x="0" y="0"/>
                <wp:positionH relativeFrom="page">
                  <wp:posOffset>4388485</wp:posOffset>
                </wp:positionH>
                <wp:positionV relativeFrom="paragraph">
                  <wp:posOffset>728980</wp:posOffset>
                </wp:positionV>
                <wp:extent cx="1520190" cy="1548130"/>
                <wp:effectExtent l="0" t="0" r="3810" b="13970"/>
                <wp:wrapNone/>
                <wp:docPr id="20" name="组合 20"/>
                <wp:cNvGraphicFramePr/>
                <a:graphic xmlns:a="http://schemas.openxmlformats.org/drawingml/2006/main">
                  <a:graphicData uri="http://schemas.microsoft.com/office/word/2010/wordprocessingGroup">
                    <wpg:wgp>
                      <wpg:cNvGrpSpPr/>
                      <wpg:grpSpPr>
                        <a:xfrm>
                          <a:off x="0" y="0"/>
                          <a:ext cx="1520190" cy="1548130"/>
                          <a:chOff x="6911" y="1148"/>
                          <a:chExt cx="2394" cy="2438"/>
                        </a:xfrm>
                      </wpg:grpSpPr>
                      <pic:pic xmlns:pic="http://schemas.openxmlformats.org/drawingml/2006/picture">
                        <pic:nvPicPr>
                          <pic:cNvPr id="21" name="图片 4"/>
                          <pic:cNvPicPr>
                            <a:picLocks noChangeAspect="true"/>
                          </pic:cNvPicPr>
                        </pic:nvPicPr>
                        <pic:blipFill>
                          <a:blip r:embed="rId15"/>
                          <a:stretch>
                            <a:fillRect/>
                          </a:stretch>
                        </pic:blipFill>
                        <pic:spPr>
                          <a:xfrm>
                            <a:off x="6911" y="1148"/>
                            <a:ext cx="2394" cy="2438"/>
                          </a:xfrm>
                          <a:prstGeom prst="rect">
                            <a:avLst/>
                          </a:prstGeom>
                          <a:noFill/>
                          <a:ln>
                            <a:noFill/>
                          </a:ln>
                        </pic:spPr>
                      </pic:pic>
                      <wps:wsp>
                        <wps:cNvPr id="22" name="文本框 2"/>
                        <wps:cNvSpPr txBox="true"/>
                        <wps:spPr>
                          <a:xfrm>
                            <a:off x="6911" y="1148"/>
                            <a:ext cx="2394" cy="2438"/>
                          </a:xfrm>
                          <a:prstGeom prst="rect">
                            <a:avLst/>
                          </a:prstGeom>
                          <a:noFill/>
                          <a:ln>
                            <a:noFill/>
                          </a:ln>
                        </wps:spPr>
                        <wps:txbx>
                          <w:txbxContent>
                            <w:p>
                              <w:pPr>
                                <w:spacing w:beforeLines="0" w:afterLines="0"/>
                                <w:rPr>
                                  <w:rFonts w:hint="default" w:ascii="Times New Roman" w:hAnsi="Times New Roman" w:eastAsia="宋体" w:cs="Times New Roman"/>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wps:txbx>
                        <wps:bodyPr lIns="0" tIns="0" rIns="0" bIns="0" upright="true"/>
                      </wps:wsp>
                    </wpg:wgp>
                  </a:graphicData>
                </a:graphic>
              </wp:anchor>
            </w:drawing>
          </mc:Choice>
          <mc:Fallback>
            <w:pict>
              <v:group id="_x0000_s1026" o:spid="_x0000_s1026" o:spt="203" style="position:absolute;left:0pt;margin-left:345.55pt;margin-top:57.4pt;height:121.9pt;width:119.7pt;mso-position-horizontal-relative:page;z-index:251660288;mso-width-relative:page;mso-height-relative:page;" coordorigin="6911,1148" coordsize="2394,2438" o:gfxdata="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">
                <o:lock v:ext="edit" aspectratio="f"/>
                <v:shape id="图片 4" o:spid="_x0000_s1026" o:spt="75" type="#_x0000_t75" style="position:absolute;left:6911;top:1148;height:2438;width:2394;" filled="f" o:preferrelative="t" stroked="f" coordsize="21600,21600" o:gfxdata="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Tiwrb0AAADbAAAADwAAAAAAAAABACAAAAA4AAAAZHJzL2Rvd25yZXYu&#10;eG1sUEsBAhQAFAAAAAgAh07iQDMvBZ47AAAAOQAAABAAAAAAAAAAAQAgAAAAIgEAAGRycy9zaGFw&#10;ZXhtbC54bWxQSwUGAAAAAAYABgBbAQAAzAMAAAAA&#10;">
                  <v:fill on="f" focussize="0,0"/>
                  <v:stroke on="f"/>
                  <v:imagedata r:id="rId15" o:title=""/>
                  <o:lock v:ext="edit" aspectratio="t"/>
                </v:shape>
                <v:shape id="文本框 2" o:spid="_x0000_s1026" o:spt="202" type="#_x0000_t202" style="position:absolute;left:6911;top:1148;height:2438;width:2394;" filled="f" stroked="f" coordsize="21600,21600" o:gfxdata="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gA6b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beforeLines="0" w:afterLines="0"/>
                          <w:rPr>
                            <w:rFonts w:hint="default" w:ascii="Times New Roman" w:hAnsi="Times New Roman" w:eastAsia="宋体" w:cs="Times New Roman"/>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v:textbox>
                </v:shape>
              </v:group>
            </w:pict>
          </mc:Fallback>
        </mc:AlternateContent>
      </w:r>
      <w:r>
        <w:rPr>
          <w:rFonts w:hint="eastAsia" w:ascii="仿宋_GB2312" w:hAnsi="仿宋_GB2312" w:eastAsia="仿宋_GB2312" w:cs="仿宋_GB2312"/>
          <w:sz w:val="30"/>
          <w:szCs w:val="30"/>
          <w:lang w:val="zh-CN"/>
        </w:rPr>
        <w:t>统计调查对象的理解、配合和支持是保证广州市统计工作顺利开展的关键！衷心感谢你单位对广州市统计工作的大力支持！</w:t>
      </w:r>
    </w:p>
    <w:p>
      <w:pPr>
        <w:pStyle w:val="10"/>
        <w:spacing w:before="10" w:beforeLines="0" w:afterLines="0"/>
        <w:rPr>
          <w:rFonts w:hint="default" w:ascii="Times New Roman" w:hAnsi="Times New Roman" w:eastAsia="宋体" w:cs="Times New Roman"/>
          <w:sz w:val="13"/>
          <w:szCs w:val="24"/>
        </w:rPr>
      </w:pPr>
      <w:r>
        <w:rPr>
          <w:rFonts w:hint="default" w:ascii="Times New Roman" w:hAnsi="Times New Roman" w:eastAsia="宋体" w:cs="Times New Roman"/>
          <w:sz w:val="20"/>
          <w:szCs w:val="24"/>
        </w:rPr>
        <w:drawing>
          <wp:anchor distT="0" distB="0" distL="114300" distR="114300" simplePos="0" relativeHeight="251659264" behindDoc="0" locked="0" layoutInCell="1" allowOverlap="1">
            <wp:simplePos x="0" y="0"/>
            <wp:positionH relativeFrom="page">
              <wp:posOffset>1235075</wp:posOffset>
            </wp:positionH>
            <wp:positionV relativeFrom="paragraph">
              <wp:posOffset>556260</wp:posOffset>
            </wp:positionV>
            <wp:extent cx="967105" cy="967105"/>
            <wp:effectExtent l="0" t="0" r="4445" b="4445"/>
            <wp:wrapTopAndBottom/>
            <wp:docPr id="4" name="image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true"/>
                    </pic:cNvPicPr>
                  </pic:nvPicPr>
                  <pic:blipFill>
                    <a:blip r:embed="rId16"/>
                    <a:stretch>
                      <a:fillRect/>
                    </a:stretch>
                  </pic:blipFill>
                  <pic:spPr>
                    <a:xfrm>
                      <a:off x="0" y="0"/>
                      <a:ext cx="967105" cy="967105"/>
                    </a:xfrm>
                    <a:prstGeom prst="rect">
                      <a:avLst/>
                    </a:prstGeom>
                    <a:noFill/>
                    <a:ln>
                      <a:noFill/>
                    </a:ln>
                  </pic:spPr>
                </pic:pic>
              </a:graphicData>
            </a:graphic>
          </wp:anchor>
        </w:drawing>
      </w:r>
    </w:p>
    <w:p>
      <w:pPr>
        <w:adjustRightInd w:val="0"/>
        <w:snapToGrid w:val="0"/>
        <w:spacing w:before="120" w:beforeLines="50" w:after="120" w:afterLines="50" w:line="4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请扫二维码，关注“广州统计”</w:t>
      </w:r>
    </w:p>
    <w:p>
      <w:pPr>
        <w:pStyle w:val="2"/>
        <w:rPr>
          <w:rFonts w:hint="default"/>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default" w:ascii="Times New Roman" w:hAnsi="Times New Roman" w:eastAsia="华文中宋" w:cs="Times New Roman"/>
          <w:b/>
          <w:bCs w:val="0"/>
          <w:color w:val="auto"/>
          <w:kern w:val="2"/>
          <w:sz w:val="30"/>
          <w:szCs w:val="30"/>
        </w:rPr>
      </w:pPr>
      <w:r>
        <w:rPr>
          <w:rFonts w:hint="eastAsia" w:ascii="华文中宋" w:hAnsi="华文中宋" w:eastAsia="华文中宋" w:cs="华文中宋"/>
          <w:b/>
          <w:bCs w:val="0"/>
          <w:color w:val="auto"/>
          <w:kern w:val="2"/>
          <w:sz w:val="30"/>
          <w:szCs w:val="30"/>
          <w:lang w:val="en-US" w:eastAsia="zh-CN" w:bidi="ar"/>
        </w:rPr>
        <w:t>《中华人民共和国统计法》的有关规定</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楷体_GB2312" w:hAnsi="Times New Roman" w:eastAsia="楷体_GB2312" w:cs="楷体_GB2312"/>
          <w:b/>
          <w:bCs w:val="0"/>
          <w:color w:val="auto"/>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 xml:space="preserve">第八条  </w:t>
      </w:r>
      <w:r>
        <w:rPr>
          <w:rFonts w:hint="eastAsia" w:ascii="宋体" w:hAnsi="宋体" w:eastAsia="宋体" w:cs="宋体"/>
          <w:color w:val="auto"/>
          <w:kern w:val="2"/>
          <w:sz w:val="21"/>
          <w:szCs w:val="21"/>
          <w:lang w:val="en-US" w:eastAsia="zh-CN"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 xml:space="preserve">第十一条  </w:t>
      </w:r>
      <w:r>
        <w:rPr>
          <w:rFonts w:hint="eastAsia" w:ascii="宋体" w:hAnsi="宋体" w:eastAsia="宋体" w:cs="宋体"/>
          <w:color w:val="auto"/>
          <w:kern w:val="2"/>
          <w:sz w:val="21"/>
          <w:szCs w:val="21"/>
          <w:lang w:val="en-US" w:eastAsia="zh-CN" w:bidi="ar"/>
        </w:rPr>
        <w:t>统计机构和统计人员对在统计工作中知悉的国家秘密、工作秘密、商业秘密、个人隐私和个人信息，应当予以保密，不得泄露或者向他人非法提供。</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 xml:space="preserve">第二十四条  </w:t>
      </w:r>
      <w:r>
        <w:rPr>
          <w:rFonts w:hint="eastAsia" w:ascii="宋体" w:hAnsi="宋体" w:eastAsia="宋体" w:cs="宋体"/>
          <w:color w:val="auto"/>
          <w:kern w:val="2"/>
          <w:sz w:val="21"/>
          <w:szCs w:val="21"/>
          <w:lang w:val="en-US" w:eastAsia="zh-CN" w:bidi="ar"/>
        </w:rPr>
        <w:t>国家机关、企业事业单位和其他组织等统计调查对象，应当按照国家有关规定设置原始记录、统计台账，推动统计台账电子化、数字化、标准化，建立健全统计资料的审核、签署、报送、归档等管理制度。</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统计资料的审核、签署人员应当对其审核、签署的统计资料的真实性、准确性和完整性负责。</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 xml:space="preserve">第四十四条 </w:t>
      </w:r>
      <w:r>
        <w:rPr>
          <w:rFonts w:hint="eastAsia" w:ascii="宋体" w:hAnsi="宋体" w:eastAsia="宋体" w:cs="宋体"/>
          <w:color w:val="auto"/>
          <w:kern w:val="2"/>
          <w:sz w:val="21"/>
          <w:szCs w:val="21"/>
          <w:lang w:val="en-US" w:eastAsia="zh-CN" w:bidi="ar"/>
        </w:rPr>
        <w:t xml:space="preserve">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（一）拒绝提供统计资料或者经催报后仍未按时提供统计资料的；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（二）提供不真实或者不完整的统计资料的；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（三）拒绝答复或者不如实答复统计检查查询书的；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（四）拒绝、阻碍统计调查、统计检查的；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（五）转移、隐匿、篡改、毁弃或者拒绝提供原始记录和凭证、统计台账、统计调查表及其他相关证明和资料的。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企业事业单位或者其他组织有前款所列行为之一的，可以并处十万元以下的罚款；情节严重的，并处十万元以上五十万元以下的罚款。</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个体工商户有本条第一款所列行为之一的，由县级以上人民政府统计机构责令改正，给予警告，可以并处一万元以下的罚款。</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第四十五条</w:t>
      </w:r>
      <w:r>
        <w:rPr>
          <w:rFonts w:hint="eastAsia" w:ascii="宋体" w:hAnsi="宋体" w:cs="宋体"/>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企业事业单位或者其他组织有前款所列行为之一的，可以并处五万元以下的罚款。</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个体工商户迟报统计资料的，由县级以上人民政府统计机构责令改正，给予警告，可以并处一千元以下的罚款。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80" w:lineRule="exact"/>
        <w:ind w:left="0" w:right="0"/>
        <w:jc w:val="center"/>
        <w:textAlignment w:val="auto"/>
        <w:rPr>
          <w:rFonts w:hint="eastAsia" w:ascii="华文中宋" w:hAnsi="华文中宋" w:eastAsia="华文中宋" w:cs="华文中宋"/>
          <w:b/>
          <w:bCs w:val="0"/>
          <w:color w:val="auto"/>
          <w:kern w:val="2"/>
          <w:sz w:val="30"/>
          <w:szCs w:val="30"/>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default" w:ascii="华文中宋" w:hAnsi="华文中宋" w:eastAsia="华文中宋" w:cs="华文中宋"/>
          <w:b/>
          <w:bCs w:val="0"/>
          <w:color w:val="auto"/>
          <w:kern w:val="2"/>
          <w:sz w:val="30"/>
          <w:szCs w:val="30"/>
          <w:lang w:val="en-US" w:eastAsia="zh-CN" w:bidi="ar"/>
        </w:rPr>
      </w:pPr>
      <w:r>
        <w:rPr>
          <w:rFonts w:hint="eastAsia" w:ascii="华文中宋" w:hAnsi="华文中宋" w:eastAsia="华文中宋" w:cs="华文中宋"/>
          <w:b/>
          <w:bCs w:val="0"/>
          <w:color w:val="auto"/>
          <w:kern w:val="2"/>
          <w:sz w:val="30"/>
          <w:szCs w:val="30"/>
          <w:lang w:val="en-US" w:eastAsia="zh-CN" w:bidi="ar"/>
        </w:rPr>
        <w:t>《中华人民共和国统计法实施条例》的有关规定</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楷体_GB2312" w:hAnsi="Times New Roman" w:eastAsia="楷体_GB2312" w:cs="楷体_GB2312"/>
          <w:b/>
          <w:bCs w:val="0"/>
          <w:color w:val="auto"/>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default" w:ascii="Times New Roman" w:hAnsi="Times New Roman" w:eastAsia="宋体" w:cs="Times New Roman"/>
          <w:color w:val="auto"/>
          <w:kern w:val="2"/>
          <w:sz w:val="21"/>
          <w:szCs w:val="21"/>
        </w:rPr>
      </w:pPr>
      <w:r>
        <w:rPr>
          <w:rFonts w:hint="eastAsia" w:ascii="楷体_GB2312" w:hAnsi="Times New Roman" w:eastAsia="楷体_GB2312" w:cs="楷体_GB2312"/>
          <w:b/>
          <w:bCs w:val="0"/>
          <w:color w:val="auto"/>
          <w:kern w:val="2"/>
          <w:sz w:val="21"/>
          <w:szCs w:val="21"/>
          <w:lang w:val="en-US" w:eastAsia="zh-CN" w:bidi="ar"/>
        </w:rPr>
        <w:t>第四条第三款</w:t>
      </w:r>
      <w:r>
        <w:rPr>
          <w:rFonts w:hint="eastAsia" w:ascii="楷体_GB2312" w:hAnsi="Times New Roman" w:eastAsia="楷体_GB2312" w:cs="楷体_GB2312"/>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统计调查对象应当依照统计法和国家有关规定，真实、准确、完整、及时地提供统计资料，拒绝、抵制弄虚作假等违法行为。</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default" w:ascii="Times New Roman" w:hAnsi="Times New Roman" w:eastAsia="宋体" w:cs="Times New Roman"/>
          <w:color w:val="auto"/>
          <w:kern w:val="2"/>
          <w:sz w:val="21"/>
          <w:szCs w:val="21"/>
        </w:rPr>
      </w:pPr>
      <w:r>
        <w:rPr>
          <w:rFonts w:hint="eastAsia" w:ascii="楷体_GB2312" w:hAnsi="Times New Roman" w:eastAsia="楷体_GB2312" w:cs="楷体_GB2312"/>
          <w:b/>
          <w:bCs w:val="0"/>
          <w:color w:val="auto"/>
          <w:kern w:val="2"/>
          <w:sz w:val="21"/>
          <w:szCs w:val="21"/>
          <w:lang w:val="en-US" w:eastAsia="zh-CN" w:bidi="ar"/>
        </w:rPr>
        <w:t>第十七条</w:t>
      </w:r>
      <w:r>
        <w:rPr>
          <w:rFonts w:hint="eastAsia" w:ascii="楷体_GB2312" w:hAnsi="Times New Roman" w:eastAsia="楷体_GB2312" w:cs="楷体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统计调查对象使用网络提供统计资料的，按照国家有关规定执行。</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default" w:ascii="Times New Roman" w:hAnsi="Times New Roman" w:eastAsia="宋体" w:cs="Times New Roman"/>
          <w:color w:val="auto"/>
          <w:kern w:val="2"/>
          <w:sz w:val="21"/>
          <w:szCs w:val="21"/>
        </w:rPr>
      </w:pPr>
      <w:r>
        <w:rPr>
          <w:rFonts w:hint="eastAsia" w:ascii="楷体_GB2312" w:hAnsi="Times New Roman" w:eastAsia="楷体_GB2312" w:cs="楷体_GB2312"/>
          <w:b/>
          <w:bCs w:val="0"/>
          <w:color w:val="auto"/>
          <w:kern w:val="2"/>
          <w:sz w:val="21"/>
          <w:szCs w:val="21"/>
          <w:lang w:val="en-US" w:eastAsia="zh-CN" w:bidi="ar"/>
        </w:rPr>
        <w:t>第二十三条</w:t>
      </w:r>
      <w:r>
        <w:rPr>
          <w:rFonts w:hint="eastAsia" w:ascii="楷体_GB2312" w:hAnsi="Times New Roman" w:eastAsia="楷体_GB2312" w:cs="楷体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统计调查对象按照国家有关规定设置的原始记录和统计台账，应当至少保存</w:t>
      </w:r>
      <w:r>
        <w:rPr>
          <w:rFonts w:hint="default" w:ascii="Times New Roman" w:hAnsi="Times New Roman" w:eastAsia="宋体" w:cs="Times New Roman"/>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年。</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default" w:ascii="Times New Roman" w:hAnsi="Times New Roman" w:eastAsia="宋体" w:cs="Times New Roman"/>
          <w:color w:val="auto"/>
          <w:kern w:val="2"/>
          <w:sz w:val="21"/>
          <w:szCs w:val="21"/>
        </w:rPr>
      </w:pPr>
      <w:r>
        <w:rPr>
          <w:rFonts w:hint="eastAsia" w:ascii="楷体_GB2312" w:hAnsi="Times New Roman" w:eastAsia="楷体_GB2312" w:cs="楷体_GB2312"/>
          <w:b/>
          <w:bCs w:val="0"/>
          <w:color w:val="auto"/>
          <w:kern w:val="2"/>
          <w:sz w:val="21"/>
          <w:szCs w:val="21"/>
          <w:lang w:val="en-US" w:eastAsia="zh-CN" w:bidi="ar"/>
        </w:rPr>
        <w:t xml:space="preserve">第三十七条 </w:t>
      </w:r>
      <w:r>
        <w:rPr>
          <w:rFonts w:hint="eastAsia" w:ascii="楷体_GB2312" w:hAnsi="Times New Roman" w:eastAsia="楷体_GB2312" w:cs="楷体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任何单位和个人不得拒绝、阻碍对统计工作的监督检查和对统计违法行为的查处工作，不得包庇、纵容统计违法行为。</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方正小标宋_GBK" w:hAnsi="方正小标宋_GBK" w:eastAsia="方正小标宋_GBK" w:cs="方正小标宋_GBK"/>
          <w:color w:val="auto"/>
          <w:kern w:val="2"/>
          <w:sz w:val="36"/>
          <w:szCs w:val="36"/>
        </w:rPr>
      </w:pPr>
      <w:r>
        <w:rPr>
          <w:rFonts w:hint="eastAsia" w:ascii="楷体_GB2312" w:hAnsi="Times New Roman" w:eastAsia="楷体_GB2312" w:cs="楷体_GB2312"/>
          <w:b/>
          <w:bCs w:val="0"/>
          <w:color w:val="auto"/>
          <w:kern w:val="2"/>
          <w:sz w:val="21"/>
          <w:szCs w:val="21"/>
          <w:lang w:val="en-US" w:eastAsia="zh-CN" w:bidi="ar"/>
        </w:rPr>
        <w:t>第五十一条</w:t>
      </w:r>
      <w:r>
        <w:rPr>
          <w:rFonts w:hint="eastAsia" w:ascii="楷体_GB2312" w:hAnsi="Times New Roman" w:eastAsia="楷体_GB2312" w:cs="楷体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统计违法行为涉嫌犯罪的，县级以上人民政府统计机构应当将案件移送司法机关处理。</w:t>
      </w:r>
    </w:p>
    <w:p>
      <w:pPr>
        <w:spacing w:before="156" w:beforeLines="50" w:after="156" w:afterLines="50" w:line="360" w:lineRule="exact"/>
        <w:jc w:val="center"/>
        <w:rPr>
          <w:rFonts w:ascii="Nimbus Roman No9 L" w:hAnsi="Nimbus Roman No9 L" w:eastAsia="黑体" w:cs="Nimbus Roman No9 L"/>
          <w:sz w:val="32"/>
          <w:szCs w:val="32"/>
        </w:rPr>
      </w:pPr>
    </w:p>
    <w:p>
      <w:pPr>
        <w:pStyle w:val="2"/>
        <w:sectPr>
          <w:pgSz w:w="11906" w:h="16838"/>
          <w:pgMar w:top="1440" w:right="1083" w:bottom="1440" w:left="1083" w:header="851" w:footer="850"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63" w:afterLines="20" w:line="360" w:lineRule="exact"/>
        <w:jc w:val="center"/>
        <w:textAlignment w:val="auto"/>
        <w:rPr>
          <w:rFonts w:ascii="Nimbus Roman No9 L" w:hAnsi="Nimbus Roman No9 L"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after="63" w:afterLines="20" w:line="360" w:lineRule="exact"/>
        <w:jc w:val="center"/>
        <w:textAlignment w:val="auto"/>
        <w:rPr>
          <w:rFonts w:ascii="Nimbus Roman No9 L" w:hAnsi="Nimbus Roman No9 L" w:eastAsia="黑体" w:cs="Nimbus Roman No9 L"/>
          <w:sz w:val="32"/>
          <w:szCs w:val="32"/>
        </w:rPr>
      </w:pPr>
      <w:r>
        <w:rPr>
          <w:rFonts w:ascii="Nimbus Roman No9 L" w:hAnsi="Nimbus Roman No9 L" w:eastAsia="黑体" w:cs="Nimbus Roman No9 L"/>
          <w:sz w:val="32"/>
          <w:szCs w:val="32"/>
        </w:rPr>
        <w:t>目   录</w:t>
      </w:r>
    </w:p>
    <w:p>
      <w:pPr>
        <w:pStyle w:val="14"/>
        <w:keepNext w:val="0"/>
        <w:keepLines w:val="0"/>
        <w:pageBreakBefore w:val="0"/>
        <w:widowControl/>
        <w:tabs>
          <w:tab w:val="right" w:leader="dot" w:pos="9412"/>
        </w:tabs>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rPr>
      </w:pP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textAlignment w:val="auto"/>
        <w:rPr>
          <w:rFonts w:hint="eastAsia" w:eastAsia="宋体"/>
          <w:lang w:val="en-US" w:eastAsia="zh-CN"/>
        </w:rPr>
      </w:pPr>
      <w:r>
        <w:t>一、总说明</w:t>
      </w:r>
      <w:r>
        <w:tab/>
      </w:r>
      <w:r>
        <w:rPr>
          <w:rFonts w:hint="eastAsia" w:ascii="Times New Roman" w:hAnsi="Times New Roman" w:cs="Times New Roman"/>
          <w:lang w:val="en-US" w:eastAsia="zh-CN"/>
        </w:rPr>
        <w:t>2</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textAlignment w:val="auto"/>
        <w:rPr>
          <w:rFonts w:hint="eastAsia" w:eastAsia="宋体"/>
          <w:lang w:val="en-US" w:eastAsia="zh-CN"/>
        </w:rPr>
      </w:pPr>
      <w:r>
        <w:t>二、报表目录</w:t>
      </w:r>
      <w:r>
        <w:tab/>
      </w:r>
      <w:r>
        <w:rPr>
          <w:rFonts w:hint="eastAsia" w:ascii="Times New Roman" w:hAnsi="Times New Roman" w:cs="Times New Roman"/>
          <w:lang w:val="en-US" w:eastAsia="zh-CN"/>
        </w:rPr>
        <w:t>5</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left="210" w:hanging="210" w:hangingChars="100"/>
        <w:textAlignment w:val="auto"/>
        <w:rPr>
          <w:rFonts w:hint="default" w:eastAsia="宋体"/>
          <w:lang w:val="en-US" w:eastAsia="zh-CN"/>
        </w:rPr>
      </w:pPr>
      <w:r>
        <w:t>三、调查表式</w:t>
      </w:r>
      <w:r>
        <w:tab/>
      </w:r>
      <w:r>
        <w:rPr>
          <w:rFonts w:hint="eastAsia" w:ascii="Times New Roman" w:hAnsi="Times New Roman" w:cs="Times New Roman"/>
          <w:lang w:val="en-US" w:eastAsia="zh-CN"/>
        </w:rPr>
        <w:t>7</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210" w:firstLineChars="100"/>
        <w:textAlignment w:val="auto"/>
        <w:rPr>
          <w:rFonts w:hint="default" w:ascii="Times New Roman" w:hAnsi="Times New Roman" w:eastAsia="宋体" w:cs="Times New Roman"/>
          <w:lang w:val="en-US" w:eastAsia="zh-CN"/>
        </w:rPr>
      </w:pPr>
      <w:r>
        <w:rPr>
          <w:rFonts w:hint="default" w:ascii="Times New Roman" w:hAnsi="Times New Roman" w:cs="Times New Roman"/>
        </w:rPr>
        <w:t>（一）基层年报表式</w:t>
      </w:r>
      <w:r>
        <w:rPr>
          <w:rFonts w:hint="default" w:ascii="Times New Roman" w:hAnsi="Times New Roman" w:cs="Times New Roman"/>
        </w:rPr>
        <w:tab/>
      </w:r>
      <w:r>
        <w:rPr>
          <w:rFonts w:hint="eastAsia" w:ascii="Times New Roman" w:hAnsi="Times New Roman" w:cs="Times New Roman"/>
          <w:lang w:val="en-US" w:eastAsia="zh-CN"/>
        </w:rPr>
        <w:t>7</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rPr>
        <w:t>1.</w:t>
      </w:r>
      <w:r>
        <w:rPr>
          <w:rFonts w:hint="default" w:ascii="Times New Roman" w:hAnsi="Times New Roman" w:cs="Times New Roman"/>
          <w:lang w:eastAsia="zh-CN"/>
        </w:rPr>
        <w:t>一套表</w:t>
      </w:r>
      <w:r>
        <w:rPr>
          <w:rFonts w:hint="default" w:ascii="Times New Roman" w:hAnsi="Times New Roman" w:cs="Times New Roman"/>
        </w:rPr>
        <w:t>调查单位基本情况（</w:t>
      </w:r>
      <w:r>
        <w:rPr>
          <w:rFonts w:hint="default" w:ascii="Times New Roman" w:hAnsi="Times New Roman" w:cs="Times New Roman"/>
          <w:lang w:val="en-US" w:eastAsia="zh-CN"/>
        </w:rPr>
        <w:t>1</w:t>
      </w:r>
      <w:r>
        <w:rPr>
          <w:rFonts w:hint="default" w:ascii="Times New Roman" w:hAnsi="Times New Roman" w:cs="Times New Roman"/>
        </w:rPr>
        <w:t>01-1表）</w:t>
      </w:r>
      <w:r>
        <w:rPr>
          <w:rFonts w:hint="default" w:ascii="Times New Roman" w:hAnsi="Times New Roman" w:cs="Times New Roman"/>
        </w:rPr>
        <w:tab/>
      </w:r>
      <w:r>
        <w:rPr>
          <w:rFonts w:hint="eastAsia" w:ascii="Times New Roman" w:hAnsi="Times New Roman" w:cs="Times New Roman"/>
          <w:lang w:val="en-US" w:eastAsia="zh-CN"/>
        </w:rPr>
        <w:t>7</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rPr>
        <w:t>2.</w:t>
      </w:r>
      <w:r>
        <w:rPr>
          <w:rFonts w:hint="default" w:ascii="Times New Roman" w:hAnsi="Times New Roman"/>
          <w:sz w:val="21"/>
          <w:szCs w:val="24"/>
          <w:lang w:eastAsia="zh-CN"/>
        </w:rPr>
        <w:t>企业组织结构调查表</w:t>
      </w:r>
      <w:r>
        <w:rPr>
          <w:rFonts w:hint="default" w:ascii="Times New Roman" w:hAnsi="Times New Roman"/>
          <w:lang w:eastAsia="zh-CN"/>
        </w:rPr>
        <w:t>（</w:t>
      </w:r>
      <w:r>
        <w:rPr>
          <w:rFonts w:hint="default" w:ascii="Times New Roman" w:hAnsi="Times New Roman" w:cs="Times New Roman"/>
          <w:lang w:val="en-US" w:eastAsia="zh-CN"/>
        </w:rPr>
        <w:t>1</w:t>
      </w:r>
      <w:r>
        <w:rPr>
          <w:rFonts w:hint="default" w:ascii="Times New Roman" w:hAnsi="Times New Roman" w:cs="Times New Roman"/>
        </w:rPr>
        <w:t>0</w:t>
      </w:r>
      <w:r>
        <w:rPr>
          <w:rFonts w:hint="default" w:ascii="Times New Roman" w:hAnsi="Times New Roman" w:cs="Times New Roman"/>
          <w:lang w:val="en-US" w:eastAsia="zh-CN"/>
        </w:rPr>
        <w:t>8</w:t>
      </w:r>
      <w:r>
        <w:rPr>
          <w:rFonts w:hint="default" w:ascii="Times New Roman" w:hAnsi="Times New Roman"/>
        </w:rPr>
        <w:t>表</w:t>
      </w:r>
      <w:r>
        <w:rPr>
          <w:rFonts w:hint="default" w:ascii="Times New Roman" w:hAnsi="Times New Roman"/>
          <w:lang w:eastAsia="zh-CN"/>
        </w:rPr>
        <w:t>）</w:t>
      </w:r>
      <w:r>
        <w:rPr>
          <w:rFonts w:hint="default" w:ascii="Times New Roman" w:hAnsi="Times New Roman" w:cs="Times New Roman"/>
        </w:rPr>
        <w:tab/>
      </w:r>
      <w:r>
        <w:rPr>
          <w:rFonts w:hint="default" w:ascii="Times New Roman" w:hAnsi="Times New Roman" w:cs="Times New Roman"/>
          <w:lang w:val="en-US" w:eastAsia="zh-CN"/>
        </w:rPr>
        <w:t>1</w:t>
      </w:r>
      <w:r>
        <w:rPr>
          <w:rFonts w:hint="eastAsia" w:ascii="Times New Roman" w:hAnsi="Times New Roman" w:cs="Times New Roman"/>
          <w:lang w:val="en-US" w:eastAsia="zh-CN"/>
        </w:rPr>
        <w:t>0</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rPr>
        <w:t>3.从业人员及工资总额（</w:t>
      </w:r>
      <w:r>
        <w:rPr>
          <w:rFonts w:hint="default" w:ascii="Times New Roman" w:hAnsi="Times New Roman" w:cs="Times New Roman"/>
          <w:lang w:val="en-US" w:eastAsia="zh-CN"/>
        </w:rPr>
        <w:t>1</w:t>
      </w:r>
      <w:r>
        <w:rPr>
          <w:rFonts w:hint="default" w:ascii="Times New Roman" w:hAnsi="Times New Roman" w:cs="Times New Roman"/>
        </w:rPr>
        <w:t>02-1表）</w:t>
      </w:r>
      <w:r>
        <w:rPr>
          <w:rFonts w:hint="default" w:ascii="Times New Roman" w:hAnsi="Times New Roman" w:cs="Times New Roman"/>
        </w:rPr>
        <w:tab/>
      </w:r>
      <w:r>
        <w:rPr>
          <w:rFonts w:hint="default" w:ascii="Times New Roman" w:hAnsi="Times New Roman" w:cs="Times New Roman"/>
          <w:lang w:val="en-US" w:eastAsia="zh-CN"/>
        </w:rPr>
        <w:t>1</w:t>
      </w:r>
      <w:r>
        <w:rPr>
          <w:rFonts w:hint="eastAsia" w:ascii="Times New Roman" w:hAnsi="Times New Roman" w:cs="Times New Roman"/>
          <w:lang w:val="en-US" w:eastAsia="zh-CN"/>
        </w:rPr>
        <w:t>1</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rPr>
        <w:t>4.财务状况（</w:t>
      </w:r>
      <w:r>
        <w:rPr>
          <w:rFonts w:hint="default" w:ascii="Times New Roman" w:hAnsi="Times New Roman"/>
        </w:rPr>
        <w:t>F</w:t>
      </w:r>
      <w:r>
        <w:rPr>
          <w:rFonts w:hint="default" w:ascii="Times New Roman" w:hAnsi="Times New Roman" w:cs="Times New Roman"/>
          <w:lang w:val="en-US" w:eastAsia="zh-CN"/>
        </w:rPr>
        <w:t>1</w:t>
      </w:r>
      <w:r>
        <w:rPr>
          <w:rFonts w:hint="default" w:ascii="Times New Roman" w:hAnsi="Times New Roman" w:cs="Times New Roman"/>
        </w:rPr>
        <w:t>03表）</w:t>
      </w:r>
      <w:r>
        <w:rPr>
          <w:rFonts w:hint="default" w:ascii="Times New Roman" w:hAnsi="Times New Roman" w:cs="Times New Roman"/>
        </w:rPr>
        <w:tab/>
      </w:r>
      <w:r>
        <w:rPr>
          <w:rFonts w:hint="default" w:ascii="Times New Roman" w:hAnsi="Times New Roman" w:cs="Times New Roman"/>
          <w:lang w:val="en-US" w:eastAsia="zh-CN"/>
        </w:rPr>
        <w:t>1</w:t>
      </w:r>
      <w:r>
        <w:rPr>
          <w:rFonts w:hint="eastAsia" w:ascii="Times New Roman" w:hAnsi="Times New Roman" w:cs="Times New Roman"/>
          <w:lang w:val="en-US" w:eastAsia="zh-CN"/>
        </w:rPr>
        <w:t>2</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r>
        <w:rPr>
          <w:rFonts w:hint="default" w:ascii="Times New Roman" w:hAnsi="Times New Roman" w:cs="Times New Roman"/>
        </w:rPr>
        <w:t>企业研究开发项目情况</w:t>
      </w:r>
      <w:r>
        <w:rPr>
          <w:rFonts w:hint="default" w:ascii="Times New Roman" w:hAnsi="Times New Roman" w:cs="Times New Roman"/>
          <w:lang w:eastAsia="zh-CN"/>
        </w:rPr>
        <w:t>（</w:t>
      </w:r>
      <w:r>
        <w:rPr>
          <w:rFonts w:hint="default" w:ascii="Times New Roman" w:hAnsi="Times New Roman" w:cs="Times New Roman"/>
          <w:lang w:val="en-US" w:eastAsia="zh-CN"/>
        </w:rPr>
        <w:t>107-1表</w:t>
      </w:r>
      <w:r>
        <w:rPr>
          <w:rFonts w:hint="default" w:ascii="Times New Roman" w:hAnsi="Times New Roman" w:cs="Times New Roman"/>
          <w:lang w:eastAsia="zh-CN"/>
        </w:rPr>
        <w:t>）</w:t>
      </w:r>
      <w:r>
        <w:rPr>
          <w:rFonts w:hint="default" w:ascii="Times New Roman" w:hAnsi="Times New Roman" w:cs="Times New Roman"/>
        </w:rPr>
        <w:tab/>
      </w:r>
      <w:r>
        <w:rPr>
          <w:rFonts w:hint="default" w:ascii="Times New Roman" w:hAnsi="Times New Roman" w:cs="Times New Roman"/>
          <w:lang w:val="en-US" w:eastAsia="zh-CN"/>
        </w:rPr>
        <w:t>1</w:t>
      </w:r>
      <w:r>
        <w:rPr>
          <w:rFonts w:hint="eastAsia" w:ascii="Times New Roman" w:hAnsi="Times New Roman" w:cs="Times New Roman"/>
          <w:lang w:val="en-US" w:eastAsia="zh-CN"/>
        </w:rPr>
        <w:t>4</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r>
        <w:rPr>
          <w:rFonts w:hint="default" w:ascii="Times New Roman" w:hAnsi="Times New Roman" w:cs="Times New Roman"/>
        </w:rPr>
        <w:t>企业研究开发活动及相关情况</w:t>
      </w:r>
      <w:r>
        <w:rPr>
          <w:rFonts w:hint="default" w:ascii="Times New Roman" w:hAnsi="Times New Roman" w:cs="Times New Roman"/>
          <w:lang w:eastAsia="zh-CN"/>
        </w:rPr>
        <w:t>（</w:t>
      </w:r>
      <w:r>
        <w:rPr>
          <w:rFonts w:hint="default" w:ascii="Times New Roman" w:hAnsi="Times New Roman" w:cs="Times New Roman"/>
          <w:lang w:val="en-US" w:eastAsia="zh-CN"/>
        </w:rPr>
        <w:t>107-2表</w:t>
      </w:r>
      <w:r>
        <w:rPr>
          <w:rFonts w:hint="default" w:ascii="Times New Roman" w:hAnsi="Times New Roman" w:cs="Times New Roman"/>
          <w:lang w:eastAsia="zh-CN"/>
        </w:rPr>
        <w:t>）</w:t>
      </w:r>
      <w:r>
        <w:rPr>
          <w:rFonts w:hint="default" w:ascii="Times New Roman" w:hAnsi="Times New Roman" w:cs="Times New Roman"/>
        </w:rPr>
        <w:tab/>
      </w:r>
      <w:r>
        <w:rPr>
          <w:rFonts w:hint="default" w:ascii="Times New Roman" w:hAnsi="Times New Roman" w:cs="Times New Roman"/>
          <w:lang w:val="en-US" w:eastAsia="zh-CN"/>
        </w:rPr>
        <w:t>1</w:t>
      </w:r>
      <w:r>
        <w:rPr>
          <w:rFonts w:hint="eastAsia" w:ascii="Times New Roman" w:hAnsi="Times New Roman" w:cs="Times New Roman"/>
          <w:lang w:val="en-US" w:eastAsia="zh-CN"/>
        </w:rPr>
        <w:t>5</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r>
        <w:rPr>
          <w:rFonts w:hint="default" w:ascii="Times New Roman" w:hAnsi="Times New Roman" w:cs="Times New Roman"/>
        </w:rPr>
        <w:t>.信息通信技术应用和数字化转型情况（</w:t>
      </w:r>
      <w:r>
        <w:rPr>
          <w:rFonts w:hint="default" w:ascii="Times New Roman" w:hAnsi="Times New Roman" w:cs="Times New Roman"/>
          <w:lang w:val="en-US" w:eastAsia="zh-CN"/>
        </w:rPr>
        <w:t>1</w:t>
      </w:r>
      <w:r>
        <w:rPr>
          <w:rFonts w:hint="default" w:ascii="Times New Roman" w:hAnsi="Times New Roman" w:cs="Times New Roman"/>
        </w:rPr>
        <w:t>09表）</w:t>
      </w:r>
      <w:r>
        <w:rPr>
          <w:rFonts w:hint="default" w:ascii="Times New Roman" w:hAnsi="Times New Roman" w:cs="Times New Roman"/>
        </w:rPr>
        <w:tab/>
      </w:r>
      <w:r>
        <w:rPr>
          <w:rFonts w:hint="default" w:ascii="Times New Roman" w:hAnsi="Times New Roman" w:cs="Times New Roman"/>
          <w:lang w:val="en-US" w:eastAsia="zh-CN"/>
        </w:rPr>
        <w:t>1</w:t>
      </w:r>
      <w:r>
        <w:rPr>
          <w:rFonts w:hint="eastAsia" w:ascii="Times New Roman" w:hAnsi="Times New Roman" w:cs="Times New Roman"/>
          <w:lang w:val="en-US" w:eastAsia="zh-CN"/>
        </w:rPr>
        <w:t>7</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210" w:firstLineChars="100"/>
        <w:textAlignment w:val="auto"/>
        <w:rPr>
          <w:rFonts w:hint="default" w:ascii="Times New Roman" w:hAnsi="Times New Roman" w:eastAsia="宋体" w:cs="Times New Roman"/>
          <w:lang w:val="en-US" w:eastAsia="zh-CN"/>
        </w:rPr>
      </w:pPr>
      <w:r>
        <w:rPr>
          <w:rFonts w:hint="default" w:ascii="Times New Roman" w:hAnsi="Times New Roman" w:cs="Times New Roman"/>
        </w:rPr>
        <w:t>（二）基层定报表式</w:t>
      </w:r>
      <w:r>
        <w:rPr>
          <w:rFonts w:hint="default" w:ascii="Times New Roman" w:hAnsi="Times New Roman" w:cs="Times New Roman"/>
        </w:rPr>
        <w:tab/>
      </w:r>
      <w:r>
        <w:rPr>
          <w:rFonts w:hint="eastAsia" w:ascii="Times New Roman" w:hAnsi="Times New Roman" w:cs="Times New Roman"/>
          <w:lang w:val="en-US" w:eastAsia="zh-CN"/>
        </w:rPr>
        <w:t>19</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rPr>
        <w:t>1.</w:t>
      </w:r>
      <w:r>
        <w:rPr>
          <w:rFonts w:hint="default" w:ascii="Times New Roman" w:hAnsi="Times New Roman" w:cs="Times New Roman"/>
          <w:lang w:eastAsia="zh-CN"/>
        </w:rPr>
        <w:t>一套表</w:t>
      </w:r>
      <w:r>
        <w:rPr>
          <w:rFonts w:hint="default" w:ascii="Times New Roman" w:hAnsi="Times New Roman" w:cs="Times New Roman"/>
        </w:rPr>
        <w:t>调查单位基本情况（201-1表）</w:t>
      </w:r>
      <w:r>
        <w:rPr>
          <w:rFonts w:hint="default" w:ascii="Times New Roman" w:hAnsi="Times New Roman" w:cs="Times New Roman"/>
        </w:rPr>
        <w:tab/>
      </w:r>
      <w:r>
        <w:rPr>
          <w:rFonts w:hint="eastAsia" w:ascii="Times New Roman" w:hAnsi="Times New Roman" w:cs="Times New Roman"/>
          <w:lang w:val="en-US" w:eastAsia="zh-CN"/>
        </w:rPr>
        <w:t>19</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color w:val="auto"/>
        </w:rPr>
        <w:t>2.从业人员及工资总额（202-1表）</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1</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rPr>
        <w:t>3.财务状况（F203表）</w:t>
      </w:r>
      <w:r>
        <w:rPr>
          <w:rFonts w:hint="default" w:ascii="Times New Roman" w:hAnsi="Times New Roman" w:cs="Times New Roman"/>
        </w:rPr>
        <w:tab/>
      </w:r>
      <w:r>
        <w:rPr>
          <w:rFonts w:hint="default" w:ascii="Times New Roman" w:hAnsi="Times New Roman" w:cs="Times New Roman"/>
          <w:lang w:val="en-US" w:eastAsia="zh-CN"/>
        </w:rPr>
        <w:t>2</w:t>
      </w:r>
      <w:r>
        <w:rPr>
          <w:rFonts w:hint="eastAsia" w:ascii="Times New Roman" w:hAnsi="Times New Roman" w:cs="Times New Roman"/>
          <w:lang w:val="en-US" w:eastAsia="zh-CN"/>
        </w:rPr>
        <w:t>2</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r>
        <w:rPr>
          <w:rFonts w:hint="default" w:ascii="Times New Roman" w:hAnsi="Times New Roman" w:cs="Times New Roman"/>
        </w:rPr>
        <w:t>非工业重点耗能单位能源消费情况</w:t>
      </w:r>
      <w:r>
        <w:rPr>
          <w:rFonts w:hint="default" w:ascii="Times New Roman" w:hAnsi="Times New Roman" w:cs="Times New Roman"/>
          <w:color w:val="auto"/>
        </w:rPr>
        <w:t>（20</w:t>
      </w:r>
      <w:r>
        <w:rPr>
          <w:rFonts w:hint="default" w:ascii="Times New Roman" w:hAnsi="Times New Roman" w:cs="Times New Roman"/>
          <w:color w:val="auto"/>
          <w:lang w:val="en-US" w:eastAsia="zh-CN"/>
        </w:rPr>
        <w:t>5</w:t>
      </w:r>
      <w:r>
        <w:rPr>
          <w:rFonts w:hint="default" w:ascii="Times New Roman" w:hAnsi="Times New Roman" w:cs="Times New Roman"/>
          <w:color w:val="auto"/>
        </w:rPr>
        <w:t>-</w:t>
      </w:r>
      <w:r>
        <w:rPr>
          <w:rFonts w:hint="default" w:ascii="Times New Roman" w:hAnsi="Times New Roman" w:cs="Times New Roman"/>
          <w:color w:val="auto"/>
          <w:lang w:val="en-US" w:eastAsia="zh-CN"/>
        </w:rPr>
        <w:t>5</w:t>
      </w:r>
      <w:r>
        <w:rPr>
          <w:rFonts w:hint="default" w:ascii="Times New Roman" w:hAnsi="Times New Roman" w:cs="Times New Roman"/>
          <w:color w:val="auto"/>
        </w:rPr>
        <w:t>表）</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4</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r>
        <w:rPr>
          <w:rFonts w:hint="default" w:ascii="Times New Roman" w:hAnsi="Times New Roman" w:cs="Times New Roman"/>
        </w:rPr>
        <w:t>能源生产、销售与库存</w:t>
      </w:r>
      <w:r>
        <w:rPr>
          <w:rFonts w:hint="default" w:ascii="Times New Roman" w:hAnsi="Times New Roman" w:cs="Times New Roman"/>
          <w:color w:val="auto"/>
        </w:rPr>
        <w:t>（20</w:t>
      </w:r>
      <w:r>
        <w:rPr>
          <w:rFonts w:hint="default" w:ascii="Times New Roman" w:hAnsi="Times New Roman" w:cs="Times New Roman"/>
          <w:color w:val="auto"/>
          <w:lang w:val="en-US" w:eastAsia="zh-CN"/>
        </w:rPr>
        <w:t>5</w:t>
      </w:r>
      <w:r>
        <w:rPr>
          <w:rFonts w:hint="default" w:ascii="Times New Roman" w:hAnsi="Times New Roman" w:cs="Times New Roman"/>
          <w:color w:val="auto"/>
        </w:rPr>
        <w:t>-</w:t>
      </w:r>
      <w:r>
        <w:rPr>
          <w:rFonts w:hint="default" w:ascii="Times New Roman" w:hAnsi="Times New Roman" w:cs="Times New Roman"/>
          <w:color w:val="auto"/>
          <w:lang w:val="en-US" w:eastAsia="zh-CN"/>
        </w:rPr>
        <w:t>6</w:t>
      </w:r>
      <w:r>
        <w:rPr>
          <w:rFonts w:hint="default" w:ascii="Times New Roman" w:hAnsi="Times New Roman" w:cs="Times New Roman"/>
          <w:color w:val="auto"/>
        </w:rPr>
        <w:t>表）</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5</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r>
        <w:rPr>
          <w:rFonts w:hint="default" w:ascii="Times New Roman" w:hAnsi="Times New Roman" w:cs="Times New Roman"/>
        </w:rPr>
        <w:t>重点能源商品经销情况</w:t>
      </w:r>
      <w:r>
        <w:rPr>
          <w:rFonts w:hint="default" w:ascii="Times New Roman" w:hAnsi="Times New Roman" w:cs="Times New Roman"/>
          <w:color w:val="auto"/>
        </w:rPr>
        <w:t>（20</w:t>
      </w:r>
      <w:r>
        <w:rPr>
          <w:rFonts w:hint="default" w:ascii="Times New Roman" w:hAnsi="Times New Roman" w:cs="Times New Roman"/>
          <w:color w:val="auto"/>
          <w:lang w:val="en-US" w:eastAsia="zh-CN"/>
        </w:rPr>
        <w:t>5</w:t>
      </w:r>
      <w:r>
        <w:rPr>
          <w:rFonts w:hint="default" w:ascii="Times New Roman" w:hAnsi="Times New Roman" w:cs="Times New Roman"/>
          <w:color w:val="auto"/>
        </w:rPr>
        <w:t>-</w:t>
      </w:r>
      <w:r>
        <w:rPr>
          <w:rFonts w:hint="default" w:ascii="Times New Roman" w:hAnsi="Times New Roman" w:cs="Times New Roman"/>
          <w:color w:val="auto"/>
          <w:lang w:val="en-US" w:eastAsia="zh-CN"/>
        </w:rPr>
        <w:t>7</w:t>
      </w:r>
      <w:r>
        <w:rPr>
          <w:rFonts w:hint="default" w:ascii="Times New Roman" w:hAnsi="Times New Roman" w:cs="Times New Roman"/>
          <w:color w:val="auto"/>
        </w:rPr>
        <w:t>表）</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6</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r>
        <w:rPr>
          <w:rFonts w:hint="default" w:ascii="Times New Roman" w:hAnsi="Times New Roman" w:cs="Times New Roman"/>
        </w:rPr>
        <w:t>固定资产投资项目情况</w:t>
      </w:r>
      <w:r>
        <w:rPr>
          <w:rFonts w:hint="default" w:ascii="Times New Roman" w:hAnsi="Times New Roman" w:cs="Times New Roman"/>
          <w:color w:val="auto"/>
        </w:rPr>
        <w:t>（20</w:t>
      </w:r>
      <w:r>
        <w:rPr>
          <w:rFonts w:hint="default" w:ascii="Times New Roman" w:hAnsi="Times New Roman" w:cs="Times New Roman"/>
          <w:color w:val="auto"/>
          <w:lang w:val="en-US" w:eastAsia="zh-CN"/>
        </w:rPr>
        <w:t>6</w:t>
      </w:r>
      <w:r>
        <w:rPr>
          <w:rFonts w:hint="default" w:ascii="Times New Roman" w:hAnsi="Times New Roman" w:cs="Times New Roman"/>
          <w:color w:val="auto"/>
        </w:rPr>
        <w:t>表）</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7</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8</w:t>
      </w:r>
      <w:r>
        <w:rPr>
          <w:rFonts w:hint="default" w:ascii="Times New Roman" w:hAnsi="Times New Roman" w:cs="Times New Roman"/>
        </w:rPr>
        <w:t>.生产经营景气状况（F210表）</w:t>
      </w:r>
      <w:r>
        <w:rPr>
          <w:rFonts w:hint="default" w:ascii="Times New Roman" w:hAnsi="Times New Roman" w:cs="Times New Roman"/>
        </w:rPr>
        <w:tab/>
      </w:r>
      <w:r>
        <w:rPr>
          <w:rFonts w:hint="eastAsia" w:ascii="Times New Roman" w:hAnsi="Times New Roman" w:cs="Times New Roman"/>
          <w:lang w:val="en-US" w:eastAsia="zh-CN"/>
        </w:rPr>
        <w:t>29</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lang w:val="en-US" w:eastAsia="zh-CN"/>
        </w:rPr>
      </w:pPr>
      <w:r>
        <w:rPr>
          <w:rFonts w:hint="default" w:ascii="Times New Roman" w:hAnsi="Times New Roman" w:cs="Times New Roman"/>
        </w:rPr>
        <w:t>四、</w:t>
      </w:r>
      <w:r>
        <w:rPr>
          <w:rFonts w:hint="default" w:ascii="Times New Roman" w:hAnsi="Times New Roman" w:cs="Times New Roman"/>
          <w:lang w:val="en-US" w:eastAsia="zh-CN"/>
        </w:rPr>
        <w:t>附录</w:t>
      </w:r>
      <w:r>
        <w:rPr>
          <w:rFonts w:hint="default" w:ascii="Times New Roman" w:hAnsi="Times New Roman" w:cs="Times New Roman"/>
        </w:rPr>
        <w:tab/>
      </w:r>
      <w:r>
        <w:rPr>
          <w:rFonts w:hint="default" w:ascii="Times New Roman" w:hAnsi="Times New Roman" w:cs="Times New Roman"/>
          <w:lang w:val="en-US" w:eastAsia="zh-CN"/>
        </w:rPr>
        <w:t>3</w:t>
      </w:r>
      <w:r>
        <w:rPr>
          <w:rFonts w:hint="eastAsia" w:ascii="Times New Roman" w:hAnsi="Times New Roman" w:cs="Times New Roman"/>
          <w:lang w:val="en-US" w:eastAsia="zh-CN"/>
        </w:rPr>
        <w:t>1</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210" w:firstLineChars="1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（一）修订情况</w:t>
      </w:r>
      <w:r>
        <w:rPr>
          <w:rFonts w:hint="default" w:ascii="Times New Roman" w:hAnsi="Times New Roman" w:cs="Times New Roman"/>
        </w:rPr>
        <w:tab/>
      </w:r>
      <w:r>
        <w:rPr>
          <w:rFonts w:hint="default" w:ascii="Times New Roman" w:hAnsi="Times New Roman" w:cs="Times New Roman"/>
          <w:lang w:val="en-US" w:eastAsia="zh-CN"/>
        </w:rPr>
        <w:t>3</w:t>
      </w:r>
      <w:r>
        <w:rPr>
          <w:rFonts w:hint="eastAsia" w:ascii="Times New Roman" w:hAnsi="Times New Roman" w:cs="Times New Roman"/>
          <w:lang w:val="en-US" w:eastAsia="zh-CN"/>
        </w:rPr>
        <w:t>1</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210" w:firstLineChars="1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（二）指标解释</w:t>
      </w:r>
      <w:r>
        <w:rPr>
          <w:rFonts w:hint="default" w:ascii="Times New Roman" w:hAnsi="Times New Roman" w:cs="Times New Roman"/>
        </w:rPr>
        <w:tab/>
      </w:r>
      <w:r>
        <w:rPr>
          <w:rFonts w:hint="default" w:ascii="Times New Roman" w:hAnsi="Times New Roman" w:cs="Times New Roman"/>
          <w:lang w:val="en-US" w:eastAsia="zh-CN"/>
        </w:rPr>
        <w:t>3</w:t>
      </w:r>
      <w:r>
        <w:rPr>
          <w:rFonts w:hint="eastAsia" w:ascii="Times New Roman" w:hAnsi="Times New Roman" w:cs="Times New Roman"/>
          <w:lang w:val="en-US" w:eastAsia="zh-CN"/>
        </w:rPr>
        <w:t>2</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r>
        <w:rPr>
          <w:rFonts w:hint="default" w:ascii="Times New Roman" w:hAnsi="Times New Roman" w:cs="Times New Roman"/>
        </w:rPr>
        <w:t>单位基本情况</w:t>
      </w:r>
      <w:r>
        <w:rPr>
          <w:rFonts w:hint="default" w:ascii="Times New Roman" w:hAnsi="Times New Roman" w:cs="Times New Roman"/>
        </w:rPr>
        <w:tab/>
      </w:r>
      <w:r>
        <w:rPr>
          <w:rFonts w:hint="default" w:ascii="Times New Roman" w:hAnsi="Times New Roman" w:cs="Times New Roman"/>
          <w:lang w:val="en-US" w:eastAsia="zh-CN"/>
        </w:rPr>
        <w:t>3</w:t>
      </w:r>
      <w:r>
        <w:rPr>
          <w:rFonts w:hint="eastAsia" w:ascii="Times New Roman" w:hAnsi="Times New Roman" w:cs="Times New Roman"/>
          <w:lang w:val="en-US" w:eastAsia="zh-CN"/>
        </w:rPr>
        <w:t>2</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r>
        <w:rPr>
          <w:rFonts w:hint="default" w:ascii="Times New Roman" w:hAnsi="Times New Roman" w:cs="Times New Roman"/>
        </w:rPr>
        <w:t>从业人员及工资总额</w:t>
      </w:r>
      <w:r>
        <w:rPr>
          <w:rFonts w:hint="default" w:ascii="Times New Roman" w:hAnsi="Times New Roman" w:cs="Times New Roman"/>
        </w:rPr>
        <w:tab/>
      </w:r>
      <w:r>
        <w:rPr>
          <w:rFonts w:hint="default" w:ascii="Times New Roman" w:hAnsi="Times New Roman" w:cs="Times New Roman"/>
          <w:lang w:val="en-US" w:eastAsia="zh-CN"/>
        </w:rPr>
        <w:t>4</w:t>
      </w:r>
      <w:r>
        <w:rPr>
          <w:rFonts w:hint="eastAsia" w:ascii="Times New Roman" w:hAnsi="Times New Roman" w:cs="Times New Roman"/>
          <w:lang w:val="en-US" w:eastAsia="zh-CN"/>
        </w:rPr>
        <w:t>2</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r>
        <w:rPr>
          <w:rFonts w:hint="default" w:ascii="Times New Roman" w:hAnsi="Times New Roman" w:cs="Times New Roman"/>
        </w:rPr>
        <w:t>财务状况</w:t>
      </w:r>
      <w:r>
        <w:rPr>
          <w:rFonts w:hint="default" w:ascii="Times New Roman" w:hAnsi="Times New Roman" w:cs="Times New Roman"/>
        </w:rPr>
        <w:tab/>
      </w:r>
      <w:r>
        <w:rPr>
          <w:rFonts w:hint="default" w:ascii="Times New Roman" w:hAnsi="Times New Roman" w:cs="Times New Roman"/>
          <w:lang w:val="en-US" w:eastAsia="zh-CN"/>
        </w:rPr>
        <w:t>4</w:t>
      </w:r>
      <w:r>
        <w:rPr>
          <w:rFonts w:hint="eastAsia" w:ascii="Times New Roman" w:hAnsi="Times New Roman" w:cs="Times New Roman"/>
          <w:lang w:val="en-US" w:eastAsia="zh-CN"/>
        </w:rPr>
        <w:t>5</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信息通信技术应用和数字化转型情况</w:t>
      </w:r>
      <w:r>
        <w:rPr>
          <w:rFonts w:hint="default" w:ascii="Times New Roman" w:hAnsi="Times New Roman" w:cs="Times New Roman"/>
        </w:rPr>
        <w:tab/>
      </w:r>
      <w:r>
        <w:rPr>
          <w:rFonts w:hint="default" w:ascii="Times New Roman" w:hAnsi="Times New Roman" w:cs="Times New Roman"/>
          <w:lang w:val="en-US" w:eastAsia="zh-CN"/>
        </w:rPr>
        <w:t>5</w:t>
      </w:r>
      <w:r>
        <w:rPr>
          <w:rFonts w:hint="eastAsia" w:ascii="Times New Roman" w:hAnsi="Times New Roman" w:cs="Times New Roman"/>
          <w:lang w:val="en-US" w:eastAsia="zh-CN"/>
        </w:rPr>
        <w:t>0</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210" w:firstLineChars="1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（三）数据来源表</w:t>
      </w:r>
      <w:r>
        <w:rPr>
          <w:rFonts w:hint="default" w:ascii="Times New Roman" w:hAnsi="Times New Roman" w:cs="Times New Roman"/>
        </w:rPr>
        <w:tab/>
      </w:r>
      <w:r>
        <w:rPr>
          <w:rFonts w:hint="default" w:ascii="Times New Roman" w:hAnsi="Times New Roman" w:cs="Times New Roman"/>
          <w:lang w:val="en-US" w:eastAsia="zh-CN"/>
        </w:rPr>
        <w:t>5</w:t>
      </w:r>
      <w:r>
        <w:rPr>
          <w:rFonts w:hint="eastAsia" w:ascii="Times New Roman" w:hAnsi="Times New Roman" w:cs="Times New Roman"/>
          <w:lang w:val="en-US" w:eastAsia="zh-CN"/>
        </w:rPr>
        <w:t>2</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cs="Times New Roman"/>
          <w:lang w:val="en-US"/>
        </w:rPr>
      </w:pPr>
      <w:r>
        <w:rPr>
          <w:rFonts w:hint="default" w:ascii="Times New Roman" w:hAnsi="Times New Roman" w:cs="Times New Roman"/>
        </w:rPr>
        <w:t>从业人员及工资总额（</w:t>
      </w:r>
      <w:r>
        <w:rPr>
          <w:rFonts w:hint="default" w:ascii="Times New Roman" w:hAnsi="Times New Roman" w:cs="Times New Roman"/>
          <w:lang w:val="en-US" w:eastAsia="zh-CN"/>
        </w:rPr>
        <w:t>1</w:t>
      </w:r>
      <w:r>
        <w:rPr>
          <w:rFonts w:hint="default" w:ascii="Times New Roman" w:hAnsi="Times New Roman" w:cs="Times New Roman"/>
        </w:rPr>
        <w:t>02-1表、202-1表）</w:t>
      </w:r>
      <w:r>
        <w:rPr>
          <w:rFonts w:hint="default" w:ascii="Times New Roman" w:hAnsi="Times New Roman" w:cs="Times New Roman"/>
        </w:rPr>
        <w:tab/>
      </w:r>
      <w:r>
        <w:rPr>
          <w:rFonts w:hint="default" w:ascii="Times New Roman" w:hAnsi="Times New Roman" w:cs="Times New Roman"/>
          <w:lang w:val="en-US" w:eastAsia="zh-CN"/>
        </w:rPr>
        <w:t>5</w:t>
      </w:r>
      <w:r>
        <w:rPr>
          <w:rFonts w:hint="eastAsia" w:ascii="Times New Roman" w:hAnsi="Times New Roman" w:cs="Times New Roman"/>
          <w:lang w:val="en-US" w:eastAsia="zh-CN"/>
        </w:rPr>
        <w:t>2</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cs="Times New Roman"/>
          <w:lang w:val="en-US" w:eastAsia="zh-CN"/>
        </w:rPr>
      </w:pPr>
      <w:r>
        <w:rPr>
          <w:rFonts w:hint="default" w:ascii="Times New Roman" w:hAnsi="Times New Roman" w:cs="Times New Roman"/>
        </w:rPr>
        <w:t>财务状况（F</w:t>
      </w:r>
      <w:r>
        <w:rPr>
          <w:rFonts w:hint="default" w:ascii="Times New Roman" w:hAnsi="Times New Roman" w:cs="Times New Roman"/>
          <w:lang w:val="en-US" w:eastAsia="zh-CN"/>
        </w:rPr>
        <w:t>1</w:t>
      </w:r>
      <w:r>
        <w:rPr>
          <w:rFonts w:hint="default" w:ascii="Times New Roman" w:hAnsi="Times New Roman" w:cs="Times New Roman"/>
        </w:rPr>
        <w:t>03表、</w:t>
      </w:r>
      <w:r>
        <w:rPr>
          <w:rFonts w:hint="default" w:ascii="Times New Roman" w:hAnsi="Times New Roman"/>
        </w:rPr>
        <w:t>F</w:t>
      </w:r>
      <w:r>
        <w:rPr>
          <w:rFonts w:hint="default" w:ascii="Times New Roman" w:hAnsi="Times New Roman" w:cs="Times New Roman"/>
          <w:lang w:val="en-US" w:eastAsia="zh-CN"/>
        </w:rPr>
        <w:t>2</w:t>
      </w:r>
      <w:r>
        <w:rPr>
          <w:rFonts w:hint="default" w:ascii="Times New Roman" w:hAnsi="Times New Roman" w:cs="Times New Roman"/>
        </w:rPr>
        <w:t>03表）</w:t>
      </w:r>
      <w:r>
        <w:rPr>
          <w:rFonts w:hint="default" w:ascii="Times New Roman" w:hAnsi="Times New Roman" w:cs="Times New Roman"/>
        </w:rPr>
        <w:tab/>
      </w:r>
      <w:r>
        <w:rPr>
          <w:rFonts w:hint="default" w:ascii="Times New Roman" w:hAnsi="Times New Roman" w:cs="Times New Roman"/>
          <w:lang w:val="en-US" w:eastAsia="zh-CN"/>
        </w:rPr>
        <w:t>5</w:t>
      </w:r>
      <w:r>
        <w:rPr>
          <w:rFonts w:hint="eastAsia" w:ascii="Times New Roman" w:hAnsi="Times New Roman" w:cs="Times New Roman"/>
          <w:lang w:val="en-US" w:eastAsia="zh-CN"/>
        </w:rPr>
        <w:t>4</w:t>
      </w:r>
    </w:p>
    <w:p>
      <w:pPr>
        <w:keepNext w:val="0"/>
        <w:keepLines w:val="0"/>
        <w:pageBreakBefore w:val="0"/>
        <w:widowControl w:val="0"/>
        <w:tabs>
          <w:tab w:val="right" w:leader="middleDot" w:pos="9240"/>
        </w:tabs>
        <w:kinsoku/>
        <w:wordWrap/>
        <w:overflowPunct/>
        <w:topLinePunct w:val="0"/>
        <w:autoSpaceDE/>
        <w:autoSpaceDN/>
        <w:bidi w:val="0"/>
        <w:adjustRightInd w:val="0"/>
        <w:snapToGrid w:val="0"/>
        <w:spacing w:line="360" w:lineRule="exact"/>
        <w:ind w:firstLine="630" w:firstLineChars="300"/>
        <w:textAlignment w:val="auto"/>
        <w:rPr>
          <w:rFonts w:hint="default" w:ascii="Times New Roman" w:hAnsi="Times New Roman" w:cs="Times New Roman"/>
          <w:lang w:val="en-US" w:eastAsia="zh-CN"/>
        </w:rPr>
      </w:pPr>
      <w:r>
        <w:rPr>
          <w:rFonts w:hint="default" w:ascii="Times New Roman" w:hAnsi="Times New Roman" w:cs="Times New Roman"/>
          <w:lang w:eastAsia="zh-CN"/>
        </w:rPr>
        <w:t>一套表企业</w:t>
      </w:r>
      <w:r>
        <w:rPr>
          <w:rFonts w:hint="default" w:ascii="Times New Roman" w:hAnsi="Times New Roman" w:cs="Times New Roman"/>
        </w:rPr>
        <w:t>数据来源台账</w:t>
      </w:r>
      <w:r>
        <w:rPr>
          <w:rFonts w:hint="default" w:ascii="Times New Roman" w:hAnsi="Times New Roman" w:cs="Times New Roman"/>
        </w:rPr>
        <w:tab/>
      </w:r>
      <w:r>
        <w:rPr>
          <w:rFonts w:hint="eastAsia" w:ascii="Times New Roman" w:hAnsi="Times New Roman" w:cs="Times New Roman"/>
          <w:lang w:val="en-US" w:eastAsia="zh-CN"/>
        </w:rPr>
        <w:t>59</w:t>
      </w:r>
    </w:p>
    <w:p>
      <w:pPr>
        <w:rPr>
          <w:rFonts w:hint="eastAsia" w:ascii="Nimbus Roman No9 L" w:hAnsi="Nimbus Roman No9 L" w:cs="Nimbus Roman No9 L"/>
          <w:lang w:val="en-US" w:eastAsia="zh-CN"/>
        </w:rPr>
      </w:pPr>
      <w:bookmarkStart w:id="1" w:name="_Toc2312"/>
      <w:r>
        <w:rPr>
          <w:rFonts w:hint="eastAsia" w:ascii="Nimbus Roman No9 L" w:hAnsi="Nimbus Roman No9 L" w:cs="Nimbus Roman No9 L"/>
          <w:lang w:val="en-US" w:eastAsia="zh-CN"/>
        </w:rPr>
        <w:br w:type="page"/>
      </w:r>
    </w:p>
    <w:p>
      <w:pPr>
        <w:pStyle w:val="55"/>
        <w:jc w:val="center"/>
        <w:rPr>
          <w:rFonts w:hint="eastAsia" w:ascii="Nimbus Roman No9 L" w:hAnsi="Nimbus Roman No9 L" w:cs="Nimbus Roman No9 L"/>
          <w:lang w:val="en-US" w:eastAsia="zh-CN"/>
        </w:rPr>
      </w:pPr>
    </w:p>
    <w:p>
      <w:pPr>
        <w:pStyle w:val="55"/>
        <w:jc w:val="center"/>
        <w:rPr>
          <w:rFonts w:ascii="Nimbus Roman No9 L" w:hAnsi="Nimbus Roman No9 L" w:cs="Nimbus Roman No9 L"/>
          <w:szCs w:val="21"/>
        </w:rPr>
      </w:pPr>
      <w:r>
        <w:rPr>
          <w:rFonts w:hint="eastAsia" w:ascii="Nimbus Roman No9 L" w:hAnsi="Nimbus Roman No9 L" w:cs="Nimbus Roman No9 L"/>
          <w:lang w:val="en-US" w:eastAsia="zh-CN"/>
        </w:rPr>
        <w:t>一、</w:t>
      </w:r>
      <w:r>
        <w:rPr>
          <w:rFonts w:ascii="Nimbus Roman No9 L" w:hAnsi="Nimbus Roman No9 L" w:cs="Nimbus Roman No9 L"/>
        </w:rPr>
        <w:t>总说明</w:t>
      </w:r>
      <w:bookmarkEnd w:id="1"/>
    </w:p>
    <w:p>
      <w:pPr>
        <w:snapToGrid w:val="0"/>
        <w:spacing w:line="360" w:lineRule="exact"/>
        <w:rPr>
          <w:rFonts w:ascii="Nimbus Roman No9 L" w:hAnsi="Nimbus Roman No9 L" w:cs="Nimbus Roman No9 L"/>
          <w:szCs w:val="21"/>
        </w:rPr>
      </w:pPr>
    </w:p>
    <w:p>
      <w:pPr>
        <w:snapToGrid w:val="0"/>
        <w:spacing w:line="400" w:lineRule="exact"/>
        <w:ind w:firstLine="420" w:firstLineChars="200"/>
        <w:rPr>
          <w:rFonts w:ascii="宋体"/>
        </w:rPr>
      </w:pPr>
      <w:r>
        <w:rPr>
          <w:rFonts w:hint="eastAsia" w:ascii="宋体" w:cs="宋体"/>
        </w:rPr>
        <w:t>（一）</w:t>
      </w:r>
      <w:bookmarkStart w:id="2" w:name="OLE_LINK1"/>
      <w:r>
        <w:rPr>
          <w:rFonts w:hint="eastAsia" w:ascii="宋体" w:hAnsi="宋体" w:cs="宋体"/>
          <w:kern w:val="0"/>
        </w:rPr>
        <w:t>为建立统一、规范的服务业统计，全面反映服务业发展状况，为各级政府进行宏观管理和决策提供依据，为国民经济核算提供基础数据</w:t>
      </w:r>
      <w:r>
        <w:rPr>
          <w:rFonts w:hint="eastAsia" w:ascii="宋体" w:hAnsi="宋体"/>
          <w:bCs/>
          <w:szCs w:val="21"/>
        </w:rPr>
        <w:t>，</w:t>
      </w:r>
      <w:bookmarkEnd w:id="2"/>
      <w:r>
        <w:rPr>
          <w:rFonts w:hint="eastAsia" w:ascii="宋体" w:hAnsi="宋体" w:cs="宋体"/>
          <w:kern w:val="0"/>
        </w:rPr>
        <w:t>依照《中华人民共和国统计法》</w:t>
      </w:r>
      <w:r>
        <w:rPr>
          <w:rFonts w:hint="eastAsia" w:ascii="宋体" w:hAnsi="宋体"/>
          <w:szCs w:val="21"/>
        </w:rPr>
        <w:t>和国家统计局《</w:t>
      </w:r>
      <w:r>
        <w:rPr>
          <w:rFonts w:hint="eastAsia" w:ascii="宋体" w:hAnsi="宋体"/>
          <w:szCs w:val="21"/>
          <w:lang w:eastAsia="zh-CN"/>
        </w:rPr>
        <w:t>一套表</w:t>
      </w:r>
      <w:r>
        <w:rPr>
          <w:rFonts w:hint="eastAsia" w:ascii="宋体" w:hAnsi="宋体"/>
          <w:szCs w:val="21"/>
        </w:rPr>
        <w:t>统计</w:t>
      </w:r>
      <w:r>
        <w:rPr>
          <w:rFonts w:hint="eastAsia" w:ascii="宋体" w:hAnsi="宋体"/>
          <w:szCs w:val="21"/>
          <w:lang w:eastAsia="zh-CN"/>
        </w:rPr>
        <w:t>调查</w:t>
      </w:r>
      <w:r>
        <w:rPr>
          <w:rFonts w:hint="eastAsia" w:ascii="宋体" w:hAnsi="宋体"/>
          <w:szCs w:val="21"/>
        </w:rPr>
        <w:t>制度》</w:t>
      </w:r>
      <w:r>
        <w:rPr>
          <w:rFonts w:hint="eastAsia" w:ascii="宋体" w:hAnsi="宋体"/>
          <w:szCs w:val="21"/>
          <w:lang w:eastAsia="zh-CN"/>
        </w:rPr>
        <w:t>《规模以上服务业统计制度》</w:t>
      </w:r>
      <w:r>
        <w:rPr>
          <w:rFonts w:hint="eastAsia" w:ascii="宋体" w:hAnsi="宋体"/>
          <w:szCs w:val="21"/>
        </w:rPr>
        <w:t>，结合我市实际，</w:t>
      </w:r>
      <w:r>
        <w:rPr>
          <w:rFonts w:hint="eastAsia" w:ascii="宋体" w:hAnsi="宋体" w:cs="宋体"/>
          <w:kern w:val="0"/>
        </w:rPr>
        <w:t>制定本制度。</w:t>
      </w:r>
    </w:p>
    <w:p>
      <w:pPr>
        <w:pStyle w:val="15"/>
        <w:tabs>
          <w:tab w:val="left" w:pos="1620"/>
        </w:tabs>
        <w:snapToGrid w:val="0"/>
        <w:spacing w:line="360" w:lineRule="exact"/>
        <w:ind w:firstLine="420" w:firstLineChars="200"/>
        <w:rPr>
          <w:rFonts w:hAnsi="宋体"/>
          <w:szCs w:val="21"/>
        </w:rPr>
      </w:pPr>
      <w:r>
        <w:rPr>
          <w:rFonts w:hint="eastAsia" w:cs="宋体"/>
        </w:rPr>
        <w:t>（二）本制度是国家统计调查，是国家统计局对各省、自治区、直辖市统计局的综合要求。各地区应按照全国统一规定的统计范围、计算方法和统计口径，认真组织实施，按时报送。地方特殊需要的统计资料应通过地方统计调查搜集，并尽量避免与国家统计调查内容相重复。调查单位有义务向统计机构提供营业执照（证书）、利润表和纳税申报表等相关材料。</w:t>
      </w:r>
      <w:r>
        <w:rPr>
          <w:rFonts w:hint="eastAsia" w:hAnsi="宋体"/>
          <w:szCs w:val="21"/>
        </w:rPr>
        <w:t>统计调查对象的财务指标，应当依据真实、合法的会计核算资料和纳税申报资料填报。</w:t>
      </w:r>
    </w:p>
    <w:p>
      <w:pPr>
        <w:pStyle w:val="15"/>
        <w:tabs>
          <w:tab w:val="left" w:pos="1620"/>
        </w:tabs>
        <w:snapToGrid w:val="0"/>
        <w:spacing w:line="360" w:lineRule="exact"/>
        <w:ind w:firstLine="420" w:firstLineChars="200"/>
        <w:rPr>
          <w:rFonts w:ascii="宋体"/>
        </w:rPr>
      </w:pPr>
      <w:r>
        <w:rPr>
          <w:rFonts w:hint="eastAsia" w:cs="宋体"/>
          <w:lang w:eastAsia="zh-CN"/>
        </w:rPr>
        <w:t>（三）</w:t>
      </w:r>
      <w:r>
        <w:rPr>
          <w:rFonts w:hint="eastAsia" w:ascii="宋体" w:cs="宋体"/>
        </w:rPr>
        <w:t>统计范围及</w:t>
      </w:r>
      <w:r>
        <w:rPr>
          <w:rFonts w:hint="eastAsia" w:ascii="宋体" w:cs="宋体"/>
          <w:lang w:eastAsia="zh-CN"/>
        </w:rPr>
        <w:t>一套表</w:t>
      </w:r>
      <w:r>
        <w:rPr>
          <w:rFonts w:hint="eastAsia" w:ascii="宋体" w:cs="宋体"/>
        </w:rPr>
        <w:t>调查单位确定</w:t>
      </w:r>
    </w:p>
    <w:p>
      <w:pPr>
        <w:snapToGrid w:val="0"/>
        <w:spacing w:line="400" w:lineRule="exact"/>
        <w:ind w:firstLine="420" w:firstLineChars="200"/>
        <w:rPr>
          <w:rFonts w:hint="eastAsia" w:ascii="宋体" w:cs="宋体"/>
        </w:rPr>
      </w:pPr>
      <w:bookmarkStart w:id="3" w:name="OLE_LINK2"/>
      <w:r>
        <w:rPr>
          <w:rFonts w:hint="eastAsia" w:ascii="宋体" w:cs="宋体"/>
        </w:rPr>
        <w:t>1.统计范围</w:t>
      </w:r>
    </w:p>
    <w:p>
      <w:pPr>
        <w:snapToGrid w:val="0"/>
        <w:spacing w:line="400" w:lineRule="exact"/>
        <w:ind w:firstLine="420" w:firstLineChars="200"/>
        <w:rPr>
          <w:rFonts w:ascii="宋体" w:cs="宋体"/>
        </w:rPr>
      </w:pPr>
      <w:r>
        <w:rPr>
          <w:rFonts w:hint="eastAsia" w:ascii="宋体" w:cs="宋体"/>
        </w:rPr>
        <w:t>辖区内年营业收入</w:t>
      </w:r>
      <w:r>
        <w:rPr>
          <w:rFonts w:ascii="宋体" w:cs="宋体"/>
        </w:rPr>
        <w:t>2</w:t>
      </w:r>
      <w:r>
        <w:rPr>
          <w:rFonts w:hint="eastAsia" w:ascii="宋体" w:cs="宋体"/>
        </w:rPr>
        <w:t>000万元及以上服务业法人单位</w:t>
      </w:r>
      <w:r>
        <w:rPr>
          <w:rFonts w:hint="eastAsia" w:ascii="宋体" w:cs="宋体"/>
          <w:lang w:eastAsia="zh-CN"/>
        </w:rPr>
        <w:t>，</w:t>
      </w:r>
      <w:r>
        <w:rPr>
          <w:rFonts w:hint="eastAsia" w:ascii="宋体" w:cs="宋体"/>
        </w:rPr>
        <w:t>包括：交通运输、仓储和邮政业，信息传输、软件和信息技术服务业，水利、环境和公共设施管理业三个</w:t>
      </w:r>
      <w:r>
        <w:rPr>
          <w:rFonts w:ascii="宋体" w:cs="宋体"/>
        </w:rPr>
        <w:t>门类</w:t>
      </w:r>
      <w:r>
        <w:rPr>
          <w:rFonts w:hint="eastAsia" w:ascii="宋体" w:cs="宋体"/>
        </w:rPr>
        <w:t>和</w:t>
      </w:r>
      <w:r>
        <w:rPr>
          <w:rFonts w:ascii="宋体" w:cs="宋体"/>
        </w:rPr>
        <w:t>卫生</w:t>
      </w:r>
      <w:r>
        <w:rPr>
          <w:rFonts w:hint="eastAsia" w:ascii="宋体" w:cs="宋体"/>
        </w:rPr>
        <w:t>行业大类。</w:t>
      </w:r>
    </w:p>
    <w:p>
      <w:pPr>
        <w:snapToGrid w:val="0"/>
        <w:spacing w:line="400" w:lineRule="exact"/>
        <w:ind w:firstLine="436" w:firstLineChars="200"/>
        <w:rPr>
          <w:rFonts w:hint="eastAsia" w:ascii="宋体" w:cs="宋体"/>
          <w:spacing w:val="4"/>
        </w:rPr>
      </w:pPr>
      <w:r>
        <w:rPr>
          <w:rFonts w:hint="eastAsia" w:ascii="宋体" w:cs="宋体"/>
          <w:spacing w:val="4"/>
        </w:rPr>
        <w:t>辖区</w:t>
      </w:r>
      <w:r>
        <w:rPr>
          <w:rFonts w:ascii="宋体" w:cs="宋体"/>
          <w:spacing w:val="4"/>
        </w:rPr>
        <w:t>内年营业收入</w:t>
      </w:r>
      <w:r>
        <w:rPr>
          <w:rFonts w:hint="eastAsia" w:ascii="宋体" w:cs="宋体"/>
          <w:spacing w:val="4"/>
        </w:rPr>
        <w:t>1000万元</w:t>
      </w:r>
      <w:r>
        <w:rPr>
          <w:rFonts w:ascii="宋体" w:cs="宋体"/>
          <w:spacing w:val="4"/>
        </w:rPr>
        <w:t>及以上服务业法人单位</w:t>
      </w:r>
      <w:r>
        <w:rPr>
          <w:rFonts w:hint="eastAsia" w:ascii="宋体" w:cs="宋体"/>
          <w:spacing w:val="4"/>
          <w:lang w:eastAsia="zh-CN"/>
        </w:rPr>
        <w:t>，</w:t>
      </w:r>
      <w:r>
        <w:rPr>
          <w:rFonts w:ascii="宋体" w:cs="宋体"/>
          <w:spacing w:val="4"/>
        </w:rPr>
        <w:t>包括：</w:t>
      </w:r>
      <w:r>
        <w:rPr>
          <w:rFonts w:hint="eastAsia" w:ascii="宋体" w:cs="宋体"/>
          <w:spacing w:val="4"/>
        </w:rPr>
        <w:t>租赁</w:t>
      </w:r>
      <w:r>
        <w:rPr>
          <w:rFonts w:ascii="宋体" w:cs="宋体"/>
          <w:spacing w:val="4"/>
        </w:rPr>
        <w:t>和</w:t>
      </w:r>
      <w:r>
        <w:rPr>
          <w:rFonts w:hint="eastAsia" w:ascii="宋体" w:cs="宋体"/>
          <w:spacing w:val="4"/>
        </w:rPr>
        <w:t>商务</w:t>
      </w:r>
      <w:r>
        <w:rPr>
          <w:rFonts w:ascii="宋体" w:cs="宋体"/>
          <w:spacing w:val="4"/>
        </w:rPr>
        <w:t>服务业，</w:t>
      </w:r>
      <w:r>
        <w:rPr>
          <w:rFonts w:hint="eastAsia" w:ascii="宋体" w:cs="宋体"/>
          <w:spacing w:val="4"/>
        </w:rPr>
        <w:t>科学</w:t>
      </w:r>
      <w:r>
        <w:rPr>
          <w:rFonts w:ascii="宋体" w:cs="宋体"/>
          <w:spacing w:val="4"/>
        </w:rPr>
        <w:t>研究和技术服务业，</w:t>
      </w:r>
      <w:r>
        <w:rPr>
          <w:rFonts w:hint="eastAsia" w:ascii="宋体" w:cs="宋体"/>
          <w:spacing w:val="4"/>
        </w:rPr>
        <w:t>教育三个</w:t>
      </w:r>
      <w:r>
        <w:rPr>
          <w:rFonts w:ascii="宋体" w:cs="宋体"/>
          <w:spacing w:val="4"/>
        </w:rPr>
        <w:t>门类，以及</w:t>
      </w:r>
      <w:r>
        <w:rPr>
          <w:rFonts w:hint="eastAsia" w:ascii="宋体" w:cs="宋体"/>
          <w:spacing w:val="4"/>
        </w:rPr>
        <w:t>物业管理、</w:t>
      </w:r>
      <w:r>
        <w:rPr>
          <w:rFonts w:ascii="宋体" w:cs="宋体"/>
          <w:spacing w:val="4"/>
        </w:rPr>
        <w:t>房地产中介服务</w:t>
      </w:r>
      <w:r>
        <w:rPr>
          <w:rFonts w:hint="eastAsia" w:ascii="宋体" w:cs="宋体"/>
          <w:spacing w:val="4"/>
        </w:rPr>
        <w:t>、</w:t>
      </w:r>
      <w:r>
        <w:rPr>
          <w:rFonts w:ascii="宋体" w:cs="宋体"/>
          <w:spacing w:val="4"/>
        </w:rPr>
        <w:t>房地产租赁经营和其他房地产业</w:t>
      </w:r>
      <w:r>
        <w:rPr>
          <w:rFonts w:hint="eastAsia" w:ascii="宋体" w:cs="宋体"/>
          <w:spacing w:val="4"/>
        </w:rPr>
        <w:t>四个行业</w:t>
      </w:r>
      <w:r>
        <w:rPr>
          <w:rFonts w:ascii="宋体" w:cs="宋体"/>
          <w:spacing w:val="4"/>
        </w:rPr>
        <w:t>小类。</w:t>
      </w:r>
    </w:p>
    <w:p>
      <w:pPr>
        <w:snapToGrid w:val="0"/>
        <w:spacing w:line="400" w:lineRule="exact"/>
        <w:ind w:firstLine="420" w:firstLineChars="200"/>
        <w:rPr>
          <w:rFonts w:hint="eastAsia" w:ascii="宋体" w:cs="宋体"/>
        </w:rPr>
      </w:pPr>
      <w:r>
        <w:rPr>
          <w:rFonts w:hint="eastAsia" w:ascii="宋体" w:cs="宋体"/>
        </w:rPr>
        <w:t>辖区内年营业收入500万元及以上服务业法人单位。包括：居民服务、修理和其他服务业，文化、体育和娱乐业两个</w:t>
      </w:r>
      <w:r>
        <w:rPr>
          <w:rFonts w:ascii="宋体" w:cs="宋体"/>
        </w:rPr>
        <w:t>门类</w:t>
      </w:r>
      <w:r>
        <w:rPr>
          <w:rFonts w:hint="eastAsia" w:ascii="宋体" w:cs="宋体"/>
        </w:rPr>
        <w:t>，以及社会</w:t>
      </w:r>
      <w:r>
        <w:rPr>
          <w:rFonts w:ascii="宋体" w:cs="宋体"/>
        </w:rPr>
        <w:t>工作</w:t>
      </w:r>
      <w:r>
        <w:rPr>
          <w:rFonts w:hint="eastAsia" w:ascii="宋体" w:cs="宋体"/>
        </w:rPr>
        <w:t>行业</w:t>
      </w:r>
      <w:r>
        <w:rPr>
          <w:rFonts w:ascii="宋体" w:cs="宋体"/>
        </w:rPr>
        <w:t>大类</w:t>
      </w:r>
      <w:r>
        <w:rPr>
          <w:rFonts w:hint="eastAsia" w:ascii="宋体" w:cs="宋体"/>
        </w:rPr>
        <w:t>。</w:t>
      </w:r>
    </w:p>
    <w:p>
      <w:pPr>
        <w:snapToGrid w:val="0"/>
        <w:spacing w:line="44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一套表</w:t>
      </w:r>
      <w:r>
        <w:rPr>
          <w:rFonts w:hint="eastAsia" w:ascii="宋体" w:hAnsi="宋体"/>
          <w:szCs w:val="21"/>
        </w:rPr>
        <w:t>调查单位确定</w:t>
      </w:r>
    </w:p>
    <w:bookmarkEnd w:id="3"/>
    <w:p>
      <w:pPr>
        <w:adjustRightInd w:val="0"/>
        <w:snapToGrid w:val="0"/>
        <w:spacing w:line="400" w:lineRule="exact"/>
        <w:ind w:firstLine="420" w:firstLineChars="200"/>
        <w:rPr>
          <w:rFonts w:hint="default" w:ascii="宋体" w:hAnsi="宋体" w:cs="宋体"/>
          <w:kern w:val="0"/>
          <w:szCs w:val="21"/>
          <w:lang w:val="en"/>
        </w:rPr>
      </w:pPr>
      <w:r>
        <w:rPr>
          <w:rFonts w:hint="eastAsia" w:ascii="宋体" w:hAnsi="宋体"/>
          <w:szCs w:val="21"/>
        </w:rPr>
        <w:t>根据统计机构关于一套表调查单位管理有关规定，按照“先进库，后报数”的原则，一套表调查单位的增减变动，需经各级统计机构依据单位提交的资料审核确定后做出相应处理。名录库中已达到规上单位规模标准且具备报送数据条件但尚未纳入规上单位统计调查的单位，有义务按要求及时向所在地统计机构提供营业执照（证书）复印件、利润表和纳税申报表等证明单位达到入库规模标准的资料；已纳入规上单位库的单位，如单位主要信息发生变更，需按要求提供证明单位相应信息发生变更的资料；省级及以下统计机构对单位提交的资料进行审核，将符合要求的单位确定为规上单位，变更需要更改的指标，报国家统计局备案。在库单位发生注销、吊销、长期停歇业、上年经营规模未达规模标准等情况，由单位所在地统计局提出退出单位名单，经地市、省级统计机构审核后，报国家统计局审核确定后处理。国家统计局负责在上期统计调查单位的基础上，依据审核结果进行增减变动，生成各期规上单位统计调查单位库</w:t>
      </w:r>
      <w:r>
        <w:rPr>
          <w:rFonts w:hint="default" w:ascii="宋体" w:hAnsi="宋体" w:cs="宋体"/>
          <w:kern w:val="0"/>
          <w:szCs w:val="21"/>
          <w:lang w:val="en"/>
        </w:rPr>
        <w:t>。</w:t>
      </w:r>
    </w:p>
    <w:p>
      <w:pPr>
        <w:adjustRightInd w:val="0"/>
        <w:snapToGrid w:val="0"/>
        <w:spacing w:line="400" w:lineRule="exact"/>
        <w:ind w:firstLine="420" w:firstLineChars="200"/>
        <w:rPr>
          <w:rFonts w:ascii="宋体"/>
        </w:rPr>
      </w:pPr>
      <w:r>
        <w:rPr>
          <w:rFonts w:hint="eastAsia" w:ascii="宋体" w:cs="宋体"/>
        </w:rPr>
        <w:t>（</w:t>
      </w:r>
      <w:r>
        <w:rPr>
          <w:rFonts w:hint="eastAsia" w:ascii="宋体" w:cs="宋体"/>
          <w:lang w:eastAsia="zh-CN"/>
        </w:rPr>
        <w:t>四</w:t>
      </w:r>
      <w:r>
        <w:rPr>
          <w:rFonts w:hint="eastAsia" w:ascii="宋体" w:cs="宋体"/>
        </w:rPr>
        <w:t>）统计内容</w:t>
      </w:r>
    </w:p>
    <w:p>
      <w:pPr>
        <w:adjustRightInd w:val="0"/>
        <w:snapToGrid w:val="0"/>
        <w:spacing w:line="400" w:lineRule="exact"/>
        <w:ind w:firstLine="420" w:firstLineChars="200"/>
        <w:rPr>
          <w:rFonts w:hint="eastAsia" w:ascii="宋体" w:cs="宋体"/>
        </w:rPr>
      </w:pPr>
      <w:r>
        <w:rPr>
          <w:rFonts w:hint="eastAsia" w:ascii="宋体" w:cs="宋体"/>
        </w:rPr>
        <w:t>调查单位</w:t>
      </w:r>
      <w:r>
        <w:t>基本情况、</w:t>
      </w:r>
      <w:r>
        <w:rPr>
          <w:rFonts w:hint="eastAsia"/>
        </w:rPr>
        <w:t>企业组织结构调查表</w:t>
      </w:r>
      <w:r>
        <w:rPr>
          <w:rFonts w:ascii="宋体" w:hAnsi="宋体"/>
          <w:bCs/>
          <w:szCs w:val="21"/>
        </w:rPr>
        <w:t>、</w:t>
      </w:r>
      <w:r>
        <w:rPr>
          <w:rFonts w:hint="eastAsia" w:ascii="宋体" w:hAnsi="宋体"/>
          <w:bCs/>
          <w:szCs w:val="21"/>
        </w:rPr>
        <w:t>从业人员及工资总额、财务状况、生产经营情况</w:t>
      </w:r>
      <w:r>
        <w:rPr>
          <w:rFonts w:hint="eastAsia" w:ascii="宋体" w:hAnsi="宋体"/>
          <w:bCs/>
          <w:szCs w:val="21"/>
          <w:lang w:eastAsia="zh-CN"/>
        </w:rPr>
        <w:t>、</w:t>
      </w:r>
      <w:r>
        <w:rPr>
          <w:rFonts w:hint="eastAsia" w:ascii="宋体" w:hAnsi="宋体"/>
          <w:bCs/>
          <w:szCs w:val="21"/>
        </w:rPr>
        <w:t>研发活动、</w:t>
      </w:r>
      <w:r>
        <w:rPr>
          <w:rFonts w:hint="eastAsia"/>
        </w:rPr>
        <w:t>信息通信技术应用和数字化转型情况</w:t>
      </w:r>
      <w:r>
        <w:rPr>
          <w:rFonts w:hint="eastAsia" w:ascii="宋体" w:hAnsi="宋体"/>
          <w:bCs/>
          <w:szCs w:val="21"/>
        </w:rPr>
        <w:t>等</w:t>
      </w:r>
      <w:r>
        <w:t>。</w:t>
      </w:r>
      <w:r>
        <w:rPr>
          <w:rFonts w:hint="eastAsia" w:ascii="宋体" w:hAnsi="Times New Roman" w:eastAsia="宋体" w:cs="宋体"/>
        </w:rPr>
        <w:t>主要指标有：单位详细名称、单</w:t>
      </w:r>
      <w:r>
        <w:rPr>
          <w:rFonts w:hint="eastAsia" w:ascii="宋体" w:cs="宋体"/>
        </w:rPr>
        <w:t>位所在地及区划、单位规模、联系方式、登记注册类型、企业控股情况、资产、负债、损益及分配、营业收入、营业成本、税金及附加、费用、利润、从业人员、工资总额、计算机数量、电子商务交易情况等。</w:t>
      </w:r>
    </w:p>
    <w:p>
      <w:pPr>
        <w:snapToGrid w:val="0"/>
        <w:spacing w:line="400" w:lineRule="exact"/>
        <w:ind w:firstLine="420" w:firstLineChars="200"/>
        <w:rPr>
          <w:rFonts w:ascii="宋体"/>
        </w:rPr>
      </w:pPr>
      <w:r>
        <w:rPr>
          <w:rFonts w:hint="eastAsia" w:ascii="宋体" w:cs="宋体"/>
        </w:rPr>
        <w:t>（</w:t>
      </w:r>
      <w:r>
        <w:rPr>
          <w:rFonts w:hint="eastAsia" w:ascii="宋体" w:cs="宋体"/>
          <w:lang w:eastAsia="zh-CN"/>
        </w:rPr>
        <w:t>五</w:t>
      </w:r>
      <w:r>
        <w:rPr>
          <w:rFonts w:hint="eastAsia" w:ascii="宋体" w:cs="宋体"/>
        </w:rPr>
        <w:t>）统计原则</w:t>
      </w:r>
    </w:p>
    <w:p>
      <w:pPr>
        <w:snapToGrid w:val="0"/>
        <w:spacing w:line="400" w:lineRule="exact"/>
        <w:ind w:firstLine="436" w:firstLineChars="200"/>
        <w:rPr>
          <w:rFonts w:hint="eastAsia" w:ascii="宋体" w:cs="宋体"/>
          <w:spacing w:val="4"/>
        </w:rPr>
      </w:pPr>
      <w:r>
        <w:rPr>
          <w:rFonts w:hint="eastAsia" w:ascii="宋体" w:cs="宋体"/>
          <w:spacing w:val="4"/>
        </w:rPr>
        <w:t>辖区内规模以上服务业法人单位按照经营地在地原则进行统计。调查单位不得“打捆”和重复上报统计数据。视同法人单位与法人单位履行相同的统计义务，填报法人单位调查表。</w:t>
      </w:r>
    </w:p>
    <w:p>
      <w:pPr>
        <w:adjustRightInd w:val="0"/>
        <w:snapToGrid w:val="0"/>
        <w:spacing w:line="450" w:lineRule="exact"/>
        <w:ind w:firstLine="420" w:firstLineChars="200"/>
        <w:rPr>
          <w:rFonts w:hint="eastAsia" w:ascii="宋体" w:cs="宋体"/>
        </w:rPr>
      </w:pPr>
      <w:r>
        <w:rPr>
          <w:rFonts w:hint="eastAsia" w:ascii="宋体" w:cs="宋体"/>
        </w:rPr>
        <w:t>（</w:t>
      </w:r>
      <w:r>
        <w:rPr>
          <w:rFonts w:hint="eastAsia" w:ascii="宋体" w:cs="宋体"/>
          <w:lang w:val="en-US" w:eastAsia="zh-CN"/>
        </w:rPr>
        <w:t>六</w:t>
      </w:r>
      <w:r>
        <w:rPr>
          <w:rFonts w:hint="eastAsia" w:ascii="宋体" w:cs="宋体"/>
        </w:rPr>
        <w:t>）数据采集</w:t>
      </w:r>
    </w:p>
    <w:p>
      <w:pPr>
        <w:snapToGrid w:val="0"/>
        <w:spacing w:line="380" w:lineRule="exact"/>
        <w:ind w:firstLine="420" w:firstLineChars="200"/>
        <w:jc w:val="left"/>
        <w:rPr>
          <w:rFonts w:hint="eastAsia" w:ascii="宋体" w:hAnsi="宋体"/>
          <w:bCs/>
          <w:szCs w:val="21"/>
        </w:rPr>
      </w:pPr>
      <w:r>
        <w:rPr>
          <w:rFonts w:hint="eastAsia" w:ascii="宋体" w:hAnsi="宋体"/>
          <w:bCs/>
          <w:szCs w:val="21"/>
        </w:rPr>
        <w:t>1.</w:t>
      </w:r>
      <w:r>
        <w:rPr>
          <w:rFonts w:hint="eastAsia" w:ascii="宋体" w:hAnsi="宋体" w:cs="Times New Roman"/>
          <w:bCs/>
          <w:kern w:val="2"/>
          <w:szCs w:val="21"/>
        </w:rPr>
        <w:t>调查单位采取联网直报方式，通过国家统计云联网直报系统</w:t>
      </w:r>
      <w:r>
        <w:rPr>
          <w:rFonts w:hint="default" w:ascii="Times New Roman" w:hAnsi="Times New Roman" w:cs="Times New Roman"/>
          <w:bCs/>
          <w:kern w:val="2"/>
          <w:szCs w:val="21"/>
        </w:rPr>
        <w:t>（网址： https://tjy.stats.gov.cn/platform/</w:t>
      </w:r>
      <w:r>
        <w:rPr>
          <w:rFonts w:hint="eastAsia" w:ascii="Times New Roman" w:hAnsi="Times New Roman" w:cs="Times New Roman"/>
          <w:bCs/>
          <w:kern w:val="2"/>
          <w:szCs w:val="21"/>
          <w:lang w:val="en-US" w:eastAsia="zh-CN"/>
        </w:rPr>
        <w:t xml:space="preserve"> </w:t>
      </w:r>
      <w:r>
        <w:rPr>
          <w:rFonts w:hint="default" w:ascii="Times New Roman" w:hAnsi="Times New Roman" w:cs="Times New Roman"/>
          <w:bCs/>
          <w:kern w:val="2"/>
          <w:szCs w:val="21"/>
        </w:rPr>
        <w:t>page.html#/pc/internet</w:t>
      </w:r>
      <w:r>
        <w:rPr>
          <w:rFonts w:hint="eastAsia" w:ascii="Times New Roman" w:hAnsi="Times New Roman" w:cs="Times New Roman"/>
          <w:bCs/>
          <w:kern w:val="2"/>
          <w:szCs w:val="21"/>
          <w:lang w:val="en-US" w:eastAsia="zh-CN"/>
        </w:rPr>
        <w:t xml:space="preserve"> </w:t>
      </w:r>
      <w:r>
        <w:rPr>
          <w:rFonts w:hint="default" w:ascii="Times New Roman" w:hAnsi="Times New Roman" w:cs="Times New Roman"/>
          <w:bCs/>
          <w:kern w:val="2"/>
          <w:szCs w:val="21"/>
        </w:rPr>
        <w:t>Login）</w:t>
      </w:r>
      <w:r>
        <w:rPr>
          <w:rFonts w:hint="eastAsia" w:ascii="宋体" w:hAnsi="宋体" w:cs="Times New Roman"/>
          <w:bCs/>
          <w:kern w:val="2"/>
          <w:szCs w:val="21"/>
        </w:rPr>
        <w:t>填报统计数据。</w:t>
      </w:r>
      <w:r>
        <w:rPr>
          <w:rFonts w:hint="eastAsia" w:ascii="宋体" w:hAnsi="宋体" w:eastAsia="宋体" w:cs="Times New Roman"/>
          <w:bCs/>
          <w:kern w:val="2"/>
          <w:szCs w:val="21"/>
          <w:lang w:eastAsia="zh-CN"/>
        </w:rPr>
        <w:t>调出单位</w:t>
      </w:r>
      <w:r>
        <w:rPr>
          <w:rFonts w:hint="eastAsia" w:ascii="宋体" w:hAnsi="宋体"/>
          <w:bCs/>
          <w:szCs w:val="21"/>
        </w:rPr>
        <w:t>严格</w:t>
      </w:r>
      <w:r>
        <w:rPr>
          <w:rFonts w:hint="eastAsia" w:ascii="宋体" w:hAnsi="宋体" w:cs="Times New Roman"/>
          <w:bCs/>
          <w:kern w:val="2"/>
          <w:szCs w:val="21"/>
        </w:rPr>
        <w:t>按照本制度规定的调查内容、上报时间独立自行报送数据</w:t>
      </w:r>
      <w:r>
        <w:rPr>
          <w:rFonts w:hint="eastAsia" w:ascii="宋体" w:hAnsi="宋体" w:cs="Times New Roman"/>
          <w:bCs/>
          <w:kern w:val="2"/>
          <w:szCs w:val="21"/>
          <w:lang w:eastAsia="zh-CN"/>
        </w:rPr>
        <w:t>，按统计部门的统一要求接受数据查询</w:t>
      </w:r>
      <w:r>
        <w:rPr>
          <w:rFonts w:hint="eastAsia" w:ascii="宋体" w:hAnsi="宋体"/>
          <w:bCs/>
          <w:szCs w:val="21"/>
        </w:rPr>
        <w:t>。</w:t>
      </w:r>
      <w:r>
        <w:rPr>
          <w:rFonts w:hint="eastAsia" w:ascii="宋体" w:hAnsi="宋体" w:cs="Times New Roman"/>
          <w:bCs/>
          <w:szCs w:val="21"/>
        </w:rPr>
        <w:t>各级统计局负责对调查单位网上直报数据进行审核、验收和查询。</w:t>
      </w:r>
    </w:p>
    <w:p>
      <w:pPr>
        <w:spacing w:line="380" w:lineRule="exact"/>
        <w:ind w:firstLine="420" w:firstLineChars="200"/>
        <w:rPr>
          <w:rFonts w:hint="eastAsia" w:ascii="宋体" w:hAnsi="宋体"/>
          <w:bCs/>
          <w:szCs w:val="21"/>
        </w:rPr>
      </w:pPr>
      <w:r>
        <w:rPr>
          <w:rFonts w:hint="eastAsia" w:ascii="宋体" w:hAnsi="宋体"/>
          <w:bCs/>
          <w:szCs w:val="21"/>
        </w:rPr>
        <w:t>2.本制度采用统一的统计分类标准和编码，统计机构和调查单位必须严格执行，不得自行更改。</w:t>
      </w:r>
    </w:p>
    <w:p>
      <w:pPr>
        <w:snapToGrid w:val="0"/>
        <w:spacing w:line="380" w:lineRule="exact"/>
        <w:ind w:firstLine="420" w:firstLineChars="200"/>
        <w:rPr>
          <w:rFonts w:hint="eastAsia" w:ascii="宋体" w:hAnsi="宋体" w:eastAsia="宋体"/>
          <w:bCs/>
          <w:szCs w:val="21"/>
        </w:rPr>
      </w:pPr>
      <w:r>
        <w:rPr>
          <w:rFonts w:hint="eastAsia" w:ascii="宋体" w:hAnsi="宋体" w:eastAsia="宋体"/>
          <w:bCs/>
          <w:szCs w:val="21"/>
        </w:rPr>
        <w:t>3.按照《统计法》的要求，为保障源头数据质量，做到数出有据，调查单位应该设置原始记录、统计台账，建立健全统计资料的审核、签署、交接和归档等管理制度。</w:t>
      </w:r>
    </w:p>
    <w:p>
      <w:pPr>
        <w:spacing w:line="380" w:lineRule="exact"/>
        <w:ind w:firstLine="420" w:firstLineChars="200"/>
        <w:rPr>
          <w:rFonts w:hint="eastAsia" w:ascii="宋体" w:hAnsi="宋体"/>
          <w:bCs/>
          <w:szCs w:val="21"/>
        </w:rPr>
      </w:pPr>
      <w:r>
        <w:rPr>
          <w:rFonts w:hint="eastAsia" w:ascii="宋体" w:hAnsi="宋体"/>
          <w:bCs/>
          <w:szCs w:val="21"/>
        </w:rPr>
        <w:t>4.本制度中所有指标数据原则上按月(季)度日历天数统计上报。</w:t>
      </w:r>
    </w:p>
    <w:p>
      <w:pPr>
        <w:snapToGrid w:val="0"/>
        <w:spacing w:line="380" w:lineRule="exact"/>
        <w:ind w:firstLine="420" w:firstLineChars="200"/>
        <w:rPr>
          <w:rFonts w:hint="eastAsia" w:ascii="宋体" w:hAnsi="宋体" w:cs="Times New Roman"/>
          <w:bCs/>
          <w:szCs w:val="21"/>
        </w:rPr>
      </w:pPr>
      <w:r>
        <w:rPr>
          <w:rFonts w:hint="eastAsia" w:ascii="宋体" w:hAnsi="宋体"/>
          <w:bCs/>
          <w:szCs w:val="21"/>
        </w:rPr>
        <w:t>5.统计调查对象的财务指标，应当依据真实、合法的会计核算资料和纳税申报资料填报。</w:t>
      </w:r>
      <w:r>
        <w:rPr>
          <w:rFonts w:hint="eastAsia" w:ascii="宋体" w:hAnsi="宋体"/>
          <w:bCs/>
          <w:szCs w:val="21"/>
          <w:lang w:eastAsia="zh-CN"/>
        </w:rPr>
        <w:t>相关资料数据不一致时，应依据实际经营情况填报。</w:t>
      </w:r>
    </w:p>
    <w:p>
      <w:pPr>
        <w:spacing w:line="380" w:lineRule="exact"/>
        <w:ind w:firstLine="420" w:firstLineChars="200"/>
        <w:rPr>
          <w:rFonts w:hint="eastAsia" w:ascii="宋体" w:hAnsi="宋体" w:cs="宋体"/>
          <w:kern w:val="0"/>
          <w:szCs w:val="21"/>
        </w:rPr>
      </w:pPr>
      <w:r>
        <w:rPr>
          <w:rFonts w:hint="eastAsia" w:ascii="宋体" w:hAnsi="宋体"/>
          <w:bCs/>
          <w:szCs w:val="21"/>
        </w:rPr>
        <w:t>（六）数据处理</w:t>
      </w:r>
    </w:p>
    <w:p>
      <w:pPr>
        <w:spacing w:line="380" w:lineRule="exact"/>
        <w:ind w:firstLine="420" w:firstLineChars="200"/>
        <w:rPr>
          <w:rFonts w:hint="eastAsia" w:ascii="宋体" w:hAnsi="宋体"/>
          <w:bCs/>
          <w:szCs w:val="21"/>
        </w:rPr>
      </w:pPr>
      <w:r>
        <w:rPr>
          <w:rFonts w:hint="eastAsia" w:ascii="宋体" w:hAnsi="宋体" w:cs="宋体"/>
          <w:kern w:val="0"/>
          <w:szCs w:val="21"/>
        </w:rPr>
        <w:t>在数据处理软件中各级统计机构在规定的时间内采取分级、分专业审核、验收和汇总的方式进行数据处理。</w:t>
      </w:r>
    </w:p>
    <w:p>
      <w:pPr>
        <w:spacing w:line="380" w:lineRule="exact"/>
        <w:ind w:firstLine="420" w:firstLineChars="200"/>
        <w:rPr>
          <w:rFonts w:hint="eastAsia" w:ascii="宋体" w:hAnsi="宋体"/>
          <w:bCs/>
          <w:szCs w:val="21"/>
        </w:rPr>
      </w:pPr>
      <w:r>
        <w:rPr>
          <w:rFonts w:hint="eastAsia" w:ascii="宋体" w:hAnsi="宋体"/>
          <w:bCs/>
          <w:szCs w:val="21"/>
        </w:rPr>
        <w:t>（七）相关要求</w:t>
      </w:r>
    </w:p>
    <w:p>
      <w:pPr>
        <w:spacing w:line="380" w:lineRule="exact"/>
        <w:ind w:firstLine="420" w:firstLineChars="200"/>
        <w:rPr>
          <w:rFonts w:hint="eastAsia" w:ascii="宋体" w:hAnsi="宋体"/>
        </w:rPr>
      </w:pPr>
      <w:r>
        <w:rPr>
          <w:rFonts w:hint="eastAsia" w:ascii="宋体" w:hAnsi="宋体"/>
          <w:bCs/>
          <w:szCs w:val="21"/>
        </w:rPr>
        <w:t>1.报表管理时间：202</w:t>
      </w:r>
      <w:r>
        <w:rPr>
          <w:rFonts w:hint="eastAsia" w:ascii="宋体" w:hAnsi="宋体"/>
          <w:bCs/>
          <w:szCs w:val="21"/>
          <w:lang w:val="en-US" w:eastAsia="zh-CN"/>
        </w:rPr>
        <w:t>4</w:t>
      </w:r>
      <w:r>
        <w:rPr>
          <w:rFonts w:hint="eastAsia" w:ascii="宋体" w:hAnsi="宋体"/>
          <w:bCs/>
          <w:szCs w:val="21"/>
        </w:rPr>
        <w:t>年年报基层表</w:t>
      </w:r>
      <w:r>
        <w:rPr>
          <w:rFonts w:hint="eastAsia" w:ascii="宋体" w:hAnsi="宋体"/>
          <w:bCs/>
          <w:szCs w:val="21"/>
          <w:lang w:eastAsia="zh-CN"/>
        </w:rPr>
        <w:t>中，</w:t>
      </w:r>
      <w:r>
        <w:rPr>
          <w:rFonts w:hint="eastAsia" w:ascii="宋体" w:hAnsi="宋体"/>
          <w:bCs/>
          <w:szCs w:val="21"/>
        </w:rPr>
        <w:t>“</w:t>
      </w:r>
      <w:r>
        <w:rPr>
          <w:rFonts w:hint="eastAsia" w:ascii="宋体" w:hAnsi="宋体"/>
          <w:kern w:val="0"/>
          <w:szCs w:val="21"/>
        </w:rPr>
        <w:t>从业人员及工资总额”（</w:t>
      </w:r>
      <w:r>
        <w:rPr>
          <w:rFonts w:ascii="宋体" w:hAnsi="宋体"/>
          <w:kern w:val="0"/>
          <w:szCs w:val="21"/>
        </w:rPr>
        <w:t>1</w:t>
      </w:r>
      <w:r>
        <w:rPr>
          <w:rFonts w:hint="eastAsia" w:ascii="宋体" w:hAnsi="宋体"/>
          <w:kern w:val="0"/>
          <w:szCs w:val="21"/>
        </w:rPr>
        <w:t>02</w:t>
      </w:r>
      <w:r>
        <w:rPr>
          <w:rFonts w:ascii="宋体" w:hAnsi="宋体"/>
          <w:kern w:val="0"/>
          <w:szCs w:val="21"/>
        </w:rPr>
        <w:t>-1</w:t>
      </w:r>
      <w:r>
        <w:rPr>
          <w:rFonts w:hint="eastAsia" w:ascii="宋体" w:hAnsi="宋体"/>
          <w:kern w:val="0"/>
          <w:szCs w:val="21"/>
        </w:rPr>
        <w:t>表）</w:t>
      </w:r>
      <w:r>
        <w:rPr>
          <w:rFonts w:hint="eastAsia" w:ascii="宋体" w:hAnsi="宋体"/>
          <w:kern w:val="0"/>
          <w:szCs w:val="21"/>
          <w:lang w:eastAsia="zh-CN"/>
        </w:rPr>
        <w:t>开网时间为</w:t>
      </w:r>
      <w:r>
        <w:rPr>
          <w:rFonts w:hint="eastAsia" w:ascii="宋体" w:hAnsi="宋体"/>
          <w:kern w:val="0"/>
          <w:szCs w:val="21"/>
          <w:lang w:val="en-US" w:eastAsia="zh-CN"/>
        </w:rPr>
        <w:t>2024年12月31日0时</w:t>
      </w:r>
      <w:r>
        <w:rPr>
          <w:rFonts w:hint="eastAsia" w:ascii="宋体" w:hAnsi="宋体"/>
          <w:bCs/>
          <w:szCs w:val="21"/>
          <w:lang w:eastAsia="zh-CN"/>
        </w:rPr>
        <w:t>，</w:t>
      </w:r>
      <w:r>
        <w:rPr>
          <w:rFonts w:hint="eastAsia" w:ascii="宋体" w:hAnsi="宋体"/>
          <w:bCs/>
          <w:szCs w:val="21"/>
        </w:rPr>
        <w:t>调查单位上报截止时间为</w:t>
      </w:r>
      <w:r>
        <w:rPr>
          <w:rFonts w:hint="eastAsia" w:ascii="宋体" w:hAnsi="宋体"/>
          <w:bCs/>
          <w:szCs w:val="21"/>
          <w:lang w:val="en-US" w:eastAsia="zh-CN"/>
        </w:rPr>
        <w:t>2025年1</w:t>
      </w:r>
      <w:r>
        <w:rPr>
          <w:rFonts w:hint="eastAsia" w:ascii="宋体" w:hAnsi="宋体"/>
          <w:bCs/>
          <w:szCs w:val="21"/>
        </w:rPr>
        <w:t>月</w:t>
      </w:r>
      <w:r>
        <w:rPr>
          <w:rFonts w:hint="eastAsia" w:ascii="宋体" w:hAnsi="宋体"/>
          <w:bCs/>
          <w:szCs w:val="21"/>
          <w:lang w:val="en-US" w:eastAsia="zh-CN"/>
        </w:rPr>
        <w:t>9</w:t>
      </w:r>
      <w:r>
        <w:rPr>
          <w:rFonts w:hint="eastAsia" w:ascii="宋体" w:hAnsi="宋体"/>
          <w:bCs/>
          <w:szCs w:val="21"/>
        </w:rPr>
        <w:t>日</w:t>
      </w:r>
      <w:r>
        <w:rPr>
          <w:rFonts w:hint="eastAsia" w:ascii="宋体" w:hAnsi="宋体"/>
          <w:bCs/>
          <w:szCs w:val="21"/>
          <w:lang w:val="en-US" w:eastAsia="zh-CN"/>
        </w:rPr>
        <w:t>12</w:t>
      </w:r>
      <w:r>
        <w:rPr>
          <w:rFonts w:hint="eastAsia" w:ascii="宋体" w:hAnsi="宋体"/>
          <w:bCs/>
          <w:szCs w:val="21"/>
        </w:rPr>
        <w:t>:0</w:t>
      </w:r>
      <w:r>
        <w:rPr>
          <w:rFonts w:hint="eastAsia" w:ascii="宋体" w:hAnsi="宋体"/>
          <w:bCs/>
          <w:szCs w:val="21"/>
          <w:lang w:val="en-US" w:eastAsia="zh-CN"/>
        </w:rPr>
        <w:t>0</w:t>
      </w:r>
      <w:r>
        <w:rPr>
          <w:rFonts w:hint="eastAsia" w:ascii="宋体" w:hAnsi="宋体"/>
          <w:bCs/>
          <w:szCs w:val="21"/>
          <w:lang w:eastAsia="zh-CN"/>
        </w:rPr>
        <w:t>；其他报表</w:t>
      </w:r>
      <w:r>
        <w:rPr>
          <w:rFonts w:hint="eastAsia" w:ascii="宋体" w:hAnsi="宋体"/>
          <w:bCs/>
          <w:szCs w:val="21"/>
        </w:rPr>
        <w:t>开网时间为202</w:t>
      </w:r>
      <w:r>
        <w:rPr>
          <w:rFonts w:hint="eastAsia" w:ascii="宋体" w:hAnsi="宋体"/>
          <w:bCs/>
          <w:szCs w:val="21"/>
          <w:lang w:val="en-US" w:eastAsia="zh-CN"/>
        </w:rPr>
        <w:t>5</w:t>
      </w:r>
      <w:r>
        <w:rPr>
          <w:rFonts w:hint="eastAsia" w:ascii="宋体" w:hAnsi="宋体"/>
          <w:bCs/>
          <w:szCs w:val="21"/>
        </w:rPr>
        <w:t>年1月20日0时</w:t>
      </w:r>
      <w:r>
        <w:rPr>
          <w:rFonts w:hint="eastAsia" w:ascii="宋体" w:hAnsi="宋体"/>
          <w:bCs/>
          <w:szCs w:val="21"/>
          <w:lang w:eastAsia="zh-CN"/>
        </w:rPr>
        <w:t>，</w:t>
      </w:r>
      <w:r>
        <w:rPr>
          <w:rFonts w:hint="eastAsia" w:ascii="宋体" w:hAnsi="宋体"/>
          <w:bCs/>
          <w:szCs w:val="21"/>
        </w:rPr>
        <w:t>调查单位上报截止时间为</w:t>
      </w:r>
      <w:r>
        <w:rPr>
          <w:rFonts w:hint="eastAsia" w:ascii="宋体" w:hAnsi="宋体"/>
          <w:bCs/>
          <w:szCs w:val="21"/>
          <w:lang w:val="en-US" w:eastAsia="zh-CN"/>
        </w:rPr>
        <w:t>2025年3</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w:t>
      </w:r>
      <w:r>
        <w:rPr>
          <w:rFonts w:hint="eastAsia" w:ascii="宋体" w:hAnsi="宋体"/>
          <w:bCs/>
          <w:szCs w:val="21"/>
          <w:lang w:val="en-US" w:eastAsia="zh-CN"/>
        </w:rPr>
        <w:t>24</w:t>
      </w:r>
      <w:r>
        <w:rPr>
          <w:rFonts w:hint="eastAsia" w:ascii="宋体" w:hAnsi="宋体"/>
          <w:bCs/>
          <w:szCs w:val="21"/>
        </w:rPr>
        <w:t>:0</w:t>
      </w:r>
      <w:r>
        <w:rPr>
          <w:rFonts w:hint="eastAsia" w:ascii="宋体" w:hAnsi="宋体"/>
          <w:bCs/>
          <w:szCs w:val="21"/>
          <w:lang w:val="en-US" w:eastAsia="zh-CN"/>
        </w:rPr>
        <w:t>0</w:t>
      </w:r>
      <w:r>
        <w:rPr>
          <w:rFonts w:hint="eastAsia" w:ascii="宋体" w:hAnsi="宋体"/>
          <w:bCs/>
          <w:szCs w:val="21"/>
        </w:rPr>
        <w:t>。202</w:t>
      </w:r>
      <w:r>
        <w:rPr>
          <w:rFonts w:hint="eastAsia" w:ascii="宋体" w:hAnsi="宋体"/>
          <w:bCs/>
          <w:szCs w:val="21"/>
          <w:lang w:val="en-US" w:eastAsia="zh-CN"/>
        </w:rPr>
        <w:t>5</w:t>
      </w:r>
      <w:r>
        <w:rPr>
          <w:rFonts w:hint="eastAsia" w:ascii="宋体" w:hAnsi="宋体"/>
          <w:bCs/>
          <w:szCs w:val="21"/>
        </w:rPr>
        <w:t>年定期报表管理时间详见</w:t>
      </w:r>
      <w:r>
        <w:rPr>
          <w:rFonts w:hint="eastAsia" w:ascii="宋体" w:hAnsi="宋体"/>
          <w:bCs/>
          <w:szCs w:val="21"/>
          <w:lang w:eastAsia="zh-CN"/>
        </w:rPr>
        <w:t>报表目录或表底说明</w:t>
      </w:r>
      <w:r>
        <w:rPr>
          <w:rFonts w:hint="eastAsia" w:ascii="宋体" w:hAnsi="宋体"/>
          <w:bCs/>
          <w:szCs w:val="21"/>
        </w:rPr>
        <w:t>。</w:t>
      </w:r>
    </w:p>
    <w:p>
      <w:pPr>
        <w:spacing w:line="380" w:lineRule="exact"/>
        <w:ind w:firstLine="420" w:firstLineChars="200"/>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.本制度各表中时期、时点数据的具体填报要求（如“本月”“1—本月”“上年同期”等）详见</w:t>
      </w:r>
      <w:r>
        <w:rPr>
          <w:rFonts w:hint="eastAsia" w:ascii="宋体" w:hAnsi="宋体"/>
          <w:bCs/>
          <w:szCs w:val="21"/>
          <w:lang w:eastAsia="zh-CN"/>
        </w:rPr>
        <w:t>表底说明</w:t>
      </w:r>
      <w:r>
        <w:rPr>
          <w:rFonts w:hint="eastAsia" w:ascii="宋体" w:hAnsi="宋体"/>
          <w:bCs/>
          <w:szCs w:val="21"/>
        </w:rPr>
        <w:t>。报表中“上年同期”数据统一由国家统计局在数据处理软件中复制，调查单位和各级统计机构原则上不得修改；本年新增的调查单位自行填报“上年同期”数据；涉及拆分</w:t>
      </w:r>
      <w:r>
        <w:rPr>
          <w:rFonts w:ascii="宋体" w:hAnsi="宋体"/>
          <w:bCs/>
          <w:szCs w:val="21"/>
        </w:rPr>
        <w:t>、</w:t>
      </w:r>
      <w:r>
        <w:rPr>
          <w:rFonts w:hint="eastAsia" w:ascii="宋体" w:hAnsi="宋体"/>
          <w:bCs/>
          <w:szCs w:val="21"/>
        </w:rPr>
        <w:t>兼并</w:t>
      </w:r>
      <w:r>
        <w:rPr>
          <w:rFonts w:ascii="宋体" w:hAnsi="宋体"/>
          <w:bCs/>
          <w:szCs w:val="21"/>
        </w:rPr>
        <w:t>、重组等情况的企业，经国家统计局批准后，调查单位可调整</w:t>
      </w:r>
      <w:r>
        <w:rPr>
          <w:rFonts w:hint="eastAsia" w:ascii="宋体" w:hAnsi="宋体"/>
          <w:bCs/>
          <w:szCs w:val="21"/>
        </w:rPr>
        <w:t>上年</w:t>
      </w:r>
      <w:r>
        <w:rPr>
          <w:rFonts w:ascii="宋体" w:hAnsi="宋体"/>
          <w:bCs/>
          <w:szCs w:val="21"/>
        </w:rPr>
        <w:t>同期数；本年新增指标的</w:t>
      </w:r>
      <w:r>
        <w:rPr>
          <w:rFonts w:hint="eastAsia" w:ascii="宋体" w:hAnsi="宋体"/>
          <w:bCs/>
          <w:szCs w:val="21"/>
        </w:rPr>
        <w:t>上年</w:t>
      </w:r>
      <w:r>
        <w:rPr>
          <w:rFonts w:ascii="宋体" w:hAnsi="宋体"/>
          <w:bCs/>
          <w:szCs w:val="21"/>
        </w:rPr>
        <w:t>同期数由调查单位自行填报</w:t>
      </w:r>
      <w:r>
        <w:rPr>
          <w:rFonts w:hint="eastAsia" w:ascii="宋体" w:hAnsi="宋体"/>
          <w:bCs/>
          <w:szCs w:val="21"/>
        </w:rPr>
        <w:t>。</w:t>
      </w:r>
    </w:p>
    <w:p>
      <w:pPr>
        <w:spacing w:line="380" w:lineRule="exact"/>
        <w:ind w:firstLine="420" w:firstLineChars="200"/>
        <w:rPr>
          <w:rFonts w:ascii="宋体" w:hAnsi="宋体"/>
          <w:bCs/>
          <w:szCs w:val="21"/>
        </w:rPr>
      </w:pPr>
      <w:r>
        <w:rPr>
          <w:rFonts w:hint="eastAsia" w:ascii="宋体" w:hAnsi="宋体"/>
          <w:bCs/>
          <w:szCs w:val="21"/>
          <w:lang w:val="en-US" w:eastAsia="zh-CN"/>
        </w:rPr>
        <w:t>3</w:t>
      </w:r>
      <w:r>
        <w:rPr>
          <w:rFonts w:hint="eastAsia" w:ascii="宋体" w:hAnsi="宋体"/>
          <w:bCs/>
          <w:szCs w:val="21"/>
        </w:rPr>
        <w:t>.经审核通过的注销或吊销、停业（歇业）退出单位，国家统计局将在</w:t>
      </w:r>
      <w:r>
        <w:rPr>
          <w:rFonts w:hint="eastAsia" w:ascii="宋体" w:hAnsi="宋体"/>
          <w:bCs/>
          <w:szCs w:val="21"/>
          <w:lang w:eastAsia="zh-CN"/>
        </w:rPr>
        <w:t>一套表</w:t>
      </w:r>
      <w:r>
        <w:rPr>
          <w:rFonts w:hint="eastAsia" w:ascii="宋体" w:hAnsi="宋体"/>
          <w:bCs/>
          <w:szCs w:val="21"/>
        </w:rPr>
        <w:t>调查单位基本情况表（</w:t>
      </w:r>
      <w:r>
        <w:rPr>
          <w:rFonts w:hint="eastAsia" w:ascii="宋体" w:hAnsi="宋体"/>
          <w:bCs/>
          <w:szCs w:val="21"/>
          <w:lang w:val="en-US" w:eastAsia="zh-CN"/>
        </w:rPr>
        <w:t>1</w:t>
      </w:r>
      <w:r>
        <w:rPr>
          <w:rFonts w:hint="eastAsia" w:ascii="宋体" w:hAnsi="宋体"/>
          <w:bCs/>
          <w:szCs w:val="21"/>
        </w:rPr>
        <w:t>01</w:t>
      </w:r>
      <w:r>
        <w:rPr>
          <w:rFonts w:hint="eastAsia" w:ascii="宋体" w:hAnsi="宋体"/>
          <w:bCs/>
          <w:szCs w:val="21"/>
          <w:lang w:val="en-US" w:eastAsia="zh-CN"/>
        </w:rPr>
        <w:t>-1</w:t>
      </w:r>
      <w:r>
        <w:rPr>
          <w:rFonts w:hint="eastAsia" w:ascii="宋体" w:hAnsi="宋体"/>
          <w:bCs/>
          <w:szCs w:val="21"/>
        </w:rPr>
        <w:t>表和201-1表）中分别设置摘抄标识，由程序自动摘抄有关后续表当期累计数和上年同期数，摘抄期满后退出一套表调查单位库，单位无需重新申报</w:t>
      </w:r>
      <w:r>
        <w:rPr>
          <w:rFonts w:hint="eastAsia" w:ascii="宋体" w:hAnsi="宋体"/>
          <w:bCs/>
          <w:szCs w:val="21"/>
          <w:lang w:eastAsia="zh-CN"/>
        </w:rPr>
        <w:t>（</w:t>
      </w:r>
      <w:r>
        <w:rPr>
          <w:rFonts w:hint="eastAsia" w:ascii="宋体" w:hAnsi="宋体"/>
          <w:bCs/>
          <w:szCs w:val="21"/>
        </w:rPr>
        <w:t>服务业单位在次年年报时停止摘抄数据并退库</w:t>
      </w:r>
      <w:r>
        <w:rPr>
          <w:rFonts w:hint="eastAsia" w:ascii="宋体" w:hAnsi="宋体"/>
          <w:bCs/>
          <w:szCs w:val="21"/>
          <w:lang w:eastAsia="zh-CN"/>
        </w:rPr>
        <w:t>）。</w:t>
      </w:r>
      <w:r>
        <w:rPr>
          <w:rFonts w:hint="eastAsia" w:ascii="宋体" w:hAnsi="宋体"/>
          <w:bCs/>
          <w:szCs w:val="21"/>
        </w:rPr>
        <w:t>如停业（歇业）退出单位在退出一套表调查单位库前恢复正常运营，需按要求重新申报。经审核通过的注销或吊销退出单位不再属于一套表调查单位，停业（歇业）退出单位摘抄期满后不再属于一套表调查单位。</w:t>
      </w:r>
    </w:p>
    <w:p>
      <w:pPr>
        <w:adjustRightInd w:val="0"/>
        <w:snapToGrid w:val="0"/>
        <w:spacing w:line="450" w:lineRule="exact"/>
        <w:ind w:firstLine="420" w:firstLineChars="200"/>
        <w:rPr>
          <w:rFonts w:hint="eastAsia" w:ascii="宋体" w:cs="宋体"/>
          <w:highlight w:val="none"/>
        </w:rPr>
      </w:pPr>
      <w:r>
        <w:rPr>
          <w:rFonts w:hint="eastAsia" w:ascii="宋体" w:cs="宋体"/>
          <w:highlight w:val="none"/>
          <w:lang w:eastAsia="zh-CN"/>
        </w:rPr>
        <w:t>4</w:t>
      </w:r>
      <w:r>
        <w:rPr>
          <w:rFonts w:hint="eastAsia" w:ascii="宋体" w:cs="宋体"/>
          <w:highlight w:val="none"/>
          <w:lang w:val="en-US" w:eastAsia="zh-CN"/>
        </w:rPr>
        <w:t>.</w:t>
      </w:r>
      <w:r>
        <w:rPr>
          <w:rFonts w:hint="eastAsia" w:ascii="宋体" w:cs="宋体"/>
          <w:highlight w:val="none"/>
        </w:rPr>
        <w:t>根据《国家统计局关于印发统计单位划分及具体处理办法的通知》（国统字〔2011〕96号）第八条规定：对统计单位按照在地原则进行统计，即统计单位按照以下情况归入所在区域的统计范围：一是经营地与行政登记住所在同一县级行政区域的统计单位，归入该县级区域的统计范围；二是经营地与行政登记住所不在同一县级行政区域的统计单位，原则上归入经营地所在的县级区域的统计范围；三是有两处或两处以上经营地的统计单位，归入主要经营地所在的县级区域的统计范围。统计单位的主要经营地发生跨区变更，需及时告知变更前后所在的区统计局。当年的</w:t>
      </w:r>
      <w:r>
        <w:rPr>
          <w:rFonts w:ascii="宋体" w:cs="宋体"/>
          <w:highlight w:val="none"/>
        </w:rPr>
        <w:t>年定报培训布置工作</w:t>
      </w:r>
      <w:r>
        <w:rPr>
          <w:rFonts w:hint="eastAsia" w:ascii="宋体" w:cs="宋体"/>
          <w:highlight w:val="none"/>
        </w:rPr>
        <w:t>由变更后所在的区统计局机构负责。</w:t>
      </w:r>
    </w:p>
    <w:p>
      <w:pPr>
        <w:adjustRightInd w:val="0"/>
        <w:snapToGrid w:val="0"/>
        <w:spacing w:line="450" w:lineRule="exact"/>
        <w:ind w:firstLine="420" w:firstLineChars="200"/>
        <w:rPr>
          <w:rFonts w:hint="eastAsia" w:ascii="宋体" w:cs="宋体"/>
          <w:highlight w:val="none"/>
        </w:rPr>
      </w:pPr>
      <w:r>
        <w:rPr>
          <w:rFonts w:hint="eastAsia" w:ascii="宋体" w:cs="宋体"/>
          <w:highlight w:val="none"/>
          <w:lang w:val="en-US" w:eastAsia="zh-CN"/>
        </w:rPr>
        <w:t>5</w:t>
      </w:r>
      <w:r>
        <w:rPr>
          <w:rFonts w:hint="eastAsia" w:ascii="宋体" w:eastAsia="宋体" w:cs="宋体"/>
          <w:highlight w:val="none"/>
        </w:rPr>
        <w:t>.按照《中华人民共和国统计法》的要求,为保障源头数据质量,做到数出有据,调查单位应该设置原始纪录、统计台账，建立健全统计资料的审核、签署、交接和归档</w:t>
      </w:r>
      <w:r>
        <w:rPr>
          <w:rFonts w:hint="eastAsia" w:ascii="宋体" w:cs="宋体"/>
          <w:highlight w:val="none"/>
        </w:rPr>
        <w:t>等管理制度。调查单位必须建立电子统计台账。定期报表保存期为3年，年报表保存期为长期。</w:t>
      </w:r>
    </w:p>
    <w:p>
      <w:pPr>
        <w:adjustRightInd w:val="0"/>
        <w:snapToGrid w:val="0"/>
        <w:spacing w:line="450" w:lineRule="exact"/>
        <w:ind w:firstLine="420" w:firstLineChars="200"/>
        <w:rPr>
          <w:rFonts w:hint="eastAsia" w:ascii="宋体" w:cs="宋体"/>
        </w:rPr>
      </w:pPr>
      <w:r>
        <w:rPr>
          <w:rFonts w:hint="eastAsia" w:ascii="宋体" w:cs="宋体"/>
        </w:rPr>
        <w:t>（</w:t>
      </w:r>
      <w:r>
        <w:rPr>
          <w:rFonts w:hint="eastAsia" w:ascii="宋体" w:cs="宋体"/>
          <w:lang w:eastAsia="zh-CN"/>
        </w:rPr>
        <w:t>八</w:t>
      </w:r>
      <w:r>
        <w:rPr>
          <w:rFonts w:hint="eastAsia" w:ascii="宋体" w:cs="宋体"/>
        </w:rPr>
        <w:t>）联系方式</w:t>
      </w:r>
    </w:p>
    <w:tbl>
      <w:tblPr>
        <w:tblStyle w:val="31"/>
        <w:tblW w:w="0" w:type="auto"/>
        <w:jc w:val="center"/>
        <w:tblLayout w:type="autofit"/>
        <w:tblCellMar>
          <w:top w:w="0" w:type="dxa"/>
          <w:left w:w="108" w:type="dxa"/>
          <w:bottom w:w="0" w:type="dxa"/>
          <w:right w:w="108" w:type="dxa"/>
        </w:tblCellMar>
      </w:tblPr>
      <w:tblGrid>
        <w:gridCol w:w="1166"/>
        <w:gridCol w:w="2523"/>
        <w:gridCol w:w="980"/>
        <w:gridCol w:w="1234"/>
        <w:gridCol w:w="1234"/>
        <w:gridCol w:w="2491"/>
      </w:tblGrid>
      <w:tr>
        <w:tblPrEx>
          <w:tblCellMar>
            <w:top w:w="0" w:type="dxa"/>
            <w:left w:w="108" w:type="dxa"/>
            <w:bottom w:w="0" w:type="dxa"/>
            <w:right w:w="108" w:type="dxa"/>
          </w:tblCellMar>
        </w:tblPrEx>
        <w:trPr>
          <w:trHeight w:val="450" w:hRule="atLeast"/>
          <w:jc w:val="center"/>
        </w:trPr>
        <w:tc>
          <w:tcPr>
            <w:tcW w:w="1455" w:type="dxa"/>
            <w:tcBorders>
              <w:top w:val="single" w:color="auto" w:sz="8"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单  位</w:t>
            </w:r>
          </w:p>
        </w:tc>
        <w:tc>
          <w:tcPr>
            <w:tcW w:w="3266" w:type="dxa"/>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地    址</w:t>
            </w:r>
          </w:p>
        </w:tc>
        <w:tc>
          <w:tcPr>
            <w:tcW w:w="0" w:type="auto"/>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邮编</w:t>
            </w:r>
          </w:p>
        </w:tc>
        <w:tc>
          <w:tcPr>
            <w:tcW w:w="0" w:type="auto"/>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单位</w:t>
            </w:r>
            <w:r>
              <w:rPr>
                <w:rFonts w:hint="default" w:ascii="Times New Roman" w:hAnsi="Times New Roman" w:cs="Times New Roman"/>
                <w:kern w:val="0"/>
                <w:lang w:val="en-US" w:eastAsia="zh-CN"/>
              </w:rPr>
              <w:t xml:space="preserve">  </w:t>
            </w:r>
            <w:r>
              <w:rPr>
                <w:rFonts w:hint="default" w:ascii="Times New Roman" w:hAnsi="Times New Roman" w:cs="Times New Roman"/>
                <w:kern w:val="0"/>
              </w:rPr>
              <w:t>电话</w:t>
            </w:r>
          </w:p>
        </w:tc>
        <w:tc>
          <w:tcPr>
            <w:tcW w:w="0" w:type="auto"/>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传真</w:t>
            </w:r>
          </w:p>
        </w:tc>
        <w:tc>
          <w:tcPr>
            <w:tcW w:w="0" w:type="auto"/>
            <w:tcBorders>
              <w:top w:val="single" w:color="auto" w:sz="8" w:space="0"/>
              <w:left w:val="single" w:color="auto" w:sz="4" w:space="0"/>
              <w:bottom w:val="single" w:color="auto" w:sz="4" w:space="0"/>
              <w:right w:val="nil"/>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邮箱</w:t>
            </w:r>
          </w:p>
        </w:tc>
      </w:tr>
      <w:tr>
        <w:tblPrEx>
          <w:tblCellMar>
            <w:top w:w="0" w:type="dxa"/>
            <w:left w:w="108" w:type="dxa"/>
            <w:bottom w:w="0" w:type="dxa"/>
            <w:right w:w="108" w:type="dxa"/>
          </w:tblCellMar>
        </w:tblPrEx>
        <w:trPr>
          <w:trHeight w:val="450"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广州市府前路1号市府大院1号楼五楼</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510030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83126292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fwy@gz.gov.cn</w:t>
            </w:r>
          </w:p>
        </w:tc>
      </w:tr>
      <w:tr>
        <w:tblPrEx>
          <w:tblCellMar>
            <w:top w:w="0" w:type="dxa"/>
            <w:left w:w="108" w:type="dxa"/>
            <w:bottom w:w="0" w:type="dxa"/>
            <w:right w:w="108" w:type="dxa"/>
          </w:tblCellMar>
        </w:tblPrEx>
        <w:trPr>
          <w:trHeight w:val="450"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荔湾区统计局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广州市荔湾区</w:t>
            </w:r>
            <w:r>
              <w:rPr>
                <w:rFonts w:hint="default" w:ascii="Times New Roman" w:hAnsi="Times New Roman" w:cs="Times New Roman"/>
              </w:rPr>
              <w:t>逢源路129号804室</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510150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81874633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81863153</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lwqfwy@126.com</w:t>
            </w:r>
          </w:p>
        </w:tc>
      </w:tr>
      <w:tr>
        <w:tblPrEx>
          <w:tblCellMar>
            <w:top w:w="0" w:type="dxa"/>
            <w:left w:w="108" w:type="dxa"/>
            <w:bottom w:w="0" w:type="dxa"/>
            <w:right w:w="108" w:type="dxa"/>
          </w:tblCellMar>
        </w:tblPrEx>
        <w:trPr>
          <w:trHeight w:val="525"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越秀区统计局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广州市越秀区惠福东路486号7楼</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510115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83262823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yxt</w:t>
            </w:r>
            <w:r>
              <w:rPr>
                <w:rFonts w:hint="default" w:ascii="Times New Roman" w:hAnsi="Times New Roman" w:cs="Times New Roman"/>
                <w:sz w:val="20"/>
                <w:szCs w:val="20"/>
                <w:lang w:val="en-US" w:eastAsia="zh-CN"/>
              </w:rPr>
              <w:t>j</w:t>
            </w:r>
            <w:r>
              <w:rPr>
                <w:rFonts w:hint="default" w:ascii="Times New Roman" w:hAnsi="Times New Roman" w:cs="Times New Roman"/>
                <w:sz w:val="20"/>
                <w:szCs w:val="20"/>
              </w:rPr>
              <w:t>jfwy@gz.gov.cn</w:t>
            </w:r>
          </w:p>
        </w:tc>
      </w:tr>
      <w:tr>
        <w:tblPrEx>
          <w:tblCellMar>
            <w:top w:w="0" w:type="dxa"/>
            <w:left w:w="108" w:type="dxa"/>
            <w:bottom w:w="0" w:type="dxa"/>
            <w:right w:w="108" w:type="dxa"/>
          </w:tblCellMar>
        </w:tblPrEx>
        <w:trPr>
          <w:trHeight w:val="540"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海珠区统计局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广州市海珠区泰沙路555号80</w:t>
            </w:r>
            <w:r>
              <w:rPr>
                <w:rFonts w:hint="default" w:ascii="Times New Roman" w:hAnsi="Times New Roman" w:cs="Times New Roman"/>
                <w:sz w:val="20"/>
                <w:szCs w:val="20"/>
                <w:lang w:val="en-US" w:eastAsia="zh-CN"/>
              </w:rPr>
              <w:t>5</w:t>
            </w:r>
            <w:r>
              <w:rPr>
                <w:rFonts w:hint="default" w:ascii="Times New Roman" w:hAnsi="Times New Roman" w:cs="Times New Roman"/>
                <w:sz w:val="20"/>
                <w:szCs w:val="20"/>
              </w:rPr>
              <w:t>室</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510260</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rPr>
              <w:t>343811</w:t>
            </w:r>
            <w:r>
              <w:rPr>
                <w:rFonts w:hint="default" w:ascii="Times New Roman" w:hAnsi="Times New Roman" w:cs="Times New Roman"/>
                <w:sz w:val="20"/>
                <w:szCs w:val="20"/>
                <w:lang w:val="en-US" w:eastAsia="zh-CN"/>
              </w:rPr>
              <w:t>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34386680</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hzfwyzx@163.com</w:t>
            </w:r>
          </w:p>
        </w:tc>
      </w:tr>
      <w:tr>
        <w:tblPrEx>
          <w:tblCellMar>
            <w:top w:w="0" w:type="dxa"/>
            <w:left w:w="108" w:type="dxa"/>
            <w:bottom w:w="0" w:type="dxa"/>
            <w:right w:w="108" w:type="dxa"/>
          </w:tblCellMar>
        </w:tblPrEx>
        <w:trPr>
          <w:trHeight w:val="450"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天河区统计局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广州市天河区天府路1号政府大院2号楼11楼</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510655</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38622224</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38624384</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tjj-thfwy@thnet.gov.cn</w:t>
            </w:r>
          </w:p>
        </w:tc>
      </w:tr>
      <w:tr>
        <w:tblPrEx>
          <w:tblCellMar>
            <w:top w:w="0" w:type="dxa"/>
            <w:left w:w="108" w:type="dxa"/>
            <w:bottom w:w="0" w:type="dxa"/>
            <w:right w:w="108" w:type="dxa"/>
          </w:tblCellMar>
        </w:tblPrEx>
        <w:trPr>
          <w:trHeight w:val="450"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白云区统计局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广州市白云区河田西路68号大院6楼</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510405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36255116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86236274</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byqfwy@163.com</w:t>
            </w:r>
          </w:p>
        </w:tc>
      </w:tr>
      <w:tr>
        <w:tblPrEx>
          <w:tblCellMar>
            <w:top w:w="0" w:type="dxa"/>
            <w:left w:w="108" w:type="dxa"/>
            <w:bottom w:w="0" w:type="dxa"/>
            <w:right w:w="108" w:type="dxa"/>
          </w:tblCellMar>
        </w:tblPrEx>
        <w:trPr>
          <w:trHeight w:val="510"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黄埔区统计局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广州市黄埔区水西路12号B栋614房</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510700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82111491</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82378575</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gaoy1@gdd.gov.cn</w:t>
            </w:r>
          </w:p>
        </w:tc>
      </w:tr>
      <w:tr>
        <w:tblPrEx>
          <w:tblCellMar>
            <w:top w:w="0" w:type="dxa"/>
            <w:left w:w="108" w:type="dxa"/>
            <w:bottom w:w="0" w:type="dxa"/>
            <w:right w:w="108" w:type="dxa"/>
          </w:tblCellMar>
        </w:tblPrEx>
        <w:trPr>
          <w:trHeight w:val="664"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番禺区统计局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rPr>
              <w:t>广州市番禺区市桥街道清河东路319号区行政办公中心西副楼五楼</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511400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84636051</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84636048</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zhtjk@panyu.gov.cn</w:t>
            </w:r>
          </w:p>
        </w:tc>
      </w:tr>
      <w:tr>
        <w:tblPrEx>
          <w:tblCellMar>
            <w:top w:w="0" w:type="dxa"/>
            <w:left w:w="108" w:type="dxa"/>
            <w:bottom w:w="0" w:type="dxa"/>
            <w:right w:w="108" w:type="dxa"/>
          </w:tblCellMar>
        </w:tblPrEx>
        <w:trPr>
          <w:trHeight w:val="265" w:hRule="atLeast"/>
          <w:jc w:val="center"/>
        </w:trPr>
        <w:tc>
          <w:tcPr>
            <w:tcW w:w="1455" w:type="dxa"/>
            <w:vMerge w:val="restart"/>
            <w:tcBorders>
              <w:top w:val="single" w:color="auto" w:sz="4" w:space="0"/>
              <w:left w:val="nil"/>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花都区统计局</w:t>
            </w:r>
          </w:p>
        </w:tc>
        <w:tc>
          <w:tcPr>
            <w:tcW w:w="3266" w:type="dxa"/>
            <w:vMerge w:val="restart"/>
            <w:tcBorders>
              <w:top w:val="single" w:color="auto" w:sz="4" w:space="0"/>
              <w:left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广州市花都区新华街松园路13号305室</w:t>
            </w: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510800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36899067  </w:t>
            </w: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0" w:type="auto"/>
            <w:vMerge w:val="restart"/>
            <w:tcBorders>
              <w:top w:val="single" w:color="auto" w:sz="4" w:space="0"/>
              <w:left w:val="single" w:color="auto" w:sz="4" w:space="0"/>
              <w:right w:val="nil"/>
            </w:tcBorders>
            <w:noWrap w:val="0"/>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rPr>
              <w:t>chenlt@huadu.gov.cn</w:t>
            </w:r>
          </w:p>
        </w:tc>
      </w:tr>
      <w:tr>
        <w:tblPrEx>
          <w:tblCellMar>
            <w:top w:w="0" w:type="dxa"/>
            <w:left w:w="108" w:type="dxa"/>
            <w:bottom w:w="0" w:type="dxa"/>
            <w:right w:w="108" w:type="dxa"/>
          </w:tblCellMar>
        </w:tblPrEx>
        <w:trPr>
          <w:trHeight w:val="265" w:hRule="atLeast"/>
          <w:jc w:val="center"/>
        </w:trPr>
        <w:tc>
          <w:tcPr>
            <w:tcW w:w="1455"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3266"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0" w:type="auto"/>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36898321</w:t>
            </w:r>
          </w:p>
        </w:tc>
        <w:tc>
          <w:tcPr>
            <w:tcW w:w="0" w:type="auto"/>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c>
          <w:tcPr>
            <w:tcW w:w="0" w:type="auto"/>
            <w:vMerge w:val="continue"/>
            <w:tcBorders>
              <w:left w:val="single" w:color="auto" w:sz="4" w:space="0"/>
              <w:bottom w:val="single" w:color="auto" w:sz="4" w:space="0"/>
              <w:right w:val="nil"/>
            </w:tcBorders>
            <w:noWrap w:val="0"/>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40"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南沙区统计局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广州市南沙区凤凰大道1号E栋5楼</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511455</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39054437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lang w:val="en"/>
              </w:rPr>
            </w:pPr>
            <w:r>
              <w:rPr>
                <w:rFonts w:hint="default" w:ascii="Times New Roman" w:hAnsi="Times New Roman" w:cs="Times New Roman"/>
                <w:sz w:val="20"/>
                <w:szCs w:val="20"/>
              </w:rPr>
              <w:t>-</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nsqtjjcwm@gz.gov.cn</w:t>
            </w:r>
          </w:p>
        </w:tc>
      </w:tr>
      <w:tr>
        <w:tblPrEx>
          <w:tblCellMar>
            <w:top w:w="0" w:type="dxa"/>
            <w:left w:w="108" w:type="dxa"/>
            <w:bottom w:w="0" w:type="dxa"/>
            <w:right w:w="108" w:type="dxa"/>
          </w:tblCellMar>
        </w:tblPrEx>
        <w:trPr>
          <w:trHeight w:val="540" w:hRule="atLeast"/>
          <w:jc w:val="center"/>
        </w:trPr>
        <w:tc>
          <w:tcPr>
            <w:tcW w:w="1455"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从化区统计局</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广州市从化区河滨北路128号城晖大厦7楼</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510900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87920368</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87923158</w:t>
            </w:r>
          </w:p>
        </w:tc>
        <w:tc>
          <w:tcPr>
            <w:tcW w:w="0" w:type="auto"/>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fwy440184@sina.com</w:t>
            </w:r>
          </w:p>
        </w:tc>
      </w:tr>
      <w:tr>
        <w:tblPrEx>
          <w:tblCellMar>
            <w:top w:w="0" w:type="dxa"/>
            <w:left w:w="108" w:type="dxa"/>
            <w:bottom w:w="0" w:type="dxa"/>
            <w:right w:w="108" w:type="dxa"/>
          </w:tblCellMar>
        </w:tblPrEx>
        <w:trPr>
          <w:trHeight w:val="292" w:hRule="atLeast"/>
          <w:jc w:val="center"/>
        </w:trPr>
        <w:tc>
          <w:tcPr>
            <w:tcW w:w="1455" w:type="dxa"/>
            <w:vMerge w:val="restart"/>
            <w:tcBorders>
              <w:top w:val="single" w:color="auto" w:sz="4" w:space="0"/>
              <w:left w:val="nil"/>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增城区统计局</w:t>
            </w:r>
          </w:p>
        </w:tc>
        <w:tc>
          <w:tcPr>
            <w:tcW w:w="3266" w:type="dxa"/>
            <w:vMerge w:val="restart"/>
            <w:tcBorders>
              <w:top w:val="single" w:color="auto" w:sz="4" w:space="0"/>
              <w:left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广州市增城区荔湖街惠民路1号4号楼529室</w:t>
            </w: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511300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82733991</w:t>
            </w: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82755165</w:t>
            </w:r>
          </w:p>
        </w:tc>
        <w:tc>
          <w:tcPr>
            <w:tcW w:w="0" w:type="auto"/>
            <w:vMerge w:val="restart"/>
            <w:tcBorders>
              <w:top w:val="single" w:color="auto" w:sz="4" w:space="0"/>
              <w:left w:val="single" w:color="auto" w:sz="4" w:space="0"/>
              <w:right w:val="nil"/>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zctjjfwy@gz.gov.cn</w:t>
            </w:r>
          </w:p>
        </w:tc>
      </w:tr>
      <w:tr>
        <w:tblPrEx>
          <w:tblCellMar>
            <w:top w:w="0" w:type="dxa"/>
            <w:left w:w="108" w:type="dxa"/>
            <w:bottom w:w="0" w:type="dxa"/>
            <w:right w:w="108" w:type="dxa"/>
          </w:tblCellMar>
        </w:tblPrEx>
        <w:trPr>
          <w:trHeight w:val="292" w:hRule="atLeast"/>
          <w:jc w:val="center"/>
        </w:trPr>
        <w:tc>
          <w:tcPr>
            <w:tcW w:w="1455" w:type="dxa"/>
            <w:vMerge w:val="continue"/>
            <w:tcBorders>
              <w:left w:val="nil"/>
              <w:bottom w:val="single" w:color="auto" w:sz="8" w:space="0"/>
              <w:right w:val="single" w:color="auto" w:sz="4" w:space="0"/>
            </w:tcBorders>
            <w:noWrap w:val="0"/>
            <w:vAlign w:val="center"/>
          </w:tcPr>
          <w:p>
            <w:pPr>
              <w:jc w:val="center"/>
              <w:rPr>
                <w:rFonts w:hint="default" w:ascii="Times New Roman" w:hAnsi="Times New Roman" w:cs="Times New Roman"/>
              </w:rPr>
            </w:pPr>
          </w:p>
        </w:tc>
        <w:tc>
          <w:tcPr>
            <w:tcW w:w="3266" w:type="dxa"/>
            <w:vMerge w:val="continue"/>
            <w:tcBorders>
              <w:left w:val="single" w:color="auto" w:sz="4" w:space="0"/>
              <w:bottom w:val="single" w:color="auto" w:sz="8" w:space="0"/>
              <w:right w:val="single" w:color="auto" w:sz="4" w:space="0"/>
            </w:tcBorders>
            <w:noWrap w:val="0"/>
            <w:vAlign w:val="center"/>
          </w:tcPr>
          <w:p>
            <w:pPr>
              <w:jc w:val="center"/>
              <w:rPr>
                <w:rFonts w:hint="default" w:ascii="Times New Roman" w:hAnsi="Times New Roman" w:cs="Times New Roman"/>
              </w:rPr>
            </w:pPr>
          </w:p>
        </w:tc>
        <w:tc>
          <w:tcPr>
            <w:tcW w:w="0" w:type="auto"/>
            <w:vMerge w:val="continue"/>
            <w:tcBorders>
              <w:left w:val="single" w:color="auto" w:sz="4" w:space="0"/>
              <w:bottom w:val="single" w:color="auto" w:sz="8" w:space="0"/>
              <w:right w:val="single" w:color="auto" w:sz="4" w:space="0"/>
            </w:tcBorders>
            <w:noWrap w:val="0"/>
            <w:vAlign w:val="center"/>
          </w:tcPr>
          <w:p>
            <w:pPr>
              <w:jc w:val="center"/>
              <w:rPr>
                <w:rFonts w:hint="default" w:ascii="Times New Roman" w:hAnsi="Times New Roman" w:cs="Times New Roman"/>
              </w:rPr>
            </w:pPr>
          </w:p>
        </w:tc>
        <w:tc>
          <w:tcPr>
            <w:tcW w:w="0" w:type="auto"/>
            <w:tcBorders>
              <w:top w:val="single" w:color="auto" w:sz="4" w:space="0"/>
              <w:left w:val="single" w:color="auto" w:sz="4" w:space="0"/>
              <w:bottom w:val="single" w:color="auto" w:sz="8"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82755165</w:t>
            </w:r>
          </w:p>
        </w:tc>
        <w:tc>
          <w:tcPr>
            <w:tcW w:w="0" w:type="auto"/>
            <w:vMerge w:val="continue"/>
            <w:tcBorders>
              <w:left w:val="single" w:color="auto" w:sz="4" w:space="0"/>
              <w:bottom w:val="single" w:color="auto" w:sz="8" w:space="0"/>
              <w:right w:val="single" w:color="auto" w:sz="4" w:space="0"/>
            </w:tcBorders>
            <w:noWrap w:val="0"/>
            <w:vAlign w:val="center"/>
          </w:tcPr>
          <w:p>
            <w:pPr>
              <w:jc w:val="center"/>
              <w:rPr>
                <w:rFonts w:hint="default" w:ascii="Times New Roman" w:hAnsi="Times New Roman" w:cs="Times New Roman"/>
                <w:sz w:val="20"/>
                <w:szCs w:val="20"/>
              </w:rPr>
            </w:pPr>
          </w:p>
        </w:tc>
        <w:tc>
          <w:tcPr>
            <w:tcW w:w="0" w:type="auto"/>
            <w:vMerge w:val="continue"/>
            <w:tcBorders>
              <w:left w:val="single" w:color="auto" w:sz="4" w:space="0"/>
              <w:bottom w:val="single" w:color="auto" w:sz="8" w:space="0"/>
              <w:right w:val="nil"/>
            </w:tcBorders>
            <w:noWrap w:val="0"/>
            <w:vAlign w:val="center"/>
          </w:tcPr>
          <w:p>
            <w:pPr>
              <w:jc w:val="center"/>
              <w:rPr>
                <w:rFonts w:hint="default" w:ascii="Times New Roman" w:hAnsi="Times New Roman" w:cs="Times New Roman"/>
                <w:sz w:val="20"/>
                <w:szCs w:val="20"/>
              </w:rPr>
            </w:pPr>
          </w:p>
        </w:tc>
      </w:tr>
    </w:tbl>
    <w:p>
      <w:pPr>
        <w:snapToGrid w:val="0"/>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广州市统计信息网网址：</w:t>
      </w:r>
      <w:r>
        <w:rPr>
          <w:rFonts w:hint="default" w:ascii="Times New Roman" w:hAnsi="Times New Roman" w:eastAsia="宋体" w:cs="Times New Roman"/>
          <w:kern w:val="0"/>
          <w:sz w:val="21"/>
          <w:szCs w:val="21"/>
          <w:lang w:val="en-US" w:eastAsia="zh-CN" w:bidi="ar-SA"/>
        </w:rPr>
        <w:t>http://tjj.gz.gov.cn/</w:t>
      </w:r>
    </w:p>
    <w:p>
      <w:pPr>
        <w:snapToGrid w:val="0"/>
        <w:spacing w:line="360" w:lineRule="exact"/>
        <w:ind w:firstLine="420" w:firstLineChars="200"/>
        <w:rPr>
          <w:rFonts w:hint="default" w:ascii="Times New Roman" w:hAnsi="Times New Roman"/>
          <w:kern w:val="0"/>
          <w:szCs w:val="21"/>
        </w:rPr>
      </w:pPr>
      <w:r>
        <w:rPr>
          <w:rFonts w:hint="default" w:ascii="Times New Roman" w:hAnsi="Times New Roman" w:cs="Times New Roman"/>
          <w:kern w:val="0"/>
          <w:szCs w:val="21"/>
        </w:rPr>
        <w:t>国家统计云联网直报系统网址：https://tjy.stats.gov.cn/platform/page.html#/pc/internetLogin</w:t>
      </w:r>
    </w:p>
    <w:p>
      <w:pPr>
        <w:pStyle w:val="4"/>
        <w:keepNext/>
        <w:keepLines/>
        <w:pageBreakBefore w:val="0"/>
        <w:widowControl w:val="0"/>
        <w:kinsoku/>
        <w:wordWrap/>
        <w:overflowPunct/>
        <w:topLinePunct w:val="0"/>
        <w:autoSpaceDE/>
        <w:autoSpaceDN/>
        <w:bidi w:val="0"/>
        <w:adjustRightInd/>
        <w:snapToGrid w:val="0"/>
        <w:spacing w:after="95" w:afterLines="30" w:line="440" w:lineRule="exact"/>
        <w:ind w:firstLine="0" w:firstLineChars="0"/>
        <w:jc w:val="center"/>
        <w:textAlignment w:val="auto"/>
        <w:rPr>
          <w:rFonts w:hint="default" w:ascii="Times New Roman" w:hAnsi="Times New Roman" w:cs="Times New Roman"/>
          <w:szCs w:val="28"/>
        </w:rPr>
      </w:pPr>
      <w:r>
        <w:rPr>
          <w:rFonts w:ascii="Nimbus Roman No9 L" w:hAnsi="Nimbus Roman No9 L" w:cs="Nimbus Roman No9 L"/>
          <w:szCs w:val="36"/>
        </w:rPr>
        <w:br w:type="page"/>
      </w:r>
      <w:bookmarkStart w:id="4" w:name="_Toc999704227"/>
      <w:bookmarkStart w:id="5" w:name="_Toc348810615_WPSOffice_Level1"/>
      <w:bookmarkStart w:id="6" w:name="_Toc1952478221"/>
      <w:bookmarkStart w:id="7" w:name="_Toc39401910"/>
      <w:bookmarkStart w:id="8" w:name="_Toc1195437566"/>
      <w:bookmarkStart w:id="9" w:name="_Toc2070740534"/>
      <w:bookmarkStart w:id="10" w:name="_Toc604453445"/>
      <w:bookmarkStart w:id="11" w:name="_Toc2063137983"/>
      <w:bookmarkStart w:id="12" w:name="_Toc770427951"/>
      <w:bookmarkStart w:id="13" w:name="_Toc2134280128"/>
      <w:bookmarkStart w:id="14" w:name="_Toc261325801"/>
      <w:bookmarkStart w:id="15" w:name="_Toc1429055271"/>
      <w:bookmarkStart w:id="16" w:name="_Toc555228781"/>
      <w:bookmarkStart w:id="17" w:name="_Toc689844071"/>
      <w:bookmarkStart w:id="18" w:name="_Toc1099703499"/>
      <w:bookmarkStart w:id="19" w:name="_Toc1231324962"/>
      <w:bookmarkStart w:id="20" w:name="_Toc102777621"/>
      <w:bookmarkStart w:id="21" w:name="_Toc1512383318"/>
      <w:bookmarkStart w:id="22" w:name="_Toc250576742"/>
      <w:bookmarkStart w:id="23" w:name="_Toc1232016311"/>
      <w:bookmarkStart w:id="24" w:name="_Toc2006633190"/>
      <w:bookmarkStart w:id="25" w:name="_Toc562768852"/>
      <w:bookmarkStart w:id="26" w:name="_Toc1197136089"/>
      <w:bookmarkStart w:id="27" w:name="_Toc1017061343"/>
      <w:bookmarkStart w:id="28" w:name="_Toc1211464476"/>
      <w:bookmarkStart w:id="29" w:name="_Toc1972558784"/>
      <w:bookmarkStart w:id="30" w:name="_Toc1161634277"/>
      <w:bookmarkStart w:id="31" w:name="_Toc634091709"/>
      <w:bookmarkStart w:id="32" w:name="_Toc1529646686"/>
      <w:bookmarkStart w:id="33" w:name="_Toc649363833"/>
      <w:bookmarkStart w:id="34" w:name="_Toc478256502"/>
      <w:bookmarkStart w:id="35" w:name="_Toc1978671227"/>
      <w:bookmarkStart w:id="36" w:name="_Toc2085857975"/>
      <w:bookmarkStart w:id="37" w:name="_Toc744962743"/>
      <w:bookmarkStart w:id="38" w:name="_Toc48218052"/>
      <w:bookmarkStart w:id="39" w:name="_Toc3058"/>
      <w:bookmarkStart w:id="40" w:name="_Toc2134861459"/>
      <w:bookmarkStart w:id="41" w:name="_Toc936969743"/>
      <w:bookmarkStart w:id="42" w:name="_Toc1403368999"/>
      <w:bookmarkStart w:id="43" w:name="_Toc1018971730"/>
      <w:bookmarkStart w:id="44" w:name="_Toc293477019"/>
      <w:bookmarkStart w:id="45" w:name="_Toc869708254"/>
      <w:bookmarkStart w:id="46" w:name="_Toc1937564514"/>
      <w:bookmarkStart w:id="47" w:name="_Toc103398534"/>
      <w:bookmarkStart w:id="48" w:name="_Toc827612695"/>
      <w:bookmarkStart w:id="49" w:name="_Toc1141940997"/>
      <w:bookmarkStart w:id="50" w:name="_Toc1378381323"/>
      <w:bookmarkStart w:id="51" w:name="_Toc972919908"/>
      <w:bookmarkStart w:id="52" w:name="_Toc849152343"/>
      <w:bookmarkStart w:id="53" w:name="_Toc137282442"/>
      <w:bookmarkStart w:id="54" w:name="_Toc776743642"/>
      <w:bookmarkStart w:id="55" w:name="_Toc1049625152"/>
      <w:bookmarkStart w:id="56" w:name="_Toc1477180325"/>
      <w:bookmarkStart w:id="57" w:name="_Toc1390590659"/>
      <w:bookmarkStart w:id="58" w:name="_Toc1317383309"/>
      <w:bookmarkStart w:id="59" w:name="_Toc2112485860"/>
      <w:bookmarkStart w:id="60" w:name="_Toc748451594"/>
      <w:bookmarkStart w:id="61" w:name="_Toc203696689"/>
      <w:bookmarkStart w:id="62" w:name="_Toc873257297"/>
      <w:bookmarkStart w:id="63" w:name="_Toc1518031623"/>
      <w:bookmarkStart w:id="64" w:name="_Toc1579429748"/>
      <w:bookmarkStart w:id="65" w:name="_Toc1749774671_WPSOffice_Level1"/>
      <w:bookmarkStart w:id="66" w:name="_Toc2059790013"/>
      <w:bookmarkStart w:id="67" w:name="_Toc75926848"/>
      <w:bookmarkStart w:id="68" w:name="_Toc1301266729"/>
      <w:bookmarkStart w:id="69" w:name="_Toc697024770"/>
      <w:bookmarkStart w:id="70" w:name="_Toc116374026"/>
      <w:bookmarkStart w:id="71" w:name="_Toc935579489"/>
      <w:bookmarkStart w:id="72" w:name="_Toc69983355"/>
      <w:bookmarkStart w:id="73" w:name="_Toc1340292501"/>
      <w:bookmarkStart w:id="74" w:name="_Toc1760017344"/>
      <w:bookmarkStart w:id="75" w:name="_Toc1872876196"/>
      <w:bookmarkStart w:id="76" w:name="_Toc1896461998"/>
      <w:bookmarkStart w:id="77" w:name="_Toc1334157231"/>
      <w:bookmarkStart w:id="78" w:name="_Toc416013186"/>
      <w:bookmarkStart w:id="79" w:name="_Toc1852658584"/>
      <w:bookmarkStart w:id="80" w:name="_Toc464149129"/>
      <w:bookmarkStart w:id="81" w:name="_Toc1562478431"/>
      <w:bookmarkStart w:id="82" w:name="_Toc1267066025"/>
      <w:bookmarkStart w:id="83" w:name="_Toc1101409919"/>
      <w:bookmarkStart w:id="84" w:name="_Toc395431904"/>
      <w:bookmarkStart w:id="85" w:name="_Toc558742957"/>
      <w:bookmarkStart w:id="86" w:name="_Toc974145234"/>
      <w:bookmarkStart w:id="87" w:name="_Toc17726"/>
      <w:r>
        <w:rPr>
          <w:rFonts w:hint="default" w:ascii="Times New Roman" w:hAnsi="Times New Roman" w:cs="Times New Roman"/>
          <w:sz w:val="32"/>
          <w:szCs w:val="32"/>
          <w:lang w:val="en-US" w:eastAsia="zh-CN"/>
        </w:rPr>
        <w:t>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Start w:id="88" w:name="_Toc132658954"/>
      <w:bookmarkStart w:id="89" w:name="_Toc572856295"/>
      <w:bookmarkStart w:id="90" w:name="_Toc1317021734"/>
      <w:bookmarkStart w:id="91" w:name="_Toc361074204"/>
      <w:bookmarkStart w:id="92" w:name="_Toc303226132"/>
      <w:bookmarkStart w:id="93" w:name="_Toc1598911694"/>
      <w:bookmarkStart w:id="94" w:name="_Toc2052832067"/>
      <w:bookmarkStart w:id="95" w:name="_Toc949021013"/>
      <w:bookmarkStart w:id="96" w:name="_Toc963965195"/>
      <w:bookmarkStart w:id="97" w:name="_Toc1234721092"/>
      <w:bookmarkStart w:id="98" w:name="_Toc281542811"/>
      <w:bookmarkStart w:id="99" w:name="_Toc765013669"/>
      <w:bookmarkStart w:id="100" w:name="_Toc945910207"/>
      <w:bookmarkStart w:id="101" w:name="_Toc1750350719"/>
      <w:bookmarkStart w:id="102" w:name="_Toc1832847586"/>
      <w:bookmarkStart w:id="103" w:name="_Toc1614730938"/>
      <w:bookmarkStart w:id="104" w:name="_Toc1885661304"/>
      <w:bookmarkStart w:id="105" w:name="_Toc1097852661"/>
      <w:bookmarkStart w:id="106" w:name="_Toc22978486"/>
      <w:bookmarkStart w:id="107" w:name="_Toc552966493"/>
      <w:bookmarkStart w:id="108" w:name="_Toc1147713924_WPSOffice_Level2"/>
      <w:bookmarkStart w:id="109" w:name="_Toc1182871573"/>
      <w:bookmarkStart w:id="110" w:name="_Toc473187354"/>
      <w:bookmarkStart w:id="111" w:name="_Toc1526691811"/>
      <w:bookmarkStart w:id="112" w:name="_Toc970227857"/>
      <w:bookmarkStart w:id="113" w:name="_Toc1434805363"/>
      <w:bookmarkStart w:id="114" w:name="_Toc514682011"/>
      <w:bookmarkStart w:id="115" w:name="_Toc105332273"/>
      <w:bookmarkStart w:id="116" w:name="_Toc656667166"/>
      <w:bookmarkStart w:id="117" w:name="_Toc1995578645"/>
      <w:bookmarkStart w:id="118" w:name="_Toc381244494"/>
      <w:bookmarkStart w:id="119" w:name="_Toc1359504968"/>
      <w:bookmarkStart w:id="120" w:name="_Toc245821561"/>
      <w:bookmarkStart w:id="121" w:name="_Toc1764172587"/>
      <w:bookmarkStart w:id="122" w:name="_Toc1692269345"/>
      <w:bookmarkStart w:id="123" w:name="_Toc1316655414"/>
      <w:bookmarkStart w:id="124" w:name="_Toc1093580237"/>
      <w:bookmarkStart w:id="125" w:name="_Toc539941531"/>
      <w:bookmarkStart w:id="126" w:name="_Toc817136832"/>
      <w:bookmarkStart w:id="127" w:name="_Toc805661790"/>
      <w:bookmarkStart w:id="128" w:name="_Toc295132691"/>
      <w:bookmarkStart w:id="129" w:name="_Toc1218860710"/>
      <w:bookmarkStart w:id="130" w:name="_Toc1124929689"/>
      <w:bookmarkStart w:id="131" w:name="_Toc447417604"/>
      <w:bookmarkStart w:id="132" w:name="_Toc1097089702"/>
      <w:bookmarkStart w:id="133" w:name="_Toc1309719145"/>
      <w:bookmarkStart w:id="134" w:name="_Toc264761214"/>
      <w:bookmarkStart w:id="135" w:name="_Toc2087101447"/>
      <w:bookmarkStart w:id="136" w:name="_Toc1630658356"/>
      <w:bookmarkStart w:id="137" w:name="_Toc1726530135"/>
      <w:bookmarkStart w:id="138" w:name="_Toc1443935081"/>
      <w:bookmarkStart w:id="139" w:name="_Toc2017527110"/>
      <w:bookmarkStart w:id="140" w:name="_Toc107492252"/>
      <w:bookmarkStart w:id="141" w:name="_Toc1217688433"/>
      <w:bookmarkStart w:id="142" w:name="_Toc461063766"/>
      <w:bookmarkStart w:id="143" w:name="_Toc1405886673"/>
      <w:bookmarkStart w:id="144" w:name="_Toc92629075"/>
      <w:bookmarkStart w:id="145" w:name="_Toc701622579"/>
      <w:bookmarkStart w:id="146" w:name="_Toc754849329"/>
      <w:bookmarkStart w:id="147" w:name="_Toc1834092069"/>
      <w:bookmarkStart w:id="148" w:name="_Toc1603826475"/>
      <w:bookmarkStart w:id="149" w:name="_Toc947211296"/>
      <w:bookmarkStart w:id="150" w:name="_Toc111210144"/>
      <w:bookmarkStart w:id="151" w:name="_Toc1869788739"/>
      <w:bookmarkStart w:id="152" w:name="_Toc1352988633"/>
      <w:bookmarkStart w:id="153" w:name="_Toc1766685801"/>
      <w:bookmarkStart w:id="154" w:name="_Toc1382620828"/>
      <w:bookmarkStart w:id="155" w:name="_Toc2022895272_WPSOffice_Level2"/>
      <w:bookmarkStart w:id="156" w:name="_Toc826373945"/>
      <w:bookmarkStart w:id="157" w:name="_Toc881928218"/>
      <w:bookmarkStart w:id="158" w:name="_Toc1656638859"/>
      <w:bookmarkStart w:id="159" w:name="_Toc447834525"/>
      <w:bookmarkStart w:id="160" w:name="_Toc796771875"/>
      <w:bookmarkStart w:id="161" w:name="_Toc802267459"/>
      <w:bookmarkStart w:id="162" w:name="_Toc1132458918"/>
      <w:bookmarkStart w:id="163" w:name="_Toc1689491192"/>
      <w:bookmarkStart w:id="164" w:name="_Toc1989607304"/>
      <w:bookmarkStart w:id="165" w:name="_Toc6673"/>
      <w:bookmarkStart w:id="166" w:name="_Toc1046236144"/>
      <w:bookmarkStart w:id="167" w:name="_Toc2032849847"/>
      <w:bookmarkStart w:id="168" w:name="_Toc1658643697"/>
      <w:bookmarkStart w:id="169" w:name="_Toc1262585501"/>
      <w:bookmarkStart w:id="170" w:name="_Toc675253209"/>
      <w:r>
        <w:rPr>
          <w:rFonts w:hint="default" w:ascii="Times New Roman" w:hAnsi="Times New Roman" w:cs="Times New Roman"/>
          <w:sz w:val="32"/>
          <w:szCs w:val="32"/>
          <w:lang w:val="en-US" w:eastAsia="zh-CN"/>
        </w:rPr>
        <w:t>、</w:t>
      </w:r>
      <w:r>
        <w:rPr>
          <w:rFonts w:hint="default" w:ascii="Times New Roman" w:hAnsi="Times New Roman" w:cs="Times New Roman"/>
          <w:kern w:val="0"/>
          <w:sz w:val="32"/>
          <w:szCs w:val="32"/>
          <w:lang w:val="en-US" w:eastAsia="zh-CN"/>
        </w:rPr>
        <w:t>报表</w:t>
      </w:r>
      <w:r>
        <w:rPr>
          <w:rFonts w:ascii="Times New Roman" w:hAnsi="Times New Roman" w:cs="Times New Roman"/>
          <w:kern w:val="0"/>
          <w:sz w:val="32"/>
          <w:szCs w:val="32"/>
        </w:rPr>
        <w:t>目录</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tbl>
      <w:tblPr>
        <w:tblStyle w:val="31"/>
        <w:tblpPr w:leftFromText="180" w:rightFromText="180" w:vertAnchor="text" w:horzAnchor="page" w:tblpX="1246" w:tblpY="517"/>
        <w:tblOverlap w:val="never"/>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72"/>
        <w:gridCol w:w="987"/>
        <w:gridCol w:w="733"/>
        <w:gridCol w:w="2471"/>
        <w:gridCol w:w="1087"/>
        <w:gridCol w:w="1483"/>
        <w:gridCol w:w="1449"/>
        <w:gridCol w:w="4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4" w:hRule="atLeast"/>
          <w:tblHeader/>
        </w:trPr>
        <w:tc>
          <w:tcPr>
            <w:tcW w:w="975" w:type="dxa"/>
            <w:vMerge w:val="restart"/>
            <w:noWrap w:val="0"/>
            <w:vAlign w:val="center"/>
          </w:tcPr>
          <w:p>
            <w:pPr>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表号</w:t>
            </w:r>
          </w:p>
        </w:tc>
        <w:tc>
          <w:tcPr>
            <w:tcW w:w="990" w:type="dxa"/>
            <w:vMerge w:val="restart"/>
            <w:noWrap w:val="0"/>
            <w:vAlign w:val="center"/>
          </w:tcPr>
          <w:p>
            <w:pPr>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表名</w:t>
            </w:r>
          </w:p>
        </w:tc>
        <w:tc>
          <w:tcPr>
            <w:tcW w:w="735" w:type="dxa"/>
            <w:vMerge w:val="restart"/>
            <w:noWrap w:val="0"/>
            <w:vAlign w:val="center"/>
          </w:tcPr>
          <w:p>
            <w:pPr>
              <w:pStyle w:val="20"/>
              <w:pBdr>
                <w:bottom w:val="none" w:color="auto" w:sz="0" w:space="0"/>
              </w:pBdr>
              <w:tabs>
                <w:tab w:val="clear" w:pos="4153"/>
                <w:tab w:val="clear" w:pos="8306"/>
              </w:tabs>
              <w:snapToGrid/>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w:t>
            </w:r>
          </w:p>
          <w:p>
            <w:pPr>
              <w:pStyle w:val="20"/>
              <w:pBdr>
                <w:bottom w:val="none" w:color="auto" w:sz="0" w:space="0"/>
              </w:pBdr>
              <w:tabs>
                <w:tab w:val="clear" w:pos="4153"/>
                <w:tab w:val="clear" w:pos="8306"/>
              </w:tabs>
              <w:snapToGrid/>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期别</w:t>
            </w:r>
          </w:p>
        </w:tc>
        <w:tc>
          <w:tcPr>
            <w:tcW w:w="2483" w:type="dxa"/>
            <w:vMerge w:val="restart"/>
            <w:noWrap w:val="0"/>
            <w:vAlign w:val="center"/>
          </w:tcPr>
          <w:p>
            <w:pPr>
              <w:pStyle w:val="20"/>
              <w:pBdr>
                <w:bottom w:val="none" w:color="auto" w:sz="0" w:space="0"/>
              </w:pBdr>
              <w:tabs>
                <w:tab w:val="clear" w:pos="4153"/>
                <w:tab w:val="clear" w:pos="8306"/>
              </w:tabs>
              <w:snapToGrid/>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统计范围</w:t>
            </w:r>
          </w:p>
        </w:tc>
        <w:tc>
          <w:tcPr>
            <w:tcW w:w="1092" w:type="dxa"/>
            <w:vMerge w:val="restart"/>
            <w:noWrap w:val="0"/>
            <w:vAlign w:val="center"/>
          </w:tcPr>
          <w:p>
            <w:pPr>
              <w:pStyle w:val="20"/>
              <w:pBdr>
                <w:bottom w:val="none" w:color="auto" w:sz="0" w:space="0"/>
              </w:pBdr>
              <w:tabs>
                <w:tab w:val="clear" w:pos="4153"/>
                <w:tab w:val="clear" w:pos="8306"/>
              </w:tabs>
              <w:snapToGrid/>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报送</w:t>
            </w:r>
          </w:p>
          <w:p>
            <w:pPr>
              <w:pStyle w:val="20"/>
              <w:pBdr>
                <w:bottom w:val="none" w:color="auto" w:sz="0" w:space="0"/>
              </w:pBdr>
              <w:tabs>
                <w:tab w:val="clear" w:pos="4153"/>
                <w:tab w:val="clear" w:pos="8306"/>
              </w:tabs>
              <w:snapToGrid/>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2942" w:type="dxa"/>
            <w:gridSpan w:val="2"/>
            <w:noWrap w:val="0"/>
            <w:vAlign w:val="center"/>
          </w:tcPr>
          <w:p>
            <w:pPr>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调查单位</w:t>
            </w:r>
            <w:r>
              <w:rPr>
                <w:rFonts w:hint="default" w:ascii="Times New Roman" w:hAnsi="Times New Roman" w:eastAsia="宋体" w:cs="Times New Roman"/>
                <w:sz w:val="18"/>
                <w:szCs w:val="18"/>
              </w:rPr>
              <w:t>报送日期</w:t>
            </w:r>
          </w:p>
        </w:tc>
        <w:tc>
          <w:tcPr>
            <w:tcW w:w="411" w:type="dxa"/>
            <w:vMerge w:val="restart"/>
            <w:noWrap w:val="0"/>
            <w:vAlign w:val="center"/>
          </w:tcPr>
          <w:p>
            <w:pPr>
              <w:spacing w:line="28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20" w:hRule="atLeast"/>
          <w:tblHeader/>
        </w:trPr>
        <w:tc>
          <w:tcPr>
            <w:tcW w:w="975" w:type="dxa"/>
            <w:vMerge w:val="continue"/>
            <w:noWrap w:val="0"/>
            <w:vAlign w:val="center"/>
          </w:tcPr>
          <w:p>
            <w:pPr>
              <w:spacing w:line="280" w:lineRule="exact"/>
              <w:jc w:val="center"/>
              <w:rPr>
                <w:rFonts w:hint="default" w:ascii="Times New Roman" w:hAnsi="Times New Roman" w:eastAsia="宋体" w:cs="Times New Roman"/>
                <w:sz w:val="18"/>
                <w:szCs w:val="18"/>
              </w:rPr>
            </w:pPr>
          </w:p>
        </w:tc>
        <w:tc>
          <w:tcPr>
            <w:tcW w:w="990" w:type="dxa"/>
            <w:vMerge w:val="continue"/>
            <w:noWrap w:val="0"/>
            <w:vAlign w:val="center"/>
          </w:tcPr>
          <w:p>
            <w:pPr>
              <w:spacing w:line="280" w:lineRule="exact"/>
              <w:jc w:val="center"/>
              <w:rPr>
                <w:rFonts w:hint="default" w:ascii="Times New Roman" w:hAnsi="Times New Roman" w:eastAsia="宋体" w:cs="Times New Roman"/>
                <w:sz w:val="18"/>
                <w:szCs w:val="18"/>
              </w:rPr>
            </w:pPr>
          </w:p>
        </w:tc>
        <w:tc>
          <w:tcPr>
            <w:tcW w:w="735" w:type="dxa"/>
            <w:vMerge w:val="continue"/>
            <w:noWrap w:val="0"/>
            <w:vAlign w:val="center"/>
          </w:tcPr>
          <w:p>
            <w:pPr>
              <w:spacing w:line="280" w:lineRule="exact"/>
              <w:jc w:val="center"/>
              <w:rPr>
                <w:rFonts w:hint="default" w:ascii="Times New Roman" w:hAnsi="Times New Roman" w:eastAsia="宋体" w:cs="Times New Roman"/>
                <w:sz w:val="18"/>
                <w:szCs w:val="18"/>
              </w:rPr>
            </w:pPr>
          </w:p>
        </w:tc>
        <w:tc>
          <w:tcPr>
            <w:tcW w:w="2483" w:type="dxa"/>
            <w:vMerge w:val="continue"/>
            <w:noWrap w:val="0"/>
            <w:vAlign w:val="center"/>
          </w:tcPr>
          <w:p>
            <w:pPr>
              <w:spacing w:line="280" w:lineRule="exact"/>
              <w:jc w:val="center"/>
              <w:rPr>
                <w:rFonts w:hint="default" w:ascii="Times New Roman" w:hAnsi="Times New Roman" w:eastAsia="宋体" w:cs="Times New Roman"/>
                <w:sz w:val="18"/>
                <w:szCs w:val="18"/>
              </w:rPr>
            </w:pPr>
          </w:p>
        </w:tc>
        <w:tc>
          <w:tcPr>
            <w:tcW w:w="1092" w:type="dxa"/>
            <w:vMerge w:val="continue"/>
            <w:noWrap w:val="0"/>
            <w:vAlign w:val="center"/>
          </w:tcPr>
          <w:p>
            <w:pPr>
              <w:spacing w:line="280" w:lineRule="exact"/>
              <w:jc w:val="center"/>
              <w:rPr>
                <w:rFonts w:hint="default" w:ascii="Times New Roman" w:hAnsi="Times New Roman" w:eastAsia="宋体" w:cs="Times New Roman"/>
                <w:sz w:val="18"/>
                <w:szCs w:val="18"/>
              </w:rPr>
            </w:pPr>
          </w:p>
        </w:tc>
        <w:tc>
          <w:tcPr>
            <w:tcW w:w="1488" w:type="dxa"/>
            <w:noWrap w:val="0"/>
            <w:vAlign w:val="center"/>
          </w:tcPr>
          <w:p>
            <w:pPr>
              <w:spacing w:line="28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填报开网时间</w:t>
            </w:r>
          </w:p>
        </w:tc>
        <w:tc>
          <w:tcPr>
            <w:tcW w:w="1454" w:type="dxa"/>
            <w:noWrap w:val="0"/>
            <w:tcMar>
              <w:left w:w="57" w:type="dxa"/>
              <w:right w:w="57" w:type="dxa"/>
            </w:tcMar>
            <w:vAlign w:val="center"/>
          </w:tcPr>
          <w:p>
            <w:pPr>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填报截止时间</w:t>
            </w:r>
          </w:p>
        </w:tc>
        <w:tc>
          <w:tcPr>
            <w:tcW w:w="411" w:type="dxa"/>
            <w:vMerge w:val="continue"/>
            <w:noWrap w:val="0"/>
            <w:tcMar>
              <w:left w:w="57" w:type="dxa"/>
              <w:right w:w="57" w:type="dxa"/>
            </w:tcMar>
            <w:vAlign w:val="center"/>
          </w:tcPr>
          <w:p>
            <w:pPr>
              <w:spacing w:line="280" w:lineRule="exact"/>
              <w:jc w:val="center"/>
              <w:rPr>
                <w:rFonts w:hint="default" w:ascii="Times New Roman" w:hAnsi="Times New Roman" w:eastAsia="宋体" w:cs="Times New Roman"/>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628" w:type="dxa"/>
            <w:gridSpan w:val="8"/>
            <w:noWrap w:val="0"/>
            <w:vAlign w:val="center"/>
          </w:tcPr>
          <w:p>
            <w:pPr>
              <w:spacing w:line="28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snapToGrid w:val="0"/>
              <w:rPr>
                <w:rFonts w:hint="default" w:ascii="Times New Roman" w:hAnsi="Times New Roman" w:eastAsia="宋体" w:cs="Times New Roman"/>
                <w:sz w:val="18"/>
                <w:szCs w:val="18"/>
              </w:rPr>
            </w:pPr>
            <w:r>
              <w:rPr>
                <w:rFonts w:hint="default" w:ascii="Times New Roman" w:hAnsi="Times New Roman" w:cs="Times New Roman"/>
                <w:sz w:val="18"/>
                <w:szCs w:val="18"/>
              </w:rPr>
              <w:t>101-1表</w:t>
            </w:r>
          </w:p>
        </w:tc>
        <w:tc>
          <w:tcPr>
            <w:tcW w:w="990" w:type="dxa"/>
            <w:noWrap w:val="0"/>
            <w:vAlign w:val="center"/>
          </w:tcPr>
          <w:p>
            <w:pPr>
              <w:snapToGrid w:val="0"/>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一套表</w:t>
            </w:r>
            <w:r>
              <w:rPr>
                <w:rFonts w:hint="default" w:ascii="Times New Roman" w:hAnsi="Times New Roman" w:cs="Times New Roman"/>
                <w:sz w:val="18"/>
                <w:szCs w:val="18"/>
              </w:rPr>
              <w:t>调查单位基本情况</w:t>
            </w:r>
          </w:p>
        </w:tc>
        <w:tc>
          <w:tcPr>
            <w:tcW w:w="735" w:type="dxa"/>
            <w:noWrap w:val="0"/>
            <w:vAlign w:val="center"/>
          </w:tcPr>
          <w:p>
            <w:pPr>
              <w:snapToGrid w:val="0"/>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年报</w:t>
            </w:r>
          </w:p>
        </w:tc>
        <w:tc>
          <w:tcPr>
            <w:tcW w:w="2483" w:type="dxa"/>
            <w:noWrap w:val="0"/>
            <w:vAlign w:val="center"/>
          </w:tcPr>
          <w:p>
            <w:pPr>
              <w:pStyle w:val="19"/>
              <w:jc w:val="both"/>
              <w:rPr>
                <w:rFonts w:hint="default" w:ascii="Times New Roman" w:hAnsi="Times New Roman" w:eastAsia="宋体" w:cs="Times New Roman"/>
                <w:sz w:val="18"/>
                <w:szCs w:val="18"/>
              </w:rPr>
            </w:pPr>
            <w:r>
              <w:rPr>
                <w:rFonts w:hint="default" w:ascii="Times New Roman" w:hAnsi="Times New Roman" w:cs="Times New Roman"/>
              </w:rPr>
              <w:t>辖区内规模以上服务业法人单位</w:t>
            </w:r>
          </w:p>
        </w:tc>
        <w:tc>
          <w:tcPr>
            <w:tcW w:w="1092" w:type="dxa"/>
            <w:tcBorders>
              <w:bottom w:val="single" w:color="auto" w:sz="4" w:space="0"/>
            </w:tcBorders>
            <w:noWrap w:val="0"/>
            <w:vAlign w:val="center"/>
          </w:tcPr>
          <w:p>
            <w:pPr>
              <w:snapToGrid w:val="0"/>
              <w:spacing w:line="24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法人单位</w:t>
            </w:r>
          </w:p>
        </w:tc>
        <w:tc>
          <w:tcPr>
            <w:tcW w:w="1488" w:type="dxa"/>
            <w:tcBorders>
              <w:bottom w:val="single" w:color="auto" w:sz="4" w:space="0"/>
            </w:tcBorders>
            <w:noWrap w:val="0"/>
            <w:vAlign w:val="center"/>
          </w:tcPr>
          <w:p>
            <w:pPr>
              <w:spacing w:line="220" w:lineRule="exact"/>
              <w:rPr>
                <w:rFonts w:hint="default" w:ascii="Times New Roman" w:hAnsi="Times New Roman" w:eastAsia="宋体" w:cs="Times New Roman"/>
                <w:sz w:val="18"/>
                <w:szCs w:val="18"/>
                <w:lang w:val="en" w:eastAsia="zh-CN"/>
              </w:rPr>
            </w:pPr>
            <w:r>
              <w:rPr>
                <w:rFonts w:hint="default" w:ascii="Times New Roman" w:hAnsi="Times New Roman" w:eastAsia="宋体" w:cs="Times New Roman"/>
                <w:sz w:val="18"/>
                <w:szCs w:val="18"/>
                <w:lang w:val="en-US" w:eastAsia="zh-CN"/>
              </w:rPr>
              <w:t>202</w:t>
            </w:r>
            <w:r>
              <w:rPr>
                <w:rFonts w:hint="default" w:ascii="Times New Roman" w:hAnsi="Times New Roman" w:cs="Times New Roman"/>
                <w:sz w:val="18"/>
                <w:szCs w:val="18"/>
                <w:lang w:val="en-US" w:eastAsia="zh-CN"/>
              </w:rPr>
              <w:t>5</w:t>
            </w:r>
            <w:r>
              <w:rPr>
                <w:rFonts w:hint="default" w:ascii="Times New Roman" w:hAnsi="Times New Roman" w:eastAsia="宋体" w:cs="Times New Roman"/>
                <w:sz w:val="18"/>
                <w:szCs w:val="18"/>
                <w:lang w:val="en-US" w:eastAsia="zh-CN"/>
              </w:rPr>
              <w:t>年1</w:t>
            </w:r>
            <w:r>
              <w:rPr>
                <w:rFonts w:hint="default" w:ascii="Times New Roman" w:hAnsi="Times New Roman" w:eastAsia="宋体" w:cs="Times New Roman"/>
                <w:sz w:val="18"/>
                <w:szCs w:val="18"/>
              </w:rPr>
              <w:t>月</w:t>
            </w:r>
            <w:r>
              <w:rPr>
                <w:rFonts w:hint="default" w:ascii="Times New Roman" w:hAnsi="Times New Roman" w:cs="Times New Roman"/>
                <w:sz w:val="18"/>
                <w:szCs w:val="18"/>
                <w:lang w:val="en-US" w:eastAsia="zh-CN"/>
              </w:rPr>
              <w:t>20</w:t>
            </w:r>
            <w:r>
              <w:rPr>
                <w:rFonts w:hint="default" w:ascii="Times New Roman" w:hAnsi="Times New Roman" w:eastAsia="宋体" w:cs="Times New Roman"/>
                <w:sz w:val="18"/>
                <w:szCs w:val="18"/>
              </w:rPr>
              <w:t>日</w:t>
            </w:r>
            <w:r>
              <w:rPr>
                <w:rFonts w:hint="default" w:ascii="Times New Roman" w:hAnsi="Times New Roman" w:cs="Times New Roman"/>
                <w:sz w:val="18"/>
                <w:szCs w:val="18"/>
                <w:lang w:val="en" w:eastAsia="zh-CN"/>
              </w:rPr>
              <w:t>0:00</w:t>
            </w:r>
          </w:p>
        </w:tc>
        <w:tc>
          <w:tcPr>
            <w:tcW w:w="1454" w:type="dxa"/>
            <w:tcBorders>
              <w:bottom w:val="single" w:color="auto" w:sz="4" w:space="0"/>
            </w:tcBorders>
            <w:noWrap w:val="0"/>
            <w:vAlign w:val="center"/>
          </w:tcPr>
          <w:p>
            <w:pPr>
              <w:spacing w:line="22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202</w:t>
            </w:r>
            <w:r>
              <w:rPr>
                <w:rFonts w:hint="default" w:ascii="Times New Roman" w:hAnsi="Times New Roman" w:cs="Times New Roman"/>
                <w:sz w:val="18"/>
                <w:szCs w:val="18"/>
                <w:lang w:val="en-US" w:eastAsia="zh-CN"/>
              </w:rPr>
              <w:t>5</w:t>
            </w:r>
            <w:r>
              <w:rPr>
                <w:rFonts w:hint="default" w:ascii="Times New Roman" w:hAnsi="Times New Roman" w:eastAsia="宋体" w:cs="Times New Roman"/>
                <w:sz w:val="18"/>
                <w:szCs w:val="18"/>
                <w:lang w:val="en-US" w:eastAsia="zh-CN"/>
              </w:rPr>
              <w:t>年3月10日</w:t>
            </w:r>
            <w:r>
              <w:rPr>
                <w:rFonts w:hint="default" w:ascii="Times New Roman" w:hAnsi="Times New Roman" w:cs="Times New Roman"/>
                <w:sz w:val="18"/>
                <w:szCs w:val="18"/>
                <w:lang w:val="en" w:eastAsia="zh-CN"/>
              </w:rPr>
              <w:t>24:00</w:t>
            </w:r>
            <w:r>
              <w:rPr>
                <w:rFonts w:hint="default" w:ascii="Times New Roman" w:hAnsi="Times New Roman" w:cs="Times New Roman"/>
                <w:sz w:val="18"/>
                <w:szCs w:val="18"/>
                <w:lang w:val="en-US" w:eastAsia="zh-CN"/>
              </w:rPr>
              <w:t>前</w:t>
            </w:r>
          </w:p>
        </w:tc>
        <w:tc>
          <w:tcPr>
            <w:tcW w:w="411"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0" w:hRule="atLeast"/>
        </w:trPr>
        <w:tc>
          <w:tcPr>
            <w:tcW w:w="975" w:type="dxa"/>
            <w:noWrap w:val="0"/>
            <w:vAlign w:val="center"/>
          </w:tcPr>
          <w:p>
            <w:pPr>
              <w:adjustRightInd w:val="0"/>
              <w:snapToGrid w:val="0"/>
              <w:ind w:left="-105" w:leftChars="-50" w:right="-105" w:rightChars="-50"/>
              <w:jc w:val="center"/>
              <w:rPr>
                <w:rFonts w:hint="default" w:ascii="Times New Roman" w:hAnsi="Times New Roman" w:eastAsia="宋体" w:cs="Times New Roman"/>
                <w:color w:val="000000"/>
                <w:spacing w:val="-10"/>
                <w:kern w:val="21"/>
                <w:sz w:val="18"/>
                <w:szCs w:val="18"/>
                <w:lang w:val="en-US" w:eastAsia="zh-CN"/>
              </w:rPr>
            </w:pPr>
            <w:r>
              <w:rPr>
                <w:rFonts w:hint="default" w:ascii="Times New Roman" w:hAnsi="Times New Roman" w:cs="Times New Roman"/>
                <w:sz w:val="18"/>
                <w:szCs w:val="18"/>
              </w:rPr>
              <w:t>10</w:t>
            </w:r>
            <w:r>
              <w:rPr>
                <w:rFonts w:hint="default" w:ascii="Times New Roman" w:hAnsi="Times New Roman" w:cs="Times New Roman"/>
                <w:sz w:val="18"/>
                <w:szCs w:val="18"/>
                <w:lang w:val="en-US" w:eastAsia="zh-CN"/>
              </w:rPr>
              <w:t>8</w:t>
            </w:r>
            <w:r>
              <w:rPr>
                <w:rFonts w:hint="default" w:ascii="Times New Roman" w:hAnsi="Times New Roman" w:cs="Times New Roman"/>
                <w:sz w:val="18"/>
                <w:szCs w:val="18"/>
              </w:rPr>
              <w:t>表</w:t>
            </w:r>
          </w:p>
        </w:tc>
        <w:tc>
          <w:tcPr>
            <w:tcW w:w="990" w:type="dxa"/>
            <w:noWrap w:val="0"/>
            <w:vAlign w:val="center"/>
          </w:tcPr>
          <w:p>
            <w:pPr>
              <w:adjustRightInd w:val="0"/>
              <w:snapToGrid w:val="0"/>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企业组织结构调查表</w:t>
            </w:r>
          </w:p>
        </w:tc>
        <w:tc>
          <w:tcPr>
            <w:tcW w:w="735" w:type="dxa"/>
            <w:noWrap w:val="0"/>
            <w:vAlign w:val="center"/>
          </w:tcPr>
          <w:p>
            <w:pPr>
              <w:adjustRightInd w:val="0"/>
              <w:snapToGrid w:val="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年报</w:t>
            </w:r>
          </w:p>
        </w:tc>
        <w:tc>
          <w:tcPr>
            <w:tcW w:w="2483" w:type="dxa"/>
            <w:noWrap w:val="0"/>
            <w:vAlign w:val="center"/>
          </w:tcPr>
          <w:p>
            <w:pPr>
              <w:adjustRightInd w:val="0"/>
              <w:snapToGrid w:val="0"/>
              <w:rPr>
                <w:rFonts w:hint="default" w:ascii="Times New Roman" w:hAnsi="Times New Roman" w:eastAsia="宋体" w:cs="Times New Roman"/>
                <w:sz w:val="18"/>
                <w:szCs w:val="18"/>
              </w:rPr>
            </w:pPr>
            <w:r>
              <w:rPr>
                <w:rFonts w:hint="default" w:ascii="Times New Roman" w:hAnsi="Times New Roman" w:cs="Times New Roman"/>
                <w:sz w:val="18"/>
                <w:szCs w:val="18"/>
              </w:rPr>
              <w:t>101-1表212栏“本法人（视同法人）单位是否有下属产业活动单位（分支机构、派出机构、分公司、分部、分厂、分店等）”选“1.是”的法人单位填写本表</w:t>
            </w:r>
          </w:p>
        </w:tc>
        <w:tc>
          <w:tcPr>
            <w:tcW w:w="1092" w:type="dxa"/>
            <w:noWrap w:val="0"/>
            <w:vAlign w:val="center"/>
          </w:tcPr>
          <w:p>
            <w:pPr>
              <w:adjustRightInd w:val="0"/>
              <w:snapToGrid w:val="0"/>
              <w:jc w:val="center"/>
              <w:rPr>
                <w:rFonts w:hint="default" w:ascii="Times New Roman" w:hAnsi="Times New Roman" w:eastAsia="宋体" w:cs="Times New Roman"/>
                <w:sz w:val="18"/>
                <w:szCs w:val="18"/>
              </w:rPr>
            </w:pPr>
            <w:r>
              <w:rPr>
                <w:rFonts w:hint="default" w:ascii="Times New Roman" w:hAnsi="Times New Roman" w:cs="Times New Roman"/>
                <w:sz w:val="18"/>
                <w:szCs w:val="18"/>
              </w:rPr>
              <w:t>法人单位</w:t>
            </w:r>
          </w:p>
        </w:tc>
        <w:tc>
          <w:tcPr>
            <w:tcW w:w="1488"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同上</w:t>
            </w:r>
          </w:p>
        </w:tc>
        <w:tc>
          <w:tcPr>
            <w:tcW w:w="1454"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同上</w:t>
            </w:r>
          </w:p>
        </w:tc>
        <w:tc>
          <w:tcPr>
            <w:tcW w:w="411" w:type="dxa"/>
            <w:noWrap w:val="0"/>
            <w:vAlign w:val="center"/>
          </w:tcPr>
          <w:p>
            <w:pPr>
              <w:spacing w:line="22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snapToGrid w:val="0"/>
              <w:rPr>
                <w:rFonts w:hint="default" w:ascii="Times New Roman" w:hAnsi="Times New Roman" w:eastAsia="宋体" w:cs="Times New Roman"/>
                <w:color w:val="000000"/>
                <w:spacing w:val="-10"/>
                <w:kern w:val="21"/>
                <w:sz w:val="18"/>
                <w:szCs w:val="18"/>
                <w:lang w:val="en-US" w:eastAsia="zh-CN" w:bidi="ar-SA"/>
              </w:rPr>
            </w:pPr>
            <w:r>
              <w:rPr>
                <w:rFonts w:hint="default" w:ascii="Times New Roman" w:hAnsi="Times New Roman" w:cs="Times New Roman"/>
                <w:sz w:val="18"/>
                <w:szCs w:val="18"/>
              </w:rPr>
              <w:t>102-1表</w:t>
            </w:r>
          </w:p>
        </w:tc>
        <w:tc>
          <w:tcPr>
            <w:tcW w:w="990" w:type="dxa"/>
            <w:noWrap w:val="0"/>
            <w:vAlign w:val="center"/>
          </w:tcPr>
          <w:p>
            <w:pPr>
              <w:snapToGrid w:val="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从业人员及工资总额</w:t>
            </w:r>
          </w:p>
        </w:tc>
        <w:tc>
          <w:tcPr>
            <w:tcW w:w="735" w:type="dxa"/>
            <w:noWrap w:val="0"/>
            <w:vAlign w:val="center"/>
          </w:tcPr>
          <w:p>
            <w:pPr>
              <w:snapToGrid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年报</w:t>
            </w:r>
          </w:p>
        </w:tc>
        <w:tc>
          <w:tcPr>
            <w:tcW w:w="2483" w:type="dxa"/>
            <w:noWrap w:val="0"/>
            <w:vAlign w:val="center"/>
          </w:tcPr>
          <w:p>
            <w:pPr>
              <w:snapToGrid w:val="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辖区内规模以上服务业法人单位</w:t>
            </w:r>
          </w:p>
        </w:tc>
        <w:tc>
          <w:tcPr>
            <w:tcW w:w="1092" w:type="dxa"/>
            <w:noWrap w:val="0"/>
            <w:vAlign w:val="center"/>
          </w:tcPr>
          <w:p>
            <w:pPr>
              <w:snapToGrid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法人单位</w:t>
            </w:r>
          </w:p>
        </w:tc>
        <w:tc>
          <w:tcPr>
            <w:tcW w:w="1488" w:type="dxa"/>
            <w:noWrap w:val="0"/>
            <w:vAlign w:val="center"/>
          </w:tcPr>
          <w:p>
            <w:pPr>
              <w:spacing w:line="220" w:lineRule="exact"/>
              <w:jc w:val="lef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2024年12月31日</w:t>
            </w:r>
            <w:r>
              <w:rPr>
                <w:rFonts w:hint="default" w:ascii="Times New Roman" w:hAnsi="Times New Roman" w:cs="Times New Roman"/>
                <w:sz w:val="18"/>
                <w:szCs w:val="18"/>
                <w:lang w:val="en" w:eastAsia="zh-CN"/>
              </w:rPr>
              <w:t>0:00</w:t>
            </w:r>
          </w:p>
        </w:tc>
        <w:tc>
          <w:tcPr>
            <w:tcW w:w="1454" w:type="dxa"/>
            <w:noWrap w:val="0"/>
            <w:vAlign w:val="center"/>
          </w:tcPr>
          <w:p>
            <w:pPr>
              <w:spacing w:line="220" w:lineRule="exact"/>
              <w:jc w:val="lef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2025年</w:t>
            </w:r>
            <w:r>
              <w:rPr>
                <w:rFonts w:hint="default" w:ascii="Times New Roman" w:hAnsi="Times New Roman" w:cs="Times New Roman"/>
                <w:sz w:val="18"/>
                <w:szCs w:val="18"/>
                <w:lang w:eastAsia="zh-CN"/>
              </w:rPr>
              <w:t>1月9日</w:t>
            </w:r>
            <w:r>
              <w:rPr>
                <w:rFonts w:hint="default" w:ascii="Times New Roman" w:hAnsi="Times New Roman" w:cs="Times New Roman"/>
                <w:sz w:val="18"/>
                <w:szCs w:val="18"/>
                <w:lang w:val="en" w:eastAsia="zh-CN"/>
              </w:rPr>
              <w:t>12:00</w:t>
            </w:r>
            <w:r>
              <w:rPr>
                <w:rFonts w:hint="default" w:ascii="Times New Roman" w:hAnsi="Times New Roman" w:cs="Times New Roman"/>
                <w:sz w:val="18"/>
                <w:szCs w:val="18"/>
                <w:lang w:val="en-US" w:eastAsia="zh-CN"/>
              </w:rPr>
              <w:t>前</w:t>
            </w:r>
          </w:p>
        </w:tc>
        <w:tc>
          <w:tcPr>
            <w:tcW w:w="411"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6" w:hRule="atLeast"/>
        </w:trPr>
        <w:tc>
          <w:tcPr>
            <w:tcW w:w="975" w:type="dxa"/>
            <w:noWrap w:val="0"/>
            <w:vAlign w:val="center"/>
          </w:tcPr>
          <w:p>
            <w:pPr>
              <w:snapToGrid w:val="0"/>
              <w:rPr>
                <w:rFonts w:hint="default" w:ascii="Times New Roman" w:hAnsi="Times New Roman" w:eastAsia="宋体" w:cs="Times New Roman"/>
                <w:kern w:val="0"/>
                <w:sz w:val="18"/>
                <w:szCs w:val="18"/>
                <w:lang w:val="en-US" w:eastAsia="zh-CN"/>
              </w:rPr>
            </w:pPr>
            <w:r>
              <w:rPr>
                <w:rFonts w:hint="default" w:ascii="Times New Roman" w:hAnsi="Times New Roman" w:cs="Times New Roman"/>
                <w:sz w:val="18"/>
                <w:szCs w:val="18"/>
              </w:rPr>
              <w:t>F103表</w:t>
            </w:r>
          </w:p>
        </w:tc>
        <w:tc>
          <w:tcPr>
            <w:tcW w:w="990" w:type="dxa"/>
            <w:noWrap w:val="0"/>
            <w:vAlign w:val="center"/>
          </w:tcPr>
          <w:p>
            <w:pPr>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财务状况</w:t>
            </w:r>
          </w:p>
        </w:tc>
        <w:tc>
          <w:tcPr>
            <w:tcW w:w="735" w:type="dxa"/>
            <w:noWrap w:val="0"/>
            <w:vAlign w:val="center"/>
          </w:tcPr>
          <w:p>
            <w:pPr>
              <w:snapToGrid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年报</w:t>
            </w:r>
          </w:p>
        </w:tc>
        <w:tc>
          <w:tcPr>
            <w:tcW w:w="2483" w:type="dxa"/>
            <w:noWrap w:val="0"/>
            <w:vAlign w:val="center"/>
          </w:tcPr>
          <w:p>
            <w:pPr>
              <w:snapToGrid w:val="0"/>
              <w:rPr>
                <w:rFonts w:hint="default" w:ascii="Times New Roman" w:hAnsi="Times New Roman" w:eastAsia="宋体" w:cs="Times New Roman"/>
                <w:sz w:val="18"/>
                <w:szCs w:val="18"/>
              </w:rPr>
            </w:pPr>
            <w:r>
              <w:rPr>
                <w:rFonts w:hint="default" w:ascii="Times New Roman" w:hAnsi="Times New Roman" w:cs="Times New Roman"/>
                <w:sz w:val="18"/>
                <w:szCs w:val="18"/>
              </w:rPr>
              <w:t>辖区内规模以上服务业法人单位</w:t>
            </w:r>
          </w:p>
        </w:tc>
        <w:tc>
          <w:tcPr>
            <w:tcW w:w="1092" w:type="dxa"/>
            <w:noWrap w:val="0"/>
            <w:vAlign w:val="center"/>
          </w:tcPr>
          <w:p>
            <w:pPr>
              <w:snapToGrid w:val="0"/>
              <w:spacing w:line="24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法人单位</w:t>
            </w:r>
          </w:p>
        </w:tc>
        <w:tc>
          <w:tcPr>
            <w:tcW w:w="1488" w:type="dxa"/>
            <w:noWrap w:val="0"/>
            <w:vAlign w:val="center"/>
          </w:tcPr>
          <w:p>
            <w:pPr>
              <w:spacing w:line="220" w:lineRule="exact"/>
              <w:jc w:val="left"/>
              <w:rPr>
                <w:rFonts w:hint="default" w:ascii="Times New Roman" w:hAnsi="Times New Roman" w:eastAsia="宋体" w:cs="Times New Roman"/>
                <w:kern w:val="2"/>
                <w:sz w:val="18"/>
                <w:szCs w:val="18"/>
                <w:lang w:val="en" w:eastAsia="zh-CN" w:bidi="ar-SA"/>
              </w:rPr>
            </w:pPr>
            <w:r>
              <w:rPr>
                <w:rFonts w:hint="default" w:ascii="Times New Roman" w:hAnsi="Times New Roman" w:eastAsia="宋体" w:cs="Times New Roman"/>
                <w:sz w:val="18"/>
                <w:szCs w:val="18"/>
                <w:lang w:val="en-US" w:eastAsia="zh-CN"/>
              </w:rPr>
              <w:t>202</w:t>
            </w:r>
            <w:r>
              <w:rPr>
                <w:rFonts w:hint="default" w:ascii="Times New Roman" w:hAnsi="Times New Roman" w:cs="Times New Roman"/>
                <w:sz w:val="18"/>
                <w:szCs w:val="18"/>
                <w:lang w:val="en-US" w:eastAsia="zh-CN"/>
              </w:rPr>
              <w:t>5</w:t>
            </w:r>
            <w:r>
              <w:rPr>
                <w:rFonts w:hint="default" w:ascii="Times New Roman" w:hAnsi="Times New Roman" w:eastAsia="宋体" w:cs="Times New Roman"/>
                <w:sz w:val="18"/>
                <w:szCs w:val="18"/>
                <w:lang w:val="en-US" w:eastAsia="zh-CN"/>
              </w:rPr>
              <w:t>年1</w:t>
            </w:r>
            <w:r>
              <w:rPr>
                <w:rFonts w:hint="default" w:ascii="Times New Roman" w:hAnsi="Times New Roman" w:eastAsia="宋体" w:cs="Times New Roman"/>
                <w:sz w:val="18"/>
                <w:szCs w:val="18"/>
              </w:rPr>
              <w:t>月</w:t>
            </w:r>
            <w:r>
              <w:rPr>
                <w:rFonts w:hint="default" w:ascii="Times New Roman" w:hAnsi="Times New Roman" w:cs="Times New Roman"/>
                <w:sz w:val="18"/>
                <w:szCs w:val="18"/>
                <w:lang w:val="en-US" w:eastAsia="zh-CN"/>
              </w:rPr>
              <w:t>20</w:t>
            </w:r>
            <w:r>
              <w:rPr>
                <w:rFonts w:hint="default" w:ascii="Times New Roman" w:hAnsi="Times New Roman" w:eastAsia="宋体" w:cs="Times New Roman"/>
                <w:sz w:val="18"/>
                <w:szCs w:val="18"/>
              </w:rPr>
              <w:t>日</w:t>
            </w:r>
            <w:r>
              <w:rPr>
                <w:rFonts w:hint="default" w:ascii="Times New Roman" w:hAnsi="Times New Roman" w:cs="Times New Roman"/>
                <w:sz w:val="18"/>
                <w:szCs w:val="18"/>
                <w:lang w:val="en" w:eastAsia="zh-CN"/>
              </w:rPr>
              <w:t>0:00</w:t>
            </w:r>
          </w:p>
        </w:tc>
        <w:tc>
          <w:tcPr>
            <w:tcW w:w="1454" w:type="dxa"/>
            <w:noWrap w:val="0"/>
            <w:vAlign w:val="center"/>
          </w:tcPr>
          <w:p>
            <w:pPr>
              <w:spacing w:line="220" w:lineRule="exact"/>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202</w:t>
            </w:r>
            <w:r>
              <w:rPr>
                <w:rFonts w:hint="default" w:ascii="Times New Roman" w:hAnsi="Times New Roman" w:cs="Times New Roman"/>
                <w:sz w:val="18"/>
                <w:szCs w:val="18"/>
                <w:lang w:val="en-US" w:eastAsia="zh-CN"/>
              </w:rPr>
              <w:t>5</w:t>
            </w:r>
            <w:r>
              <w:rPr>
                <w:rFonts w:hint="default" w:ascii="Times New Roman" w:hAnsi="Times New Roman" w:eastAsia="宋体" w:cs="Times New Roman"/>
                <w:sz w:val="18"/>
                <w:szCs w:val="18"/>
                <w:lang w:val="en-US" w:eastAsia="zh-CN"/>
              </w:rPr>
              <w:t>年3月10日</w:t>
            </w:r>
            <w:r>
              <w:rPr>
                <w:rFonts w:hint="default" w:ascii="Times New Roman" w:hAnsi="Times New Roman" w:eastAsia="宋体" w:cs="Times New Roman"/>
                <w:sz w:val="18"/>
                <w:szCs w:val="18"/>
                <w:lang w:val="en" w:eastAsia="zh-CN"/>
              </w:rPr>
              <w:t>24:00</w:t>
            </w:r>
            <w:r>
              <w:rPr>
                <w:rFonts w:hint="default" w:ascii="Times New Roman" w:hAnsi="Times New Roman" w:cs="Times New Roman"/>
                <w:sz w:val="18"/>
                <w:szCs w:val="18"/>
                <w:lang w:val="en-US" w:eastAsia="zh-CN"/>
              </w:rPr>
              <w:t>前</w:t>
            </w:r>
          </w:p>
        </w:tc>
        <w:tc>
          <w:tcPr>
            <w:tcW w:w="411"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922" w:hRule="atLeast"/>
        </w:trPr>
        <w:tc>
          <w:tcPr>
            <w:tcW w:w="975" w:type="dxa"/>
            <w:noWrap w:val="0"/>
            <w:vAlign w:val="center"/>
          </w:tcPr>
          <w:p>
            <w:pPr>
              <w:snapToGrid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07-1表</w:t>
            </w:r>
          </w:p>
        </w:tc>
        <w:tc>
          <w:tcPr>
            <w:tcW w:w="990" w:type="dxa"/>
            <w:noWrap w:val="0"/>
            <w:vAlign w:val="center"/>
          </w:tcPr>
          <w:p>
            <w:pPr>
              <w:spacing w:line="22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企业</w:t>
            </w:r>
            <w:r>
              <w:rPr>
                <w:rFonts w:hint="default" w:ascii="Times New Roman" w:hAnsi="Times New Roman" w:cs="Times New Roman"/>
                <w:sz w:val="18"/>
                <w:szCs w:val="18"/>
                <w:lang w:eastAsia="zh-CN"/>
              </w:rPr>
              <w:t>研究开发</w:t>
            </w:r>
            <w:r>
              <w:rPr>
                <w:rFonts w:hint="default" w:ascii="Times New Roman" w:hAnsi="Times New Roman" w:cs="Times New Roman"/>
                <w:sz w:val="18"/>
                <w:szCs w:val="18"/>
              </w:rPr>
              <w:t>项目情况</w:t>
            </w:r>
          </w:p>
        </w:tc>
        <w:tc>
          <w:tcPr>
            <w:tcW w:w="735" w:type="dxa"/>
            <w:noWrap w:val="0"/>
            <w:vAlign w:val="center"/>
          </w:tcPr>
          <w:p>
            <w:pPr>
              <w:spacing w:line="22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年报</w:t>
            </w:r>
          </w:p>
        </w:tc>
        <w:tc>
          <w:tcPr>
            <w:tcW w:w="2483" w:type="dxa"/>
            <w:noWrap w:val="0"/>
            <w:vAlign w:val="center"/>
          </w:tcPr>
          <w:p>
            <w:pPr>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0"/>
                <w:sz w:val="18"/>
                <w:szCs w:val="18"/>
              </w:rPr>
              <w:t>辖区内规模以上交通运输、仓储和邮政业，信息传输、软件和信息技术服务业，租赁和商务服务业，科学研究和技术服务业，水利、环境和公共设施管理业，卫生和社会工作，文化、体育和娱乐业等企业法人单位的全部研究开发项目</w:t>
            </w:r>
          </w:p>
        </w:tc>
        <w:tc>
          <w:tcPr>
            <w:tcW w:w="1092" w:type="dxa"/>
            <w:noWrap w:val="0"/>
            <w:vAlign w:val="center"/>
          </w:tcPr>
          <w:p>
            <w:pPr>
              <w:spacing w:line="22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法人单位</w:t>
            </w:r>
          </w:p>
        </w:tc>
        <w:tc>
          <w:tcPr>
            <w:tcW w:w="1488" w:type="dxa"/>
            <w:noWrap w:val="0"/>
            <w:vAlign w:val="center"/>
          </w:tcPr>
          <w:p>
            <w:pPr>
              <w:pStyle w:val="27"/>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同上</w:t>
            </w:r>
          </w:p>
        </w:tc>
        <w:tc>
          <w:tcPr>
            <w:tcW w:w="1454" w:type="dxa"/>
            <w:noWrap w:val="0"/>
            <w:vAlign w:val="center"/>
          </w:tcPr>
          <w:p>
            <w:pPr>
              <w:pStyle w:val="27"/>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同上</w:t>
            </w:r>
          </w:p>
        </w:tc>
        <w:tc>
          <w:tcPr>
            <w:tcW w:w="411" w:type="dxa"/>
            <w:noWrap w:val="0"/>
            <w:vAlign w:val="center"/>
          </w:tcPr>
          <w:p>
            <w:pPr>
              <w:pStyle w:val="27"/>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snapToGrid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07-2表</w:t>
            </w:r>
          </w:p>
        </w:tc>
        <w:tc>
          <w:tcPr>
            <w:tcW w:w="990" w:type="dxa"/>
            <w:noWrap w:val="0"/>
            <w:vAlign w:val="center"/>
          </w:tcPr>
          <w:p>
            <w:pPr>
              <w:spacing w:line="22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企业</w:t>
            </w:r>
            <w:r>
              <w:rPr>
                <w:rFonts w:hint="default" w:ascii="Times New Roman" w:hAnsi="Times New Roman" w:cs="Times New Roman"/>
                <w:sz w:val="18"/>
                <w:szCs w:val="18"/>
                <w:lang w:eastAsia="zh-CN"/>
              </w:rPr>
              <w:t>研究开发</w:t>
            </w:r>
            <w:r>
              <w:rPr>
                <w:rFonts w:hint="default" w:ascii="Times New Roman" w:hAnsi="Times New Roman" w:cs="Times New Roman"/>
                <w:sz w:val="18"/>
                <w:szCs w:val="18"/>
              </w:rPr>
              <w:t>活动及相关情况</w:t>
            </w:r>
          </w:p>
        </w:tc>
        <w:tc>
          <w:tcPr>
            <w:tcW w:w="735" w:type="dxa"/>
            <w:noWrap w:val="0"/>
            <w:vAlign w:val="center"/>
          </w:tcPr>
          <w:p>
            <w:pPr>
              <w:spacing w:line="22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年报</w:t>
            </w:r>
          </w:p>
        </w:tc>
        <w:tc>
          <w:tcPr>
            <w:tcW w:w="2483" w:type="dxa"/>
            <w:noWrap w:val="0"/>
            <w:vAlign w:val="center"/>
          </w:tcPr>
          <w:p>
            <w:pPr>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辖区内</w:t>
            </w:r>
            <w:r>
              <w:rPr>
                <w:rFonts w:hint="default" w:ascii="Times New Roman" w:hAnsi="Times New Roman" w:cs="Times New Roman"/>
                <w:kern w:val="0"/>
                <w:sz w:val="18"/>
                <w:szCs w:val="18"/>
              </w:rPr>
              <w:t>规模以上交通运输、仓储和邮政业，信息传输、软件和信息技术服务业，租赁和商务服务业，科学研究和技术服务业，水利、环境和公共设施管理业，卫生和社会工作，文化、体育和娱乐业等企业法人单位</w:t>
            </w:r>
          </w:p>
        </w:tc>
        <w:tc>
          <w:tcPr>
            <w:tcW w:w="1092" w:type="dxa"/>
            <w:noWrap w:val="0"/>
            <w:vAlign w:val="center"/>
          </w:tcPr>
          <w:p>
            <w:pPr>
              <w:spacing w:line="22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法人单位</w:t>
            </w:r>
          </w:p>
        </w:tc>
        <w:tc>
          <w:tcPr>
            <w:tcW w:w="1488" w:type="dxa"/>
            <w:noWrap w:val="0"/>
            <w:vAlign w:val="center"/>
          </w:tcPr>
          <w:p>
            <w:pPr>
              <w:pStyle w:val="27"/>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同上</w:t>
            </w:r>
          </w:p>
        </w:tc>
        <w:tc>
          <w:tcPr>
            <w:tcW w:w="1454" w:type="dxa"/>
            <w:noWrap w:val="0"/>
            <w:vAlign w:val="center"/>
          </w:tcPr>
          <w:p>
            <w:pPr>
              <w:pStyle w:val="27"/>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同上</w:t>
            </w:r>
          </w:p>
        </w:tc>
        <w:tc>
          <w:tcPr>
            <w:tcW w:w="411"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018" w:hRule="atLeast"/>
        </w:trPr>
        <w:tc>
          <w:tcPr>
            <w:tcW w:w="975" w:type="dxa"/>
            <w:noWrap w:val="0"/>
            <w:vAlign w:val="center"/>
          </w:tcPr>
          <w:p>
            <w:pPr>
              <w:widowControl/>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w:t>
            </w:r>
            <w:r>
              <w:rPr>
                <w:rFonts w:hint="default" w:ascii="Times New Roman" w:hAnsi="Times New Roman" w:eastAsia="宋体" w:cs="Times New Roman"/>
                <w:sz w:val="18"/>
                <w:szCs w:val="18"/>
                <w:lang w:val="en"/>
              </w:rPr>
              <w:t>09表</w:t>
            </w:r>
          </w:p>
        </w:tc>
        <w:tc>
          <w:tcPr>
            <w:tcW w:w="990" w:type="dxa"/>
            <w:noWrap w:val="0"/>
            <w:vAlign w:val="center"/>
          </w:tcPr>
          <w:p>
            <w:pPr>
              <w:widowControl/>
              <w:jc w:val="center"/>
              <w:rPr>
                <w:rFonts w:hint="default" w:ascii="Times New Roman" w:hAnsi="Times New Roman" w:eastAsia="宋体" w:cs="Times New Roman"/>
                <w:kern w:val="2"/>
                <w:sz w:val="18"/>
                <w:szCs w:val="18"/>
                <w:lang w:val="en" w:eastAsia="zh-CN" w:bidi="ar-SA"/>
              </w:rPr>
            </w:pPr>
            <w:r>
              <w:rPr>
                <w:rFonts w:hint="default" w:ascii="Times New Roman" w:hAnsi="Times New Roman" w:eastAsia="宋体" w:cs="Times New Roman"/>
                <w:sz w:val="18"/>
                <w:szCs w:val="18"/>
                <w:lang w:val="en"/>
              </w:rPr>
              <w:t>信息通信技术应用和数字化转型情况</w:t>
            </w:r>
          </w:p>
        </w:tc>
        <w:tc>
          <w:tcPr>
            <w:tcW w:w="735" w:type="dxa"/>
            <w:noWrap w:val="0"/>
            <w:vAlign w:val="center"/>
          </w:tcPr>
          <w:p>
            <w:pPr>
              <w:widowControl/>
              <w:jc w:val="center"/>
              <w:rPr>
                <w:rFonts w:hint="default" w:ascii="Times New Roman" w:hAnsi="Times New Roman" w:eastAsia="宋体" w:cs="Times New Roman"/>
                <w:kern w:val="2"/>
                <w:sz w:val="18"/>
                <w:szCs w:val="18"/>
                <w:lang w:val="en" w:eastAsia="zh-CN" w:bidi="ar-SA"/>
              </w:rPr>
            </w:pPr>
            <w:r>
              <w:rPr>
                <w:rFonts w:hint="default" w:ascii="Times New Roman" w:hAnsi="Times New Roman" w:cs="Times New Roman"/>
                <w:sz w:val="18"/>
                <w:szCs w:val="18"/>
              </w:rPr>
              <w:t>年报</w:t>
            </w:r>
          </w:p>
        </w:tc>
        <w:tc>
          <w:tcPr>
            <w:tcW w:w="2483" w:type="dxa"/>
            <w:noWrap w:val="0"/>
            <w:vAlign w:val="center"/>
          </w:tcPr>
          <w:p>
            <w:pPr>
              <w:snapToGrid w:val="0"/>
              <w:rPr>
                <w:rFonts w:hint="default" w:ascii="Times New Roman" w:hAnsi="Times New Roman" w:eastAsia="宋体" w:cs="Times New Roman"/>
                <w:sz w:val="18"/>
                <w:szCs w:val="18"/>
                <w:lang w:val="en" w:eastAsia="zh-CN"/>
              </w:rPr>
            </w:pPr>
            <w:r>
              <w:rPr>
                <w:rFonts w:hint="default" w:ascii="Times New Roman" w:hAnsi="Times New Roman" w:cs="Times New Roman"/>
                <w:sz w:val="18"/>
                <w:szCs w:val="18"/>
              </w:rPr>
              <w:t>辖区内规模以上服务业法人单位</w:t>
            </w:r>
          </w:p>
        </w:tc>
        <w:tc>
          <w:tcPr>
            <w:tcW w:w="1092" w:type="dxa"/>
            <w:noWrap w:val="0"/>
            <w:vAlign w:val="center"/>
          </w:tcPr>
          <w:p>
            <w:pPr>
              <w:widowControl/>
              <w:jc w:val="center"/>
              <w:rPr>
                <w:rFonts w:hint="default" w:ascii="Times New Roman" w:hAnsi="Times New Roman" w:eastAsia="宋体" w:cs="Times New Roman"/>
                <w:kern w:val="2"/>
                <w:sz w:val="18"/>
                <w:szCs w:val="18"/>
                <w:lang w:val="en" w:eastAsia="zh-CN" w:bidi="ar-SA"/>
              </w:rPr>
            </w:pPr>
            <w:r>
              <w:rPr>
                <w:rFonts w:hint="default" w:ascii="Times New Roman" w:hAnsi="Times New Roman" w:eastAsia="宋体" w:cs="Times New Roman"/>
                <w:sz w:val="18"/>
                <w:szCs w:val="18"/>
                <w:lang w:val="en" w:eastAsia="zh-CN"/>
              </w:rPr>
              <w:t>法人单位</w:t>
            </w:r>
          </w:p>
        </w:tc>
        <w:tc>
          <w:tcPr>
            <w:tcW w:w="1488"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同上</w:t>
            </w:r>
          </w:p>
        </w:tc>
        <w:tc>
          <w:tcPr>
            <w:tcW w:w="1454"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同上</w:t>
            </w:r>
          </w:p>
        </w:tc>
        <w:tc>
          <w:tcPr>
            <w:tcW w:w="411"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628" w:type="dxa"/>
            <w:gridSpan w:val="8"/>
            <w:noWrap w:val="0"/>
            <w:vAlign w:val="center"/>
          </w:tcPr>
          <w:p>
            <w:pPr>
              <w:spacing w:line="280" w:lineRule="exact"/>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snapToGrid w:val="0"/>
              <w:rPr>
                <w:rFonts w:hint="default" w:ascii="Times New Roman" w:hAnsi="Times New Roman" w:eastAsia="宋体" w:cs="Times New Roman"/>
                <w:sz w:val="18"/>
                <w:szCs w:val="18"/>
              </w:rPr>
            </w:pPr>
            <w:r>
              <w:rPr>
                <w:rFonts w:hint="default" w:ascii="Times New Roman" w:hAnsi="Times New Roman" w:cs="Times New Roman"/>
                <w:sz w:val="18"/>
                <w:szCs w:val="18"/>
              </w:rPr>
              <w:t>201-1表</w:t>
            </w:r>
          </w:p>
        </w:tc>
        <w:tc>
          <w:tcPr>
            <w:tcW w:w="990" w:type="dxa"/>
            <w:noWrap w:val="0"/>
            <w:vAlign w:val="center"/>
          </w:tcPr>
          <w:p>
            <w:pPr>
              <w:snapToGrid w:val="0"/>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一套表</w:t>
            </w:r>
            <w:r>
              <w:rPr>
                <w:rFonts w:hint="default" w:ascii="Times New Roman" w:hAnsi="Times New Roman" w:cs="Times New Roman"/>
                <w:sz w:val="18"/>
                <w:szCs w:val="18"/>
              </w:rPr>
              <w:t>调查单位基本情况</w:t>
            </w:r>
          </w:p>
        </w:tc>
        <w:tc>
          <w:tcPr>
            <w:tcW w:w="735" w:type="dxa"/>
            <w:noWrap w:val="0"/>
            <w:vAlign w:val="center"/>
          </w:tcPr>
          <w:p>
            <w:pPr>
              <w:snapToGrid w:val="0"/>
              <w:jc w:val="center"/>
              <w:rPr>
                <w:rFonts w:hint="default" w:ascii="Times New Roman" w:hAnsi="Times New Roman" w:eastAsia="宋体" w:cs="Times New Roman"/>
                <w:sz w:val="18"/>
                <w:szCs w:val="18"/>
              </w:rPr>
            </w:pPr>
            <w:r>
              <w:rPr>
                <w:rFonts w:hint="default" w:ascii="Times New Roman" w:hAnsi="Times New Roman" w:cs="Times New Roman"/>
                <w:sz w:val="18"/>
                <w:szCs w:val="18"/>
              </w:rPr>
              <w:t>月报</w:t>
            </w:r>
          </w:p>
        </w:tc>
        <w:tc>
          <w:tcPr>
            <w:tcW w:w="2483" w:type="dxa"/>
            <w:noWrap w:val="0"/>
            <w:vAlign w:val="center"/>
          </w:tcPr>
          <w:p>
            <w:pPr>
              <w:snapToGrid w:val="0"/>
              <w:rPr>
                <w:rFonts w:hint="default" w:ascii="Times New Roman" w:hAnsi="Times New Roman" w:eastAsia="宋体" w:cs="Times New Roman"/>
                <w:kern w:val="2"/>
                <w:sz w:val="18"/>
                <w:szCs w:val="18"/>
              </w:rPr>
            </w:pPr>
            <w:r>
              <w:rPr>
                <w:rFonts w:hint="default" w:ascii="Times New Roman" w:hAnsi="Times New Roman" w:cs="Times New Roman"/>
                <w:sz w:val="18"/>
                <w:szCs w:val="18"/>
              </w:rPr>
              <w:t>辖区内规模以上服务业法人单位</w:t>
            </w:r>
          </w:p>
        </w:tc>
        <w:tc>
          <w:tcPr>
            <w:tcW w:w="1092" w:type="dxa"/>
            <w:noWrap w:val="0"/>
            <w:vAlign w:val="center"/>
          </w:tcPr>
          <w:p>
            <w:pPr>
              <w:pStyle w:val="20"/>
              <w:pBdr>
                <w:bottom w:val="none" w:color="auto" w:sz="0" w:space="0"/>
              </w:pBdr>
              <w:tabs>
                <w:tab w:val="clear" w:pos="4153"/>
                <w:tab w:val="clear" w:pos="8306"/>
              </w:tabs>
              <w:snapToGrid/>
              <w:spacing w:line="28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法人单位</w:t>
            </w:r>
          </w:p>
        </w:tc>
        <w:tc>
          <w:tcPr>
            <w:tcW w:w="1488" w:type="dxa"/>
            <w:noWrap w:val="0"/>
            <w:vAlign w:val="center"/>
          </w:tcPr>
          <w:p>
            <w:pPr>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免报</w:t>
            </w:r>
          </w:p>
        </w:tc>
        <w:tc>
          <w:tcPr>
            <w:tcW w:w="1454" w:type="dxa"/>
            <w:noWrap w:val="0"/>
            <w:vAlign w:val="center"/>
          </w:tcPr>
          <w:p>
            <w:pPr>
              <w:spacing w:line="28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411" w:type="dxa"/>
            <w:noWrap w:val="0"/>
            <w:vAlign w:val="center"/>
          </w:tcPr>
          <w:p>
            <w:pPr>
              <w:spacing w:line="28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67" w:hRule="atLeast"/>
        </w:trPr>
        <w:tc>
          <w:tcPr>
            <w:tcW w:w="975" w:type="dxa"/>
            <w:noWrap w:val="0"/>
            <w:vAlign w:val="center"/>
          </w:tcPr>
          <w:p>
            <w:pPr>
              <w:snapToGrid w:val="0"/>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sz w:val="18"/>
                <w:szCs w:val="18"/>
              </w:rPr>
              <w:t>202-1表</w:t>
            </w:r>
          </w:p>
        </w:tc>
        <w:tc>
          <w:tcPr>
            <w:tcW w:w="990" w:type="dxa"/>
            <w:noWrap w:val="0"/>
            <w:vAlign w:val="center"/>
          </w:tcPr>
          <w:p>
            <w:pPr>
              <w:snapToGrid w:val="0"/>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sz w:val="18"/>
                <w:szCs w:val="18"/>
              </w:rPr>
              <w:t>从业人员及工资总额</w:t>
            </w:r>
          </w:p>
        </w:tc>
        <w:tc>
          <w:tcPr>
            <w:tcW w:w="735" w:type="dxa"/>
            <w:noWrap w:val="0"/>
            <w:vAlign w:val="center"/>
          </w:tcPr>
          <w:p>
            <w:pPr>
              <w:snapToGrid w:val="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sz w:val="18"/>
                <w:szCs w:val="18"/>
              </w:rPr>
              <w:t>季报</w:t>
            </w:r>
          </w:p>
        </w:tc>
        <w:tc>
          <w:tcPr>
            <w:tcW w:w="2483" w:type="dxa"/>
            <w:noWrap w:val="0"/>
            <w:vAlign w:val="center"/>
          </w:tcPr>
          <w:p>
            <w:pPr>
              <w:snapToGrid w:val="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辖区内规模以上服务业法人单位</w:t>
            </w:r>
            <w:r>
              <w:rPr>
                <w:rFonts w:hint="default" w:ascii="Times New Roman" w:hAnsi="Times New Roman" w:cs="Times New Roman"/>
                <w:sz w:val="18"/>
                <w:szCs w:val="18"/>
                <w:lang w:eastAsia="zh-CN"/>
              </w:rPr>
              <w:t>中抽中的样本法人单位</w:t>
            </w:r>
          </w:p>
        </w:tc>
        <w:tc>
          <w:tcPr>
            <w:tcW w:w="1092" w:type="dxa"/>
            <w:noWrap w:val="0"/>
            <w:vAlign w:val="center"/>
          </w:tcPr>
          <w:p>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法人单位</w:t>
            </w:r>
          </w:p>
        </w:tc>
        <w:tc>
          <w:tcPr>
            <w:tcW w:w="1488" w:type="dxa"/>
            <w:noWrap w:val="0"/>
            <w:vAlign w:val="center"/>
          </w:tcPr>
          <w:p>
            <w:pPr>
              <w:ind w:left="53" w:leftChars="25" w:right="53" w:rightChars="25"/>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Cs/>
                <w:color w:val="000000"/>
                <w:kern w:val="0"/>
                <w:sz w:val="18"/>
                <w:szCs w:val="18"/>
                <w:lang w:eastAsia="zh-CN"/>
              </w:rPr>
              <w:t>一季度、二季度季后</w:t>
            </w:r>
            <w:r>
              <w:rPr>
                <w:rFonts w:hint="default" w:ascii="Times New Roman" w:hAnsi="Times New Roman" w:cs="Times New Roman"/>
                <w:bCs/>
                <w:color w:val="000000"/>
                <w:kern w:val="0"/>
                <w:sz w:val="18"/>
                <w:szCs w:val="18"/>
                <w:lang w:val="en-US" w:eastAsia="zh-CN"/>
              </w:rPr>
              <w:t>1日，三季度9月30日</w:t>
            </w:r>
            <w:r>
              <w:rPr>
                <w:rFonts w:hint="default" w:ascii="Times New Roman" w:hAnsi="Times New Roman" w:cs="Times New Roman"/>
                <w:bCs/>
                <w:color w:val="000000"/>
                <w:kern w:val="0"/>
                <w:sz w:val="18"/>
                <w:szCs w:val="18"/>
                <w:highlight w:val="none"/>
                <w:lang w:val="en"/>
              </w:rPr>
              <w:t>0:00</w:t>
            </w:r>
            <w:r>
              <w:rPr>
                <w:rFonts w:hint="default" w:ascii="Times New Roman" w:hAnsi="Times New Roman" w:cs="Times New Roman"/>
                <w:bCs/>
                <w:color w:val="000000"/>
                <w:kern w:val="0"/>
                <w:sz w:val="18"/>
                <w:szCs w:val="18"/>
                <w:highlight w:val="none"/>
              </w:rPr>
              <w:t>开网</w:t>
            </w:r>
          </w:p>
        </w:tc>
        <w:tc>
          <w:tcPr>
            <w:tcW w:w="1454" w:type="dxa"/>
            <w:noWrap w:val="0"/>
            <w:vAlign w:val="center"/>
          </w:tcPr>
          <w:p>
            <w:pPr>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一</w:t>
            </w:r>
            <w:r>
              <w:rPr>
                <w:rFonts w:hint="default" w:ascii="Times New Roman" w:hAnsi="Times New Roman" w:eastAsia="宋体" w:cs="Times New Roman"/>
                <w:sz w:val="18"/>
                <w:szCs w:val="18"/>
                <w:lang w:eastAsia="zh-CN"/>
              </w:rPr>
              <w:t>季度</w:t>
            </w:r>
            <w:r>
              <w:rPr>
                <w:rFonts w:hint="default" w:ascii="Times New Roman" w:hAnsi="Times New Roman" w:eastAsia="宋体" w:cs="Times New Roman"/>
                <w:sz w:val="18"/>
                <w:szCs w:val="18"/>
              </w:rPr>
              <w:t>季后</w:t>
            </w:r>
            <w:r>
              <w:rPr>
                <w:rFonts w:hint="default" w:ascii="Times New Roman" w:hAnsi="Times New Roman" w:eastAsia="宋体" w:cs="Times New Roman"/>
                <w:sz w:val="18"/>
                <w:szCs w:val="18"/>
                <w:lang w:val="en-US" w:eastAsia="zh-CN"/>
              </w:rPr>
              <w:t>8</w:t>
            </w:r>
            <w:r>
              <w:rPr>
                <w:rFonts w:hint="default" w:ascii="Times New Roman" w:hAnsi="Times New Roman" w:eastAsia="宋体" w:cs="Times New Roman"/>
                <w:sz w:val="18"/>
                <w:szCs w:val="18"/>
              </w:rPr>
              <w:t>日，二季度季后7日</w:t>
            </w:r>
            <w:r>
              <w:rPr>
                <w:rFonts w:hint="default" w:ascii="Times New Roman" w:hAnsi="Times New Roman" w:eastAsia="宋体" w:cs="Times New Roman"/>
                <w:sz w:val="18"/>
                <w:szCs w:val="18"/>
                <w:lang w:eastAsia="zh-CN"/>
              </w:rPr>
              <w:t>，三</w:t>
            </w:r>
            <w:r>
              <w:rPr>
                <w:rFonts w:hint="default" w:ascii="Times New Roman" w:hAnsi="Times New Roman" w:eastAsia="宋体" w:cs="Times New Roman"/>
                <w:sz w:val="18"/>
                <w:szCs w:val="18"/>
              </w:rPr>
              <w:t>季度</w:t>
            </w:r>
            <w:r>
              <w:rPr>
                <w:rFonts w:hint="default" w:ascii="Times New Roman" w:hAnsi="Times New Roman" w:eastAsia="宋体" w:cs="Times New Roman"/>
                <w:sz w:val="18"/>
                <w:szCs w:val="18"/>
                <w:lang w:eastAsia="zh-CN"/>
              </w:rPr>
              <w:t>季后</w:t>
            </w:r>
            <w:r>
              <w:rPr>
                <w:rFonts w:hint="default" w:ascii="Times New Roman" w:hAnsi="Times New Roman" w:eastAsia="宋体" w:cs="Times New Roman"/>
                <w:sz w:val="18"/>
                <w:szCs w:val="18"/>
                <w:lang w:val="en-US" w:eastAsia="zh-CN"/>
              </w:rPr>
              <w:t>1</w:t>
            </w:r>
            <w:r>
              <w:rPr>
                <w:rFonts w:hint="default" w:ascii="Times New Roman" w:hAnsi="Times New Roman" w:cs="Times New Roman"/>
                <w:sz w:val="18"/>
                <w:szCs w:val="18"/>
                <w:lang w:val="en-US" w:eastAsia="zh-CN"/>
              </w:rPr>
              <w:t>4</w:t>
            </w:r>
            <w:r>
              <w:rPr>
                <w:rFonts w:hint="default" w:ascii="Times New Roman" w:hAnsi="Times New Roman" w:eastAsia="宋体" w:cs="Times New Roman"/>
                <w:sz w:val="18"/>
                <w:szCs w:val="18"/>
                <w:lang w:val="en-US" w:eastAsia="zh-CN"/>
              </w:rPr>
              <w:t>日</w:t>
            </w:r>
            <w:r>
              <w:rPr>
                <w:rFonts w:hint="default" w:ascii="Times New Roman" w:hAnsi="Times New Roman" w:cs="Times New Roman"/>
                <w:sz w:val="18"/>
                <w:szCs w:val="18"/>
                <w:lang w:val="en"/>
              </w:rPr>
              <w:t>12:00</w:t>
            </w:r>
            <w:r>
              <w:rPr>
                <w:rFonts w:hint="default" w:ascii="Times New Roman" w:hAnsi="Times New Roman" w:cs="Times New Roman"/>
                <w:sz w:val="18"/>
                <w:szCs w:val="18"/>
                <w:lang w:val="en-US" w:eastAsia="zh-CN"/>
              </w:rPr>
              <w:t>前,</w:t>
            </w:r>
            <w:r>
              <w:rPr>
                <w:rFonts w:hint="default" w:ascii="Times New Roman" w:hAnsi="Times New Roman" w:eastAsia="宋体" w:cs="Times New Roman"/>
                <w:sz w:val="18"/>
                <w:szCs w:val="18"/>
              </w:rPr>
              <w:t>四季度免报</w:t>
            </w:r>
          </w:p>
        </w:tc>
        <w:tc>
          <w:tcPr>
            <w:tcW w:w="411" w:type="dxa"/>
            <w:noWrap w:val="0"/>
            <w:vAlign w:val="center"/>
          </w:tcPr>
          <w:p>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eastAsia" w:ascii="Times New Roman" w:hAnsi="Times New Roman" w:cs="Times New Roman"/>
                <w:sz w:val="18"/>
                <w:szCs w:val="18"/>
                <w:lang w:val="en-US" w:eastAsia="zh-CN"/>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975"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F203表</w:t>
            </w:r>
          </w:p>
        </w:tc>
        <w:tc>
          <w:tcPr>
            <w:tcW w:w="990" w:type="dxa"/>
            <w:noWrap w:val="0"/>
            <w:vAlign w:val="center"/>
          </w:tcPr>
          <w:p>
            <w:pPr>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财务状况</w:t>
            </w:r>
          </w:p>
        </w:tc>
        <w:tc>
          <w:tcPr>
            <w:tcW w:w="735" w:type="dxa"/>
            <w:noWrap w:val="0"/>
            <w:vAlign w:val="center"/>
          </w:tcPr>
          <w:p>
            <w:pPr>
              <w:spacing w:line="22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月报</w:t>
            </w:r>
          </w:p>
        </w:tc>
        <w:tc>
          <w:tcPr>
            <w:tcW w:w="2483" w:type="dxa"/>
            <w:noWrap w:val="0"/>
            <w:vAlign w:val="center"/>
          </w:tcPr>
          <w:p>
            <w:pPr>
              <w:spacing w:line="22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辖区内规模以上服务业法人单位</w:t>
            </w:r>
          </w:p>
        </w:tc>
        <w:tc>
          <w:tcPr>
            <w:tcW w:w="1092" w:type="dxa"/>
            <w:noWrap w:val="0"/>
            <w:vAlign w:val="center"/>
          </w:tcPr>
          <w:p>
            <w:pPr>
              <w:spacing w:line="22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法人单位</w:t>
            </w:r>
          </w:p>
        </w:tc>
        <w:tc>
          <w:tcPr>
            <w:tcW w:w="1488" w:type="dxa"/>
            <w:noWrap w:val="0"/>
            <w:vAlign w:val="center"/>
          </w:tcPr>
          <w:p>
            <w:pPr>
              <w:spacing w:line="220" w:lineRule="exact"/>
              <w:jc w:val="left"/>
              <w:rPr>
                <w:rFonts w:hint="default" w:ascii="Times New Roman" w:hAnsi="Times New Roman" w:eastAsia="宋体" w:cs="Times New Roman"/>
                <w:kern w:val="2"/>
                <w:sz w:val="18"/>
                <w:szCs w:val="18"/>
                <w:lang w:val="en" w:eastAsia="zh-CN" w:bidi="ar-SA"/>
              </w:rPr>
            </w:pPr>
            <w:r>
              <w:rPr>
                <w:rFonts w:hint="default" w:ascii="Times New Roman" w:hAnsi="Times New Roman" w:cs="Times New Roman"/>
                <w:kern w:val="2"/>
                <w:sz w:val="18"/>
                <w:szCs w:val="18"/>
                <w:lang w:val="en-US" w:eastAsia="zh-CN" w:bidi="ar-SA"/>
              </w:rPr>
              <w:t>月后</w:t>
            </w:r>
            <w:r>
              <w:rPr>
                <w:rFonts w:hint="default" w:ascii="Times New Roman" w:hAnsi="Times New Roman" w:eastAsia="宋体" w:cs="Times New Roman"/>
                <w:kern w:val="2"/>
                <w:sz w:val="18"/>
                <w:szCs w:val="18"/>
                <w:lang w:val="en-US" w:eastAsia="zh-CN" w:bidi="ar-SA"/>
              </w:rPr>
              <w:t>1日</w:t>
            </w:r>
            <w:r>
              <w:rPr>
                <w:rFonts w:hint="default" w:ascii="Times New Roman" w:hAnsi="Times New Roman" w:cs="Times New Roman"/>
                <w:kern w:val="2"/>
                <w:sz w:val="18"/>
                <w:szCs w:val="18"/>
                <w:lang w:val="en" w:eastAsia="zh-CN" w:bidi="ar-SA"/>
              </w:rPr>
              <w:t>0:00</w:t>
            </w:r>
          </w:p>
        </w:tc>
        <w:tc>
          <w:tcPr>
            <w:tcW w:w="1454" w:type="dxa"/>
            <w:noWrap w:val="0"/>
            <w:vAlign w:val="center"/>
          </w:tcPr>
          <w:p>
            <w:pPr>
              <w:spacing w:line="220" w:lineRule="exact"/>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月后18日</w:t>
            </w:r>
            <w:r>
              <w:rPr>
                <w:rFonts w:hint="default" w:ascii="Times New Roman" w:hAnsi="Times New Roman" w:cs="Times New Roman"/>
                <w:sz w:val="18"/>
                <w:szCs w:val="18"/>
                <w:lang w:val="en"/>
              </w:rPr>
              <w:t>18:00</w:t>
            </w:r>
            <w:r>
              <w:rPr>
                <w:rFonts w:hint="default" w:ascii="Times New Roman" w:hAnsi="Times New Roman" w:eastAsia="宋体" w:cs="Times New Roman"/>
                <w:sz w:val="18"/>
                <w:szCs w:val="18"/>
              </w:rPr>
              <w:t>前</w:t>
            </w:r>
            <w:r>
              <w:rPr>
                <w:rFonts w:hint="default" w:ascii="Times New Roman" w:hAnsi="Times New Roman" w:cs="Times New Roman"/>
                <w:sz w:val="18"/>
                <w:szCs w:val="18"/>
                <w:lang w:eastAsia="zh-CN"/>
              </w:rPr>
              <w:t>，</w:t>
            </w:r>
            <w:r>
              <w:rPr>
                <w:rFonts w:hint="default" w:ascii="Times New Roman" w:hAnsi="Times New Roman" w:eastAsia="宋体" w:cs="Times New Roman"/>
                <w:sz w:val="18"/>
                <w:szCs w:val="18"/>
              </w:rPr>
              <w:t>1月免报</w:t>
            </w:r>
          </w:p>
        </w:tc>
        <w:tc>
          <w:tcPr>
            <w:tcW w:w="411" w:type="dxa"/>
            <w:noWrap w:val="0"/>
            <w:vAlign w:val="center"/>
          </w:tcPr>
          <w:p>
            <w:pPr>
              <w:spacing w:line="22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eastAsia" w:ascii="Times New Roman" w:hAnsi="Times New Roman" w:cs="Times New Roman"/>
                <w:sz w:val="18"/>
                <w:szCs w:val="18"/>
                <w:lang w:val="en-US" w:eastAsia="zh-CN"/>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spacing w:line="22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205-5表</w:t>
            </w:r>
          </w:p>
        </w:tc>
        <w:tc>
          <w:tcPr>
            <w:tcW w:w="990" w:type="dxa"/>
            <w:noWrap w:val="0"/>
            <w:vAlign w:val="center"/>
          </w:tcPr>
          <w:p>
            <w:pPr>
              <w:adjustRightInd w:val="0"/>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非工业重点耗能单位能源消费情况</w:t>
            </w:r>
          </w:p>
        </w:tc>
        <w:tc>
          <w:tcPr>
            <w:tcW w:w="735" w:type="dxa"/>
            <w:noWrap w:val="0"/>
            <w:vAlign w:val="center"/>
          </w:tcPr>
          <w:p>
            <w:pPr>
              <w:adjustRightInd w:val="0"/>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季报</w:t>
            </w:r>
          </w:p>
        </w:tc>
        <w:tc>
          <w:tcPr>
            <w:tcW w:w="2483" w:type="dxa"/>
            <w:noWrap w:val="0"/>
            <w:vAlign w:val="center"/>
          </w:tcPr>
          <w:p>
            <w:pPr>
              <w:pStyle w:val="20"/>
              <w:pBdr>
                <w:bottom w:val="none" w:color="auto" w:sz="0" w:space="0"/>
              </w:pBdr>
              <w:tabs>
                <w:tab w:val="clear" w:pos="4153"/>
                <w:tab w:val="clear" w:pos="8306"/>
              </w:tabs>
              <w:adjustRightInd w:val="0"/>
              <w:jc w:val="both"/>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rPr>
              <w:t>辖区内年综合能源消费量1万吨标准煤及以上的规模以上服务业法人单位</w:t>
            </w:r>
          </w:p>
        </w:tc>
        <w:tc>
          <w:tcPr>
            <w:tcW w:w="1092" w:type="dxa"/>
            <w:noWrap w:val="0"/>
            <w:vAlign w:val="center"/>
          </w:tcPr>
          <w:p>
            <w:pPr>
              <w:spacing w:line="22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法人单位</w:t>
            </w:r>
          </w:p>
        </w:tc>
        <w:tc>
          <w:tcPr>
            <w:tcW w:w="1488" w:type="dxa"/>
            <w:noWrap w:val="0"/>
            <w:vAlign w:val="center"/>
          </w:tcPr>
          <w:p>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color w:val="000000"/>
                <w:kern w:val="2"/>
                <w:sz w:val="18"/>
                <w:szCs w:val="18"/>
              </w:rPr>
              <w:t>三季度9月</w:t>
            </w:r>
            <w:r>
              <w:rPr>
                <w:rFonts w:hint="default" w:ascii="Times New Roman" w:hAnsi="Times New Roman" w:cs="Times New Roman"/>
                <w:color w:val="000000"/>
                <w:kern w:val="2"/>
                <w:sz w:val="18"/>
                <w:szCs w:val="18"/>
                <w:lang w:val="en-US" w:eastAsia="zh-CN"/>
              </w:rPr>
              <w:t>30</w:t>
            </w:r>
            <w:r>
              <w:rPr>
                <w:rFonts w:hint="default" w:ascii="Times New Roman" w:hAnsi="Times New Roman" w:cs="Times New Roman"/>
                <w:color w:val="000000"/>
                <w:kern w:val="2"/>
                <w:sz w:val="18"/>
                <w:szCs w:val="18"/>
              </w:rPr>
              <w:t>日，</w:t>
            </w:r>
            <w:r>
              <w:rPr>
                <w:rFonts w:hint="default" w:ascii="Times New Roman" w:hAnsi="Times New Roman" w:cs="Times New Roman"/>
                <w:color w:val="000000"/>
                <w:kern w:val="2"/>
                <w:sz w:val="18"/>
                <w:szCs w:val="18"/>
                <w:lang w:eastAsia="zh-CN"/>
              </w:rPr>
              <w:t>四季度</w:t>
            </w:r>
            <w:r>
              <w:rPr>
                <w:rFonts w:hint="default" w:ascii="Times New Roman" w:hAnsi="Times New Roman" w:cs="Times New Roman"/>
                <w:color w:val="000000"/>
                <w:kern w:val="2"/>
                <w:sz w:val="18"/>
                <w:szCs w:val="18"/>
                <w:lang w:val="en-US" w:eastAsia="zh-CN"/>
              </w:rPr>
              <w:t>12月31日，</w:t>
            </w:r>
            <w:r>
              <w:rPr>
                <w:rFonts w:hint="default" w:ascii="Times New Roman" w:hAnsi="Times New Roman" w:cs="Times New Roman"/>
                <w:color w:val="000000"/>
                <w:kern w:val="2"/>
                <w:sz w:val="18"/>
                <w:szCs w:val="18"/>
              </w:rPr>
              <w:t>其他季季后1日0:00</w:t>
            </w:r>
          </w:p>
        </w:tc>
        <w:tc>
          <w:tcPr>
            <w:tcW w:w="1454" w:type="dxa"/>
            <w:noWrap w:val="0"/>
            <w:vAlign w:val="center"/>
          </w:tcPr>
          <w:p>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季后10日</w:t>
            </w:r>
            <w:r>
              <w:rPr>
                <w:rFonts w:hint="default" w:ascii="Times New Roman" w:hAnsi="Times New Roman" w:cs="Times New Roman"/>
                <w:sz w:val="18"/>
                <w:szCs w:val="18"/>
                <w:lang w:val="en"/>
              </w:rPr>
              <w:t>12:00</w:t>
            </w:r>
            <w:r>
              <w:rPr>
                <w:rFonts w:hint="default" w:ascii="Times New Roman" w:hAnsi="Times New Roman" w:cs="Times New Roman"/>
                <w:sz w:val="18"/>
                <w:szCs w:val="18"/>
                <w:lang w:eastAsia="zh-CN"/>
              </w:rPr>
              <w:t>前</w:t>
            </w:r>
          </w:p>
        </w:tc>
        <w:tc>
          <w:tcPr>
            <w:tcW w:w="411"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eastAsia" w:ascii="Times New Roman" w:hAnsi="Times New Roman" w:cs="Times New Roman"/>
                <w:sz w:val="18"/>
                <w:szCs w:val="18"/>
                <w:lang w:val="en-US" w:eastAsia="zh-CN"/>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205-6表</w:t>
            </w:r>
          </w:p>
        </w:tc>
        <w:tc>
          <w:tcPr>
            <w:tcW w:w="990" w:type="dxa"/>
            <w:noWrap w:val="0"/>
            <w:vAlign w:val="center"/>
          </w:tcPr>
          <w:p>
            <w:pPr>
              <w:spacing w:line="24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能源生产、销售与库存</w:t>
            </w:r>
          </w:p>
        </w:tc>
        <w:tc>
          <w:tcPr>
            <w:tcW w:w="735" w:type="dxa"/>
            <w:noWrap w:val="0"/>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月报</w:t>
            </w:r>
          </w:p>
        </w:tc>
        <w:tc>
          <w:tcPr>
            <w:tcW w:w="2483" w:type="dxa"/>
            <w:noWrap w:val="0"/>
            <w:vAlign w:val="center"/>
          </w:tcPr>
          <w:p>
            <w:pPr>
              <w:pStyle w:val="20"/>
              <w:pBdr>
                <w:bottom w:val="none" w:color="auto" w:sz="0" w:space="0"/>
              </w:pBdr>
              <w:tabs>
                <w:tab w:val="clear" w:pos="4153"/>
                <w:tab w:val="clear" w:pos="8306"/>
              </w:tabs>
              <w:snapToGrid/>
              <w:spacing w:line="240" w:lineRule="exact"/>
              <w:jc w:val="both"/>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rPr>
              <w:t>辖区内规模以上服务业重点法人单位</w:t>
            </w:r>
          </w:p>
        </w:tc>
        <w:tc>
          <w:tcPr>
            <w:tcW w:w="1092" w:type="dxa"/>
            <w:noWrap w:val="0"/>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法人单位</w:t>
            </w:r>
          </w:p>
        </w:tc>
        <w:tc>
          <w:tcPr>
            <w:tcW w:w="1488" w:type="dxa"/>
            <w:noWrap w:val="0"/>
            <w:vAlign w:val="center"/>
          </w:tcPr>
          <w:p>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color w:val="auto"/>
                <w:kern w:val="2"/>
                <w:sz w:val="18"/>
                <w:szCs w:val="18"/>
                <w:highlight w:val="none"/>
                <w:shd w:val="clear" w:color="auto" w:fill="auto"/>
              </w:rPr>
              <w:t>4</w:t>
            </w:r>
            <w:r>
              <w:rPr>
                <w:rFonts w:hint="default" w:ascii="Times New Roman" w:hAnsi="Times New Roman" w:cs="Times New Roman"/>
                <w:color w:val="auto"/>
                <w:kern w:val="2"/>
                <w:sz w:val="18"/>
                <w:szCs w:val="18"/>
                <w:highlight w:val="none"/>
                <w:shd w:val="clear" w:color="auto" w:fill="auto"/>
                <w:lang w:eastAsia="zh-CN"/>
              </w:rPr>
              <w:t>、</w:t>
            </w:r>
            <w:r>
              <w:rPr>
                <w:rFonts w:hint="default" w:ascii="Times New Roman" w:hAnsi="Times New Roman" w:cs="Times New Roman"/>
                <w:color w:val="auto"/>
                <w:kern w:val="2"/>
                <w:sz w:val="18"/>
                <w:szCs w:val="18"/>
                <w:highlight w:val="none"/>
                <w:shd w:val="clear" w:color="auto" w:fill="auto"/>
              </w:rPr>
              <w:t>9月</w:t>
            </w:r>
            <w:r>
              <w:rPr>
                <w:rFonts w:hint="default" w:ascii="Times New Roman" w:hAnsi="Times New Roman" w:cs="Times New Roman"/>
                <w:color w:val="auto"/>
                <w:kern w:val="2"/>
                <w:sz w:val="18"/>
                <w:szCs w:val="18"/>
                <w:highlight w:val="none"/>
                <w:shd w:val="clear" w:color="auto" w:fill="auto"/>
                <w:lang w:val="en-US" w:eastAsia="zh-CN"/>
              </w:rPr>
              <w:t>30</w:t>
            </w:r>
            <w:r>
              <w:rPr>
                <w:rFonts w:hint="default" w:ascii="Times New Roman" w:hAnsi="Times New Roman" w:cs="Times New Roman"/>
                <w:color w:val="auto"/>
                <w:kern w:val="2"/>
                <w:sz w:val="18"/>
                <w:szCs w:val="18"/>
                <w:highlight w:val="none"/>
                <w:shd w:val="clear" w:color="auto" w:fill="auto"/>
              </w:rPr>
              <w:t>日，12月31日，其他月月后1日0:00</w:t>
            </w:r>
          </w:p>
        </w:tc>
        <w:tc>
          <w:tcPr>
            <w:tcW w:w="1454" w:type="dxa"/>
            <w:noWrap w:val="0"/>
            <w:vAlign w:val="center"/>
          </w:tcPr>
          <w:p>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rPr>
              <w:t>2、5、6、7、8、10、11月月后7日，3月月后8日，4、12月月后9日</w:t>
            </w:r>
            <w:r>
              <w:rPr>
                <w:rFonts w:hint="default" w:ascii="Times New Roman" w:hAnsi="Times New Roman" w:eastAsia="宋体" w:cs="Times New Roman"/>
                <w:kern w:val="2"/>
                <w:sz w:val="18"/>
                <w:szCs w:val="18"/>
                <w:lang w:val="en"/>
              </w:rPr>
              <w:t>12:00</w:t>
            </w:r>
            <w:r>
              <w:rPr>
                <w:rFonts w:hint="default" w:ascii="Times New Roman" w:hAnsi="Times New Roman" w:cs="Times New Roman"/>
                <w:kern w:val="2"/>
                <w:sz w:val="18"/>
                <w:szCs w:val="18"/>
                <w:lang w:eastAsia="zh-CN"/>
              </w:rPr>
              <w:t>前</w:t>
            </w:r>
            <w:r>
              <w:rPr>
                <w:rFonts w:hint="default" w:ascii="Times New Roman" w:hAnsi="Times New Roman" w:cs="Times New Roman"/>
                <w:kern w:val="2"/>
                <w:sz w:val="18"/>
                <w:szCs w:val="18"/>
              </w:rPr>
              <w:t>，9月月后11日</w:t>
            </w:r>
            <w:r>
              <w:rPr>
                <w:rFonts w:hint="default" w:ascii="Times New Roman" w:hAnsi="Times New Roman" w:eastAsia="宋体" w:cs="Times New Roman"/>
                <w:kern w:val="2"/>
                <w:sz w:val="18"/>
                <w:szCs w:val="18"/>
                <w:lang w:val="en"/>
              </w:rPr>
              <w:t>18:00</w:t>
            </w:r>
            <w:r>
              <w:rPr>
                <w:rFonts w:hint="default" w:ascii="Times New Roman" w:hAnsi="Times New Roman" w:cs="Times New Roman"/>
                <w:sz w:val="18"/>
                <w:szCs w:val="18"/>
                <w:lang w:eastAsia="zh-CN"/>
              </w:rPr>
              <w:t>前，</w:t>
            </w:r>
            <w:r>
              <w:rPr>
                <w:rFonts w:hint="default" w:ascii="Times New Roman" w:hAnsi="Times New Roman" w:eastAsia="宋体" w:cs="Times New Roman"/>
                <w:sz w:val="18"/>
                <w:szCs w:val="18"/>
              </w:rPr>
              <w:t>1月免报</w:t>
            </w:r>
          </w:p>
        </w:tc>
        <w:tc>
          <w:tcPr>
            <w:tcW w:w="411"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eastAsia" w:ascii="Times New Roman" w:hAnsi="Times New Roman" w:cs="Times New Roman"/>
                <w:sz w:val="18"/>
                <w:szCs w:val="18"/>
                <w:lang w:val="en-US" w:eastAsia="zh-CN"/>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205-7表</w:t>
            </w:r>
          </w:p>
        </w:tc>
        <w:tc>
          <w:tcPr>
            <w:tcW w:w="990" w:type="dxa"/>
            <w:noWrap w:val="0"/>
            <w:vAlign w:val="center"/>
          </w:tcPr>
          <w:p>
            <w:pPr>
              <w:spacing w:line="24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重点能源商品经销情况</w:t>
            </w:r>
          </w:p>
        </w:tc>
        <w:tc>
          <w:tcPr>
            <w:tcW w:w="735" w:type="dxa"/>
            <w:noWrap w:val="0"/>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月报</w:t>
            </w:r>
          </w:p>
        </w:tc>
        <w:tc>
          <w:tcPr>
            <w:tcW w:w="2483" w:type="dxa"/>
            <w:noWrap w:val="0"/>
            <w:vAlign w:val="center"/>
          </w:tcPr>
          <w:p>
            <w:pPr>
              <w:pStyle w:val="20"/>
              <w:pBdr>
                <w:bottom w:val="none" w:color="auto" w:sz="0" w:space="0"/>
              </w:pBdr>
              <w:tabs>
                <w:tab w:val="clear" w:pos="4153"/>
                <w:tab w:val="clear" w:pos="8306"/>
              </w:tabs>
              <w:snapToGrid/>
              <w:spacing w:line="240" w:lineRule="exact"/>
              <w:jc w:val="both"/>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rPr>
              <w:t>辖区内规模以上服务业重点法人单位</w:t>
            </w:r>
          </w:p>
        </w:tc>
        <w:tc>
          <w:tcPr>
            <w:tcW w:w="1092" w:type="dxa"/>
            <w:noWrap w:val="0"/>
            <w:vAlign w:val="center"/>
          </w:tcPr>
          <w:p>
            <w:pPr>
              <w:spacing w:line="240" w:lineRule="exact"/>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sz w:val="18"/>
                <w:szCs w:val="18"/>
              </w:rPr>
              <w:t>法人单位</w:t>
            </w:r>
          </w:p>
        </w:tc>
        <w:tc>
          <w:tcPr>
            <w:tcW w:w="1488" w:type="dxa"/>
            <w:noWrap w:val="0"/>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同上</w:t>
            </w:r>
          </w:p>
        </w:tc>
        <w:tc>
          <w:tcPr>
            <w:tcW w:w="1454" w:type="dxa"/>
            <w:noWrap w:val="0"/>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同上</w:t>
            </w:r>
          </w:p>
        </w:tc>
        <w:tc>
          <w:tcPr>
            <w:tcW w:w="411"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eastAsia" w:ascii="Times New Roman" w:hAnsi="Times New Roman" w:cs="Times New Roman"/>
                <w:sz w:val="18"/>
                <w:szCs w:val="18"/>
                <w:lang w:val="en-US" w:eastAsia="zh-CN"/>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206表</w:t>
            </w:r>
          </w:p>
        </w:tc>
        <w:tc>
          <w:tcPr>
            <w:tcW w:w="990" w:type="dxa"/>
            <w:noWrap w:val="0"/>
            <w:vAlign w:val="center"/>
          </w:tcPr>
          <w:p>
            <w:pPr>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固定资产投资项目情况</w:t>
            </w:r>
          </w:p>
        </w:tc>
        <w:tc>
          <w:tcPr>
            <w:tcW w:w="735" w:type="dxa"/>
            <w:noWrap w:val="0"/>
            <w:vAlign w:val="center"/>
          </w:tcPr>
          <w:p>
            <w:pPr>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月报</w:t>
            </w:r>
          </w:p>
        </w:tc>
        <w:tc>
          <w:tcPr>
            <w:tcW w:w="2483" w:type="dxa"/>
            <w:noWrap w:val="0"/>
            <w:vAlign w:val="center"/>
          </w:tcPr>
          <w:p>
            <w:pPr>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辖区内规模以上服务业法人单位的500万元及以上固定资产投资项目</w:t>
            </w:r>
          </w:p>
        </w:tc>
        <w:tc>
          <w:tcPr>
            <w:tcW w:w="1092" w:type="dxa"/>
            <w:noWrap w:val="0"/>
            <w:vAlign w:val="center"/>
          </w:tcPr>
          <w:p>
            <w:pPr>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法人单位</w:t>
            </w:r>
          </w:p>
        </w:tc>
        <w:tc>
          <w:tcPr>
            <w:tcW w:w="1488" w:type="dxa"/>
            <w:noWrap w:val="0"/>
            <w:vAlign w:val="center"/>
          </w:tcPr>
          <w:p>
            <w:pPr>
              <w:widowControl/>
              <w:snapToGrid/>
              <w:spacing w:line="240" w:lineRule="auto"/>
              <w:jc w:val="center"/>
              <w:rPr>
                <w:rFonts w:hint="default" w:ascii="Times New Roman" w:hAnsi="Times New Roman" w:eastAsia="宋体" w:cs="Times New Roman"/>
                <w:color w:val="auto"/>
                <w:kern w:val="2"/>
                <w:sz w:val="18"/>
                <w:szCs w:val="18"/>
                <w:highlight w:val="none"/>
                <w:shd w:val="clear" w:color="auto" w:fill="auto"/>
                <w:lang w:val="en-US" w:eastAsia="zh-CN" w:bidi="ar-SA"/>
              </w:rPr>
            </w:pPr>
            <w:r>
              <w:rPr>
                <w:rFonts w:hint="default" w:ascii="Times New Roman" w:hAnsi="Times New Roman" w:eastAsia="宋体" w:cs="Times New Roman"/>
                <w:sz w:val="18"/>
                <w:szCs w:val="18"/>
                <w:lang w:eastAsia="zh-CN"/>
              </w:rPr>
              <w:t>同上</w:t>
            </w:r>
          </w:p>
        </w:tc>
        <w:tc>
          <w:tcPr>
            <w:tcW w:w="1454" w:type="dxa"/>
            <w:noWrap w:val="0"/>
            <w:vAlign w:val="center"/>
          </w:tcPr>
          <w:p>
            <w:pPr>
              <w:snapToGrid/>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同上</w:t>
            </w:r>
          </w:p>
        </w:tc>
        <w:tc>
          <w:tcPr>
            <w:tcW w:w="411" w:type="dxa"/>
            <w:noWrap w:val="0"/>
            <w:vAlign w:val="center"/>
          </w:tcPr>
          <w:p>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eastAsia" w:ascii="Times New Roman" w:hAnsi="Times New Roman" w:cs="Times New Roman"/>
                <w:sz w:val="18"/>
                <w:szCs w:val="18"/>
                <w:lang w:val="en-US" w:eastAsia="zh-CN"/>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75" w:type="dxa"/>
            <w:noWrap w:val="0"/>
            <w:vAlign w:val="center"/>
          </w:tcPr>
          <w:p>
            <w:pPr>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F210表</w:t>
            </w:r>
          </w:p>
        </w:tc>
        <w:tc>
          <w:tcPr>
            <w:tcW w:w="990" w:type="dxa"/>
            <w:noWrap w:val="0"/>
            <w:vAlign w:val="center"/>
          </w:tcPr>
          <w:p>
            <w:pPr>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生产经营景气状况</w:t>
            </w:r>
          </w:p>
        </w:tc>
        <w:tc>
          <w:tcPr>
            <w:tcW w:w="735" w:type="dxa"/>
            <w:noWrap w:val="0"/>
            <w:vAlign w:val="center"/>
          </w:tcPr>
          <w:p>
            <w:pPr>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季报</w:t>
            </w:r>
          </w:p>
        </w:tc>
        <w:tc>
          <w:tcPr>
            <w:tcW w:w="2483" w:type="dxa"/>
            <w:noWrap w:val="0"/>
            <w:vAlign w:val="center"/>
          </w:tcPr>
          <w:p>
            <w:pPr>
              <w:snapToGrid w:val="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辖区内规模以上服务业法人企业（单位）</w:t>
            </w:r>
          </w:p>
        </w:tc>
        <w:tc>
          <w:tcPr>
            <w:tcW w:w="1092" w:type="dxa"/>
            <w:noWrap w:val="0"/>
            <w:vAlign w:val="center"/>
          </w:tcPr>
          <w:p>
            <w:pPr>
              <w:snapToGrid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法人单位</w:t>
            </w:r>
          </w:p>
        </w:tc>
        <w:tc>
          <w:tcPr>
            <w:tcW w:w="1488" w:type="dxa"/>
            <w:noWrap w:val="0"/>
            <w:vAlign w:val="center"/>
          </w:tcPr>
          <w:p>
            <w:pPr>
              <w:pStyle w:val="62"/>
              <w:snapToGrid w:val="0"/>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3、6、9、12月1日0:00</w:t>
            </w:r>
          </w:p>
        </w:tc>
        <w:tc>
          <w:tcPr>
            <w:tcW w:w="1454" w:type="dxa"/>
            <w:noWrap w:val="0"/>
            <w:vAlign w:val="center"/>
          </w:tcPr>
          <w:p>
            <w:pPr>
              <w:snapToGrid w:val="0"/>
              <w:rPr>
                <w:rFonts w:hint="default" w:ascii="Times New Roman" w:hAnsi="Times New Roman" w:eastAsia="宋体" w:cs="Times New Roman"/>
                <w:sz w:val="18"/>
                <w:szCs w:val="18"/>
                <w:highlight w:val="yellow"/>
              </w:rPr>
            </w:pPr>
            <w:r>
              <w:rPr>
                <w:rFonts w:hint="default" w:ascii="Times New Roman" w:hAnsi="Times New Roman" w:eastAsia="宋体" w:cs="Times New Roman"/>
                <w:sz w:val="18"/>
                <w:szCs w:val="18"/>
              </w:rPr>
              <w:t>3、6、9、12月18日</w:t>
            </w:r>
            <w:r>
              <w:rPr>
                <w:rFonts w:hint="default" w:ascii="Times New Roman" w:hAnsi="Times New Roman" w:cs="Times New Roman"/>
                <w:sz w:val="18"/>
                <w:szCs w:val="18"/>
                <w:lang w:val="en"/>
              </w:rPr>
              <w:t>18:00</w:t>
            </w:r>
            <w:r>
              <w:rPr>
                <w:rFonts w:hint="default" w:ascii="Times New Roman" w:hAnsi="Times New Roman" w:eastAsia="宋体" w:cs="Times New Roman"/>
                <w:sz w:val="18"/>
                <w:szCs w:val="18"/>
              </w:rPr>
              <w:t>前网上填报</w:t>
            </w:r>
          </w:p>
        </w:tc>
        <w:tc>
          <w:tcPr>
            <w:tcW w:w="411" w:type="dxa"/>
            <w:noWrap w:val="0"/>
            <w:vAlign w:val="center"/>
          </w:tcPr>
          <w:p>
            <w:pPr>
              <w:snapToGrid w:val="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29</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outlineLvl w:val="9"/>
        <w:rPr>
          <w:rStyle w:val="35"/>
          <w:rFonts w:hint="default" w:ascii="Times New Roman" w:hAnsi="Times New Roman" w:eastAsia="宋体" w:cs="Times New Roman"/>
          <w:i w:val="0"/>
          <w:iCs w:val="0"/>
          <w:caps w:val="0"/>
          <w:color w:val="auto"/>
          <w:spacing w:val="0"/>
          <w:sz w:val="18"/>
          <w:szCs w:val="18"/>
          <w:u w:val="none"/>
          <w:vertAlign w:val="baseline"/>
          <w:lang w:eastAsia="zh-CN"/>
        </w:rPr>
      </w:pPr>
      <w:r>
        <w:rPr>
          <w:rFonts w:hint="default" w:ascii="Times New Roman" w:hAnsi="Times New Roman" w:eastAsia="宋体" w:cs="Times New Roman"/>
          <w:spacing w:val="6"/>
          <w:sz w:val="18"/>
          <w:szCs w:val="18"/>
        </w:rPr>
        <w:t>注：</w:t>
      </w:r>
      <w:r>
        <w:rPr>
          <w:rFonts w:hint="default" w:ascii="Times New Roman" w:hAnsi="Times New Roman" w:eastAsia="宋体" w:cs="Times New Roman"/>
          <w:spacing w:val="6"/>
          <w:sz w:val="18"/>
          <w:szCs w:val="18"/>
          <w:lang w:eastAsia="zh-CN"/>
        </w:rPr>
        <w:t>《</w:t>
      </w:r>
      <w:r>
        <w:rPr>
          <w:rFonts w:hint="default" w:ascii="Times New Roman" w:hAnsi="Times New Roman" w:eastAsia="宋体" w:cs="Times New Roman"/>
          <w:sz w:val="18"/>
          <w:szCs w:val="18"/>
        </w:rPr>
        <w:t>企业研发项目情况</w:t>
      </w:r>
      <w:r>
        <w:rPr>
          <w:rFonts w:hint="default" w:ascii="Times New Roman" w:hAnsi="Times New Roman" w:eastAsia="宋体" w:cs="Times New Roman"/>
          <w:sz w:val="18"/>
          <w:szCs w:val="18"/>
          <w:lang w:eastAsia="zh-CN"/>
        </w:rPr>
        <w:t>（</w:t>
      </w:r>
      <w:r>
        <w:rPr>
          <w:rFonts w:hint="default" w:ascii="Times New Roman" w:hAnsi="Times New Roman" w:cs="Times New Roman"/>
          <w:sz w:val="18"/>
          <w:szCs w:val="18"/>
          <w:lang w:val="en-US" w:eastAsia="zh-CN"/>
        </w:rPr>
        <w:t>1</w:t>
      </w:r>
      <w:r>
        <w:rPr>
          <w:rFonts w:hint="default" w:ascii="Times New Roman" w:hAnsi="Times New Roman" w:eastAsia="宋体" w:cs="Times New Roman"/>
          <w:sz w:val="18"/>
          <w:szCs w:val="18"/>
          <w:lang w:val="en-US" w:eastAsia="zh-CN"/>
        </w:rPr>
        <w:t>07-1表</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pacing w:val="0"/>
          <w:sz w:val="18"/>
          <w:szCs w:val="18"/>
          <w:lang w:eastAsia="zh-CN"/>
        </w:rPr>
        <w:t>》</w:t>
      </w:r>
      <w:r>
        <w:rPr>
          <w:rFonts w:hint="default" w:ascii="Times New Roman" w:hAnsi="Times New Roman" w:eastAsia="宋体" w:cs="Times New Roman"/>
          <w:spacing w:val="0"/>
          <w:sz w:val="18"/>
          <w:szCs w:val="18"/>
          <w:lang w:val="en-US" w:eastAsia="zh-CN"/>
        </w:rPr>
        <w:t>和</w:t>
      </w:r>
      <w:r>
        <w:rPr>
          <w:rFonts w:hint="default" w:ascii="Times New Roman" w:hAnsi="Times New Roman" w:eastAsia="宋体" w:cs="Times New Roman"/>
          <w:spacing w:val="0"/>
          <w:sz w:val="18"/>
          <w:szCs w:val="18"/>
          <w:lang w:eastAsia="zh-CN"/>
        </w:rPr>
        <w:t>《</w:t>
      </w:r>
      <w:r>
        <w:rPr>
          <w:rFonts w:hint="default" w:ascii="Times New Roman" w:hAnsi="Times New Roman" w:eastAsia="宋体" w:cs="Times New Roman"/>
          <w:sz w:val="18"/>
          <w:szCs w:val="18"/>
        </w:rPr>
        <w:t>企业研发活动及相关情况</w:t>
      </w:r>
      <w:r>
        <w:rPr>
          <w:rFonts w:hint="default" w:ascii="Times New Roman" w:hAnsi="Times New Roman" w:eastAsia="宋体" w:cs="Times New Roman"/>
          <w:sz w:val="18"/>
          <w:szCs w:val="18"/>
          <w:lang w:eastAsia="zh-CN"/>
        </w:rPr>
        <w:t>（</w:t>
      </w:r>
      <w:r>
        <w:rPr>
          <w:rFonts w:hint="default" w:ascii="Times New Roman" w:hAnsi="Times New Roman" w:cs="Times New Roman"/>
          <w:sz w:val="18"/>
          <w:szCs w:val="18"/>
          <w:lang w:val="en-US" w:eastAsia="zh-CN"/>
        </w:rPr>
        <w:t>1</w:t>
      </w:r>
      <w:r>
        <w:rPr>
          <w:rFonts w:hint="default" w:ascii="Times New Roman" w:hAnsi="Times New Roman" w:eastAsia="宋体" w:cs="Times New Roman"/>
          <w:sz w:val="18"/>
          <w:szCs w:val="18"/>
          <w:lang w:val="en-US" w:eastAsia="zh-CN"/>
        </w:rPr>
        <w:t>07-2表</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pacing w:val="0"/>
          <w:sz w:val="18"/>
          <w:szCs w:val="18"/>
          <w:lang w:eastAsia="zh-CN"/>
        </w:rPr>
        <w:t>》</w:t>
      </w:r>
      <w:r>
        <w:rPr>
          <w:rFonts w:hint="default" w:ascii="Times New Roman" w:hAnsi="Times New Roman" w:eastAsia="宋体" w:cs="Times New Roman"/>
          <w:spacing w:val="0"/>
          <w:sz w:val="18"/>
          <w:szCs w:val="18"/>
        </w:rPr>
        <w:t>相关指</w:t>
      </w:r>
      <w:r>
        <w:rPr>
          <w:rFonts w:hint="default" w:ascii="Times New Roman" w:hAnsi="Times New Roman" w:eastAsia="宋体" w:cs="Times New Roman"/>
          <w:color w:val="auto"/>
          <w:spacing w:val="0"/>
          <w:sz w:val="18"/>
          <w:szCs w:val="18"/>
        </w:rPr>
        <w:t>标解释及填报说明参见</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i w:val="0"/>
          <w:iCs w:val="0"/>
          <w:caps w:val="0"/>
          <w:color w:val="auto"/>
          <w:spacing w:val="0"/>
          <w:sz w:val="18"/>
          <w:szCs w:val="18"/>
          <w:u w:val="none"/>
          <w:vertAlign w:val="baseline"/>
        </w:rPr>
        <w:t>企业（单位）研发活动统计报表制度</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非工业重点耗能单位能源消费情况</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205-5</w:t>
      </w:r>
      <w:r>
        <w:rPr>
          <w:rStyle w:val="35"/>
          <w:rFonts w:hint="default" w:ascii="Times New Roman" w:hAnsi="Times New Roman" w:eastAsia="宋体" w:cs="Times New Roman"/>
          <w:i w:val="0"/>
          <w:iCs w:val="0"/>
          <w:caps w:val="0"/>
          <w:color w:val="auto"/>
          <w:spacing w:val="0"/>
          <w:sz w:val="18"/>
          <w:szCs w:val="18"/>
          <w:u w:val="none"/>
          <w:vertAlign w:val="baseline"/>
          <w:lang w:val="en-US" w:eastAsia="zh-CN"/>
        </w:rPr>
        <w:t>表</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》《能源生产、销售与库存</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205-6</w:t>
      </w:r>
      <w:r>
        <w:rPr>
          <w:rStyle w:val="35"/>
          <w:rFonts w:hint="default" w:ascii="Times New Roman" w:hAnsi="Times New Roman" w:eastAsia="宋体" w:cs="Times New Roman"/>
          <w:i w:val="0"/>
          <w:iCs w:val="0"/>
          <w:caps w:val="0"/>
          <w:color w:val="auto"/>
          <w:spacing w:val="0"/>
          <w:sz w:val="18"/>
          <w:szCs w:val="18"/>
          <w:u w:val="none"/>
          <w:vertAlign w:val="baseline"/>
          <w:lang w:val="en-US" w:eastAsia="zh-CN"/>
        </w:rPr>
        <w:t>表</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》和《重点能源商品经销情况</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205-7</w:t>
      </w:r>
      <w:r>
        <w:rPr>
          <w:rStyle w:val="35"/>
          <w:rFonts w:hint="default" w:ascii="Times New Roman" w:hAnsi="Times New Roman" w:eastAsia="宋体" w:cs="Times New Roman"/>
          <w:i w:val="0"/>
          <w:iCs w:val="0"/>
          <w:caps w:val="0"/>
          <w:color w:val="auto"/>
          <w:spacing w:val="0"/>
          <w:sz w:val="18"/>
          <w:szCs w:val="18"/>
          <w:u w:val="none"/>
          <w:vertAlign w:val="baseline"/>
          <w:lang w:val="en-US" w:eastAsia="zh-CN"/>
        </w:rPr>
        <w:t>表</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》相关指标解释及填报说明参见《能源统计报表制度》；《固定资产投资项目情况</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206</w:t>
      </w:r>
      <w:r>
        <w:rPr>
          <w:rStyle w:val="35"/>
          <w:rFonts w:hint="default" w:ascii="Times New Roman" w:hAnsi="Times New Roman" w:eastAsia="宋体" w:cs="Times New Roman"/>
          <w:i w:val="0"/>
          <w:iCs w:val="0"/>
          <w:caps w:val="0"/>
          <w:color w:val="auto"/>
          <w:spacing w:val="0"/>
          <w:sz w:val="18"/>
          <w:szCs w:val="18"/>
          <w:u w:val="none"/>
          <w:vertAlign w:val="baseline"/>
          <w:lang w:val="en-US" w:eastAsia="zh-CN"/>
        </w:rPr>
        <w:t>表</w:t>
      </w:r>
      <w:r>
        <w:rPr>
          <w:rStyle w:val="35"/>
          <w:rFonts w:hint="default" w:ascii="Times New Roman" w:hAnsi="Times New Roman" w:eastAsia="宋体" w:cs="Times New Roman"/>
          <w:i w:val="0"/>
          <w:iCs w:val="0"/>
          <w:caps w:val="0"/>
          <w:color w:val="auto"/>
          <w:spacing w:val="0"/>
          <w:sz w:val="18"/>
          <w:szCs w:val="18"/>
          <w:u w:val="none"/>
          <w:vertAlign w:val="baseline"/>
          <w:lang w:eastAsia="zh-CN"/>
        </w:rPr>
        <w:t>）</w:t>
      </w:r>
      <w:r>
        <w:rPr>
          <w:rStyle w:val="35"/>
          <w:rFonts w:hint="default" w:ascii="Times New Roman" w:hAnsi="Times New Roman" w:eastAsia="宋体" w:cs="Times New Roman"/>
          <w:i w:val="0"/>
          <w:iCs w:val="0"/>
          <w:caps w:val="0"/>
          <w:color w:val="auto"/>
          <w:spacing w:val="0"/>
          <w:sz w:val="18"/>
          <w:szCs w:val="18"/>
          <w:u w:val="none"/>
          <w:vertAlign w:val="baseline"/>
        </w:rPr>
        <w:t>》相关指标解释及填报说明参见《固定资产投资统计报表制</w:t>
      </w:r>
      <w:r>
        <w:rPr>
          <w:rStyle w:val="35"/>
          <w:rFonts w:hint="default" w:ascii="Times New Roman" w:hAnsi="Times New Roman" w:eastAsia="宋体" w:cs="Times New Roman"/>
          <w:i w:val="0"/>
          <w:iCs w:val="0"/>
          <w:caps w:val="0"/>
          <w:color w:val="auto"/>
          <w:spacing w:val="0"/>
          <w:sz w:val="18"/>
          <w:szCs w:val="18"/>
          <w:u w:val="none"/>
          <w:vertAlign w:val="baseline"/>
          <w:lang w:eastAsia="zh-CN"/>
        </w:rPr>
        <w:t>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黑体" w:hAnsi="黑体" w:eastAsia="黑体" w:cs="黑体"/>
          <w:color w:val="000000"/>
          <w:sz w:val="32"/>
          <w:szCs w:val="32"/>
        </w:rPr>
      </w:pPr>
      <w:bookmarkStart w:id="171" w:name="_Toc339123411"/>
      <w:bookmarkStart w:id="172" w:name="_Toc276857281"/>
      <w:bookmarkStart w:id="173" w:name="_Toc1920946283"/>
      <w:bookmarkStart w:id="174" w:name="_Toc1081210799"/>
      <w:bookmarkStart w:id="175" w:name="_Toc378870864"/>
      <w:bookmarkStart w:id="176" w:name="_Toc1776670177"/>
      <w:bookmarkStart w:id="177" w:name="_Toc489160486"/>
      <w:bookmarkStart w:id="178" w:name="_Toc1513702125"/>
      <w:bookmarkStart w:id="179" w:name="_Toc1443789023"/>
      <w:bookmarkStart w:id="180" w:name="_Toc1799248058"/>
      <w:bookmarkStart w:id="181" w:name="_Toc1880535560"/>
      <w:bookmarkStart w:id="182" w:name="_Toc2142731808"/>
      <w:bookmarkStart w:id="183" w:name="_Toc308001997"/>
      <w:bookmarkStart w:id="184" w:name="_Toc344070908"/>
      <w:bookmarkStart w:id="185" w:name="_Toc1638254577"/>
      <w:bookmarkStart w:id="186" w:name="_Toc1972404665"/>
      <w:bookmarkStart w:id="187" w:name="_Toc2093672137"/>
      <w:bookmarkStart w:id="188" w:name="_Toc2106463206"/>
      <w:bookmarkStart w:id="189" w:name="_Toc1030253078"/>
      <w:bookmarkStart w:id="190" w:name="_Toc659862957"/>
      <w:bookmarkStart w:id="191" w:name="_Toc1307242628"/>
      <w:bookmarkStart w:id="192" w:name="_Toc587814445"/>
      <w:bookmarkStart w:id="193" w:name="_Toc769732867"/>
      <w:bookmarkStart w:id="194" w:name="_Toc668402307"/>
      <w:bookmarkStart w:id="195" w:name="_Toc1745290698"/>
      <w:bookmarkStart w:id="196" w:name="_Toc690439893"/>
      <w:bookmarkStart w:id="197" w:name="_Toc1087891668"/>
      <w:bookmarkStart w:id="198" w:name="_Toc1733276787"/>
      <w:bookmarkStart w:id="199" w:name="_Toc1464930881_WPSOffice_Level1"/>
      <w:bookmarkStart w:id="200" w:name="_Toc19412189"/>
      <w:bookmarkStart w:id="201" w:name="_Toc1273649240_WPSOffice_Level1"/>
      <w:bookmarkStart w:id="202" w:name="_Toc2042508600"/>
      <w:bookmarkStart w:id="203" w:name="_Toc1475905453"/>
      <w:bookmarkStart w:id="204" w:name="_Toc439740220"/>
      <w:bookmarkStart w:id="205" w:name="_Toc931101259"/>
      <w:bookmarkStart w:id="206" w:name="_Toc912695567"/>
      <w:bookmarkStart w:id="207" w:name="_Toc1721871267"/>
      <w:bookmarkStart w:id="208" w:name="_Toc857322530"/>
      <w:bookmarkStart w:id="209" w:name="_Toc681522878"/>
      <w:bookmarkStart w:id="210" w:name="_Toc304914112"/>
      <w:bookmarkStart w:id="211" w:name="_Toc920657627"/>
      <w:bookmarkStart w:id="212" w:name="_Toc1241903909"/>
      <w:bookmarkStart w:id="213" w:name="_Toc1998955110"/>
      <w:bookmarkStart w:id="214" w:name="_Toc751695095"/>
      <w:bookmarkStart w:id="215" w:name="_Toc643845526"/>
      <w:bookmarkStart w:id="216" w:name="_Toc1297296730"/>
      <w:bookmarkStart w:id="217" w:name="_Toc1449109569"/>
      <w:bookmarkStart w:id="218" w:name="_Toc1013713712"/>
      <w:bookmarkStart w:id="219" w:name="_Toc465894123"/>
      <w:bookmarkStart w:id="220" w:name="_Toc1512915992"/>
      <w:bookmarkStart w:id="221" w:name="_Toc1460336427"/>
      <w:bookmarkStart w:id="222" w:name="_Toc1685581146"/>
      <w:bookmarkStart w:id="223" w:name="_Toc206555168"/>
      <w:bookmarkStart w:id="224" w:name="_Toc814693147"/>
      <w:bookmarkStart w:id="225" w:name="_Toc525075397"/>
      <w:bookmarkStart w:id="226" w:name="_Toc252991074"/>
      <w:bookmarkStart w:id="227" w:name="_Toc1830250535"/>
      <w:bookmarkStart w:id="228" w:name="_Toc498448172"/>
      <w:bookmarkStart w:id="229" w:name="_Toc388787641"/>
      <w:bookmarkStart w:id="230" w:name="_Toc2134892136"/>
      <w:bookmarkStart w:id="231" w:name="_Toc1015221938"/>
      <w:bookmarkStart w:id="232" w:name="_Toc2069885019"/>
      <w:bookmarkStart w:id="233" w:name="_Toc1585939671"/>
      <w:bookmarkStart w:id="234" w:name="_Toc1924347174"/>
      <w:bookmarkStart w:id="235" w:name="_Toc577077701"/>
      <w:bookmarkStart w:id="236" w:name="_Toc38722274"/>
      <w:bookmarkStart w:id="237" w:name="_Toc1580876896"/>
      <w:bookmarkStart w:id="238" w:name="_Toc337191131"/>
      <w:bookmarkStart w:id="239" w:name="_Toc1103114942"/>
      <w:bookmarkStart w:id="240" w:name="_Toc301547185"/>
      <w:bookmarkStart w:id="241" w:name="_Toc606351541"/>
      <w:bookmarkStart w:id="242" w:name="_Toc575319367"/>
      <w:bookmarkStart w:id="243" w:name="_Toc2074223590"/>
      <w:bookmarkStart w:id="244" w:name="_Toc598846595"/>
      <w:bookmarkStart w:id="245" w:name="_Toc354134133"/>
      <w:bookmarkStart w:id="246" w:name="_Toc1167491862"/>
      <w:bookmarkStart w:id="247" w:name="_Toc1836397407"/>
      <w:bookmarkStart w:id="248" w:name="_Toc1461341741"/>
      <w:bookmarkStart w:id="249" w:name="_Toc977861614"/>
      <w:bookmarkStart w:id="250" w:name="_Toc2061404781"/>
      <w:bookmarkStart w:id="251" w:name="_Toc2071495350"/>
      <w:bookmarkStart w:id="252" w:name="_Toc1751971539"/>
      <w:bookmarkStart w:id="253" w:name="_Toc1245476012"/>
      <w:bookmarkStart w:id="254" w:name="_Toc1570663202"/>
      <w:bookmarkStart w:id="255" w:name="_Toc470643804"/>
      <w:bookmarkStart w:id="256" w:name="_Toc1273439788"/>
      <w:bookmarkStart w:id="257" w:name="_Toc266109408"/>
      <w:bookmarkStart w:id="258" w:name="_Toc73351960"/>
      <w:bookmarkStart w:id="259" w:name="_Toc2065726962"/>
      <w:bookmarkStart w:id="260" w:name="_Toc1389407382"/>
      <w:bookmarkStart w:id="261" w:name="_Toc109560131"/>
      <w:bookmarkStart w:id="262" w:name="_Toc882895955"/>
      <w:bookmarkStart w:id="263" w:name="_Toc1373011898"/>
      <w:bookmarkStart w:id="264" w:name="_Toc160047282"/>
      <w:bookmarkStart w:id="265" w:name="_Toc967692251"/>
      <w:bookmarkStart w:id="266" w:name="_Toc1404855154"/>
      <w:bookmarkStart w:id="267" w:name="_Toc347320904"/>
      <w:r>
        <w:rPr>
          <w:rFonts w:ascii="Nimbus Roman No9 L" w:hAnsi="Nimbus Roman No9 L" w:eastAsia="黑体" w:cs="Nimbus Roman No9 L"/>
          <w:kern w:val="0"/>
          <w:sz w:val="28"/>
          <w:szCs w:val="28"/>
        </w:rPr>
        <w:br w:type="page"/>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Start w:id="268" w:name="_Toc14247"/>
      <w:bookmarkStart w:id="269" w:name="_Toc704585693"/>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调查</w:t>
      </w:r>
      <w:r>
        <w:rPr>
          <w:rFonts w:hint="eastAsia" w:ascii="黑体" w:hAnsi="黑体" w:eastAsia="黑体" w:cs="黑体"/>
          <w:color w:val="000000"/>
          <w:sz w:val="32"/>
          <w:szCs w:val="32"/>
        </w:rPr>
        <w:t>表式</w:t>
      </w:r>
      <w:bookmarkEnd w:id="268"/>
    </w:p>
    <w:p>
      <w:pPr>
        <w:snapToGrid w:val="0"/>
        <w:jc w:val="center"/>
        <w:outlineLvl w:val="2"/>
        <w:rPr>
          <w:rFonts w:hint="eastAsia" w:ascii="黑体" w:hAnsi="黑体" w:eastAsia="黑体" w:cs="黑体"/>
          <w:color w:val="000000"/>
          <w:sz w:val="28"/>
          <w:szCs w:val="28"/>
        </w:rPr>
      </w:pPr>
      <w:bookmarkStart w:id="270" w:name="_Toc12288"/>
    </w:p>
    <w:p>
      <w:pPr>
        <w:snapToGrid w:val="0"/>
        <w:jc w:val="center"/>
        <w:outlineLvl w:val="2"/>
        <w:rPr>
          <w:rFonts w:hint="eastAsia" w:ascii="黑体" w:hAnsi="宋体" w:eastAsia="黑体" w:cs="黑体"/>
          <w:sz w:val="28"/>
          <w:szCs w:val="28"/>
        </w:rPr>
      </w:pPr>
      <w:r>
        <w:rPr>
          <w:rFonts w:hint="eastAsia" w:ascii="黑体" w:hAnsi="黑体" w:eastAsia="黑体" w:cs="黑体"/>
          <w:color w:val="000000"/>
          <w:sz w:val="28"/>
          <w:szCs w:val="28"/>
        </w:rPr>
        <w:t>（一）</w:t>
      </w:r>
      <w:bookmarkStart w:id="271" w:name="_Toc438535637"/>
      <w:bookmarkStart w:id="272" w:name="_Toc59093487"/>
      <w:bookmarkStart w:id="273" w:name="_Toc468450953"/>
      <w:bookmarkStart w:id="274" w:name="_Toc468451957"/>
      <w:r>
        <w:rPr>
          <w:rFonts w:hint="eastAsia" w:ascii="黑体" w:hAnsi="宋体" w:eastAsia="黑体" w:cs="黑体"/>
          <w:sz w:val="28"/>
          <w:szCs w:val="28"/>
        </w:rPr>
        <w:t>基层年报表式</w:t>
      </w:r>
      <w:bookmarkEnd w:id="271"/>
      <w:bookmarkEnd w:id="272"/>
      <w:bookmarkEnd w:id="273"/>
      <w:bookmarkEnd w:id="274"/>
    </w:p>
    <w:p>
      <w:pPr>
        <w:keepNext w:val="0"/>
        <w:keepLines w:val="0"/>
        <w:pageBreakBefore w:val="0"/>
        <w:widowControl/>
        <w:kinsoku/>
        <w:wordWrap/>
        <w:overflowPunct/>
        <w:topLinePunct w:val="0"/>
        <w:autoSpaceDE/>
        <w:autoSpaceDN/>
        <w:bidi w:val="0"/>
        <w:adjustRightInd/>
        <w:snapToGrid/>
        <w:spacing w:after="157" w:afterLines="50" w:line="440" w:lineRule="exact"/>
        <w:jc w:val="center"/>
        <w:textAlignment w:val="auto"/>
        <w:outlineLvl w:val="3"/>
        <w:rPr>
          <w:rFonts w:hint="eastAsia" w:ascii="宋体" w:hAnsi="宋体" w:eastAsia="宋体" w:cs="宋体"/>
          <w:sz w:val="32"/>
          <w:szCs w:val="32"/>
        </w:rPr>
      </w:pPr>
      <w:r>
        <w:rPr>
          <w:rFonts w:hint="eastAsia" w:ascii="Nimbus Roman No9 L" w:hAnsi="Nimbus Roman No9 L" w:cs="Nimbus Roman No9 L"/>
          <w:sz w:val="32"/>
          <w:szCs w:val="32"/>
        </w:rPr>
        <w:t>一套表</w:t>
      </w:r>
      <w:r>
        <w:rPr>
          <w:rFonts w:ascii="Nimbus Roman No9 L" w:hAnsi="Nimbus Roman No9 L" w:cs="Nimbus Roman No9 L"/>
          <w:sz w:val="32"/>
          <w:szCs w:val="32"/>
        </w:rPr>
        <w:t>调查单位基本情况</w:t>
      </w:r>
    </w:p>
    <w:tbl>
      <w:tblPr>
        <w:tblStyle w:val="31"/>
        <w:tblW w:w="9526" w:type="dxa"/>
        <w:jc w:val="center"/>
        <w:tblLayout w:type="fixed"/>
        <w:tblCellMar>
          <w:top w:w="0" w:type="dxa"/>
          <w:left w:w="108" w:type="dxa"/>
          <w:bottom w:w="0" w:type="dxa"/>
          <w:right w:w="108" w:type="dxa"/>
        </w:tblCellMar>
      </w:tblPr>
      <w:tblGrid>
        <w:gridCol w:w="492"/>
        <w:gridCol w:w="2757"/>
        <w:gridCol w:w="1627"/>
        <w:gridCol w:w="132"/>
        <w:gridCol w:w="1116"/>
        <w:gridCol w:w="1361"/>
        <w:gridCol w:w="2041"/>
      </w:tblGrid>
      <w:tr>
        <w:tblPrEx>
          <w:tblCellMar>
            <w:top w:w="0" w:type="dxa"/>
            <w:left w:w="108" w:type="dxa"/>
            <w:bottom w:w="0" w:type="dxa"/>
            <w:right w:w="108" w:type="dxa"/>
          </w:tblCellMar>
        </w:tblPrEx>
        <w:trPr>
          <w:trHeight w:val="255" w:hRule="exact"/>
          <w:jc w:val="center"/>
        </w:trPr>
        <w:tc>
          <w:tcPr>
            <w:tcW w:w="3249" w:type="dxa"/>
            <w:gridSpan w:val="2"/>
            <w:vMerge w:val="restart"/>
            <w:noWrap w:val="0"/>
            <w:tcMar>
              <w:left w:w="0" w:type="dxa"/>
              <w:right w:w="0" w:type="dxa"/>
            </w:tcMar>
            <w:vAlign w:val="top"/>
          </w:tcPr>
          <w:p>
            <w:pPr>
              <w:spacing w:line="240" w:lineRule="exact"/>
              <w:jc w:val="left"/>
              <w:rPr>
                <w:rFonts w:hint="eastAsia" w:ascii="宋体" w:hAnsi="宋体" w:eastAsia="宋体" w:cs="宋体"/>
                <w:sz w:val="32"/>
                <w:szCs w:val="32"/>
              </w:rPr>
            </w:pPr>
          </w:p>
        </w:tc>
        <w:tc>
          <w:tcPr>
            <w:tcW w:w="1627" w:type="dxa"/>
            <w:noWrap w:val="0"/>
            <w:vAlign w:val="top"/>
          </w:tcPr>
          <w:p>
            <w:pPr>
              <w:spacing w:line="240" w:lineRule="exact"/>
              <w:jc w:val="center"/>
              <w:rPr>
                <w:rFonts w:hint="eastAsia" w:ascii="宋体" w:hAnsi="宋体" w:eastAsia="宋体" w:cs="宋体"/>
                <w:sz w:val="32"/>
                <w:szCs w:val="32"/>
              </w:rPr>
            </w:pPr>
          </w:p>
        </w:tc>
        <w:tc>
          <w:tcPr>
            <w:tcW w:w="1248" w:type="dxa"/>
            <w:gridSpan w:val="2"/>
            <w:noWrap w:val="0"/>
            <w:vAlign w:val="top"/>
          </w:tcPr>
          <w:p>
            <w:pPr>
              <w:spacing w:line="240" w:lineRule="exact"/>
              <w:jc w:val="center"/>
              <w:rPr>
                <w:rFonts w:hint="eastAsia" w:ascii="宋体" w:hAnsi="宋体" w:eastAsia="宋体" w:cs="宋体"/>
                <w:sz w:val="32"/>
                <w:szCs w:val="32"/>
              </w:rPr>
            </w:pPr>
          </w:p>
        </w:tc>
        <w:tc>
          <w:tcPr>
            <w:tcW w:w="1361" w:type="dxa"/>
            <w:noWrap w:val="0"/>
            <w:vAlign w:val="center"/>
          </w:tcPr>
          <w:p>
            <w:pPr>
              <w:spacing w:line="240" w:lineRule="exact"/>
              <w:ind w:right="-147" w:rightChars="-70"/>
              <w:jc w:val="right"/>
              <w:rPr>
                <w:rFonts w:hint="eastAsia" w:ascii="宋体" w:hAnsi="宋体" w:eastAsia="宋体" w:cs="宋体"/>
                <w:sz w:val="32"/>
                <w:szCs w:val="32"/>
              </w:rPr>
            </w:pPr>
            <w:r>
              <w:rPr>
                <w:rFonts w:hint="eastAsia" w:ascii="宋体" w:hAnsi="宋体" w:eastAsia="宋体" w:cs="宋体"/>
                <w:sz w:val="18"/>
                <w:szCs w:val="18"/>
              </w:rPr>
              <w:t>表    号：</w:t>
            </w:r>
          </w:p>
        </w:tc>
        <w:tc>
          <w:tcPr>
            <w:tcW w:w="2041" w:type="dxa"/>
            <w:noWrap w:val="0"/>
            <w:vAlign w:val="center"/>
          </w:tcPr>
          <w:p>
            <w:pPr>
              <w:spacing w:line="240" w:lineRule="exact"/>
              <w:ind w:left="0" w:leftChars="0" w:right="-84" w:rightChars="-40"/>
              <w:jc w:val="distribute"/>
              <w:rPr>
                <w:rFonts w:hint="eastAsia" w:ascii="宋体" w:hAnsi="宋体" w:eastAsia="宋体" w:cs="宋体"/>
                <w:sz w:val="18"/>
                <w:szCs w:val="18"/>
              </w:rPr>
            </w:pPr>
            <w:r>
              <w:rPr>
                <w:rFonts w:hint="eastAsia" w:ascii="宋体" w:hAnsi="宋体" w:eastAsia="宋体" w:cs="宋体"/>
                <w:sz w:val="18"/>
                <w:szCs w:val="18"/>
                <w:lang w:val="en-US" w:eastAsia="zh-CN"/>
              </w:rPr>
              <w:t>101-1</w:t>
            </w:r>
            <w:r>
              <w:rPr>
                <w:rFonts w:hint="eastAsia" w:ascii="宋体" w:hAnsi="宋体" w:eastAsia="宋体" w:cs="宋体"/>
                <w:sz w:val="18"/>
                <w:szCs w:val="18"/>
              </w:rPr>
              <w:t>表</w:t>
            </w:r>
          </w:p>
        </w:tc>
      </w:tr>
      <w:tr>
        <w:tblPrEx>
          <w:tblCellMar>
            <w:top w:w="0" w:type="dxa"/>
            <w:left w:w="108" w:type="dxa"/>
            <w:bottom w:w="0" w:type="dxa"/>
            <w:right w:w="108" w:type="dxa"/>
          </w:tblCellMar>
        </w:tblPrEx>
        <w:trPr>
          <w:trHeight w:val="314" w:hRule="exact"/>
          <w:jc w:val="center"/>
        </w:trPr>
        <w:tc>
          <w:tcPr>
            <w:tcW w:w="3249" w:type="dxa"/>
            <w:gridSpan w:val="2"/>
            <w:vMerge w:val="continue"/>
            <w:noWrap w:val="0"/>
            <w:tcMar>
              <w:left w:w="0" w:type="dxa"/>
              <w:right w:w="0" w:type="dxa"/>
            </w:tcMar>
            <w:vAlign w:val="top"/>
          </w:tcPr>
          <w:p>
            <w:pPr>
              <w:spacing w:line="240" w:lineRule="exact"/>
              <w:jc w:val="center"/>
              <w:rPr>
                <w:rFonts w:hint="eastAsia" w:ascii="宋体" w:hAnsi="宋体" w:eastAsia="宋体" w:cs="宋体"/>
                <w:sz w:val="32"/>
                <w:szCs w:val="32"/>
              </w:rPr>
            </w:pPr>
          </w:p>
        </w:tc>
        <w:tc>
          <w:tcPr>
            <w:tcW w:w="1627" w:type="dxa"/>
            <w:noWrap w:val="0"/>
            <w:vAlign w:val="top"/>
          </w:tcPr>
          <w:p>
            <w:pPr>
              <w:spacing w:line="240" w:lineRule="exact"/>
              <w:jc w:val="center"/>
              <w:rPr>
                <w:rFonts w:hint="eastAsia" w:ascii="宋体" w:hAnsi="宋体" w:eastAsia="宋体" w:cs="宋体"/>
                <w:sz w:val="32"/>
                <w:szCs w:val="32"/>
              </w:rPr>
            </w:pPr>
          </w:p>
        </w:tc>
        <w:tc>
          <w:tcPr>
            <w:tcW w:w="1248" w:type="dxa"/>
            <w:gridSpan w:val="2"/>
            <w:noWrap w:val="0"/>
            <w:vAlign w:val="top"/>
          </w:tcPr>
          <w:p>
            <w:pPr>
              <w:spacing w:line="240" w:lineRule="exact"/>
              <w:jc w:val="center"/>
              <w:rPr>
                <w:rFonts w:hint="eastAsia" w:ascii="宋体" w:hAnsi="宋体" w:eastAsia="宋体" w:cs="宋体"/>
                <w:sz w:val="32"/>
                <w:szCs w:val="32"/>
              </w:rPr>
            </w:pPr>
          </w:p>
        </w:tc>
        <w:tc>
          <w:tcPr>
            <w:tcW w:w="1361" w:type="dxa"/>
            <w:noWrap w:val="0"/>
            <w:vAlign w:val="top"/>
          </w:tcPr>
          <w:p>
            <w:pPr>
              <w:spacing w:line="240" w:lineRule="exact"/>
              <w:ind w:right="-147" w:rightChars="-70"/>
              <w:jc w:val="right"/>
              <w:rPr>
                <w:rFonts w:hint="eastAsia" w:ascii="宋体" w:hAnsi="宋体" w:eastAsia="宋体" w:cs="宋体"/>
                <w:sz w:val="32"/>
                <w:szCs w:val="32"/>
              </w:rPr>
            </w:pPr>
            <w:r>
              <w:rPr>
                <w:rFonts w:hint="eastAsia" w:ascii="宋体" w:hAnsi="宋体" w:eastAsia="宋体" w:cs="宋体"/>
                <w:sz w:val="18"/>
                <w:szCs w:val="18"/>
              </w:rPr>
              <w:t>制定机关：</w:t>
            </w:r>
          </w:p>
        </w:tc>
        <w:tc>
          <w:tcPr>
            <w:tcW w:w="2041" w:type="dxa"/>
            <w:noWrap w:val="0"/>
            <w:vAlign w:val="center"/>
          </w:tcPr>
          <w:p>
            <w:pPr>
              <w:spacing w:line="200" w:lineRule="exact"/>
              <w:ind w:left="-84" w:leftChars="-40" w:right="-84" w:rightChars="-40"/>
              <w:jc w:val="distribute"/>
              <w:rPr>
                <w:rFonts w:hint="eastAsia" w:ascii="宋体" w:hAnsi="宋体"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rPr>
          <w:trHeight w:val="255" w:hRule="exact"/>
          <w:jc w:val="center"/>
        </w:trPr>
        <w:tc>
          <w:tcPr>
            <w:tcW w:w="3249" w:type="dxa"/>
            <w:gridSpan w:val="2"/>
            <w:vMerge w:val="continue"/>
            <w:noWrap w:val="0"/>
            <w:tcMar>
              <w:left w:w="0" w:type="dxa"/>
              <w:right w:w="0" w:type="dxa"/>
            </w:tcMar>
            <w:vAlign w:val="top"/>
          </w:tcPr>
          <w:p>
            <w:pPr>
              <w:spacing w:line="240" w:lineRule="exact"/>
              <w:rPr>
                <w:rFonts w:hint="eastAsia" w:ascii="宋体" w:hAnsi="宋体" w:eastAsia="宋体" w:cs="宋体"/>
                <w:sz w:val="32"/>
                <w:szCs w:val="32"/>
              </w:rPr>
            </w:pPr>
          </w:p>
        </w:tc>
        <w:tc>
          <w:tcPr>
            <w:tcW w:w="1627" w:type="dxa"/>
            <w:noWrap w:val="0"/>
            <w:vAlign w:val="top"/>
          </w:tcPr>
          <w:p>
            <w:pPr>
              <w:spacing w:line="240" w:lineRule="exact"/>
              <w:jc w:val="center"/>
              <w:rPr>
                <w:rFonts w:hint="eastAsia" w:ascii="宋体" w:hAnsi="宋体" w:eastAsia="宋体" w:cs="宋体"/>
                <w:sz w:val="32"/>
                <w:szCs w:val="32"/>
              </w:rPr>
            </w:pPr>
          </w:p>
        </w:tc>
        <w:tc>
          <w:tcPr>
            <w:tcW w:w="1248" w:type="dxa"/>
            <w:gridSpan w:val="2"/>
            <w:noWrap w:val="0"/>
            <w:vAlign w:val="top"/>
          </w:tcPr>
          <w:p>
            <w:pPr>
              <w:spacing w:line="240" w:lineRule="exact"/>
              <w:jc w:val="center"/>
              <w:rPr>
                <w:rFonts w:hint="eastAsia" w:ascii="宋体" w:hAnsi="宋体" w:eastAsia="宋体" w:cs="宋体"/>
                <w:sz w:val="32"/>
                <w:szCs w:val="32"/>
              </w:rPr>
            </w:pPr>
          </w:p>
        </w:tc>
        <w:tc>
          <w:tcPr>
            <w:tcW w:w="1361" w:type="dxa"/>
            <w:noWrap w:val="0"/>
            <w:vAlign w:val="center"/>
          </w:tcPr>
          <w:p>
            <w:pPr>
              <w:spacing w:line="240" w:lineRule="exact"/>
              <w:ind w:right="-147" w:rightChars="-70"/>
              <w:jc w:val="right"/>
              <w:rPr>
                <w:rFonts w:hint="eastAsia" w:ascii="宋体" w:hAnsi="宋体" w:eastAsia="宋体" w:cs="宋体"/>
                <w:sz w:val="32"/>
                <w:szCs w:val="32"/>
              </w:rPr>
            </w:pPr>
            <w:r>
              <w:rPr>
                <w:rFonts w:hint="eastAsia" w:ascii="宋体" w:hAnsi="宋体" w:eastAsia="宋体" w:cs="宋体"/>
                <w:sz w:val="18"/>
                <w:szCs w:val="18"/>
              </w:rPr>
              <w:t>文    号：</w:t>
            </w:r>
          </w:p>
        </w:tc>
        <w:tc>
          <w:tcPr>
            <w:tcW w:w="2041" w:type="dxa"/>
            <w:noWrap w:val="0"/>
            <w:vAlign w:val="center"/>
          </w:tcPr>
          <w:p>
            <w:pPr>
              <w:spacing w:line="240" w:lineRule="exact"/>
              <w:ind w:left="-84" w:leftChars="-40" w:right="-84" w:rightChars="-40"/>
              <w:jc w:val="distribute"/>
              <w:rPr>
                <w:rFonts w:hint="eastAsia" w:ascii="宋体" w:hAnsi="宋体" w:eastAsia="宋体" w:cs="宋体"/>
                <w:sz w:val="18"/>
                <w:szCs w:val="18"/>
              </w:rPr>
            </w:pPr>
            <w:r>
              <w:rPr>
                <w:rFonts w:hint="eastAsia" w:ascii="宋体" w:hAnsi="宋体" w:eastAsia="宋体" w:cs="宋体"/>
                <w:sz w:val="18"/>
                <w:szCs w:val="18"/>
              </w:rPr>
              <w:t>国统字〔</w:t>
            </w:r>
            <w:r>
              <w:rPr>
                <w:rFonts w:hint="eastAsia" w:ascii="宋体" w:hAnsi="宋体" w:eastAsia="宋体" w:cs="宋体"/>
                <w:sz w:val="18"/>
                <w:szCs w:val="18"/>
                <w:lang w:val="en-US" w:eastAsia="zh-CN"/>
              </w:rPr>
              <w:t>2024</w:t>
            </w:r>
            <w:r>
              <w:rPr>
                <w:rFonts w:hint="eastAsia" w:ascii="宋体" w:hAnsi="宋体" w:eastAsia="宋体" w:cs="宋体"/>
                <w:sz w:val="18"/>
                <w:szCs w:val="18"/>
              </w:rPr>
              <w:t>〕</w:t>
            </w:r>
            <w:r>
              <w:rPr>
                <w:rFonts w:hint="eastAsia" w:ascii="宋体" w:hAnsi="宋体" w:cs="宋体"/>
                <w:sz w:val="18"/>
                <w:szCs w:val="18"/>
                <w:lang w:val="en-US" w:eastAsia="zh-CN"/>
              </w:rPr>
              <w:t>77</w:t>
            </w:r>
            <w:r>
              <w:rPr>
                <w:rFonts w:hint="eastAsia" w:ascii="宋体" w:hAnsi="宋体" w:eastAsia="宋体" w:cs="宋体"/>
                <w:sz w:val="18"/>
                <w:szCs w:val="18"/>
              </w:rPr>
              <w:t>号</w:t>
            </w:r>
          </w:p>
        </w:tc>
      </w:tr>
      <w:tr>
        <w:tblPrEx>
          <w:tblCellMar>
            <w:top w:w="0" w:type="dxa"/>
            <w:left w:w="108" w:type="dxa"/>
            <w:bottom w:w="0" w:type="dxa"/>
            <w:right w:w="108" w:type="dxa"/>
          </w:tblCellMar>
        </w:tblPrEx>
        <w:trPr>
          <w:trHeight w:val="255" w:hRule="exact"/>
          <w:jc w:val="center"/>
        </w:trPr>
        <w:tc>
          <w:tcPr>
            <w:tcW w:w="3249" w:type="dxa"/>
            <w:gridSpan w:val="2"/>
            <w:vMerge w:val="continue"/>
            <w:tcBorders>
              <w:bottom w:val="single" w:color="auto" w:sz="8" w:space="0"/>
            </w:tcBorders>
            <w:noWrap w:val="0"/>
            <w:tcMar>
              <w:left w:w="0" w:type="dxa"/>
              <w:right w:w="0" w:type="dxa"/>
            </w:tcMar>
            <w:vAlign w:val="top"/>
          </w:tcPr>
          <w:p>
            <w:pPr>
              <w:spacing w:line="240" w:lineRule="exact"/>
              <w:rPr>
                <w:rFonts w:hint="eastAsia" w:ascii="宋体" w:hAnsi="宋体" w:eastAsia="宋体" w:cs="宋体"/>
                <w:sz w:val="32"/>
                <w:szCs w:val="32"/>
              </w:rPr>
            </w:pPr>
          </w:p>
        </w:tc>
        <w:tc>
          <w:tcPr>
            <w:tcW w:w="2875" w:type="dxa"/>
            <w:gridSpan w:val="3"/>
            <w:tcBorders>
              <w:bottom w:val="single" w:color="auto" w:sz="8" w:space="0"/>
            </w:tcBorders>
            <w:noWrap w:val="0"/>
            <w:vAlign w:val="top"/>
          </w:tcPr>
          <w:p>
            <w:pPr>
              <w:spacing w:line="240" w:lineRule="exact"/>
              <w:ind w:firstLine="666" w:firstLineChars="185"/>
              <w:jc w:val="center"/>
              <w:rPr>
                <w:rFonts w:hint="eastAsia" w:ascii="宋体" w:hAnsi="宋体" w:eastAsia="宋体" w:cs="宋体"/>
                <w:sz w:val="32"/>
                <w:szCs w:val="32"/>
              </w:rPr>
            </w:pPr>
            <w:r>
              <w:rPr>
                <w:rFonts w:hint="eastAsia" w:ascii="宋体" w:hAnsi="宋体" w:eastAsia="宋体" w:cs="宋体"/>
                <w:spacing w:val="90"/>
                <w:kern w:val="0"/>
                <w:sz w:val="18"/>
                <w:szCs w:val="18"/>
                <w:fitText w:val="450" w:id="1047770184"/>
                <w:lang w:val="en-US" w:eastAsia="zh-CN"/>
              </w:rPr>
              <w:t>20</w:t>
            </w:r>
            <w:r>
              <w:rPr>
                <w:rFonts w:hint="eastAsia" w:ascii="宋体" w:hAnsi="宋体" w:eastAsia="宋体" w:cs="宋体"/>
                <w:spacing w:val="0"/>
                <w:kern w:val="0"/>
                <w:sz w:val="18"/>
                <w:szCs w:val="18"/>
                <w:fitText w:val="450" w:id="1047770184"/>
                <w:lang w:val="en-US" w:eastAsia="zh-CN"/>
              </w:rPr>
              <w:t>2</w:t>
            </w:r>
            <w:r>
              <w:rPr>
                <w:rFonts w:hint="eastAsia" w:ascii="宋体" w:hAnsi="宋体" w:eastAsia="宋体" w:cs="宋体"/>
                <w:kern w:val="0"/>
                <w:sz w:val="18"/>
                <w:szCs w:val="18"/>
                <w:lang w:val="en-US" w:eastAsia="zh-CN"/>
              </w:rPr>
              <w:t xml:space="preserve"> 4</w:t>
            </w:r>
            <w:r>
              <w:rPr>
                <w:rFonts w:hint="eastAsia" w:ascii="宋体" w:hAnsi="宋体" w:eastAsia="宋体" w:cs="宋体"/>
                <w:sz w:val="18"/>
                <w:szCs w:val="18"/>
              </w:rPr>
              <w:t>年</w:t>
            </w:r>
          </w:p>
        </w:tc>
        <w:tc>
          <w:tcPr>
            <w:tcW w:w="1361" w:type="dxa"/>
            <w:tcBorders>
              <w:bottom w:val="single" w:color="auto" w:sz="8" w:space="0"/>
            </w:tcBorders>
            <w:noWrap w:val="0"/>
            <w:vAlign w:val="center"/>
          </w:tcPr>
          <w:p>
            <w:pPr>
              <w:spacing w:line="240" w:lineRule="exact"/>
              <w:ind w:right="-147" w:rightChars="-70"/>
              <w:jc w:val="right"/>
              <w:rPr>
                <w:rFonts w:hint="eastAsia" w:ascii="宋体" w:hAnsi="宋体" w:eastAsia="宋体" w:cs="宋体"/>
                <w:sz w:val="32"/>
                <w:szCs w:val="32"/>
              </w:rPr>
            </w:pPr>
            <w:r>
              <w:rPr>
                <w:rFonts w:hint="eastAsia" w:ascii="宋体" w:hAnsi="宋体" w:eastAsia="宋体" w:cs="宋体"/>
                <w:sz w:val="18"/>
                <w:szCs w:val="18"/>
              </w:rPr>
              <w:t>有效期至：</w:t>
            </w:r>
          </w:p>
        </w:tc>
        <w:tc>
          <w:tcPr>
            <w:tcW w:w="2041" w:type="dxa"/>
            <w:tcBorders>
              <w:bottom w:val="single" w:color="auto" w:sz="8" w:space="0"/>
            </w:tcBorders>
            <w:noWrap w:val="0"/>
            <w:vAlign w:val="center"/>
          </w:tcPr>
          <w:p>
            <w:pPr>
              <w:spacing w:line="240" w:lineRule="exact"/>
              <w:ind w:left="-84" w:leftChars="-40" w:right="-84" w:rightChars="-40"/>
              <w:jc w:val="distribute"/>
              <w:rPr>
                <w:rFonts w:hint="eastAsia" w:ascii="宋体" w:hAnsi="宋体" w:eastAsia="宋体" w:cs="宋体"/>
                <w:sz w:val="18"/>
                <w:szCs w:val="18"/>
              </w:rPr>
            </w:pPr>
            <w:r>
              <w:rPr>
                <w:rFonts w:hint="eastAsia" w:ascii="宋体" w:hAnsi="宋体" w:eastAsia="宋体" w:cs="宋体"/>
                <w:sz w:val="18"/>
                <w:szCs w:val="18"/>
                <w:lang w:val="en-US" w:eastAsia="zh-CN"/>
              </w:rPr>
              <w:t>2025</w:t>
            </w:r>
            <w:r>
              <w:rPr>
                <w:rFonts w:hint="eastAsia" w:ascii="宋体" w:hAnsi="宋体" w:eastAsia="宋体" w:cs="宋体"/>
                <w:sz w:val="18"/>
                <w:szCs w:val="18"/>
              </w:rPr>
              <w:t>年</w:t>
            </w:r>
            <w:r>
              <w:rPr>
                <w:rFonts w:hint="eastAsia" w:ascii="宋体" w:hAnsi="宋体" w:eastAsia="宋体" w:cs="宋体"/>
                <w:sz w:val="18"/>
                <w:szCs w:val="18"/>
                <w:lang w:val="en-US" w:eastAsia="zh-CN"/>
              </w:rPr>
              <w:t>6</w:t>
            </w:r>
            <w:r>
              <w:rPr>
                <w:rFonts w:hint="eastAsia" w:ascii="宋体" w:hAnsi="宋体" w:eastAsia="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50" w:hRule="exact"/>
          <w:jc w:val="center"/>
        </w:trPr>
        <w:tc>
          <w:tcPr>
            <w:tcW w:w="492" w:type="dxa"/>
            <w:tcBorders>
              <w:top w:val="single" w:color="auto" w:sz="8"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default" w:ascii="宋体" w:hAnsi="宋体" w:eastAsia="宋体" w:cs="宋体"/>
                <w:b/>
                <w:sz w:val="18"/>
                <w:shd w:val="clear" w:color="auto" w:fill="D7D7D7"/>
                <w:lang w:val="en-US" w:eastAsia="zh-CN"/>
              </w:rPr>
            </w:pPr>
            <w:r>
              <w:rPr>
                <w:rFonts w:hint="eastAsia" w:ascii="宋体" w:hAnsi="宋体" w:eastAsia="宋体" w:cs="宋体"/>
                <w:b/>
                <w:sz w:val="18"/>
                <w:shd w:val="clear" w:color="auto" w:fill="D7D7D7"/>
                <w:lang w:val="en-US" w:eastAsia="zh-CN"/>
              </w:rPr>
              <w:t>110</w:t>
            </w:r>
          </w:p>
        </w:tc>
        <w:tc>
          <w:tcPr>
            <w:tcW w:w="9034" w:type="dxa"/>
            <w:gridSpan w:val="6"/>
            <w:tcBorders>
              <w:top w:val="single" w:color="auto" w:sz="8" w:space="0"/>
              <w:left w:val="single" w:color="auto" w:sz="2" w:space="0"/>
              <w:bottom w:val="single" w:color="auto" w:sz="2" w:space="0"/>
              <w:right w:val="nil"/>
            </w:tcBorders>
            <w:shd w:val="clear" w:color="auto" w:fill="D7D7D7"/>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 xml:space="preserve">单位类型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w:t>
            </w:r>
            <w:r>
              <w:rPr>
                <w:rFonts w:hint="eastAsia" w:ascii="宋体" w:hAnsi="宋体" w:eastAsia="宋体" w:cs="宋体"/>
                <w:sz w:val="18"/>
                <w:szCs w:val="18"/>
                <w:lang w:eastAsia="zh-CN"/>
              </w:rPr>
              <w:t>已</w:t>
            </w:r>
            <w:r>
              <w:rPr>
                <w:rFonts w:hint="eastAsia" w:ascii="宋体" w:hAnsi="宋体" w:eastAsia="宋体" w:cs="宋体"/>
                <w:sz w:val="18"/>
                <w:szCs w:val="18"/>
              </w:rPr>
              <w:t>视同法人单位的分支机构，请填写</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rPr>
              <w:t>）</w:t>
            </w:r>
          </w:p>
          <w:p>
            <w:pPr>
              <w:snapToGrid w:val="0"/>
              <w:ind w:firstLine="180" w:firstLineChars="100"/>
              <w:rPr>
                <w:rFonts w:hint="default" w:ascii="宋体" w:hAnsi="宋体" w:eastAsia="宋体" w:cs="宋体"/>
                <w:sz w:val="18"/>
                <w:szCs w:val="18"/>
                <w:lang w:val="en-US" w:eastAsia="zh-CN"/>
              </w:rPr>
            </w:pPr>
            <w:r>
              <w:rPr>
                <w:rFonts w:hint="eastAsia" w:ascii="宋体" w:hAnsi="宋体" w:eastAsia="宋体" w:cs="宋体"/>
                <w:sz w:val="18"/>
                <w:szCs w:val="18"/>
              </w:rPr>
              <w:t>1法人单位</w:t>
            </w:r>
            <w:r>
              <w:rPr>
                <w:rFonts w:hint="eastAsia" w:ascii="宋体" w:hAnsi="宋体" w:eastAsia="宋体" w:cs="宋体"/>
                <w:sz w:val="18"/>
                <w:szCs w:val="18"/>
                <w:lang w:val="en-US" w:eastAsia="zh-CN"/>
              </w:rPr>
              <w:t xml:space="preserve">   3个体经营户</w:t>
            </w:r>
          </w:p>
          <w:p>
            <w:pPr>
              <w:shd w:val="clear" w:color="auto" w:fill="D0CECE"/>
              <w:spacing w:line="240" w:lineRule="exact"/>
              <w:rPr>
                <w:rFonts w:hint="default" w:ascii="宋体" w:hAnsi="宋体" w:eastAsia="宋体" w:cs="宋体"/>
                <w:sz w:val="18"/>
                <w:szCs w:val="18"/>
                <w:shd w:val="clear" w:color="auto" w:fill="D7D7D7"/>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hint="eastAsia" w:ascii="宋体" w:hAnsi="宋体" w:eastAsia="宋体" w:cs="宋体"/>
                <w:b/>
                <w:sz w:val="18"/>
                <w:szCs w:val="18"/>
              </w:rPr>
            </w:pPr>
            <w:r>
              <w:rPr>
                <w:rFonts w:hint="eastAsia" w:ascii="宋体" w:hAnsi="宋体" w:eastAsia="宋体" w:cs="宋体"/>
                <w:b/>
                <w:bCs/>
                <w:sz w:val="18"/>
                <w:szCs w:val="20"/>
              </w:rPr>
              <w:t>100</w:t>
            </w: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是否为“视同法人单位”？如是，请勾选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40" w:hRule="exac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shd w:val="clear" w:color="auto" w:fill="D7D7D7"/>
              </w:rPr>
            </w:pPr>
            <w:r>
              <w:rPr>
                <w:rFonts w:hint="eastAsia" w:ascii="宋体" w:hAnsi="宋体" w:eastAsia="宋体" w:cs="宋体"/>
                <w:b/>
                <w:sz w:val="18"/>
                <w:shd w:val="clear" w:color="auto" w:fill="D7D7D7"/>
              </w:rPr>
              <w:t>109</w:t>
            </w: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shd w:val="clear" w:color="auto" w:fill="D0CECE"/>
              <w:spacing w:line="240" w:lineRule="exact"/>
              <w:rPr>
                <w:rFonts w:hint="eastAsia" w:ascii="宋体" w:hAnsi="宋体" w:eastAsia="宋体" w:cs="宋体"/>
                <w:sz w:val="18"/>
                <w:szCs w:val="18"/>
                <w:shd w:val="clear" w:color="auto" w:fill="D7D7D7"/>
              </w:rPr>
            </w:pPr>
            <w:r>
              <w:rPr>
                <w:rFonts w:hint="eastAsia" w:ascii="宋体" w:hAnsi="宋体" w:eastAsia="宋体" w:cs="宋体"/>
                <w:sz w:val="18"/>
                <w:szCs w:val="18"/>
                <w:shd w:val="clear" w:color="auto" w:fill="D7D7D7"/>
              </w:rPr>
              <w:t>统一社会信用代码</w:t>
            </w:r>
            <w:r>
              <w:rPr>
                <w:rFonts w:hint="eastAsia" w:ascii="宋体" w:hAnsi="宋体" w:eastAsia="宋体" w:cs="宋体"/>
                <w:sz w:val="18"/>
                <w:szCs w:val="18"/>
                <w:shd w:val="clear" w:color="auto" w:fill="D7D7D7"/>
                <w:lang w:val="en-US" w:eastAsia="zh-CN"/>
              </w:rPr>
              <w:t xml:space="preserve">   </w:t>
            </w:r>
            <w:r>
              <w:rPr>
                <w:rFonts w:hint="eastAsia" w:ascii="宋体" w:hAnsi="宋体" w:eastAsia="宋体" w:cs="宋体"/>
                <w:sz w:val="18"/>
                <w:szCs w:val="18"/>
                <w:shd w:val="clear" w:color="auto" w:fill="D7D7D7"/>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40" w:hRule="exac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shd w:val="clear" w:color="auto" w:fill="D7D7D7"/>
              </w:rPr>
            </w:pPr>
            <w:r>
              <w:rPr>
                <w:rFonts w:hint="eastAsia" w:ascii="宋体" w:hAnsi="宋体" w:eastAsia="宋体" w:cs="宋体"/>
                <w:b/>
                <w:bCs/>
                <w:sz w:val="18"/>
                <w:szCs w:val="18"/>
                <w:shd w:val="clear" w:color="auto" w:fill="D7D7D7"/>
              </w:rPr>
              <w:t>102</w:t>
            </w: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shd w:val="clear" w:color="auto" w:fill="D7D7D7"/>
              </w:rPr>
            </w:pPr>
            <w:r>
              <w:rPr>
                <w:rFonts w:hint="eastAsia" w:ascii="宋体" w:hAnsi="宋体" w:eastAsia="宋体" w:cs="宋体"/>
                <w:sz w:val="18"/>
                <w:szCs w:val="18"/>
                <w:shd w:val="clear" w:color="auto" w:fill="D7D7D7"/>
              </w:rPr>
              <w:t xml:space="preserve">单位详细名称  </w:t>
            </w:r>
            <w:r>
              <w:rPr>
                <w:rFonts w:hint="eastAsia" w:ascii="宋体" w:hAnsi="宋体" w:eastAsia="宋体" w:cs="宋体"/>
                <w:sz w:val="18"/>
                <w:szCs w:val="18"/>
                <w:u w:val="single"/>
                <w:shd w:val="clear" w:color="auto" w:fill="D7D7D7"/>
              </w:rPr>
              <w:t xml:space="preserve">                  </w:t>
            </w:r>
            <w:r>
              <w:rPr>
                <w:rFonts w:hint="eastAsia" w:ascii="宋体" w:hAnsi="宋体" w:eastAsia="宋体" w:cs="宋体"/>
                <w:sz w:val="18"/>
                <w:szCs w:val="18"/>
                <w:u w:val="single"/>
                <w:shd w:val="clear" w:color="auto" w:fill="D7D7D7"/>
                <w:lang w:val="en-US" w:eastAsia="zh-CN"/>
              </w:rPr>
              <w:t xml:space="preserve">  </w:t>
            </w:r>
            <w:r>
              <w:rPr>
                <w:rFonts w:hint="eastAsia" w:ascii="宋体" w:hAnsi="宋体" w:eastAsia="宋体" w:cs="宋体"/>
                <w:sz w:val="18"/>
                <w:szCs w:val="18"/>
                <w:u w:val="single"/>
                <w:shd w:val="clear" w:color="auto" w:fill="D7D7D7"/>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40" w:hRule="exact"/>
          <w:jc w:val="center"/>
        </w:trPr>
        <w:tc>
          <w:tcPr>
            <w:tcW w:w="492"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201</w:t>
            </w:r>
          </w:p>
        </w:tc>
        <w:tc>
          <w:tcPr>
            <w:tcW w:w="9034"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法定代表人</w:t>
            </w:r>
            <w:r>
              <w:rPr>
                <w:rFonts w:hint="eastAsia" w:ascii="宋体" w:hAnsi="宋体" w:eastAsia="宋体" w:cs="宋体"/>
                <w:sz w:val="18"/>
                <w:szCs w:val="18"/>
                <w:lang w:eastAsia="zh-CN"/>
              </w:rPr>
              <w:t>（</w:t>
            </w:r>
            <w:r>
              <w:rPr>
                <w:rFonts w:hint="eastAsia" w:ascii="宋体" w:hAnsi="宋体" w:eastAsia="宋体" w:cs="宋体"/>
                <w:sz w:val="18"/>
                <w:szCs w:val="18"/>
              </w:rPr>
              <w:t>单位负责人</w:t>
            </w:r>
            <w:r>
              <w:rPr>
                <w:rFonts w:hint="eastAsia" w:ascii="宋体" w:hAnsi="宋体" w:eastAsia="宋体" w:cs="宋体"/>
                <w:sz w:val="18"/>
                <w:szCs w:val="18"/>
                <w:lang w:eastAsia="zh-CN"/>
              </w:rPr>
              <w:t>）</w:t>
            </w:r>
            <w:r>
              <w:rPr>
                <w:rFonts w:hint="eastAsia" w:ascii="宋体" w:hAnsi="宋体" w:eastAsia="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40" w:hRule="exact"/>
          <w:jc w:val="center"/>
        </w:trPr>
        <w:tc>
          <w:tcPr>
            <w:tcW w:w="492"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hint="eastAsia" w:ascii="宋体" w:hAnsi="宋体" w:eastAsia="宋体" w:cs="宋体"/>
                <w:b/>
                <w:bCs/>
                <w:sz w:val="18"/>
                <w:szCs w:val="18"/>
              </w:rPr>
            </w:pPr>
            <w:r>
              <w:rPr>
                <w:rFonts w:hint="eastAsia" w:ascii="宋体" w:hAnsi="宋体" w:eastAsia="宋体" w:cs="宋体"/>
                <w:b/>
                <w:bCs/>
                <w:sz w:val="18"/>
                <w:szCs w:val="18"/>
              </w:rPr>
              <w:t>202</w:t>
            </w:r>
          </w:p>
        </w:tc>
        <w:tc>
          <w:tcPr>
            <w:tcW w:w="4516"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1成立时间（所有单位填报）</w:t>
            </w: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tc>
        <w:tc>
          <w:tcPr>
            <w:tcW w:w="4518" w:type="dxa"/>
            <w:gridSpan w:val="3"/>
            <w:tcBorders>
              <w:top w:val="single" w:color="auto" w:sz="2" w:space="0"/>
              <w:left w:val="single" w:color="auto" w:sz="2" w:space="0"/>
              <w:bottom w:val="single" w:color="auto" w:sz="2" w:space="0"/>
              <w:right w:val="nil"/>
            </w:tcBorders>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2开业时间（仅限企业填报）</w:t>
            </w: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54" w:hRule="exact"/>
          <w:jc w:val="center"/>
        </w:trPr>
        <w:tc>
          <w:tcPr>
            <w:tcW w:w="492"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203</w:t>
            </w:r>
          </w:p>
        </w:tc>
        <w:tc>
          <w:tcPr>
            <w:tcW w:w="9034" w:type="dxa"/>
            <w:gridSpan w:val="6"/>
            <w:tcBorders>
              <w:top w:val="single" w:color="auto" w:sz="2" w:space="0"/>
              <w:left w:val="single" w:color="auto" w:sz="2" w:space="0"/>
              <w:bottom w:val="single" w:color="auto" w:sz="2" w:space="0"/>
              <w:right w:val="nil"/>
            </w:tcBorders>
            <w:noWrap w:val="0"/>
            <w:vAlign w:val="center"/>
          </w:tcPr>
          <w:p>
            <w:pPr>
              <w:spacing w:before="0" w:beforeLines="0" w:line="200" w:lineRule="exact"/>
              <w:ind w:firstLine="0" w:firstLineChars="0"/>
              <w:rPr>
                <w:rFonts w:hint="eastAsia" w:ascii="宋体" w:hAnsi="宋体" w:eastAsia="宋体" w:cs="宋体"/>
                <w:sz w:val="18"/>
                <w:szCs w:val="18"/>
              </w:rPr>
            </w:pPr>
            <w:r>
              <w:rPr>
                <w:rFonts w:hint="eastAsia" w:ascii="宋体" w:hAnsi="宋体" w:eastAsia="宋体" w:cs="宋体"/>
                <w:sz w:val="18"/>
                <w:szCs w:val="18"/>
              </w:rPr>
              <w:t>联系方式</w:t>
            </w:r>
          </w:p>
          <w:p>
            <w:pPr>
              <w:spacing w:line="2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长途区号    □□□□□</w:t>
            </w:r>
          </w:p>
          <w:p>
            <w:pPr>
              <w:spacing w:line="2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固定电话    □□□□□□□□-□□□□□□</w:t>
            </w:r>
          </w:p>
          <w:p>
            <w:pPr>
              <w:spacing w:line="2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移动电话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71" w:hRule="atLeast"/>
          <w:jc w:val="center"/>
        </w:trPr>
        <w:tc>
          <w:tcPr>
            <w:tcW w:w="492" w:type="dxa"/>
            <w:vMerge w:val="restart"/>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105</w:t>
            </w:r>
          </w:p>
        </w:tc>
        <w:tc>
          <w:tcPr>
            <w:tcW w:w="9034" w:type="dxa"/>
            <w:gridSpan w:val="6"/>
            <w:tcBorders>
              <w:top w:val="single" w:color="auto" w:sz="2" w:space="0"/>
              <w:left w:val="single" w:color="auto" w:sz="2" w:space="0"/>
              <w:bottom w:val="single" w:color="auto" w:sz="2" w:space="0"/>
              <w:right w:val="nil"/>
            </w:tcBorders>
            <w:noWrap w:val="0"/>
            <w:vAlign w:val="center"/>
          </w:tcPr>
          <w:p>
            <w:pPr>
              <w:spacing w:line="200" w:lineRule="exact"/>
              <w:rPr>
                <w:rFonts w:hint="eastAsia" w:ascii="宋体" w:hAnsi="宋体" w:eastAsia="宋体" w:cs="宋体"/>
                <w:sz w:val="18"/>
                <w:szCs w:val="18"/>
              </w:rPr>
            </w:pPr>
            <w:r>
              <w:rPr>
                <w:rFonts w:hint="eastAsia" w:ascii="宋体" w:hAnsi="宋体" w:eastAsia="宋体" w:cs="宋体"/>
                <w:sz w:val="18"/>
                <w:szCs w:val="18"/>
              </w:rPr>
              <w:t xml:space="preserve">单位所在地区划及详细地址               </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省</w:t>
            </w:r>
            <w:r>
              <w:rPr>
                <w:rFonts w:hint="eastAsia" w:ascii="宋体" w:hAnsi="宋体" w:eastAsia="宋体" w:cs="宋体"/>
                <w:sz w:val="18"/>
                <w:szCs w:val="18"/>
                <w:lang w:val="en-US" w:eastAsia="zh-CN"/>
              </w:rPr>
              <w:t>(</w:t>
            </w:r>
            <w:r>
              <w:rPr>
                <w:rFonts w:hint="eastAsia" w:ascii="宋体" w:hAnsi="宋体" w:eastAsia="宋体" w:cs="宋体"/>
                <w:sz w:val="18"/>
                <w:szCs w:val="18"/>
              </w:rPr>
              <w:t>自治区、直辖市</w:t>
            </w:r>
            <w:r>
              <w:rPr>
                <w:rFonts w:hint="eastAsia" w:ascii="宋体" w:hAnsi="宋体" w:eastAsia="宋体" w:cs="宋体"/>
                <w:sz w:val="18"/>
                <w:szCs w:val="18"/>
                <w:lang w:val="en-US" w:eastAsia="zh-CN"/>
              </w:rPr>
              <w:t>)</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地</w:t>
            </w:r>
            <w:r>
              <w:rPr>
                <w:rFonts w:hint="eastAsia" w:ascii="宋体" w:hAnsi="宋体" w:eastAsia="宋体" w:cs="宋体"/>
                <w:sz w:val="18"/>
                <w:szCs w:val="18"/>
                <w:lang w:val="en-US" w:eastAsia="zh-CN"/>
              </w:rPr>
              <w:t>(</w:t>
            </w:r>
            <w:r>
              <w:rPr>
                <w:rFonts w:hint="eastAsia" w:ascii="宋体" w:hAnsi="宋体" w:eastAsia="宋体" w:cs="宋体"/>
                <w:sz w:val="18"/>
                <w:szCs w:val="18"/>
              </w:rPr>
              <w:t>市、州、盟</w:t>
            </w:r>
            <w:r>
              <w:rPr>
                <w:rFonts w:hint="eastAsia" w:ascii="宋体" w:hAnsi="宋体" w:eastAsia="宋体" w:cs="宋体"/>
                <w:sz w:val="18"/>
                <w:szCs w:val="18"/>
                <w:lang w:val="en-US" w:eastAsia="zh-CN"/>
              </w:rPr>
              <w:t>)</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县</w:t>
            </w:r>
            <w:r>
              <w:rPr>
                <w:rFonts w:hint="eastAsia" w:ascii="宋体" w:hAnsi="宋体" w:eastAsia="宋体" w:cs="宋体"/>
                <w:sz w:val="18"/>
                <w:szCs w:val="18"/>
                <w:lang w:val="en-US" w:eastAsia="zh-CN"/>
              </w:rPr>
              <w:t>(</w:t>
            </w:r>
            <w:r>
              <w:rPr>
                <w:rFonts w:hint="eastAsia" w:ascii="宋体" w:hAnsi="宋体" w:eastAsia="宋体" w:cs="宋体"/>
                <w:sz w:val="18"/>
                <w:szCs w:val="18"/>
              </w:rPr>
              <w:t>市、区、旗</w:t>
            </w:r>
            <w:r>
              <w:rPr>
                <w:rFonts w:hint="eastAsia" w:ascii="宋体" w:hAnsi="宋体" w:eastAsia="宋体" w:cs="宋体"/>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乡（镇、</w:t>
            </w:r>
            <w:r>
              <w:rPr>
                <w:rFonts w:hint="eastAsia" w:ascii="宋体" w:hAnsi="宋体" w:eastAsia="宋体" w:cs="宋体"/>
                <w:sz w:val="18"/>
                <w:szCs w:val="18"/>
                <w:lang w:eastAsia="zh-CN"/>
              </w:rPr>
              <w:t>街道</w:t>
            </w:r>
            <w:r>
              <w:rPr>
                <w:rFonts w:hint="eastAsia" w:ascii="宋体" w:hAnsi="宋体" w:eastAsia="宋体" w:cs="宋体"/>
                <w:sz w:val="18"/>
                <w:szCs w:val="18"/>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村（居）委会</w:t>
            </w:r>
            <w:r>
              <w:rPr>
                <w:rFonts w:hint="eastAsia" w:ascii="宋体" w:hAnsi="宋体" w:eastAsia="宋体" w:cs="宋体"/>
                <w:w w:val="120"/>
                <w:sz w:val="18"/>
                <w:szCs w:val="18"/>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街</w:t>
            </w:r>
            <w:r>
              <w:rPr>
                <w:rFonts w:hint="eastAsia" w:ascii="宋体" w:hAnsi="宋体" w:eastAsia="宋体" w:cs="宋体"/>
                <w:sz w:val="18"/>
                <w:szCs w:val="18"/>
                <w:lang w:val="en-US" w:eastAsia="zh-CN"/>
              </w:rPr>
              <w:t>(</w:t>
            </w:r>
            <w:r>
              <w:rPr>
                <w:rFonts w:hint="eastAsia" w:ascii="宋体" w:hAnsi="宋体" w:eastAsia="宋体" w:cs="宋体"/>
                <w:sz w:val="18"/>
                <w:szCs w:val="18"/>
              </w:rPr>
              <w:t>路</w:t>
            </w:r>
            <w:r>
              <w:rPr>
                <w:rFonts w:hint="eastAsia" w:ascii="宋体" w:hAnsi="宋体" w:eastAsia="宋体" w:cs="宋体"/>
                <w:sz w:val="18"/>
                <w:szCs w:val="18"/>
                <w:lang w:val="en-US" w:eastAsia="zh-CN"/>
              </w:rPr>
              <w:t>)</w:t>
            </w:r>
            <w:r>
              <w:rPr>
                <w:rFonts w:hint="eastAsia" w:ascii="宋体" w:hAnsi="宋体" w:eastAsia="宋体" w:cs="宋体"/>
                <w:sz w:val="18"/>
                <w:szCs w:val="18"/>
              </w:rPr>
              <w:t>、门牌号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492" w:type="dxa"/>
            <w:vMerge w:val="continue"/>
            <w:tcBorders>
              <w:top w:val="single" w:color="auto" w:sz="2" w:space="0"/>
              <w:left w:val="nil"/>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区划代码    □□□□□□□□□□□□</w:t>
            </w:r>
            <w:r>
              <w:rPr>
                <w:rFonts w:hint="eastAsia" w:ascii="宋体" w:hAnsi="宋体" w:eastAsia="宋体" w:cs="宋体"/>
                <w:w w:val="100"/>
                <w:sz w:val="18"/>
                <w:szCs w:val="18"/>
              </w:rPr>
              <w:t xml:space="preserve">         </w:t>
            </w:r>
            <w:r>
              <w:rPr>
                <w:rFonts w:hint="eastAsia" w:ascii="宋体" w:hAnsi="宋体" w:eastAsia="宋体" w:cs="宋体"/>
                <w:w w:val="100"/>
                <w:sz w:val="18"/>
                <w:szCs w:val="18"/>
                <w:lang w:val="en-US" w:eastAsia="zh-CN"/>
              </w:rPr>
              <w:t xml:space="preserve">   </w:t>
            </w:r>
            <w:r>
              <w:rPr>
                <w:rFonts w:hint="eastAsia" w:ascii="宋体" w:hAnsi="宋体" w:eastAsia="宋体" w:cs="宋体"/>
                <w:sz w:val="18"/>
                <w:szCs w:val="18"/>
              </w:rPr>
              <w:t>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86" w:hRule="atLeast"/>
          <w:jc w:val="center"/>
        </w:trPr>
        <w:tc>
          <w:tcPr>
            <w:tcW w:w="492" w:type="dxa"/>
            <w:vMerge w:val="restart"/>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106</w:t>
            </w:r>
          </w:p>
        </w:tc>
        <w:tc>
          <w:tcPr>
            <w:tcW w:w="9034"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 xml:space="preserve">单位注册地区划及详细地址             </w:t>
            </w:r>
          </w:p>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是否与单位所在地详细地址一致：   □ 1是，2否</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省</w:t>
            </w:r>
            <w:r>
              <w:rPr>
                <w:rFonts w:hint="eastAsia" w:ascii="宋体" w:hAnsi="宋体" w:eastAsia="宋体" w:cs="宋体"/>
                <w:sz w:val="18"/>
                <w:szCs w:val="18"/>
                <w:lang w:val="en-US" w:eastAsia="zh-CN"/>
              </w:rPr>
              <w:t>(</w:t>
            </w:r>
            <w:r>
              <w:rPr>
                <w:rFonts w:hint="eastAsia" w:ascii="宋体" w:hAnsi="宋体" w:eastAsia="宋体" w:cs="宋体"/>
                <w:sz w:val="18"/>
                <w:szCs w:val="18"/>
              </w:rPr>
              <w:t>自治区、直辖市</w:t>
            </w:r>
            <w:r>
              <w:rPr>
                <w:rFonts w:hint="eastAsia" w:ascii="宋体" w:hAnsi="宋体" w:eastAsia="宋体" w:cs="宋体"/>
                <w:sz w:val="18"/>
                <w:szCs w:val="18"/>
                <w:lang w:val="en-US" w:eastAsia="zh-CN"/>
              </w:rPr>
              <w:t>)</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地</w:t>
            </w:r>
            <w:r>
              <w:rPr>
                <w:rFonts w:hint="eastAsia" w:ascii="宋体" w:hAnsi="宋体" w:eastAsia="宋体" w:cs="宋体"/>
                <w:sz w:val="18"/>
                <w:szCs w:val="18"/>
                <w:lang w:val="en-US" w:eastAsia="zh-CN"/>
              </w:rPr>
              <w:t>(</w:t>
            </w:r>
            <w:r>
              <w:rPr>
                <w:rFonts w:hint="eastAsia" w:ascii="宋体" w:hAnsi="宋体" w:eastAsia="宋体" w:cs="宋体"/>
                <w:sz w:val="18"/>
                <w:szCs w:val="18"/>
              </w:rPr>
              <w:t>市、州、盟</w:t>
            </w:r>
            <w:r>
              <w:rPr>
                <w:rFonts w:hint="eastAsia" w:ascii="宋体" w:hAnsi="宋体" w:eastAsia="宋体" w:cs="宋体"/>
                <w:sz w:val="18"/>
                <w:szCs w:val="18"/>
                <w:lang w:val="en-US" w:eastAsia="zh-CN"/>
              </w:rPr>
              <w:t>)</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县</w:t>
            </w:r>
            <w:r>
              <w:rPr>
                <w:rFonts w:hint="eastAsia" w:ascii="宋体" w:hAnsi="宋体" w:eastAsia="宋体" w:cs="宋体"/>
                <w:sz w:val="18"/>
                <w:szCs w:val="18"/>
                <w:lang w:val="en-US" w:eastAsia="zh-CN"/>
              </w:rPr>
              <w:t>(</w:t>
            </w:r>
            <w:r>
              <w:rPr>
                <w:rFonts w:hint="eastAsia" w:ascii="宋体" w:hAnsi="宋体" w:eastAsia="宋体" w:cs="宋体"/>
                <w:sz w:val="18"/>
                <w:szCs w:val="18"/>
              </w:rPr>
              <w:t>市、区、旗</w:t>
            </w:r>
            <w:r>
              <w:rPr>
                <w:rFonts w:hint="eastAsia" w:ascii="宋体" w:hAnsi="宋体" w:eastAsia="宋体" w:cs="宋体"/>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乡（镇、</w:t>
            </w:r>
            <w:r>
              <w:rPr>
                <w:rFonts w:hint="eastAsia" w:ascii="宋体" w:hAnsi="宋体" w:eastAsia="宋体" w:cs="宋体"/>
                <w:sz w:val="18"/>
                <w:szCs w:val="18"/>
                <w:lang w:eastAsia="zh-CN"/>
              </w:rPr>
              <w:t>街道</w:t>
            </w:r>
            <w:r>
              <w:rPr>
                <w:rFonts w:hint="eastAsia" w:ascii="宋体" w:hAnsi="宋体" w:eastAsia="宋体" w:cs="宋体"/>
                <w:sz w:val="18"/>
                <w:szCs w:val="18"/>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村（居）委会</w:t>
            </w:r>
            <w:r>
              <w:rPr>
                <w:rFonts w:hint="eastAsia" w:ascii="宋体" w:hAnsi="宋体" w:eastAsia="宋体" w:cs="宋体"/>
                <w:w w:val="120"/>
                <w:sz w:val="18"/>
                <w:szCs w:val="18"/>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街</w:t>
            </w:r>
            <w:r>
              <w:rPr>
                <w:rFonts w:hint="eastAsia" w:ascii="宋体" w:hAnsi="宋体" w:eastAsia="宋体" w:cs="宋体"/>
                <w:sz w:val="18"/>
                <w:szCs w:val="18"/>
                <w:lang w:val="en-US" w:eastAsia="zh-CN"/>
              </w:rPr>
              <w:t>(</w:t>
            </w:r>
            <w:r>
              <w:rPr>
                <w:rFonts w:hint="eastAsia" w:ascii="宋体" w:hAnsi="宋体" w:eastAsia="宋体" w:cs="宋体"/>
                <w:sz w:val="18"/>
                <w:szCs w:val="18"/>
              </w:rPr>
              <w:t>路</w:t>
            </w:r>
            <w:r>
              <w:rPr>
                <w:rFonts w:hint="eastAsia" w:ascii="宋体" w:hAnsi="宋体" w:eastAsia="宋体" w:cs="宋体"/>
                <w:sz w:val="18"/>
                <w:szCs w:val="18"/>
                <w:lang w:val="en-US" w:eastAsia="zh-CN"/>
              </w:rPr>
              <w:t>)</w:t>
            </w:r>
            <w:r>
              <w:rPr>
                <w:rFonts w:hint="eastAsia" w:ascii="宋体" w:hAnsi="宋体" w:eastAsia="宋体" w:cs="宋体"/>
                <w:sz w:val="18"/>
                <w:szCs w:val="18"/>
              </w:rPr>
              <w:t>、门牌号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492" w:type="dxa"/>
            <w:vMerge w:val="continue"/>
            <w:tcBorders>
              <w:top w:val="single" w:color="auto" w:sz="2" w:space="0"/>
              <w:left w:val="nil"/>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区划代码    □□□□□□□□□□□□</w:t>
            </w:r>
            <w:r>
              <w:rPr>
                <w:rFonts w:hint="eastAsia" w:ascii="宋体" w:hAnsi="宋体" w:eastAsia="宋体" w:cs="宋体"/>
                <w:w w:val="100"/>
                <w:sz w:val="18"/>
                <w:szCs w:val="18"/>
              </w:rPr>
              <w:t xml:space="preserve">         </w:t>
            </w:r>
            <w:r>
              <w:rPr>
                <w:rFonts w:hint="eastAsia" w:ascii="宋体" w:hAnsi="宋体" w:eastAsia="宋体" w:cs="宋体"/>
                <w:w w:val="100"/>
                <w:sz w:val="18"/>
                <w:szCs w:val="18"/>
                <w:lang w:val="en-US" w:eastAsia="zh-CN"/>
              </w:rPr>
              <w:t xml:space="preserve">   </w:t>
            </w:r>
            <w:r>
              <w:rPr>
                <w:rFonts w:hint="eastAsia" w:ascii="宋体" w:hAnsi="宋体" w:eastAsia="宋体" w:cs="宋体"/>
                <w:sz w:val="18"/>
                <w:szCs w:val="18"/>
              </w:rPr>
              <w:t xml:space="preserve">城乡代码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492"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208</w:t>
            </w:r>
          </w:p>
        </w:tc>
        <w:tc>
          <w:tcPr>
            <w:tcW w:w="9034" w:type="dxa"/>
            <w:gridSpan w:val="6"/>
            <w:tcBorders>
              <w:top w:val="single" w:color="auto" w:sz="2" w:space="0"/>
              <w:left w:val="single" w:color="auto" w:sz="2" w:space="0"/>
              <w:bottom w:val="single" w:color="auto" w:sz="2" w:space="0"/>
              <w:right w:val="nil"/>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运营状态</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1正常运营 2停业(歇业) 3筹建 4当年关闭  5当年破产 6当年注销 7当年撤（吊）销 9其他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47" w:hRule="atLeast"/>
          <w:jc w:val="center"/>
        </w:trPr>
        <w:tc>
          <w:tcPr>
            <w:tcW w:w="492" w:type="dxa"/>
            <w:vMerge w:val="restart"/>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103</w:t>
            </w:r>
          </w:p>
        </w:tc>
        <w:tc>
          <w:tcPr>
            <w:tcW w:w="9034"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 xml:space="preserve">行业类别                                                    </w:t>
            </w:r>
          </w:p>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主要业务活动</w:t>
            </w:r>
          </w:p>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2</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3</w:t>
            </w:r>
            <w:r>
              <w:rPr>
                <w:rFonts w:hint="eastAsia" w:ascii="宋体" w:hAnsi="宋体" w:eastAsia="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09" w:hRule="atLeast"/>
          <w:jc w:val="center"/>
        </w:trPr>
        <w:tc>
          <w:tcPr>
            <w:tcW w:w="492" w:type="dxa"/>
            <w:vMerge w:val="continue"/>
            <w:tcBorders>
              <w:top w:val="single" w:color="auto" w:sz="2" w:space="0"/>
              <w:left w:val="nil"/>
              <w:bottom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行业代码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30" w:hRule="atLeas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104</w:t>
            </w: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报表类别   □</w:t>
            </w:r>
          </w:p>
          <w:p>
            <w:pPr>
              <w:snapToGrid w:val="0"/>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A 农业     　　　B 规模以上工业       B1规模以下工业         C 建筑业   </w:t>
            </w:r>
            <w:r>
              <w:rPr>
                <w:rFonts w:hint="eastAsia" w:ascii="宋体" w:hAnsi="宋体" w:eastAsia="宋体" w:cs="宋体"/>
                <w:w w:val="120"/>
                <w:sz w:val="18"/>
                <w:szCs w:val="18"/>
              </w:rPr>
              <w:t xml:space="preserve"> </w:t>
            </w:r>
            <w:r>
              <w:rPr>
                <w:rFonts w:hint="eastAsia" w:ascii="宋体" w:hAnsi="宋体" w:eastAsia="宋体" w:cs="宋体"/>
                <w:sz w:val="18"/>
                <w:szCs w:val="18"/>
              </w:rPr>
              <w:t xml:space="preserve">   </w:t>
            </w:r>
            <w:r>
              <w:rPr>
                <w:rFonts w:hint="eastAsia" w:ascii="宋体" w:hAnsi="宋体" w:eastAsia="宋体" w:cs="宋体"/>
                <w:w w:val="100"/>
                <w:sz w:val="18"/>
                <w:szCs w:val="18"/>
              </w:rPr>
              <w:t xml:space="preserve"> </w:t>
            </w:r>
            <w:r>
              <w:rPr>
                <w:rFonts w:hint="eastAsia" w:ascii="宋体" w:hAnsi="宋体" w:eastAsia="宋体" w:cs="宋体"/>
                <w:sz w:val="18"/>
                <w:szCs w:val="18"/>
              </w:rPr>
              <w:t xml:space="preserve">E 批发和零售业 </w:t>
            </w:r>
          </w:p>
          <w:p>
            <w:pPr>
              <w:tabs>
                <w:tab w:val="left" w:pos="5237"/>
              </w:tabs>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S 住宿和餐饮业 </w:t>
            </w:r>
            <w:r>
              <w:rPr>
                <w:rFonts w:hint="eastAsia" w:ascii="宋体" w:hAnsi="宋体" w:eastAsia="宋体" w:cs="宋体"/>
                <w:w w:val="110"/>
                <w:sz w:val="18"/>
                <w:szCs w:val="18"/>
              </w:rPr>
              <w:t xml:space="preserve">  </w:t>
            </w:r>
            <w:r>
              <w:rPr>
                <w:rFonts w:hint="eastAsia" w:ascii="宋体" w:hAnsi="宋体" w:eastAsia="宋体" w:cs="宋体"/>
                <w:sz w:val="18"/>
                <w:szCs w:val="18"/>
              </w:rPr>
              <w:t>X 房地产开发经营业   F 规模以上服务业　　</w:t>
            </w:r>
            <w:r>
              <w:rPr>
                <w:rFonts w:hint="eastAsia" w:ascii="宋体" w:hAnsi="宋体" w:eastAsia="宋体" w:cs="宋体"/>
                <w:w w:val="80"/>
                <w:sz w:val="18"/>
                <w:szCs w:val="18"/>
              </w:rPr>
              <w:t>　</w:t>
            </w:r>
            <w:r>
              <w:rPr>
                <w:rFonts w:hint="eastAsia" w:ascii="宋体" w:hAnsi="宋体" w:eastAsia="宋体" w:cs="宋体"/>
                <w:sz w:val="18"/>
                <w:szCs w:val="18"/>
              </w:rPr>
              <w:t xml:space="preserve">　H 投资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w:t>
            </w:r>
            <w:r>
              <w:rPr>
                <w:rFonts w:hint="eastAsia" w:ascii="宋体" w:hAnsi="宋体" w:eastAsia="宋体" w:cs="宋体"/>
                <w:w w:val="100"/>
                <w:sz w:val="18"/>
                <w:szCs w:val="18"/>
              </w:rPr>
              <w:t>　</w:t>
            </w:r>
            <w:r>
              <w:rPr>
                <w:rFonts w:hint="eastAsia" w:ascii="宋体" w:hAnsi="宋体" w:eastAsia="宋体" w:cs="宋体"/>
                <w:sz w:val="18"/>
                <w:szCs w:val="18"/>
              </w:rPr>
              <w:t xml:space="preserve">　U 其他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191</w:t>
            </w: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7" w:rightChars="27"/>
              <w:textAlignment w:val="auto"/>
              <w:rPr>
                <w:rFonts w:hint="eastAsia" w:ascii="宋体" w:hAnsi="宋体" w:eastAsia="宋体" w:cs="宋体"/>
                <w:sz w:val="18"/>
                <w:szCs w:val="18"/>
              </w:rPr>
            </w:pPr>
            <w:r>
              <w:rPr>
                <w:rFonts w:hint="eastAsia" w:ascii="宋体" w:hAnsi="宋体" w:eastAsia="宋体" w:cs="宋体"/>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192</w:t>
            </w: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从业人员    从业人员期末人数</w:t>
            </w:r>
            <w:r>
              <w:rPr>
                <w:rFonts w:hint="eastAsia" w:ascii="宋体" w:hAnsi="宋体" w:eastAsia="宋体" w:cs="宋体"/>
                <w:sz w:val="18"/>
                <w:szCs w:val="18"/>
                <w:u w:val="single"/>
              </w:rPr>
              <w:t xml:space="preserve">               </w:t>
            </w:r>
            <w:r>
              <w:rPr>
                <w:rFonts w:hint="eastAsia" w:ascii="宋体" w:hAnsi="宋体" w:eastAsia="宋体" w:cs="宋体"/>
                <w:sz w:val="18"/>
                <w:szCs w:val="18"/>
              </w:rPr>
              <w:t>人         其中：女性</w:t>
            </w:r>
            <w:r>
              <w:rPr>
                <w:rFonts w:hint="eastAsia" w:ascii="宋体" w:hAnsi="宋体" w:eastAsia="宋体" w:cs="宋体"/>
                <w:sz w:val="18"/>
                <w:szCs w:val="18"/>
                <w:u w:val="single"/>
              </w:rPr>
              <w:t xml:space="preserve">              </w:t>
            </w:r>
            <w:r>
              <w:rPr>
                <w:rFonts w:hint="eastAsia" w:ascii="宋体" w:hAnsi="宋体" w:eastAsia="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10" w:hRule="exact"/>
          <w:jc w:val="center"/>
        </w:trPr>
        <w:tc>
          <w:tcPr>
            <w:tcW w:w="492" w:type="dxa"/>
            <w:tcBorders>
              <w:top w:val="single" w:color="auto" w:sz="2" w:space="0"/>
              <w:left w:val="nil"/>
              <w:bottom w:val="single" w:color="auto" w:sz="2" w:space="0"/>
              <w:right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193</w:t>
            </w:r>
          </w:p>
        </w:tc>
        <w:tc>
          <w:tcPr>
            <w:tcW w:w="9034"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企业主要经济指标</w:t>
            </w:r>
          </w:p>
          <w:p>
            <w:pPr>
              <w:spacing w:line="240" w:lineRule="exact"/>
              <w:ind w:left="178" w:leftChars="85" w:firstLine="0" w:firstLineChars="0"/>
              <w:rPr>
                <w:rFonts w:hint="eastAsia" w:ascii="宋体" w:hAnsi="宋体" w:eastAsia="宋体" w:cs="宋体"/>
                <w:sz w:val="18"/>
                <w:szCs w:val="18"/>
              </w:rPr>
            </w:pPr>
            <w:r>
              <w:rPr>
                <w:rFonts w:hint="eastAsia" w:ascii="宋体" w:hAnsi="宋体" w:eastAsia="宋体" w:cs="宋体"/>
                <w:sz w:val="18"/>
                <w:szCs w:val="18"/>
              </w:rPr>
              <w:t>营业收入</w:t>
            </w:r>
            <w:r>
              <w:rPr>
                <w:rFonts w:hint="eastAsia" w:ascii="宋体" w:hAnsi="宋体" w:eastAsia="宋体" w:cs="宋体"/>
                <w:sz w:val="18"/>
                <w:szCs w:val="18"/>
                <w:u w:val="single"/>
              </w:rPr>
              <w:t xml:space="preserve">            </w:t>
            </w:r>
            <w:r>
              <w:rPr>
                <w:rFonts w:hint="eastAsia" w:ascii="宋体" w:hAnsi="宋体" w:eastAsia="宋体" w:cs="宋体"/>
                <w:sz w:val="18"/>
                <w:szCs w:val="18"/>
              </w:rPr>
              <w:t>千元     其中：主营业务收入</w:t>
            </w:r>
            <w:r>
              <w:rPr>
                <w:rFonts w:hint="eastAsia" w:ascii="宋体" w:hAnsi="宋体" w:eastAsia="宋体" w:cs="宋体"/>
                <w:sz w:val="18"/>
                <w:szCs w:val="18"/>
                <w:u w:val="single"/>
              </w:rPr>
              <w:t xml:space="preserve">            </w:t>
            </w:r>
            <w:r>
              <w:rPr>
                <w:rFonts w:hint="eastAsia" w:ascii="宋体" w:hAnsi="宋体" w:eastAsia="宋体" w:cs="宋体"/>
                <w:sz w:val="18"/>
                <w:szCs w:val="18"/>
              </w:rPr>
              <w:t>千元    资产总计</w:t>
            </w:r>
            <w:r>
              <w:rPr>
                <w:rFonts w:hint="eastAsia" w:ascii="宋体" w:hAnsi="宋体" w:eastAsia="宋体" w:cs="宋体"/>
                <w:sz w:val="18"/>
                <w:szCs w:val="18"/>
                <w:u w:val="single"/>
              </w:rPr>
              <w:t xml:space="preserve">            </w:t>
            </w:r>
            <w:r>
              <w:rPr>
                <w:rFonts w:hint="eastAsia" w:ascii="宋体" w:hAnsi="宋体" w:eastAsia="宋体" w:cs="宋体"/>
                <w:sz w:val="18"/>
                <w:szCs w:val="18"/>
              </w:rPr>
              <w:t>千元       营业利润</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50" w:hRule="atLeast"/>
          <w:jc w:val="center"/>
        </w:trPr>
        <w:tc>
          <w:tcPr>
            <w:tcW w:w="492" w:type="dxa"/>
            <w:tcBorders>
              <w:top w:val="single" w:color="auto" w:sz="2" w:space="0"/>
              <w:left w:val="nil"/>
              <w:bottom w:val="single" w:color="auto" w:sz="8"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211</w:t>
            </w:r>
          </w:p>
        </w:tc>
        <w:tc>
          <w:tcPr>
            <w:tcW w:w="9034" w:type="dxa"/>
            <w:gridSpan w:val="6"/>
            <w:tcBorders>
              <w:top w:val="single" w:color="auto" w:sz="2" w:space="0"/>
              <w:left w:val="single" w:color="auto" w:sz="2" w:space="0"/>
              <w:bottom w:val="single" w:color="auto" w:sz="8" w:space="0"/>
              <w:right w:val="nil"/>
            </w:tcBorders>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机构类型   □□</w:t>
            </w:r>
          </w:p>
          <w:p>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10 企业          20 事业单位        30 机关          40 社会团体            51 民办非企业单位</w:t>
            </w:r>
          </w:p>
          <w:p>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52 基金会        53 居委会          54 村委会        55 农民专业合作社      56 农村集体经济组织</w:t>
            </w:r>
          </w:p>
          <w:p>
            <w:pPr>
              <w:widowControl/>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90 其他组织机构</w:t>
            </w:r>
          </w:p>
        </w:tc>
      </w:tr>
    </w:tbl>
    <w:p>
      <w:pPr>
        <w:keepNext w:val="0"/>
        <w:keepLines w:val="0"/>
        <w:pageBreakBefore w:val="0"/>
        <w:widowControl w:val="0"/>
        <w:kinsoku/>
        <w:wordWrap/>
        <w:overflowPunct/>
        <w:topLinePunct w:val="0"/>
        <w:autoSpaceDE/>
        <w:autoSpaceDN/>
        <w:bidi w:val="0"/>
        <w:adjustRightInd/>
        <w:snapToGrid/>
        <w:spacing w:line="240" w:lineRule="exact"/>
        <w:ind w:left="-210" w:leftChars="-100"/>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br w:type="page"/>
      </w:r>
      <w:r>
        <w:rPr>
          <w:rFonts w:hint="eastAsia" w:ascii="宋体" w:hAnsi="宋体" w:eastAsia="宋体" w:cs="宋体"/>
          <w:bCs/>
          <w:kern w:val="0"/>
          <w:sz w:val="18"/>
          <w:szCs w:val="18"/>
        </w:rPr>
        <w:t xml:space="preserve"> 续表</w:t>
      </w:r>
    </w:p>
    <w:tbl>
      <w:tblPr>
        <w:tblStyle w:val="31"/>
        <w:tblW w:w="9861"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80"/>
        <w:gridCol w:w="9381"/>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710" w:hRule="atLeast"/>
          <w:jc w:val="center"/>
        </w:trPr>
        <w:tc>
          <w:tcPr>
            <w:tcW w:w="480" w:type="dxa"/>
            <w:tcBorders>
              <w:top w:val="single" w:color="auto" w:sz="8" w:space="0"/>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205</w:t>
            </w:r>
          </w:p>
        </w:tc>
        <w:tc>
          <w:tcPr>
            <w:tcW w:w="9381" w:type="dxa"/>
            <w:tcBorders>
              <w:top w:val="single" w:color="auto" w:sz="8" w:space="0"/>
              <w:right w:val="nil"/>
            </w:tcBorders>
            <w:noWrap w:val="0"/>
            <w:vAlign w:val="center"/>
          </w:tcPr>
          <w:p>
            <w:pPr>
              <w:spacing w:line="240" w:lineRule="exact"/>
              <w:rPr>
                <w:rFonts w:hint="eastAsia" w:ascii="宋体" w:hAnsi="宋体" w:eastAsia="宋体" w:cs="宋体"/>
              </w:rPr>
            </w:pPr>
            <w:r>
              <w:rPr>
                <w:rFonts w:hint="eastAsia" w:ascii="宋体" w:hAnsi="宋体" w:eastAsia="宋体" w:cs="宋体"/>
                <w:sz w:val="18"/>
                <w:szCs w:val="18"/>
              </w:rPr>
              <w:t xml:space="preserve">登记注册统计类别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p>
            <w:pPr>
              <w:tabs>
                <w:tab w:val="left" w:pos="630"/>
              </w:tabs>
              <w:spacing w:line="240" w:lineRule="exact"/>
              <w:rPr>
                <w:rFonts w:hint="eastAsia" w:ascii="宋体" w:hAnsi="宋体" w:eastAsia="宋体" w:cs="宋体"/>
                <w:sz w:val="18"/>
                <w:szCs w:val="18"/>
              </w:rPr>
            </w:pPr>
            <w:r>
              <w:rPr>
                <w:rFonts w:hint="eastAsia" w:ascii="宋体" w:hAnsi="宋体" w:eastAsia="宋体" w:cs="宋体"/>
                <w:b/>
                <w:bCs/>
                <w:sz w:val="18"/>
                <w:szCs w:val="18"/>
              </w:rPr>
              <w:t>内资企业</w:t>
            </w:r>
          </w:p>
          <w:p>
            <w:pPr>
              <w:tabs>
                <w:tab w:val="left" w:pos="630"/>
              </w:tabs>
              <w:spacing w:line="240" w:lineRule="exact"/>
              <w:ind w:firstLine="180" w:firstLineChars="100"/>
              <w:rPr>
                <w:rFonts w:hint="eastAsia" w:ascii="宋体" w:hAnsi="宋体" w:eastAsia="宋体" w:cs="宋体"/>
                <w:sz w:val="18"/>
                <w:szCs w:val="18"/>
                <w:lang w:val="en"/>
              </w:rPr>
            </w:pPr>
            <w:r>
              <w:rPr>
                <w:rFonts w:hint="eastAsia" w:ascii="宋体" w:hAnsi="宋体" w:eastAsia="宋体" w:cs="宋体"/>
                <w:sz w:val="18"/>
                <w:szCs w:val="18"/>
                <w:lang w:val="en"/>
              </w:rPr>
              <w:t xml:space="preserve">111 国有独资公司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val="en"/>
              </w:rPr>
              <w:t xml:space="preserve">112 私营有限责任公司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val="en"/>
              </w:rPr>
              <w:t>119 其他有限责任公司</w:t>
            </w:r>
          </w:p>
          <w:p>
            <w:pPr>
              <w:tabs>
                <w:tab w:val="left" w:pos="630"/>
              </w:tabs>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121 私营股份有限公司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129 其他股份有限公司</w:t>
            </w:r>
          </w:p>
          <w:p>
            <w:pPr>
              <w:tabs>
                <w:tab w:val="left" w:pos="630"/>
              </w:tabs>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131 </w:t>
            </w:r>
            <w:r>
              <w:rPr>
                <w:rFonts w:hint="eastAsia" w:ascii="宋体" w:hAnsi="宋体" w:eastAsia="宋体" w:cs="宋体"/>
                <w:spacing w:val="-6"/>
                <w:sz w:val="18"/>
                <w:szCs w:val="18"/>
              </w:rPr>
              <w:t>全民所有制企业</w:t>
            </w:r>
            <w:r>
              <w:rPr>
                <w:rFonts w:hint="eastAsia" w:ascii="宋体" w:hAnsi="宋体" w:eastAsia="宋体" w:cs="宋体"/>
                <w:spacing w:val="-6"/>
                <w:sz w:val="18"/>
                <w:szCs w:val="18"/>
                <w:lang w:val="en-US" w:eastAsia="zh-CN"/>
              </w:rPr>
              <w:t>(</w:t>
            </w:r>
            <w:r>
              <w:rPr>
                <w:rFonts w:hint="eastAsia" w:ascii="宋体" w:hAnsi="宋体" w:eastAsia="宋体" w:cs="宋体"/>
                <w:spacing w:val="-6"/>
                <w:sz w:val="18"/>
                <w:szCs w:val="18"/>
              </w:rPr>
              <w:t>国有企业</w:t>
            </w:r>
            <w:r>
              <w:rPr>
                <w:rFonts w:hint="eastAsia" w:ascii="宋体" w:hAnsi="宋体" w:eastAsia="宋体" w:cs="宋体"/>
                <w:spacing w:val="-6"/>
                <w:sz w:val="18"/>
                <w:szCs w:val="18"/>
                <w:lang w:val="en-US" w:eastAsia="zh-CN"/>
              </w:rPr>
              <w:t>)</w:t>
            </w:r>
            <w:r>
              <w:rPr>
                <w:rFonts w:hint="eastAsia" w:ascii="宋体" w:hAnsi="宋体" w:eastAsia="宋体" w:cs="宋体"/>
                <w:w w:val="75"/>
                <w:sz w:val="18"/>
                <w:szCs w:val="18"/>
              </w:rPr>
              <w:t xml:space="preserve"> </w:t>
            </w:r>
            <w:r>
              <w:rPr>
                <w:rFonts w:hint="eastAsia" w:ascii="宋体" w:hAnsi="宋体" w:eastAsia="宋体" w:cs="宋体"/>
                <w:w w:val="75"/>
                <w:sz w:val="18"/>
                <w:szCs w:val="18"/>
                <w:lang w:val="en-US" w:eastAsia="zh-CN"/>
              </w:rPr>
              <w:t xml:space="preserve"> </w:t>
            </w:r>
            <w:r>
              <w:rPr>
                <w:rFonts w:hint="eastAsia" w:ascii="宋体" w:hAnsi="宋体" w:eastAsia="宋体" w:cs="宋体"/>
                <w:sz w:val="18"/>
                <w:szCs w:val="18"/>
              </w:rPr>
              <w:t xml:space="preserve">132 </w:t>
            </w:r>
            <w:r>
              <w:rPr>
                <w:rFonts w:hint="eastAsia" w:ascii="宋体" w:hAnsi="宋体" w:eastAsia="宋体" w:cs="宋体"/>
                <w:spacing w:val="-6"/>
                <w:sz w:val="18"/>
                <w:szCs w:val="18"/>
              </w:rPr>
              <w:t>集体所有制企业</w:t>
            </w:r>
            <w:r>
              <w:rPr>
                <w:rFonts w:hint="eastAsia" w:ascii="宋体" w:hAnsi="宋体" w:eastAsia="宋体" w:cs="宋体"/>
                <w:spacing w:val="-6"/>
                <w:sz w:val="18"/>
                <w:szCs w:val="18"/>
                <w:lang w:val="en-US" w:eastAsia="zh-CN"/>
              </w:rPr>
              <w:t>(</w:t>
            </w:r>
            <w:r>
              <w:rPr>
                <w:rFonts w:hint="eastAsia" w:ascii="宋体" w:hAnsi="宋体" w:eastAsia="宋体" w:cs="宋体"/>
                <w:spacing w:val="-6"/>
                <w:sz w:val="18"/>
                <w:szCs w:val="18"/>
              </w:rPr>
              <w:t>集体企业</w:t>
            </w:r>
            <w:r>
              <w:rPr>
                <w:rFonts w:hint="eastAsia" w:ascii="宋体" w:hAnsi="宋体" w:eastAsia="宋体" w:cs="宋体"/>
                <w:spacing w:val="-6"/>
                <w:sz w:val="18"/>
                <w:szCs w:val="18"/>
                <w:lang w:val="en-US" w:eastAsia="zh-CN"/>
              </w:rPr>
              <w:t>)</w:t>
            </w:r>
            <w:r>
              <w:rPr>
                <w:rFonts w:hint="eastAsia" w:ascii="宋体" w:hAnsi="宋体" w:eastAsia="宋体" w:cs="宋体"/>
                <w:spacing w:val="-6"/>
                <w:w w:val="80"/>
                <w:sz w:val="18"/>
                <w:szCs w:val="18"/>
                <w:lang w:val="en-US" w:eastAsia="zh-CN"/>
              </w:rPr>
              <w:t xml:space="preserve"> </w:t>
            </w:r>
            <w:r>
              <w:rPr>
                <w:rFonts w:hint="eastAsia" w:ascii="宋体" w:hAnsi="宋体" w:eastAsia="宋体" w:cs="宋体"/>
                <w:w w:val="80"/>
                <w:sz w:val="18"/>
                <w:szCs w:val="18"/>
                <w:lang w:val="en-US" w:eastAsia="zh-CN"/>
              </w:rPr>
              <w:t xml:space="preserve"> </w:t>
            </w:r>
            <w:r>
              <w:rPr>
                <w:rFonts w:hint="eastAsia" w:ascii="宋体" w:hAnsi="宋体" w:eastAsia="宋体" w:cs="宋体"/>
                <w:sz w:val="18"/>
                <w:szCs w:val="18"/>
              </w:rPr>
              <w:t>133 股份合作企业</w:t>
            </w:r>
            <w:r>
              <w:rPr>
                <w:rFonts w:hint="eastAsia" w:ascii="宋体" w:hAnsi="宋体" w:eastAsia="宋体" w:cs="宋体"/>
                <w:w w:val="100"/>
                <w:sz w:val="18"/>
                <w:szCs w:val="18"/>
                <w:lang w:val="en-US" w:eastAsia="zh-CN"/>
              </w:rPr>
              <w:t xml:space="preserve"> </w:t>
            </w:r>
            <w:r>
              <w:rPr>
                <w:rFonts w:hint="eastAsia" w:ascii="宋体" w:hAnsi="宋体" w:eastAsia="宋体" w:cs="宋体"/>
                <w:w w:val="100"/>
                <w:sz w:val="18"/>
                <w:szCs w:val="18"/>
              </w:rPr>
              <w:t xml:space="preserve"> </w:t>
            </w:r>
            <w:r>
              <w:rPr>
                <w:rFonts w:hint="eastAsia" w:ascii="宋体" w:hAnsi="宋体" w:eastAsia="宋体" w:cs="宋体"/>
                <w:w w:val="100"/>
                <w:sz w:val="18"/>
                <w:szCs w:val="18"/>
                <w:lang w:val="en-US" w:eastAsia="zh-CN"/>
              </w:rPr>
              <w:t xml:space="preserve">   </w:t>
            </w:r>
            <w:r>
              <w:rPr>
                <w:rFonts w:hint="eastAsia" w:ascii="宋体" w:hAnsi="宋体" w:eastAsia="宋体" w:cs="宋体"/>
                <w:w w:val="110"/>
                <w:sz w:val="18"/>
                <w:szCs w:val="18"/>
                <w:lang w:val="en-US" w:eastAsia="zh-CN"/>
              </w:rPr>
              <w:t xml:space="preserve"> </w:t>
            </w:r>
            <w:r>
              <w:rPr>
                <w:rFonts w:hint="eastAsia" w:ascii="宋体" w:hAnsi="宋体" w:eastAsia="宋体" w:cs="宋体"/>
                <w:w w:val="100"/>
                <w:sz w:val="18"/>
                <w:szCs w:val="18"/>
                <w:lang w:val="en-US" w:eastAsia="zh-CN"/>
              </w:rPr>
              <w:t xml:space="preserve"> </w:t>
            </w:r>
            <w:r>
              <w:rPr>
                <w:rFonts w:hint="eastAsia" w:ascii="宋体" w:hAnsi="宋体" w:eastAsia="宋体" w:cs="宋体"/>
                <w:sz w:val="18"/>
                <w:szCs w:val="18"/>
              </w:rPr>
              <w:t>134 联营企业</w:t>
            </w:r>
          </w:p>
          <w:p>
            <w:pPr>
              <w:tabs>
                <w:tab w:val="left" w:pos="630"/>
              </w:tabs>
              <w:spacing w:line="240" w:lineRule="exact"/>
              <w:ind w:firstLine="180" w:firstLineChars="100"/>
              <w:rPr>
                <w:rFonts w:hint="eastAsia" w:ascii="宋体" w:hAnsi="宋体" w:eastAsia="宋体" w:cs="宋体"/>
                <w:sz w:val="18"/>
                <w:szCs w:val="18"/>
                <w:lang w:val="en"/>
              </w:rPr>
            </w:pPr>
            <w:r>
              <w:rPr>
                <w:rFonts w:hint="eastAsia" w:ascii="宋体" w:hAnsi="宋体" w:eastAsia="宋体" w:cs="宋体"/>
                <w:sz w:val="18"/>
                <w:szCs w:val="18"/>
              </w:rPr>
              <w:t>140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个人独资企业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150</w:t>
            </w:r>
            <w:r>
              <w:rPr>
                <w:rFonts w:hint="eastAsia" w:ascii="宋体" w:hAnsi="宋体" w:eastAsia="宋体" w:cs="宋体"/>
                <w:sz w:val="18"/>
                <w:szCs w:val="18"/>
                <w:lang w:val="en"/>
              </w:rPr>
              <w:t xml:space="preserve"> </w:t>
            </w:r>
            <w:r>
              <w:rPr>
                <w:rFonts w:hint="eastAsia" w:ascii="宋体" w:hAnsi="宋体" w:eastAsia="宋体" w:cs="宋体"/>
                <w:sz w:val="18"/>
                <w:szCs w:val="18"/>
              </w:rPr>
              <w:t>合伙企业</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190</w:t>
            </w:r>
            <w:r>
              <w:rPr>
                <w:rFonts w:hint="eastAsia" w:ascii="宋体" w:hAnsi="宋体" w:eastAsia="宋体" w:cs="宋体"/>
                <w:sz w:val="18"/>
                <w:szCs w:val="18"/>
                <w:lang w:val="en"/>
              </w:rPr>
              <w:t xml:space="preserve"> </w:t>
            </w:r>
            <w:r>
              <w:rPr>
                <w:rFonts w:hint="eastAsia" w:ascii="宋体" w:hAnsi="宋体" w:eastAsia="宋体" w:cs="宋体"/>
                <w:sz w:val="18"/>
                <w:szCs w:val="18"/>
              </w:rPr>
              <w:t>其他内资企业</w:t>
            </w:r>
          </w:p>
          <w:p>
            <w:pPr>
              <w:tabs>
                <w:tab w:val="left" w:pos="630"/>
              </w:tabs>
              <w:spacing w:line="240" w:lineRule="exact"/>
              <w:rPr>
                <w:rFonts w:hint="eastAsia" w:ascii="宋体" w:hAnsi="宋体" w:eastAsia="宋体" w:cs="宋体"/>
                <w:sz w:val="18"/>
                <w:szCs w:val="18"/>
                <w:lang w:val="en"/>
              </w:rPr>
            </w:pPr>
            <w:r>
              <w:rPr>
                <w:rFonts w:hint="eastAsia" w:ascii="宋体" w:hAnsi="宋体" w:eastAsia="宋体" w:cs="宋体"/>
                <w:b/>
                <w:bCs/>
                <w:sz w:val="18"/>
                <w:szCs w:val="18"/>
              </w:rPr>
              <w:t>港澳台投资企业</w:t>
            </w:r>
          </w:p>
          <w:p>
            <w:pPr>
              <w:tabs>
                <w:tab w:val="left" w:pos="630"/>
              </w:tabs>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210</w:t>
            </w:r>
            <w:r>
              <w:rPr>
                <w:rFonts w:hint="eastAsia" w:ascii="宋体" w:hAnsi="宋体" w:eastAsia="宋体" w:cs="宋体"/>
                <w:sz w:val="18"/>
                <w:szCs w:val="18"/>
                <w:lang w:val="en"/>
              </w:rPr>
              <w:t xml:space="preserve"> </w:t>
            </w:r>
            <w:r>
              <w:rPr>
                <w:rFonts w:hint="eastAsia" w:ascii="宋体" w:hAnsi="宋体" w:eastAsia="宋体" w:cs="宋体"/>
                <w:sz w:val="18"/>
                <w:szCs w:val="18"/>
              </w:rPr>
              <w:t>港澳台投资有限责任公司</w:t>
            </w:r>
            <w:r>
              <w:rPr>
                <w:rFonts w:hint="eastAsia" w:ascii="宋体" w:hAnsi="宋体" w:eastAsia="宋体" w:cs="宋体"/>
                <w:w w:val="110"/>
                <w:sz w:val="18"/>
                <w:szCs w:val="18"/>
              </w:rPr>
              <w:t xml:space="preserve"> </w:t>
            </w:r>
            <w:r>
              <w:rPr>
                <w:rFonts w:hint="eastAsia" w:ascii="宋体" w:hAnsi="宋体" w:eastAsia="宋体" w:cs="宋体"/>
                <w:sz w:val="18"/>
                <w:szCs w:val="18"/>
              </w:rPr>
              <w:t>220</w:t>
            </w:r>
            <w:r>
              <w:rPr>
                <w:rFonts w:hint="eastAsia" w:ascii="宋体" w:hAnsi="宋体" w:eastAsia="宋体" w:cs="宋体"/>
                <w:sz w:val="18"/>
                <w:szCs w:val="18"/>
                <w:lang w:val="en"/>
              </w:rPr>
              <w:t xml:space="preserve"> </w:t>
            </w:r>
            <w:r>
              <w:rPr>
                <w:rFonts w:hint="eastAsia" w:ascii="宋体" w:hAnsi="宋体" w:eastAsia="宋体" w:cs="宋体"/>
                <w:sz w:val="18"/>
                <w:szCs w:val="18"/>
              </w:rPr>
              <w:t>港澳台投资股份有限公司 230</w:t>
            </w:r>
            <w:r>
              <w:rPr>
                <w:rFonts w:hint="eastAsia" w:ascii="宋体" w:hAnsi="宋体" w:eastAsia="宋体" w:cs="宋体"/>
                <w:sz w:val="18"/>
                <w:szCs w:val="18"/>
                <w:lang w:val="en"/>
              </w:rPr>
              <w:t xml:space="preserve"> </w:t>
            </w:r>
            <w:r>
              <w:rPr>
                <w:rFonts w:hint="eastAsia" w:ascii="宋体" w:hAnsi="宋体" w:eastAsia="宋体" w:cs="宋体"/>
                <w:sz w:val="18"/>
                <w:szCs w:val="18"/>
              </w:rPr>
              <w:t>港澳台投资合伙企业 290</w:t>
            </w:r>
            <w:r>
              <w:rPr>
                <w:rFonts w:hint="eastAsia" w:ascii="宋体" w:hAnsi="宋体" w:eastAsia="宋体" w:cs="宋体"/>
                <w:sz w:val="18"/>
                <w:szCs w:val="18"/>
                <w:lang w:val="en"/>
              </w:rPr>
              <w:t xml:space="preserve"> </w:t>
            </w:r>
            <w:r>
              <w:rPr>
                <w:rFonts w:hint="eastAsia" w:ascii="宋体" w:hAnsi="宋体" w:eastAsia="宋体" w:cs="宋体"/>
                <w:sz w:val="18"/>
                <w:szCs w:val="18"/>
              </w:rPr>
              <w:t>其他港澳台投资企业</w:t>
            </w:r>
          </w:p>
          <w:p>
            <w:pPr>
              <w:tabs>
                <w:tab w:val="left" w:pos="630"/>
              </w:tabs>
              <w:spacing w:line="240" w:lineRule="exact"/>
              <w:rPr>
                <w:rFonts w:hint="eastAsia" w:ascii="宋体" w:hAnsi="宋体" w:eastAsia="宋体" w:cs="宋体"/>
                <w:sz w:val="18"/>
                <w:szCs w:val="18"/>
              </w:rPr>
            </w:pPr>
            <w:r>
              <w:rPr>
                <w:rFonts w:hint="eastAsia" w:ascii="宋体" w:hAnsi="宋体" w:eastAsia="宋体" w:cs="宋体"/>
                <w:b/>
                <w:bCs/>
                <w:sz w:val="18"/>
                <w:szCs w:val="18"/>
              </w:rPr>
              <w:t>外商投资企业</w:t>
            </w:r>
          </w:p>
          <w:p>
            <w:pPr>
              <w:tabs>
                <w:tab w:val="left" w:pos="630"/>
              </w:tabs>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310</w:t>
            </w:r>
            <w:r>
              <w:rPr>
                <w:rFonts w:hint="eastAsia" w:ascii="宋体" w:hAnsi="宋体" w:eastAsia="宋体" w:cs="宋体"/>
                <w:sz w:val="18"/>
                <w:szCs w:val="18"/>
                <w:lang w:val="en"/>
              </w:rPr>
              <w:t xml:space="preserve"> </w:t>
            </w:r>
            <w:r>
              <w:rPr>
                <w:rFonts w:hint="eastAsia" w:ascii="宋体" w:hAnsi="宋体" w:eastAsia="宋体" w:cs="宋体"/>
                <w:sz w:val="18"/>
                <w:szCs w:val="18"/>
              </w:rPr>
              <w:t>外商投资有限责任公司</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320</w:t>
            </w:r>
            <w:r>
              <w:rPr>
                <w:rFonts w:hint="eastAsia" w:ascii="宋体" w:hAnsi="宋体" w:eastAsia="宋体" w:cs="宋体"/>
                <w:sz w:val="18"/>
                <w:szCs w:val="18"/>
                <w:lang w:val="en"/>
              </w:rPr>
              <w:t xml:space="preserve"> </w:t>
            </w:r>
            <w:r>
              <w:rPr>
                <w:rFonts w:hint="eastAsia" w:ascii="宋体" w:hAnsi="宋体" w:eastAsia="宋体" w:cs="宋体"/>
                <w:sz w:val="18"/>
                <w:szCs w:val="18"/>
              </w:rPr>
              <w:t>外商投资股份有限公司   330</w:t>
            </w:r>
            <w:r>
              <w:rPr>
                <w:rFonts w:hint="eastAsia" w:ascii="宋体" w:hAnsi="宋体" w:eastAsia="宋体" w:cs="宋体"/>
                <w:sz w:val="18"/>
                <w:szCs w:val="18"/>
                <w:lang w:val="en"/>
              </w:rPr>
              <w:t xml:space="preserve"> </w:t>
            </w:r>
            <w:r>
              <w:rPr>
                <w:rFonts w:hint="eastAsia" w:ascii="宋体" w:hAnsi="宋体" w:eastAsia="宋体" w:cs="宋体"/>
                <w:sz w:val="18"/>
                <w:szCs w:val="18"/>
              </w:rPr>
              <w:t>外商投资合伙企业</w:t>
            </w:r>
            <w:r>
              <w:rPr>
                <w:rFonts w:hint="eastAsia" w:ascii="宋体" w:hAnsi="宋体" w:eastAsia="宋体" w:cs="宋体"/>
                <w:sz w:val="18"/>
                <w:szCs w:val="18"/>
                <w:lang w:val="en"/>
              </w:rPr>
              <w:t xml:space="preserve"> </w:t>
            </w:r>
            <w:r>
              <w:rPr>
                <w:rFonts w:hint="eastAsia" w:ascii="宋体" w:hAnsi="宋体" w:eastAsia="宋体" w:cs="宋体"/>
                <w:w w:val="110"/>
                <w:sz w:val="18"/>
                <w:szCs w:val="18"/>
              </w:rPr>
              <w:t xml:space="preserve"> </w:t>
            </w:r>
            <w:r>
              <w:rPr>
                <w:rFonts w:hint="eastAsia" w:ascii="宋体" w:hAnsi="宋体" w:eastAsia="宋体" w:cs="宋体"/>
                <w:sz w:val="18"/>
                <w:szCs w:val="18"/>
              </w:rPr>
              <w:t xml:space="preserve"> 390</w:t>
            </w:r>
            <w:r>
              <w:rPr>
                <w:rFonts w:hint="eastAsia" w:ascii="宋体" w:hAnsi="宋体" w:eastAsia="宋体" w:cs="宋体"/>
                <w:sz w:val="18"/>
                <w:szCs w:val="18"/>
                <w:lang w:val="en"/>
              </w:rPr>
              <w:t xml:space="preserve"> </w:t>
            </w:r>
            <w:r>
              <w:rPr>
                <w:rFonts w:hint="eastAsia" w:ascii="宋体" w:hAnsi="宋体" w:eastAsia="宋体" w:cs="宋体"/>
                <w:sz w:val="18"/>
                <w:szCs w:val="18"/>
              </w:rPr>
              <w:t>其他外商投资企业</w:t>
            </w:r>
          </w:p>
          <w:p>
            <w:pPr>
              <w:spacing w:line="240" w:lineRule="exact"/>
              <w:rPr>
                <w:rFonts w:hint="eastAsia" w:ascii="宋体" w:hAnsi="宋体" w:eastAsia="宋体" w:cs="宋体"/>
                <w:sz w:val="18"/>
                <w:szCs w:val="18"/>
              </w:rPr>
            </w:pPr>
            <w:r>
              <w:rPr>
                <w:rFonts w:hint="eastAsia" w:ascii="宋体" w:hAnsi="宋体" w:eastAsia="宋体" w:cs="宋体"/>
                <w:sz w:val="18"/>
                <w:szCs w:val="18"/>
              </w:rPr>
              <w:t>400</w:t>
            </w:r>
            <w:r>
              <w:rPr>
                <w:rFonts w:hint="eastAsia" w:ascii="宋体" w:hAnsi="宋体" w:eastAsia="宋体" w:cs="宋体"/>
                <w:sz w:val="18"/>
                <w:szCs w:val="18"/>
                <w:lang w:val="en"/>
              </w:rPr>
              <w:t xml:space="preserve"> </w:t>
            </w:r>
            <w:r>
              <w:rPr>
                <w:rFonts w:hint="eastAsia" w:ascii="宋体" w:hAnsi="宋体" w:eastAsia="宋体" w:cs="宋体"/>
                <w:b/>
                <w:bCs/>
                <w:sz w:val="18"/>
                <w:szCs w:val="18"/>
              </w:rPr>
              <w:t>农民专业合作社（联合社）</w:t>
            </w:r>
            <w:r>
              <w:rPr>
                <w:rFonts w:hint="eastAsia" w:ascii="宋体" w:hAnsi="宋体" w:eastAsia="宋体" w:cs="宋体"/>
                <w:sz w:val="18"/>
                <w:szCs w:val="18"/>
              </w:rPr>
              <w:t xml:space="preserve"> 500</w:t>
            </w:r>
            <w:r>
              <w:rPr>
                <w:rFonts w:hint="eastAsia" w:ascii="宋体" w:hAnsi="宋体" w:eastAsia="宋体" w:cs="宋体"/>
                <w:sz w:val="18"/>
                <w:szCs w:val="18"/>
                <w:lang w:val="en"/>
              </w:rPr>
              <w:t xml:space="preserve"> </w:t>
            </w:r>
            <w:r>
              <w:rPr>
                <w:rFonts w:hint="eastAsia" w:ascii="宋体" w:hAnsi="宋体" w:eastAsia="宋体" w:cs="宋体"/>
                <w:b/>
                <w:bCs/>
                <w:sz w:val="18"/>
                <w:szCs w:val="18"/>
              </w:rPr>
              <w:t xml:space="preserve">个体工商户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216</w:t>
            </w:r>
          </w:p>
        </w:tc>
        <w:tc>
          <w:tcPr>
            <w:tcW w:w="9381" w:type="dxa"/>
            <w:tcBorders>
              <w:right w:val="nil"/>
            </w:tcBorders>
            <w:noWrap w:val="0"/>
            <w:vAlign w:val="center"/>
          </w:tcPr>
          <w:p>
            <w:pPr>
              <w:snapToGrid w:val="0"/>
              <w:spacing w:line="240" w:lineRule="exact"/>
              <w:ind w:firstLine="12" w:firstLineChars="7"/>
              <w:rPr>
                <w:rFonts w:hint="eastAsia" w:ascii="宋体" w:hAnsi="宋体" w:eastAsia="宋体" w:cs="宋体"/>
                <w:sz w:val="18"/>
                <w:szCs w:val="18"/>
              </w:rPr>
            </w:pPr>
            <w:r>
              <w:rPr>
                <w:rFonts w:hint="eastAsia" w:ascii="宋体" w:hAnsi="宋体" w:eastAsia="宋体" w:cs="宋体"/>
                <w:sz w:val="18"/>
                <w:szCs w:val="18"/>
              </w:rPr>
              <w:t>港澳台商投资情况（限港澳台投资企业填报）（可多选）</w:t>
            </w:r>
          </w:p>
          <w:p>
            <w:pPr>
              <w:snapToGrid w:val="0"/>
              <w:spacing w:line="240" w:lineRule="exact"/>
              <w:ind w:firstLine="12" w:firstLineChars="7"/>
              <w:rPr>
                <w:rFonts w:hint="eastAsia" w:ascii="宋体" w:hAnsi="宋体" w:eastAsia="宋体" w:cs="宋体"/>
                <w:sz w:val="18"/>
                <w:szCs w:val="18"/>
              </w:rPr>
            </w:pPr>
            <w:r>
              <w:rPr>
                <w:rFonts w:hint="eastAsia" w:ascii="宋体" w:hAnsi="宋体" w:eastAsia="宋体" w:cs="宋体"/>
                <w:sz w:val="18"/>
                <w:szCs w:val="18"/>
              </w:rPr>
              <w:t xml:space="preserve"> 1 港商投资□   2澳商投资□   3台商投资□   </w:t>
            </w:r>
            <w:r>
              <w:rPr>
                <w:rFonts w:hint="eastAsia" w:ascii="宋体" w:hAnsi="宋体" w:eastAsia="宋体" w:cs="宋体"/>
                <w:sz w:val="18"/>
                <w:szCs w:val="18"/>
                <w:lang w:val="en"/>
              </w:rPr>
              <w:t>4暂未</w:t>
            </w:r>
            <w:r>
              <w:rPr>
                <w:rFonts w:hint="eastAsia" w:ascii="宋体" w:hAnsi="宋体" w:eastAsia="宋体" w:cs="宋体"/>
                <w:sz w:val="18"/>
                <w:szCs w:val="18"/>
              </w:rPr>
              <w:t>投资□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206</w:t>
            </w:r>
          </w:p>
        </w:tc>
        <w:tc>
          <w:tcPr>
            <w:tcW w:w="9381" w:type="dxa"/>
            <w:tcBorders>
              <w:right w:val="nil"/>
            </w:tcBorders>
            <w:noWrap w:val="0"/>
            <w:vAlign w:val="center"/>
          </w:tcPr>
          <w:p>
            <w:pPr>
              <w:snapToGrid w:val="0"/>
              <w:spacing w:line="240" w:lineRule="exact"/>
              <w:ind w:firstLine="12" w:firstLineChars="7"/>
              <w:rPr>
                <w:rFonts w:hint="eastAsia" w:ascii="宋体" w:hAnsi="宋体" w:eastAsia="宋体" w:cs="宋体"/>
                <w:sz w:val="18"/>
                <w:szCs w:val="18"/>
              </w:rPr>
            </w:pPr>
            <w:r>
              <w:rPr>
                <w:rFonts w:hint="eastAsia" w:ascii="宋体" w:hAnsi="宋体" w:eastAsia="宋体" w:cs="宋体"/>
                <w:sz w:val="18"/>
                <w:szCs w:val="18"/>
              </w:rPr>
              <w:t xml:space="preserve">企业控股情况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  1 国有控股    2 集体控股    3 私人控股    4 港澳台商控股    5 外商控股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207</w:t>
            </w:r>
          </w:p>
        </w:tc>
        <w:tc>
          <w:tcPr>
            <w:tcW w:w="9381" w:type="dxa"/>
            <w:tcBorders>
              <w:right w:val="nil"/>
            </w:tcBorders>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隶属关系（限国有控股企业填报）  □□   10 中央    11 地方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209</w:t>
            </w:r>
          </w:p>
        </w:tc>
        <w:tc>
          <w:tcPr>
            <w:tcW w:w="9381" w:type="dxa"/>
            <w:tcBorders>
              <w:right w:val="nil"/>
            </w:tcBorders>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执行会计标准类别    □</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1 企业会计准则制度          2 政府会计准则制度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210</w:t>
            </w:r>
          </w:p>
        </w:tc>
        <w:tc>
          <w:tcPr>
            <w:tcW w:w="9381" w:type="dxa"/>
            <w:tcBorders>
              <w:right w:val="nil"/>
            </w:tcBorders>
            <w:noWrap w:val="0"/>
            <w:vAlign w:val="center"/>
          </w:tcPr>
          <w:p>
            <w:pPr>
              <w:snapToGrid w:val="0"/>
              <w:spacing w:line="240" w:lineRule="exact"/>
              <w:ind w:left="2700" w:hanging="2700" w:hangingChars="1500"/>
              <w:jc w:val="left"/>
              <w:rPr>
                <w:rFonts w:hint="eastAsia" w:ascii="宋体" w:hAnsi="宋体" w:eastAsia="宋体" w:cs="宋体"/>
                <w:sz w:val="18"/>
                <w:szCs w:val="18"/>
              </w:rPr>
            </w:pPr>
            <w:r>
              <w:rPr>
                <w:rFonts w:hint="eastAsia" w:ascii="宋体" w:hAnsi="宋体" w:eastAsia="宋体" w:cs="宋体"/>
                <w:sz w:val="18"/>
                <w:szCs w:val="18"/>
              </w:rPr>
              <w:t xml:space="preserve">执行企业会计准则制度情况   □                                                                           </w:t>
            </w:r>
          </w:p>
          <w:p>
            <w:pPr>
              <w:snapToGrid w:val="0"/>
              <w:spacing w:line="240" w:lineRule="exact"/>
              <w:ind w:left="2698" w:leftChars="85" w:hanging="2520" w:hangingChars="1400"/>
              <w:jc w:val="left"/>
              <w:rPr>
                <w:rFonts w:hint="eastAsia" w:ascii="宋体" w:hAnsi="宋体" w:eastAsia="宋体" w:cs="宋体"/>
                <w:sz w:val="18"/>
                <w:szCs w:val="18"/>
              </w:rPr>
            </w:pPr>
            <w:r>
              <w:rPr>
                <w:rFonts w:hint="eastAsia" w:ascii="宋体" w:hAnsi="宋体" w:eastAsia="宋体" w:cs="宋体"/>
                <w:sz w:val="18"/>
                <w:szCs w:val="18"/>
              </w:rPr>
              <w:t>1 执行《企业会计准则》      2 执行《小企业会计准则》       3 执行《企业会计制度》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213</w:t>
            </w:r>
          </w:p>
        </w:tc>
        <w:tc>
          <w:tcPr>
            <w:tcW w:w="9381" w:type="dxa"/>
            <w:tcBorders>
              <w:right w:val="nil"/>
            </w:tcBorders>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企业集团情况</w:t>
            </w:r>
            <w:r>
              <w:rPr>
                <w:rFonts w:hint="eastAsia" w:ascii="宋体" w:hAnsi="宋体" w:eastAsia="宋体" w:cs="宋体"/>
                <w:sz w:val="18"/>
                <w:szCs w:val="18"/>
                <w:lang w:eastAsia="zh-CN"/>
              </w:rPr>
              <w:t>（</w:t>
            </w:r>
            <w:r>
              <w:rPr>
                <w:rFonts w:hint="eastAsia" w:ascii="宋体" w:hAnsi="宋体" w:eastAsia="宋体" w:cs="宋体"/>
                <w:sz w:val="18"/>
                <w:szCs w:val="18"/>
              </w:rPr>
              <w:t>限企业集团母公司及成员企业填写</w:t>
            </w:r>
            <w:r>
              <w:rPr>
                <w:rFonts w:hint="eastAsia" w:ascii="宋体" w:hAnsi="宋体" w:eastAsia="宋体" w:cs="宋体"/>
                <w:sz w:val="18"/>
                <w:szCs w:val="18"/>
                <w:lang w:eastAsia="zh-CN"/>
              </w:rPr>
              <w:t>）</w:t>
            </w:r>
            <w:r>
              <w:rPr>
                <w:rFonts w:hint="eastAsia" w:ascii="宋体" w:hAnsi="宋体" w:eastAsia="宋体" w:cs="宋体"/>
                <w:sz w:val="18"/>
                <w:szCs w:val="18"/>
              </w:rPr>
              <w:t xml:space="preserve">  本企业是 </w:t>
            </w:r>
            <w:r>
              <w:rPr>
                <w:rFonts w:hint="eastAsia" w:ascii="宋体" w:hAnsi="宋体" w:eastAsia="宋体" w:cs="宋体"/>
                <w:kern w:val="0"/>
                <w:sz w:val="18"/>
                <w:szCs w:val="18"/>
              </w:rPr>
              <w:t xml:space="preserve">□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kern w:val="0"/>
                <w:sz w:val="18"/>
                <w:szCs w:val="18"/>
              </w:rPr>
              <w:t xml:space="preserve"> 1 集团母公司</w:t>
            </w:r>
            <w:r>
              <w:rPr>
                <w:rFonts w:hint="eastAsia" w:ascii="宋体" w:hAnsi="宋体" w:eastAsia="宋体" w:cs="宋体"/>
                <w:kern w:val="0"/>
                <w:sz w:val="18"/>
                <w:szCs w:val="18"/>
                <w:lang w:eastAsia="zh-CN"/>
              </w:rPr>
              <w:t>（</w:t>
            </w:r>
            <w:r>
              <w:rPr>
                <w:rFonts w:hint="eastAsia" w:ascii="宋体" w:hAnsi="宋体" w:eastAsia="宋体" w:cs="宋体"/>
                <w:sz w:val="18"/>
                <w:szCs w:val="18"/>
              </w:rPr>
              <w:t>核心企业或集团总部</w:t>
            </w:r>
            <w:r>
              <w:rPr>
                <w:rFonts w:hint="eastAsia" w:ascii="宋体" w:hAnsi="宋体" w:eastAsia="宋体" w:cs="宋体"/>
                <w:kern w:val="0"/>
                <w:sz w:val="18"/>
                <w:szCs w:val="18"/>
                <w:lang w:eastAsia="zh-CN"/>
              </w:rPr>
              <w:t>）</w:t>
            </w:r>
            <w:r>
              <w:rPr>
                <w:rFonts w:hint="eastAsia" w:ascii="宋体" w:hAnsi="宋体" w:eastAsia="宋体" w:cs="宋体"/>
                <w:sz w:val="18"/>
                <w:szCs w:val="18"/>
              </w:rPr>
              <w:t xml:space="preserve">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2 成员企业——请填直接上级法人统一社会信用代码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C01</w:t>
            </w:r>
          </w:p>
        </w:tc>
        <w:tc>
          <w:tcPr>
            <w:tcW w:w="9381"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建筑业企业资质等级编码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X01</w:t>
            </w:r>
          </w:p>
        </w:tc>
        <w:tc>
          <w:tcPr>
            <w:tcW w:w="9381" w:type="dxa"/>
            <w:tcBorders>
              <w:right w:val="nil"/>
            </w:tcBorders>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ES1</w:t>
            </w:r>
          </w:p>
        </w:tc>
        <w:tc>
          <w:tcPr>
            <w:tcW w:w="9381" w:type="dxa"/>
            <w:tcBorders>
              <w:right w:val="nil"/>
            </w:tcBorders>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批发和零售业、住宿和餐饮业单位经营形式</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1 独立门店      2 连锁总店（总部）     3 连锁直营店     4 连锁加盟店     9 其他  </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连锁品牌（商标或商号名称）：</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705"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E02</w:t>
            </w:r>
          </w:p>
        </w:tc>
        <w:tc>
          <w:tcPr>
            <w:tcW w:w="9381" w:type="dxa"/>
            <w:tcBorders>
              <w:right w:val="nil"/>
            </w:tcBorders>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零售业态（可多选，不超过3个）   □□□□    □□□□     □□□□</w:t>
            </w:r>
          </w:p>
          <w:p>
            <w:pPr>
              <w:snapToGrid w:val="0"/>
              <w:spacing w:line="240" w:lineRule="exact"/>
              <w:rPr>
                <w:rFonts w:hint="eastAsia" w:ascii="宋体" w:hAnsi="宋体" w:eastAsia="宋体" w:cs="宋体"/>
                <w:b/>
                <w:bCs/>
                <w:sz w:val="18"/>
                <w:szCs w:val="18"/>
              </w:rPr>
            </w:pPr>
            <w:r>
              <w:rPr>
                <w:rFonts w:hint="eastAsia" w:ascii="宋体" w:hAnsi="宋体" w:eastAsia="宋体" w:cs="宋体"/>
                <w:b/>
                <w:bCs/>
                <w:sz w:val="18"/>
                <w:szCs w:val="18"/>
              </w:rPr>
              <w:t>有店铺零售</w:t>
            </w:r>
          </w:p>
          <w:p>
            <w:pPr>
              <w:snapToGrid w:val="0"/>
              <w:spacing w:line="240" w:lineRule="exact"/>
              <w:ind w:left="181" w:leftChars="86"/>
              <w:rPr>
                <w:rFonts w:hint="eastAsia" w:ascii="宋体" w:hAnsi="宋体" w:eastAsia="宋体" w:cs="宋体"/>
                <w:sz w:val="18"/>
                <w:szCs w:val="18"/>
              </w:rPr>
            </w:pPr>
            <w:r>
              <w:rPr>
                <w:rFonts w:hint="eastAsia" w:ascii="宋体" w:hAnsi="宋体" w:eastAsia="宋体" w:cs="宋体"/>
                <w:sz w:val="18"/>
                <w:szCs w:val="18"/>
              </w:rPr>
              <w:t>1010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便利店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1020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超市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1030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折扣店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1040</w:t>
            </w:r>
            <w:r>
              <w:rPr>
                <w:rFonts w:hint="eastAsia" w:ascii="宋体" w:hAnsi="宋体" w:eastAsia="宋体" w:cs="宋体"/>
                <w:sz w:val="18"/>
                <w:szCs w:val="18"/>
                <w:lang w:val="en"/>
              </w:rPr>
              <w:t xml:space="preserve">  </w:t>
            </w:r>
            <w:r>
              <w:rPr>
                <w:rFonts w:hint="eastAsia" w:ascii="宋体" w:hAnsi="宋体" w:eastAsia="宋体" w:cs="宋体"/>
                <w:sz w:val="18"/>
                <w:szCs w:val="18"/>
              </w:rPr>
              <w:t>仓储会员店   1050</w:t>
            </w:r>
            <w:r>
              <w:rPr>
                <w:rFonts w:hint="eastAsia" w:ascii="宋体" w:hAnsi="宋体" w:eastAsia="宋体" w:cs="宋体"/>
                <w:sz w:val="18"/>
                <w:szCs w:val="18"/>
                <w:lang w:val="en"/>
              </w:rPr>
              <w:t xml:space="preserve">  </w:t>
            </w:r>
            <w:r>
              <w:rPr>
                <w:rFonts w:hint="eastAsia" w:ascii="宋体" w:hAnsi="宋体" w:eastAsia="宋体" w:cs="宋体"/>
                <w:sz w:val="18"/>
                <w:szCs w:val="18"/>
              </w:rPr>
              <w:t>百货店</w:t>
            </w:r>
          </w:p>
          <w:p>
            <w:pPr>
              <w:snapToGrid w:val="0"/>
              <w:spacing w:line="240" w:lineRule="exact"/>
              <w:ind w:left="181" w:leftChars="86"/>
              <w:rPr>
                <w:rFonts w:hint="eastAsia" w:ascii="宋体" w:hAnsi="宋体" w:eastAsia="宋体" w:cs="宋体"/>
                <w:sz w:val="18"/>
                <w:szCs w:val="18"/>
              </w:rPr>
            </w:pPr>
            <w:r>
              <w:rPr>
                <w:rFonts w:hint="eastAsia" w:ascii="宋体" w:hAnsi="宋体" w:eastAsia="宋体" w:cs="宋体"/>
                <w:sz w:val="18"/>
                <w:szCs w:val="18"/>
              </w:rPr>
              <w:t>1060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购物中心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1070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专业店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1080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品牌专卖店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1090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集合店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1100</w:t>
            </w:r>
            <w:r>
              <w:rPr>
                <w:rFonts w:hint="eastAsia" w:ascii="宋体" w:hAnsi="宋体" w:eastAsia="宋体" w:cs="宋体"/>
                <w:sz w:val="18"/>
                <w:szCs w:val="18"/>
                <w:lang w:val="en"/>
              </w:rPr>
              <w:t xml:space="preserve">  </w:t>
            </w:r>
            <w:r>
              <w:rPr>
                <w:rFonts w:hint="eastAsia" w:ascii="宋体" w:hAnsi="宋体" w:eastAsia="宋体" w:cs="宋体"/>
                <w:sz w:val="18"/>
                <w:szCs w:val="18"/>
              </w:rPr>
              <w:t>无人值守商店</w:t>
            </w:r>
          </w:p>
          <w:p>
            <w:pPr>
              <w:snapToGrid w:val="0"/>
              <w:spacing w:line="240" w:lineRule="exact"/>
              <w:rPr>
                <w:rFonts w:hint="eastAsia" w:ascii="宋体" w:hAnsi="宋体" w:eastAsia="宋体" w:cs="宋体"/>
                <w:b/>
                <w:bCs/>
                <w:sz w:val="18"/>
                <w:szCs w:val="18"/>
              </w:rPr>
            </w:pPr>
            <w:r>
              <w:rPr>
                <w:rFonts w:hint="eastAsia" w:ascii="宋体" w:hAnsi="宋体" w:eastAsia="宋体" w:cs="宋体"/>
                <w:b/>
                <w:bCs/>
                <w:sz w:val="18"/>
                <w:szCs w:val="18"/>
              </w:rPr>
              <w:t>无店铺零售</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2010</w:t>
            </w:r>
            <w:r>
              <w:rPr>
                <w:rFonts w:hint="eastAsia" w:ascii="宋体" w:hAnsi="宋体" w:eastAsia="宋体" w:cs="宋体"/>
                <w:sz w:val="18"/>
                <w:szCs w:val="18"/>
                <w:lang w:val="en"/>
              </w:rPr>
              <w:t xml:space="preserve">  </w:t>
            </w:r>
            <w:r>
              <w:rPr>
                <w:rFonts w:hint="eastAsia" w:ascii="宋体" w:hAnsi="宋体" w:eastAsia="宋体" w:cs="宋体"/>
                <w:sz w:val="18"/>
                <w:szCs w:val="18"/>
              </w:rPr>
              <w:t>网络零售   2020</w:t>
            </w:r>
            <w:r>
              <w:rPr>
                <w:rFonts w:hint="eastAsia" w:ascii="宋体" w:hAnsi="宋体" w:eastAsia="宋体" w:cs="宋体"/>
                <w:sz w:val="18"/>
                <w:szCs w:val="18"/>
                <w:lang w:val="en"/>
              </w:rPr>
              <w:t xml:space="preserve">  </w:t>
            </w:r>
            <w:r>
              <w:rPr>
                <w:rFonts w:hint="eastAsia" w:ascii="宋体" w:hAnsi="宋体" w:eastAsia="宋体" w:cs="宋体"/>
                <w:sz w:val="18"/>
                <w:szCs w:val="18"/>
              </w:rPr>
              <w:t>电视/广播零售   2030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邮寄零售  </w:t>
            </w:r>
            <w:r>
              <w:rPr>
                <w:rFonts w:hint="eastAsia" w:ascii="宋体" w:hAnsi="宋体" w:eastAsia="宋体" w:cs="宋体"/>
                <w:w w:val="135"/>
                <w:sz w:val="18"/>
                <w:szCs w:val="18"/>
              </w:rPr>
              <w:t xml:space="preserve">   </w:t>
            </w:r>
            <w:r>
              <w:rPr>
                <w:rFonts w:hint="eastAsia" w:ascii="宋体" w:hAnsi="宋体" w:eastAsia="宋体" w:cs="宋体"/>
                <w:sz w:val="18"/>
                <w:szCs w:val="18"/>
              </w:rPr>
              <w:t xml:space="preserve"> 2040</w:t>
            </w:r>
            <w:r>
              <w:rPr>
                <w:rFonts w:hint="eastAsia" w:ascii="宋体" w:hAnsi="宋体" w:eastAsia="宋体" w:cs="宋体"/>
                <w:sz w:val="18"/>
                <w:szCs w:val="18"/>
                <w:lang w:val="en"/>
              </w:rPr>
              <w:t xml:space="preserve">  </w:t>
            </w:r>
            <w:r>
              <w:rPr>
                <w:rFonts w:hint="eastAsia" w:ascii="宋体" w:hAnsi="宋体" w:eastAsia="宋体" w:cs="宋体"/>
                <w:sz w:val="18"/>
                <w:szCs w:val="18"/>
              </w:rPr>
              <w:t>无人售货设备零售</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2050</w:t>
            </w:r>
            <w:r>
              <w:rPr>
                <w:rFonts w:hint="eastAsia" w:ascii="宋体" w:hAnsi="宋体" w:eastAsia="宋体" w:cs="宋体"/>
                <w:sz w:val="18"/>
                <w:szCs w:val="18"/>
                <w:lang w:val="en"/>
              </w:rPr>
              <w:t xml:space="preserve">  </w:t>
            </w:r>
            <w:r>
              <w:rPr>
                <w:rFonts w:hint="eastAsia" w:ascii="宋体" w:hAnsi="宋体" w:eastAsia="宋体" w:cs="宋体"/>
                <w:sz w:val="18"/>
                <w:szCs w:val="18"/>
              </w:rPr>
              <w:t>电话零售   2060</w:t>
            </w:r>
            <w:r>
              <w:rPr>
                <w:rFonts w:hint="eastAsia" w:ascii="宋体" w:hAnsi="宋体" w:eastAsia="宋体" w:cs="宋体"/>
                <w:sz w:val="18"/>
                <w:szCs w:val="18"/>
                <w:lang w:val="en"/>
              </w:rPr>
              <w:t xml:space="preserve">  </w:t>
            </w:r>
            <w:r>
              <w:rPr>
                <w:rFonts w:hint="eastAsia" w:ascii="宋体" w:hAnsi="宋体" w:eastAsia="宋体" w:cs="宋体"/>
                <w:sz w:val="18"/>
                <w:szCs w:val="18"/>
              </w:rPr>
              <w:t>直销</w:t>
            </w:r>
            <w:r>
              <w:rPr>
                <w:rFonts w:hint="eastAsia" w:ascii="宋体" w:hAnsi="宋体" w:eastAsia="宋体" w:cs="宋体"/>
                <w:w w:val="100"/>
                <w:sz w:val="18"/>
                <w:szCs w:val="18"/>
              </w:rPr>
              <w:t xml:space="preserve">      </w:t>
            </w:r>
            <w:r>
              <w:rPr>
                <w:rFonts w:hint="eastAsia" w:ascii="宋体" w:hAnsi="宋体" w:eastAsia="宋体" w:cs="宋体"/>
                <w:w w:val="100"/>
                <w:sz w:val="18"/>
                <w:szCs w:val="18"/>
                <w:lang w:val="en-US" w:eastAsia="zh-CN"/>
              </w:rPr>
              <w:t xml:space="preserve"> </w:t>
            </w:r>
            <w:r>
              <w:rPr>
                <w:rFonts w:hint="eastAsia" w:ascii="宋体" w:hAnsi="宋体" w:eastAsia="宋体" w:cs="宋体"/>
                <w:w w:val="100"/>
                <w:sz w:val="18"/>
                <w:szCs w:val="18"/>
              </w:rPr>
              <w:t xml:space="preserve"> </w:t>
            </w:r>
            <w:r>
              <w:rPr>
                <w:rFonts w:hint="eastAsia" w:ascii="宋体" w:hAnsi="宋体" w:eastAsia="宋体" w:cs="宋体"/>
                <w:w w:val="86"/>
                <w:sz w:val="18"/>
                <w:szCs w:val="18"/>
                <w:lang w:val="en-US" w:eastAsia="zh-CN"/>
              </w:rPr>
              <w:t xml:space="preserve">    </w:t>
            </w:r>
            <w:r>
              <w:rPr>
                <w:rFonts w:hint="eastAsia" w:ascii="宋体" w:hAnsi="宋体" w:eastAsia="宋体" w:cs="宋体"/>
                <w:sz w:val="18"/>
                <w:szCs w:val="18"/>
              </w:rPr>
              <w:t>2070</w:t>
            </w:r>
            <w:r>
              <w:rPr>
                <w:rFonts w:hint="eastAsia" w:ascii="宋体" w:hAnsi="宋体" w:eastAsia="宋体" w:cs="宋体"/>
                <w:sz w:val="18"/>
                <w:szCs w:val="18"/>
                <w:lang w:val="en"/>
              </w:rPr>
              <w:t xml:space="preserve">  </w:t>
            </w:r>
            <w:r>
              <w:rPr>
                <w:rFonts w:hint="eastAsia" w:ascii="宋体" w:hAnsi="宋体" w:eastAsia="宋体" w:cs="宋体"/>
                <w:sz w:val="18"/>
                <w:szCs w:val="18"/>
              </w:rPr>
              <w:t>流动货摊零售   2090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其他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S02</w:t>
            </w:r>
          </w:p>
        </w:tc>
        <w:tc>
          <w:tcPr>
            <w:tcW w:w="9381" w:type="dxa"/>
            <w:tcBorders>
              <w:right w:val="nil"/>
            </w:tcBorders>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9861" w:type="dxa"/>
            <w:gridSpan w:val="2"/>
            <w:tcBorders>
              <w:left w:val="nil"/>
              <w:right w:val="nil"/>
            </w:tcBorders>
            <w:noWrap w:val="0"/>
            <w:tcMar>
              <w:top w:w="0" w:type="dxa"/>
              <w:left w:w="57" w:type="dxa"/>
              <w:bottom w:w="0" w:type="dxa"/>
              <w:right w:w="57" w:type="dxa"/>
            </w:tcMar>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单位组织结构情况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214</w:t>
            </w:r>
          </w:p>
        </w:tc>
        <w:tc>
          <w:tcPr>
            <w:tcW w:w="9381" w:type="dxa"/>
            <w:tcBorders>
              <w:right w:val="nil"/>
            </w:tcBorders>
            <w:noWrap w:val="0"/>
            <w:vAlign w:val="center"/>
          </w:tcPr>
          <w:p>
            <w:pPr>
              <w:snapToGrid w:val="0"/>
              <w:spacing w:line="240" w:lineRule="exact"/>
              <w:rPr>
                <w:rFonts w:hint="eastAsia" w:ascii="宋体" w:hAnsi="宋体" w:eastAsia="宋体" w:cs="宋体"/>
                <w:kern w:val="0"/>
                <w:sz w:val="18"/>
                <w:szCs w:val="18"/>
              </w:rPr>
            </w:pPr>
            <w:r>
              <w:rPr>
                <w:rFonts w:hint="eastAsia" w:ascii="宋体" w:hAnsi="宋体" w:eastAsia="宋体" w:cs="宋体"/>
                <w:sz w:val="18"/>
                <w:szCs w:val="18"/>
              </w:rPr>
              <w:t>本法人</w:t>
            </w:r>
            <w:r>
              <w:rPr>
                <w:rFonts w:hint="eastAsia" w:ascii="宋体" w:hAnsi="宋体" w:eastAsia="宋体" w:cs="宋体"/>
                <w:sz w:val="18"/>
                <w:szCs w:val="18"/>
                <w:lang w:eastAsia="zh-CN"/>
              </w:rPr>
              <w:t>（视同法人）</w:t>
            </w:r>
            <w:r>
              <w:rPr>
                <w:rFonts w:hint="eastAsia" w:ascii="宋体" w:hAnsi="宋体" w:eastAsia="宋体" w:cs="宋体"/>
                <w:sz w:val="18"/>
                <w:szCs w:val="18"/>
              </w:rPr>
              <w:t xml:space="preserve">单位是否有上一级法人  □  1是   2否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如为1，请填写上一级法人</w:t>
            </w:r>
            <w:r>
              <w:rPr>
                <w:rFonts w:hint="eastAsia" w:ascii="宋体" w:hAnsi="宋体" w:eastAsia="宋体" w:cs="宋体"/>
                <w:sz w:val="18"/>
                <w:szCs w:val="18"/>
                <w:lang w:eastAsia="zh-CN"/>
              </w:rPr>
              <w:t>（视同法人）</w:t>
            </w:r>
            <w:r>
              <w:rPr>
                <w:rFonts w:hint="eastAsia" w:ascii="宋体" w:hAnsi="宋体" w:eastAsia="宋体" w:cs="宋体"/>
                <w:sz w:val="18"/>
                <w:szCs w:val="18"/>
              </w:rPr>
              <w:t>统一社会信用代码 □□□□□□□□□□□□□□□□□□</w:t>
            </w:r>
          </w:p>
          <w:p>
            <w:pPr>
              <w:keepNext w:val="0"/>
              <w:keepLines w:val="0"/>
              <w:pageBreakBefore w:val="0"/>
              <w:widowControl w:val="0"/>
              <w:kinsoku/>
              <w:wordWrap/>
              <w:overflowPunct/>
              <w:topLinePunct w:val="0"/>
              <w:autoSpaceDE/>
              <w:autoSpaceDN/>
              <w:bidi w:val="0"/>
              <w:adjustRightInd/>
              <w:snapToGrid w:val="0"/>
              <w:spacing w:line="240" w:lineRule="exact"/>
              <w:ind w:left="-53" w:leftChars="-25"/>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上一级法人</w:t>
            </w:r>
            <w:r>
              <w:rPr>
                <w:rFonts w:hint="eastAsia" w:ascii="宋体" w:hAnsi="宋体" w:eastAsia="宋体" w:cs="宋体"/>
                <w:sz w:val="18"/>
                <w:szCs w:val="18"/>
                <w:lang w:eastAsia="zh-CN"/>
              </w:rPr>
              <w:t>（视同法人）</w:t>
            </w:r>
            <w:r>
              <w:rPr>
                <w:rFonts w:hint="eastAsia" w:ascii="宋体" w:hAnsi="宋体" w:eastAsia="宋体" w:cs="宋体"/>
                <w:sz w:val="18"/>
                <w:szCs w:val="18"/>
              </w:rPr>
              <w:t xml:space="preserve">单位详细名称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480" w:type="dxa"/>
            <w:tcBorders>
              <w:left w:val="nil"/>
              <w:bottom w:val="single" w:color="auto" w:sz="8"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212</w:t>
            </w:r>
          </w:p>
        </w:tc>
        <w:tc>
          <w:tcPr>
            <w:tcW w:w="9381" w:type="dxa"/>
            <w:tcBorders>
              <w:bottom w:val="single" w:color="auto" w:sz="8" w:space="0"/>
              <w:right w:val="nil"/>
            </w:tcBorders>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本法人</w:t>
            </w:r>
            <w:r>
              <w:rPr>
                <w:rFonts w:hint="eastAsia" w:ascii="宋体" w:hAnsi="宋体" w:eastAsia="宋体" w:cs="宋体"/>
                <w:sz w:val="18"/>
                <w:szCs w:val="18"/>
                <w:lang w:eastAsia="zh-CN"/>
              </w:rPr>
              <w:t>（视同法人）</w:t>
            </w:r>
            <w:r>
              <w:rPr>
                <w:rFonts w:hint="eastAsia" w:ascii="宋体" w:hAnsi="宋体" w:eastAsia="宋体" w:cs="宋体"/>
                <w:sz w:val="18"/>
                <w:szCs w:val="18"/>
              </w:rPr>
              <w:t xml:space="preserve">单位是否有下属产业活动单位（分支机构、派出机构、分公司、分部、分厂、分店等） □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1是   2否</w:t>
            </w:r>
          </w:p>
        </w:tc>
      </w:tr>
    </w:tbl>
    <w:p>
      <w:pPr>
        <w:keepNext w:val="0"/>
        <w:keepLines w:val="0"/>
        <w:pageBreakBefore w:val="0"/>
        <w:widowControl w:val="0"/>
        <w:kinsoku/>
        <w:wordWrap/>
        <w:overflowPunct/>
        <w:topLinePunct w:val="0"/>
        <w:autoSpaceDE/>
        <w:autoSpaceDN/>
        <w:bidi w:val="0"/>
        <w:adjustRightInd/>
        <w:snapToGrid/>
        <w:spacing w:line="240" w:lineRule="exact"/>
        <w:ind w:left="-294" w:leftChars="-140" w:right="-147" w:rightChars="-70" w:firstLine="180" w:firstLineChars="100"/>
        <w:textAlignment w:val="auto"/>
        <w:rPr>
          <w:rFonts w:hint="eastAsia" w:ascii="宋体" w:hAnsi="宋体" w:eastAsia="宋体" w:cs="宋体"/>
        </w:rPr>
      </w:pPr>
      <w:r>
        <w:rPr>
          <w:rFonts w:hint="eastAsia" w:ascii="宋体" w:hAnsi="宋体" w:eastAsia="宋体" w:cs="宋体"/>
          <w:sz w:val="18"/>
          <w:szCs w:val="18"/>
        </w:rPr>
        <w:t xml:space="preserve">单位负责人：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统计负责人：         填表人：            联系电话：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报出日期：</w:t>
      </w:r>
      <w:r>
        <w:rPr>
          <w:rFonts w:hint="eastAsia" w:ascii="宋体" w:hAnsi="宋体" w:eastAsia="宋体" w:cs="宋体"/>
          <w:sz w:val="18"/>
          <w:szCs w:val="18"/>
          <w:lang w:val="en-US" w:eastAsia="zh-CN"/>
        </w:rPr>
        <w:t>2 0</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年   月   日</w:t>
      </w:r>
    </w:p>
    <w:p>
      <w:pPr>
        <w:spacing w:line="240" w:lineRule="exact"/>
        <w:rPr>
          <w:rFonts w:hint="eastAsia" w:ascii="宋体" w:hAnsi="宋体" w:cs="宋体"/>
          <w:sz w:val="18"/>
          <w:szCs w:val="18"/>
        </w:rPr>
      </w:pPr>
    </w:p>
    <w:p>
      <w:pPr>
        <w:keepNext w:val="0"/>
        <w:keepLines w:val="0"/>
        <w:pageBreakBefore w:val="0"/>
        <w:widowControl w:val="0"/>
        <w:kinsoku/>
        <w:wordWrap/>
        <w:overflowPunct/>
        <w:topLinePunct w:val="0"/>
        <w:autoSpaceDE/>
        <w:autoSpaceDN/>
        <w:bidi w:val="0"/>
        <w:spacing w:line="240" w:lineRule="exact"/>
        <w:ind w:left="1658" w:leftChars="18" w:hanging="1620" w:hangingChars="900"/>
        <w:textAlignment w:val="auto"/>
        <w:rPr>
          <w:rFonts w:ascii="宋体"/>
          <w:sz w:val="18"/>
          <w:szCs w:val="18"/>
        </w:rPr>
      </w:pPr>
      <w:r>
        <w:rPr>
          <w:rFonts w:hint="eastAsia" w:ascii="宋体" w:hAnsi="宋体" w:cs="宋体"/>
          <w:sz w:val="18"/>
          <w:szCs w:val="18"/>
        </w:rPr>
        <w:t>说明：</w:t>
      </w:r>
      <w:r>
        <w:rPr>
          <w:rFonts w:ascii="宋体" w:hAnsi="宋体" w:cs="宋体"/>
          <w:sz w:val="18"/>
          <w:szCs w:val="18"/>
        </w:rPr>
        <w:t>1.</w:t>
      </w:r>
      <w:r>
        <w:rPr>
          <w:rFonts w:hint="eastAsia" w:ascii="宋体" w:hAnsi="宋体" w:cs="宋体"/>
          <w:sz w:val="18"/>
          <w:szCs w:val="18"/>
        </w:rPr>
        <w:t>统计范围：</w:t>
      </w:r>
      <w:r>
        <w:rPr>
          <w:rFonts w:hint="eastAsia" w:ascii="宋体" w:cs="宋体"/>
          <w:sz w:val="18"/>
          <w:szCs w:val="18"/>
        </w:rPr>
        <w:t>辖区内</w:t>
      </w:r>
      <w:r>
        <w:rPr>
          <w:rFonts w:hint="eastAsia" w:ascii="宋体" w:cs="宋体"/>
          <w:sz w:val="18"/>
          <w:szCs w:val="18"/>
          <w:lang w:eastAsia="zh-CN"/>
        </w:rPr>
        <w:t>规模以上服务业</w:t>
      </w:r>
      <w:r>
        <w:rPr>
          <w:rFonts w:hint="eastAsia" w:ascii="宋体" w:cs="宋体"/>
          <w:sz w:val="18"/>
          <w:szCs w:val="18"/>
        </w:rPr>
        <w:t>法人</w:t>
      </w:r>
      <w:r>
        <w:rPr>
          <w:rFonts w:ascii="宋体" w:cs="宋体"/>
          <w:sz w:val="18"/>
          <w:szCs w:val="18"/>
        </w:rPr>
        <w:t>单位</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val="0"/>
        <w:snapToGrid w:val="0"/>
        <w:spacing w:line="240" w:lineRule="exact"/>
        <w:ind w:left="2227" w:leftChars="289" w:hanging="1620" w:hangingChars="900"/>
        <w:textAlignment w:val="auto"/>
        <w:rPr>
          <w:rFonts w:ascii="宋体"/>
          <w:sz w:val="18"/>
          <w:szCs w:val="18"/>
        </w:rPr>
      </w:pPr>
      <w:r>
        <w:rPr>
          <w:rFonts w:ascii="宋体" w:cs="宋体"/>
          <w:sz w:val="18"/>
          <w:szCs w:val="18"/>
        </w:rPr>
        <w:t>2.</w:t>
      </w:r>
      <w:r>
        <w:rPr>
          <w:rFonts w:hint="eastAsia" w:ascii="宋体" w:cs="宋体"/>
          <w:sz w:val="18"/>
          <w:szCs w:val="18"/>
        </w:rPr>
        <w:t>报送日期及方式：</w:t>
      </w:r>
      <w:r>
        <w:rPr>
          <w:rFonts w:hint="eastAsia" w:ascii="宋体" w:hAnsi="宋体" w:cs="宋体"/>
          <w:spacing w:val="-4"/>
          <w:sz w:val="18"/>
          <w:szCs w:val="18"/>
        </w:rPr>
        <w:t>调查单位次年3月10日24时前网上填报，</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val="0"/>
        <w:snapToGrid w:val="0"/>
        <w:spacing w:line="240" w:lineRule="exact"/>
        <w:ind w:left="2405" w:leftChars="288" w:hanging="1800" w:hangingChars="1000"/>
        <w:textAlignment w:val="auto"/>
        <w:rPr>
          <w:rFonts w:hint="eastAsia" w:ascii="宋体" w:cs="宋体"/>
          <w:sz w:val="18"/>
          <w:szCs w:val="18"/>
        </w:rPr>
      </w:pPr>
      <w:r>
        <w:rPr>
          <w:rFonts w:ascii="宋体" w:cs="宋体"/>
          <w:sz w:val="18"/>
          <w:szCs w:val="18"/>
        </w:rPr>
        <w:t>3.</w:t>
      </w:r>
      <w:r>
        <w:rPr>
          <w:rFonts w:hint="eastAsia" w:ascii="宋体" w:cs="宋体"/>
          <w:sz w:val="18"/>
          <w:szCs w:val="18"/>
        </w:rPr>
        <w:t>调查单位填报要求：本表主要数据由国家统计局在调查开始前统一导入数据采集处理软件中，生成报表数据。调查单位应根据实际情况对表中的数据进行认真核对与填写，指标数据如有变动应及时进行修改</w:t>
      </w:r>
      <w:r>
        <w:rPr>
          <w:rFonts w:ascii="宋体" w:cs="宋体"/>
          <w:sz w:val="18"/>
          <w:szCs w:val="18"/>
        </w:rPr>
        <w:t>(</w:t>
      </w:r>
      <w:r>
        <w:rPr>
          <w:rFonts w:hint="eastAsia" w:ascii="宋体" w:cs="宋体"/>
          <w:sz w:val="18"/>
          <w:szCs w:val="18"/>
        </w:rPr>
        <w:t>加灰底的指标除外</w:t>
      </w:r>
      <w:r>
        <w:rPr>
          <w:rFonts w:ascii="宋体" w:cs="宋体"/>
          <w:sz w:val="18"/>
          <w:szCs w:val="18"/>
        </w:rPr>
        <w:t>)</w:t>
      </w:r>
      <w:r>
        <w:rPr>
          <w:rFonts w:hint="eastAsia" w:ascii="宋体" w:cs="宋体"/>
          <w:sz w:val="18"/>
          <w:szCs w:val="18"/>
        </w:rPr>
        <w:t>。调查单位</w:t>
      </w:r>
      <w:r>
        <w:rPr>
          <w:rFonts w:ascii="宋体" w:cs="宋体"/>
          <w:sz w:val="18"/>
          <w:szCs w:val="18"/>
        </w:rPr>
        <w:t>应首先填</w:t>
      </w:r>
      <w:r>
        <w:rPr>
          <w:rFonts w:hint="eastAsia" w:ascii="宋体" w:cs="宋体"/>
          <w:sz w:val="18"/>
          <w:szCs w:val="18"/>
        </w:rPr>
        <w:t>写</w:t>
      </w:r>
      <w:r>
        <w:rPr>
          <w:rFonts w:ascii="宋体" w:cs="宋体"/>
          <w:sz w:val="18"/>
          <w:szCs w:val="18"/>
        </w:rPr>
        <w:t>上报本表</w:t>
      </w:r>
      <w:r>
        <w:rPr>
          <w:rFonts w:hint="eastAsia" w:ascii="宋体" w:cs="宋体"/>
          <w:sz w:val="18"/>
          <w:szCs w:val="18"/>
        </w:rPr>
        <w:t>后</w:t>
      </w:r>
      <w:r>
        <w:rPr>
          <w:rFonts w:ascii="宋体" w:cs="宋体"/>
          <w:sz w:val="18"/>
          <w:szCs w:val="18"/>
        </w:rPr>
        <w:t>，</w:t>
      </w:r>
      <w:r>
        <w:rPr>
          <w:rFonts w:hint="eastAsia" w:ascii="宋体" w:cs="宋体"/>
          <w:sz w:val="18"/>
          <w:szCs w:val="18"/>
        </w:rPr>
        <w:t>再上报其他</w:t>
      </w:r>
      <w:r>
        <w:rPr>
          <w:rFonts w:ascii="宋体" w:cs="宋体"/>
          <w:sz w:val="18"/>
          <w:szCs w:val="18"/>
        </w:rPr>
        <w:t>报表。</w:t>
      </w:r>
    </w:p>
    <w:p>
      <w:pPr>
        <w:keepNext w:val="0"/>
        <w:keepLines w:val="0"/>
        <w:pageBreakBefore w:val="0"/>
        <w:widowControl w:val="0"/>
        <w:kinsoku/>
        <w:wordWrap/>
        <w:overflowPunct/>
        <w:topLinePunct w:val="0"/>
        <w:autoSpaceDE/>
        <w:autoSpaceDN/>
        <w:bidi w:val="0"/>
        <w:adjustRightInd w:val="0"/>
        <w:snapToGrid w:val="0"/>
        <w:spacing w:line="240" w:lineRule="exact"/>
        <w:ind w:left="1974" w:leftChars="288" w:hanging="1369" w:hangingChars="761"/>
        <w:textAlignment w:val="auto"/>
        <w:rPr>
          <w:rFonts w:ascii="宋体" w:cs="宋体"/>
          <w:sz w:val="18"/>
          <w:szCs w:val="18"/>
        </w:rPr>
      </w:pPr>
      <w:r>
        <w:rPr>
          <w:rFonts w:ascii="宋体" w:cs="宋体"/>
          <w:sz w:val="18"/>
          <w:szCs w:val="18"/>
        </w:rPr>
        <w:t>4.</w:t>
      </w:r>
      <w:r>
        <w:rPr>
          <w:rFonts w:hint="eastAsia" w:ascii="宋体" w:cs="宋体"/>
          <w:sz w:val="18"/>
          <w:szCs w:val="18"/>
        </w:rPr>
        <w:t>统计机构数据审核、处理要求：</w:t>
      </w:r>
    </w:p>
    <w:p>
      <w:pPr>
        <w:keepNext w:val="0"/>
        <w:keepLines w:val="0"/>
        <w:pageBreakBefore w:val="0"/>
        <w:widowControl w:val="0"/>
        <w:kinsoku/>
        <w:wordWrap/>
        <w:overflowPunct/>
        <w:topLinePunct w:val="0"/>
        <w:autoSpaceDE/>
        <w:autoSpaceDN/>
        <w:bidi w:val="0"/>
        <w:adjustRightInd/>
        <w:snapToGrid/>
        <w:spacing w:line="240" w:lineRule="exact"/>
        <w:ind w:left="1005" w:leftChars="353" w:hanging="264" w:hangingChars="150"/>
        <w:textAlignment w:val="auto"/>
        <w:rPr>
          <w:rFonts w:ascii="宋体"/>
          <w:spacing w:val="-2"/>
          <w:sz w:val="18"/>
          <w:szCs w:val="18"/>
        </w:rPr>
      </w:pPr>
      <w:r>
        <w:rPr>
          <w:rFonts w:ascii="宋体" w:cs="宋体"/>
          <w:spacing w:val="-2"/>
          <w:sz w:val="18"/>
          <w:szCs w:val="18"/>
        </w:rPr>
        <w:t>(1)</w:t>
      </w:r>
      <w:r>
        <w:rPr>
          <w:rFonts w:hint="eastAsia" w:ascii="宋体" w:cs="宋体"/>
          <w:spacing w:val="-2"/>
          <w:sz w:val="18"/>
          <w:szCs w:val="18"/>
        </w:rPr>
        <w:t>调查单位不能修改本表中“1</w:t>
      </w:r>
      <w:r>
        <w:rPr>
          <w:rFonts w:ascii="宋体" w:cs="宋体"/>
          <w:spacing w:val="-2"/>
          <w:sz w:val="18"/>
          <w:szCs w:val="18"/>
        </w:rPr>
        <w:t>00</w:t>
      </w:r>
      <w:r>
        <w:rPr>
          <w:rFonts w:hint="eastAsia" w:ascii="宋体" w:cs="宋体"/>
          <w:spacing w:val="-2"/>
          <w:sz w:val="18"/>
          <w:szCs w:val="18"/>
        </w:rPr>
        <w:t>是否为‘</w:t>
      </w:r>
      <w:r>
        <w:rPr>
          <w:rFonts w:ascii="宋体" w:cs="宋体"/>
          <w:spacing w:val="-2"/>
          <w:sz w:val="18"/>
          <w:szCs w:val="18"/>
        </w:rPr>
        <w:t>视同法人单位</w:t>
      </w:r>
      <w:r>
        <w:rPr>
          <w:rFonts w:hint="eastAsia" w:ascii="宋体" w:cs="宋体"/>
          <w:spacing w:val="-2"/>
          <w:sz w:val="18"/>
          <w:szCs w:val="18"/>
        </w:rPr>
        <w:t>’”、“102单位详细名称”、“</w:t>
      </w:r>
      <w:r>
        <w:rPr>
          <w:rFonts w:ascii="宋体" w:cs="宋体"/>
          <w:spacing w:val="-2"/>
          <w:sz w:val="18"/>
          <w:szCs w:val="18"/>
        </w:rPr>
        <w:t>103</w:t>
      </w:r>
      <w:r>
        <w:rPr>
          <w:rFonts w:hint="eastAsia" w:ascii="宋体" w:cs="宋体"/>
          <w:spacing w:val="-2"/>
          <w:sz w:val="18"/>
          <w:szCs w:val="18"/>
        </w:rPr>
        <w:t>行业代码”、“</w:t>
      </w:r>
      <w:r>
        <w:rPr>
          <w:rFonts w:ascii="宋体" w:cs="宋体"/>
          <w:spacing w:val="-2"/>
          <w:sz w:val="18"/>
          <w:szCs w:val="18"/>
        </w:rPr>
        <w:t>104</w:t>
      </w:r>
      <w:r>
        <w:rPr>
          <w:rFonts w:hint="eastAsia" w:ascii="宋体" w:cs="宋体"/>
          <w:spacing w:val="-2"/>
          <w:sz w:val="18"/>
          <w:szCs w:val="18"/>
        </w:rPr>
        <w:t>报表类别”、“</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”中的“区划代码和城乡代码”。</w:t>
      </w:r>
    </w:p>
    <w:p>
      <w:pPr>
        <w:keepNext w:val="0"/>
        <w:keepLines w:val="0"/>
        <w:pageBreakBefore w:val="0"/>
        <w:widowControl w:val="0"/>
        <w:kinsoku/>
        <w:wordWrap/>
        <w:overflowPunct/>
        <w:topLinePunct w:val="0"/>
        <w:autoSpaceDE/>
        <w:autoSpaceDN/>
        <w:bidi w:val="0"/>
        <w:adjustRightInd/>
        <w:snapToGrid/>
        <w:spacing w:line="240" w:lineRule="exact"/>
        <w:ind w:left="1005" w:leftChars="353" w:hanging="264" w:hangingChars="150"/>
        <w:textAlignment w:val="auto"/>
        <w:rPr>
          <w:rFonts w:ascii="宋体"/>
          <w:spacing w:val="-2"/>
          <w:sz w:val="18"/>
          <w:szCs w:val="18"/>
        </w:rPr>
      </w:pPr>
      <w:r>
        <w:rPr>
          <w:rFonts w:ascii="宋体" w:cs="宋体"/>
          <w:spacing w:val="-2"/>
          <w:sz w:val="18"/>
          <w:szCs w:val="18"/>
        </w:rPr>
        <w:t>(2)</w:t>
      </w:r>
      <w:r>
        <w:rPr>
          <w:rFonts w:hint="eastAsia" w:ascii="宋体" w:cs="宋体"/>
          <w:spacing w:val="-2"/>
          <w:sz w:val="18"/>
          <w:szCs w:val="18"/>
        </w:rPr>
        <w:t>统计机构不能修改本表中的“</w:t>
      </w:r>
      <w:r>
        <w:rPr>
          <w:rFonts w:ascii="宋体" w:cs="宋体"/>
          <w:spacing w:val="-2"/>
          <w:sz w:val="18"/>
          <w:szCs w:val="18"/>
        </w:rPr>
        <w:t>102</w:t>
      </w:r>
      <w:r>
        <w:rPr>
          <w:rFonts w:hint="eastAsia" w:ascii="宋体" w:cs="宋体"/>
          <w:spacing w:val="-2"/>
          <w:sz w:val="18"/>
          <w:szCs w:val="18"/>
        </w:rPr>
        <w:t>单位详细名称”、“104报表类别”，不能</w:t>
      </w:r>
      <w:r>
        <w:rPr>
          <w:rFonts w:ascii="宋体" w:cs="宋体"/>
          <w:spacing w:val="-2"/>
          <w:sz w:val="18"/>
          <w:szCs w:val="18"/>
        </w:rPr>
        <w:t>跨报表类别修改</w:t>
      </w:r>
      <w:r>
        <w:rPr>
          <w:rFonts w:hint="eastAsia" w:ascii="宋体" w:cs="宋体"/>
          <w:spacing w:val="-2"/>
          <w:sz w:val="18"/>
          <w:szCs w:val="18"/>
        </w:rPr>
        <w:t>“103行业代码”，不能跨省</w:t>
      </w:r>
      <w:r>
        <w:rPr>
          <w:rFonts w:ascii="宋体" w:cs="宋体"/>
          <w:spacing w:val="-2"/>
          <w:sz w:val="18"/>
          <w:szCs w:val="18"/>
        </w:rPr>
        <w:t>(</w:t>
      </w:r>
      <w:r>
        <w:rPr>
          <w:rFonts w:hint="eastAsia" w:ascii="宋体" w:cs="宋体"/>
          <w:spacing w:val="-2"/>
          <w:sz w:val="18"/>
          <w:szCs w:val="18"/>
        </w:rPr>
        <w:t>自治区、直辖市</w:t>
      </w:r>
      <w:r>
        <w:rPr>
          <w:rFonts w:ascii="宋体" w:cs="宋体"/>
          <w:spacing w:val="-2"/>
          <w:sz w:val="18"/>
          <w:szCs w:val="18"/>
        </w:rPr>
        <w:t>)</w:t>
      </w:r>
      <w:r>
        <w:rPr>
          <w:rFonts w:hint="eastAsia" w:ascii="宋体" w:cs="宋体"/>
          <w:spacing w:val="-2"/>
          <w:sz w:val="18"/>
          <w:szCs w:val="18"/>
        </w:rPr>
        <w:t>修改“</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”中的“区划代码”；“</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”中的“城乡代码”根据</w:t>
      </w:r>
      <w:r>
        <w:rPr>
          <w:rFonts w:ascii="宋体" w:hAnsi="宋体" w:cs="宋体"/>
          <w:sz w:val="18"/>
          <w:szCs w:val="18"/>
        </w:rPr>
        <w:t>20</w:t>
      </w:r>
      <w:r>
        <w:rPr>
          <w:rFonts w:hint="eastAsia" w:ascii="宋体" w:hAnsi="宋体" w:cs="宋体"/>
          <w:sz w:val="18"/>
          <w:szCs w:val="18"/>
        </w:rPr>
        <w:t>22年</w:t>
      </w:r>
      <w:r>
        <w:rPr>
          <w:rFonts w:hint="eastAsia" w:ascii="宋体" w:cs="宋体"/>
          <w:sz w:val="18"/>
          <w:szCs w:val="18"/>
        </w:rPr>
        <w:t>《</w:t>
      </w:r>
      <w:r>
        <w:rPr>
          <w:rFonts w:hint="eastAsia" w:cs="宋体"/>
          <w:sz w:val="18"/>
          <w:szCs w:val="18"/>
        </w:rPr>
        <w:t>统计用区划代码和</w:t>
      </w:r>
      <w:r>
        <w:rPr>
          <w:rFonts w:cs="宋体"/>
          <w:sz w:val="18"/>
          <w:szCs w:val="18"/>
        </w:rPr>
        <w:t>城乡划分代码</w:t>
      </w:r>
      <w:r>
        <w:rPr>
          <w:rFonts w:hint="eastAsia" w:ascii="宋体" w:cs="宋体"/>
          <w:sz w:val="18"/>
          <w:szCs w:val="18"/>
        </w:rPr>
        <w:t>》</w:t>
      </w:r>
      <w:r>
        <w:rPr>
          <w:rFonts w:hint="eastAsia" w:ascii="宋体" w:cs="宋体"/>
          <w:spacing w:val="-2"/>
          <w:sz w:val="18"/>
          <w:szCs w:val="18"/>
        </w:rPr>
        <w:t>提取生成。</w:t>
      </w:r>
    </w:p>
    <w:p>
      <w:pPr>
        <w:keepNext w:val="0"/>
        <w:keepLines w:val="0"/>
        <w:pageBreakBefore w:val="0"/>
        <w:widowControl w:val="0"/>
        <w:kinsoku/>
        <w:wordWrap/>
        <w:overflowPunct/>
        <w:topLinePunct w:val="0"/>
        <w:autoSpaceDE/>
        <w:autoSpaceDN/>
        <w:bidi w:val="0"/>
        <w:adjustRightInd/>
        <w:snapToGrid/>
        <w:spacing w:line="240" w:lineRule="exact"/>
        <w:ind w:left="1005" w:leftChars="353" w:hanging="264" w:hangingChars="150"/>
        <w:textAlignment w:val="auto"/>
        <w:rPr>
          <w:rFonts w:ascii="宋体"/>
          <w:spacing w:val="-2"/>
          <w:sz w:val="18"/>
          <w:szCs w:val="18"/>
        </w:rPr>
      </w:pPr>
      <w:r>
        <w:rPr>
          <w:rFonts w:ascii="宋体" w:cs="宋体"/>
          <w:spacing w:val="-2"/>
          <w:sz w:val="18"/>
          <w:szCs w:val="18"/>
        </w:rPr>
        <w:t>(3)</w:t>
      </w:r>
      <w:r>
        <w:rPr>
          <w:rFonts w:hint="eastAsia" w:ascii="宋体" w:cs="宋体"/>
          <w:spacing w:val="-2"/>
          <w:sz w:val="18"/>
          <w:szCs w:val="18"/>
        </w:rPr>
        <w:t>“106</w:t>
      </w:r>
      <w:r>
        <w:rPr>
          <w:rFonts w:hint="eastAsia" w:ascii="宋体" w:hAnsi="宋体" w:cs="宋体"/>
          <w:sz w:val="18"/>
          <w:szCs w:val="18"/>
        </w:rPr>
        <w:t>单位注册地区划及详细地址</w:t>
      </w:r>
      <w:r>
        <w:rPr>
          <w:rFonts w:hint="eastAsia" w:ascii="宋体" w:cs="宋体"/>
          <w:spacing w:val="-2"/>
          <w:sz w:val="18"/>
          <w:szCs w:val="18"/>
        </w:rPr>
        <w:t>”</w:t>
      </w:r>
      <w:r>
        <w:rPr>
          <w:rFonts w:hint="eastAsia" w:ascii="宋体"/>
          <w:sz w:val="18"/>
          <w:szCs w:val="18"/>
        </w:rPr>
        <w:t>如与“105单位所在地区划及详细地址”一致，则程序自动将单位所在地区划及详细地址信息摘抄至单位注册地区划及详细地址处。</w:t>
      </w:r>
      <w:r>
        <w:rPr>
          <w:rFonts w:hint="eastAsia" w:ascii="宋体" w:hAnsi="宋体" w:cs="宋体"/>
          <w:spacing w:val="-2"/>
          <w:sz w:val="18"/>
          <w:szCs w:val="18"/>
        </w:rPr>
        <w:t>“</w:t>
      </w:r>
      <w:r>
        <w:rPr>
          <w:rFonts w:ascii="宋体" w:hAnsi="宋体" w:cs="宋体"/>
          <w:spacing w:val="-2"/>
          <w:sz w:val="18"/>
          <w:szCs w:val="18"/>
        </w:rPr>
        <w:t>191</w:t>
      </w:r>
      <w:r>
        <w:rPr>
          <w:rFonts w:hint="eastAsia" w:ascii="宋体" w:hAnsi="宋体" w:cs="宋体"/>
          <w:spacing w:val="-2"/>
          <w:sz w:val="18"/>
          <w:szCs w:val="18"/>
        </w:rPr>
        <w:t>单位规模”、“</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w:t>
      </w:r>
      <w:r>
        <w:rPr>
          <w:rFonts w:hint="eastAsia" w:ascii="宋体" w:cs="宋体"/>
          <w:spacing w:val="-2"/>
          <w:sz w:val="18"/>
          <w:szCs w:val="18"/>
        </w:rPr>
        <w:t>等</w:t>
      </w:r>
      <w:r>
        <w:rPr>
          <w:rFonts w:hint="eastAsia" w:ascii="宋体" w:hAnsi="宋体" w:cs="宋体"/>
          <w:spacing w:val="-2"/>
          <w:sz w:val="18"/>
          <w:szCs w:val="18"/>
        </w:rPr>
        <w:t>指标数据由各级统计机构待相关报表数据确认后进行摘抄或计算取得。具体方法为：“</w:t>
      </w:r>
      <w:r>
        <w:rPr>
          <w:rFonts w:ascii="宋体" w:hAnsi="宋体" w:cs="宋体"/>
          <w:spacing w:val="-2"/>
          <w:sz w:val="18"/>
          <w:szCs w:val="18"/>
        </w:rPr>
        <w:t xml:space="preserve">192 </w:t>
      </w:r>
      <w:r>
        <w:rPr>
          <w:rFonts w:hint="eastAsia" w:ascii="宋体" w:hAnsi="宋体" w:cs="宋体"/>
          <w:spacing w:val="-2"/>
          <w:sz w:val="18"/>
          <w:szCs w:val="18"/>
        </w:rPr>
        <w:t>从业人员”数据从“从业人员及工资总额”</w:t>
      </w:r>
      <w:r>
        <w:rPr>
          <w:rFonts w:ascii="宋体" w:hAnsi="宋体" w:cs="宋体"/>
          <w:spacing w:val="-2"/>
          <w:sz w:val="18"/>
          <w:szCs w:val="18"/>
        </w:rPr>
        <w:t>(102</w:t>
      </w:r>
      <w:r>
        <w:rPr>
          <w:rFonts w:hint="eastAsia" w:ascii="宋体" w:hAnsi="宋体" w:cs="宋体"/>
          <w:spacing w:val="-2"/>
          <w:sz w:val="18"/>
          <w:szCs w:val="18"/>
        </w:rPr>
        <w:t>表</w:t>
      </w:r>
      <w:r>
        <w:rPr>
          <w:rFonts w:ascii="宋体" w:hAnsi="宋体" w:cs="宋体"/>
          <w:spacing w:val="-2"/>
          <w:sz w:val="18"/>
          <w:szCs w:val="18"/>
        </w:rPr>
        <w:t>)</w:t>
      </w:r>
      <w:r>
        <w:rPr>
          <w:rFonts w:hint="eastAsia" w:ascii="宋体" w:hAnsi="宋体" w:cs="宋体"/>
          <w:spacing w:val="-2"/>
          <w:sz w:val="18"/>
          <w:szCs w:val="18"/>
        </w:rPr>
        <w:t>中的“从业人员期末人数</w:t>
      </w:r>
      <w:r>
        <w:rPr>
          <w:rFonts w:ascii="宋体" w:hAnsi="宋体" w:cs="宋体"/>
          <w:spacing w:val="-2"/>
          <w:sz w:val="18"/>
          <w:szCs w:val="18"/>
        </w:rPr>
        <w:t>(01)</w:t>
      </w:r>
      <w:r>
        <w:rPr>
          <w:rFonts w:hint="eastAsia" w:ascii="宋体" w:hAnsi="宋体" w:cs="宋体"/>
          <w:spacing w:val="-2"/>
          <w:sz w:val="18"/>
          <w:szCs w:val="18"/>
        </w:rPr>
        <w:t>”和“其中：女性</w:t>
      </w:r>
      <w:r>
        <w:rPr>
          <w:rFonts w:ascii="宋体" w:hAnsi="宋体" w:cs="宋体"/>
          <w:spacing w:val="-2"/>
          <w:sz w:val="18"/>
          <w:szCs w:val="18"/>
        </w:rPr>
        <w:t>(02)</w:t>
      </w:r>
      <w:r>
        <w:rPr>
          <w:rFonts w:hint="eastAsia" w:ascii="宋体" w:hAnsi="宋体" w:cs="宋体"/>
          <w:spacing w:val="-2"/>
          <w:sz w:val="18"/>
          <w:szCs w:val="18"/>
        </w:rPr>
        <w:t>”摘抄取得；“</w:t>
      </w:r>
      <w:r>
        <w:rPr>
          <w:rFonts w:ascii="宋体" w:hAnsi="宋体" w:cs="宋体"/>
          <w:spacing w:val="-2"/>
          <w:sz w:val="18"/>
          <w:szCs w:val="18"/>
        </w:rPr>
        <w:t>193</w:t>
      </w:r>
      <w:r>
        <w:rPr>
          <w:rFonts w:hint="eastAsia" w:ascii="宋体" w:hAnsi="宋体" w:cs="宋体"/>
          <w:spacing w:val="-2"/>
          <w:sz w:val="18"/>
          <w:szCs w:val="18"/>
        </w:rPr>
        <w:t>企业主要经济指标”数据分别从各行业“财务状况”</w:t>
      </w:r>
      <w:r>
        <w:rPr>
          <w:rFonts w:hint="eastAsia" w:ascii="宋体" w:hAnsi="宋体" w:cs="宋体"/>
          <w:color w:val="000000"/>
          <w:spacing w:val="-2"/>
          <w:sz w:val="18"/>
          <w:szCs w:val="18"/>
        </w:rPr>
        <w:t>表</w:t>
      </w:r>
      <w:r>
        <w:rPr>
          <w:rFonts w:hint="eastAsia" w:ascii="宋体" w:hAnsi="宋体" w:cs="宋体"/>
          <w:spacing w:val="-2"/>
          <w:sz w:val="18"/>
          <w:szCs w:val="18"/>
        </w:rPr>
        <w:t>中的“营业收入</w:t>
      </w:r>
      <w:r>
        <w:rPr>
          <w:rFonts w:ascii="宋体" w:hAnsi="宋体" w:cs="宋体"/>
          <w:spacing w:val="-2"/>
          <w:sz w:val="18"/>
          <w:szCs w:val="18"/>
        </w:rPr>
        <w:t>(301)</w:t>
      </w:r>
      <w:r>
        <w:rPr>
          <w:rFonts w:hint="eastAsia" w:ascii="宋体" w:cs="宋体"/>
          <w:spacing w:val="-2"/>
          <w:sz w:val="18"/>
          <w:szCs w:val="18"/>
        </w:rPr>
        <w:t>”</w:t>
      </w:r>
      <w:r>
        <w:rPr>
          <w:rFonts w:hint="eastAsia" w:ascii="宋体" w:hAnsi="宋体" w:cs="宋体"/>
          <w:spacing w:val="-2"/>
          <w:sz w:val="18"/>
          <w:szCs w:val="18"/>
        </w:rPr>
        <w:t>、“其中：主营业务收入</w:t>
      </w:r>
      <w:r>
        <w:rPr>
          <w:rFonts w:ascii="宋体" w:hAnsi="宋体" w:cs="宋体"/>
          <w:spacing w:val="-2"/>
          <w:sz w:val="18"/>
          <w:szCs w:val="18"/>
        </w:rPr>
        <w:t>(302)</w:t>
      </w:r>
      <w:r>
        <w:rPr>
          <w:rFonts w:hint="eastAsia" w:ascii="宋体" w:hAnsi="宋体" w:cs="宋体"/>
          <w:spacing w:val="-2"/>
          <w:sz w:val="18"/>
          <w:szCs w:val="18"/>
        </w:rPr>
        <w:t>”、“资产总计</w:t>
      </w:r>
      <w:r>
        <w:rPr>
          <w:rFonts w:ascii="宋体" w:hAnsi="宋体" w:cs="宋体"/>
          <w:spacing w:val="-2"/>
          <w:sz w:val="18"/>
          <w:szCs w:val="18"/>
        </w:rPr>
        <w:t>(213)</w:t>
      </w:r>
      <w:r>
        <w:rPr>
          <w:rFonts w:hint="eastAsia" w:ascii="宋体" w:cs="宋体"/>
          <w:spacing w:val="-2"/>
          <w:sz w:val="18"/>
          <w:szCs w:val="18"/>
        </w:rPr>
        <w:t>”</w:t>
      </w:r>
      <w:r>
        <w:rPr>
          <w:rFonts w:hint="eastAsia" w:ascii="宋体" w:hAnsi="宋体" w:cs="宋体"/>
          <w:spacing w:val="-2"/>
          <w:sz w:val="18"/>
          <w:szCs w:val="18"/>
        </w:rPr>
        <w:t>摘抄取得；“</w:t>
      </w:r>
      <w:r>
        <w:rPr>
          <w:rFonts w:ascii="宋体" w:hAnsi="宋体" w:cs="宋体"/>
          <w:spacing w:val="-2"/>
          <w:sz w:val="18"/>
          <w:szCs w:val="18"/>
        </w:rPr>
        <w:t>191</w:t>
      </w:r>
      <w:r>
        <w:rPr>
          <w:rFonts w:hint="eastAsia" w:ascii="宋体" w:hAnsi="宋体" w:cs="宋体"/>
          <w:spacing w:val="-2"/>
          <w:sz w:val="18"/>
          <w:szCs w:val="18"/>
        </w:rPr>
        <w:t>单位规模”依据《统计上大中小微型企业划分办法（20</w:t>
      </w:r>
      <w:r>
        <w:rPr>
          <w:rFonts w:ascii="宋体" w:hAnsi="宋体" w:cs="宋体"/>
          <w:spacing w:val="-2"/>
          <w:sz w:val="18"/>
          <w:szCs w:val="18"/>
        </w:rPr>
        <w:t>17</w:t>
      </w:r>
      <w:r>
        <w:rPr>
          <w:rFonts w:hint="eastAsia" w:ascii="宋体" w:hAnsi="宋体" w:cs="宋体"/>
          <w:spacing w:val="-2"/>
          <w:sz w:val="18"/>
          <w:szCs w:val="18"/>
        </w:rPr>
        <w:t>）》及“</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企业主要经济指标”的数据计算取得。</w:t>
      </w:r>
    </w:p>
    <w:p>
      <w:pPr>
        <w:widowControl/>
        <w:spacing w:after="192" w:afterLines="80" w:line="440" w:lineRule="exact"/>
        <w:jc w:val="center"/>
        <w:outlineLvl w:val="3"/>
        <w:rPr>
          <w:rFonts w:hint="eastAsia" w:ascii="宋体" w:hAnsi="宋体" w:eastAsia="宋体" w:cs="宋体"/>
          <w:sz w:val="32"/>
          <w:szCs w:val="32"/>
          <w:lang w:eastAsia="zh-CN"/>
        </w:rPr>
      </w:pPr>
      <w:r>
        <w:rPr>
          <w:rFonts w:hint="eastAsia"/>
          <w:sz w:val="32"/>
          <w:szCs w:val="32"/>
        </w:rPr>
        <w:br w:type="page"/>
      </w:r>
      <w:r>
        <w:rPr>
          <w:rFonts w:hint="eastAsia" w:ascii="Nimbus Roman No9 L" w:hAnsi="Nimbus Roman No9 L" w:eastAsia="宋体" w:cs="Nimbus Roman No9 L"/>
          <w:sz w:val="32"/>
          <w:szCs w:val="32"/>
          <w:lang w:eastAsia="zh-CN"/>
        </w:rPr>
        <w:t>企业组织结构调查</w:t>
      </w:r>
      <w:r>
        <w:rPr>
          <w:rFonts w:hint="eastAsia" w:ascii="Nimbus Roman No9 L" w:hAnsi="Nimbus Roman No9 L" w:eastAsia="宋体" w:cs="Nimbus Roman No9 L"/>
          <w:sz w:val="32"/>
          <w:szCs w:val="32"/>
        </w:rPr>
        <w:t>表</w:t>
      </w:r>
    </w:p>
    <w:tbl>
      <w:tblPr>
        <w:tblStyle w:val="31"/>
        <w:tblW w:w="9524" w:type="dxa"/>
        <w:jc w:val="center"/>
        <w:tblLayout w:type="autofit"/>
        <w:tblCellMar>
          <w:top w:w="0" w:type="dxa"/>
          <w:left w:w="108" w:type="dxa"/>
          <w:bottom w:w="0" w:type="dxa"/>
          <w:right w:w="108" w:type="dxa"/>
        </w:tblCellMar>
      </w:tblPr>
      <w:tblGrid>
        <w:gridCol w:w="6347"/>
        <w:gridCol w:w="1151"/>
        <w:gridCol w:w="2026"/>
      </w:tblGrid>
      <w:tr>
        <w:tblPrEx>
          <w:tblCellMar>
            <w:top w:w="0" w:type="dxa"/>
            <w:left w:w="108" w:type="dxa"/>
            <w:bottom w:w="0" w:type="dxa"/>
            <w:right w:w="108" w:type="dxa"/>
          </w:tblCellMar>
        </w:tblPrEx>
        <w:trPr>
          <w:trHeight w:val="255" w:hRule="exact"/>
          <w:jc w:val="center"/>
        </w:trPr>
        <w:tc>
          <w:tcPr>
            <w:tcW w:w="6347" w:type="dxa"/>
            <w:noWrap w:val="0"/>
            <w:vAlign w:val="top"/>
          </w:tcPr>
          <w:p>
            <w:pPr>
              <w:widowControl/>
              <w:spacing w:line="240" w:lineRule="exact"/>
              <w:rPr>
                <w:rFonts w:hint="eastAsia" w:ascii="宋体" w:hAnsi="宋体" w:eastAsia="宋体" w:cs="宋体"/>
                <w:sz w:val="18"/>
                <w:szCs w:val="18"/>
              </w:rPr>
            </w:pPr>
          </w:p>
        </w:tc>
        <w:tc>
          <w:tcPr>
            <w:tcW w:w="1151" w:type="dxa"/>
            <w:noWrap w:val="0"/>
            <w:vAlign w:val="center"/>
          </w:tcPr>
          <w:p>
            <w:pPr>
              <w:widowControl/>
              <w:spacing w:line="240" w:lineRule="exact"/>
              <w:ind w:right="-210" w:rightChars="-100"/>
              <w:jc w:val="right"/>
              <w:rPr>
                <w:rFonts w:hint="eastAsia" w:ascii="宋体" w:hAnsi="宋体" w:eastAsia="宋体" w:cs="宋体"/>
                <w:sz w:val="18"/>
                <w:szCs w:val="18"/>
              </w:rPr>
            </w:pPr>
            <w:r>
              <w:rPr>
                <w:rFonts w:hint="eastAsia" w:ascii="宋体" w:hAnsi="宋体" w:eastAsia="宋体" w:cs="宋体"/>
                <w:sz w:val="18"/>
                <w:szCs w:val="18"/>
              </w:rPr>
              <w:t>表    号：</w:t>
            </w:r>
          </w:p>
        </w:tc>
        <w:tc>
          <w:tcPr>
            <w:tcW w:w="2026" w:type="dxa"/>
            <w:noWrap w:val="0"/>
            <w:vAlign w:val="center"/>
          </w:tcPr>
          <w:p>
            <w:pPr>
              <w:widowControl/>
              <w:spacing w:line="240" w:lineRule="exact"/>
              <w:ind w:left="-63" w:leftChars="-30" w:right="-63" w:rightChars="-30"/>
              <w:jc w:val="distribute"/>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１０8</w:t>
            </w:r>
            <w:r>
              <w:rPr>
                <w:rFonts w:hint="eastAsia" w:ascii="宋体" w:hAnsi="宋体" w:eastAsia="宋体" w:cs="宋体"/>
                <w:sz w:val="18"/>
                <w:szCs w:val="18"/>
              </w:rPr>
              <w:t>表</w:t>
            </w:r>
          </w:p>
        </w:tc>
      </w:tr>
      <w:tr>
        <w:tblPrEx>
          <w:tblCellMar>
            <w:top w:w="0" w:type="dxa"/>
            <w:left w:w="108" w:type="dxa"/>
            <w:bottom w:w="0" w:type="dxa"/>
            <w:right w:w="108" w:type="dxa"/>
          </w:tblCellMar>
        </w:tblPrEx>
        <w:trPr>
          <w:trHeight w:val="292" w:hRule="exact"/>
          <w:jc w:val="center"/>
        </w:trPr>
        <w:tc>
          <w:tcPr>
            <w:tcW w:w="6347" w:type="dxa"/>
            <w:noWrap w:val="0"/>
            <w:vAlign w:val="bottom"/>
          </w:tcPr>
          <w:p>
            <w:pPr>
              <w:widowControl/>
              <w:spacing w:line="240" w:lineRule="exact"/>
              <w:ind w:left="-63" w:leftChars="-30"/>
              <w:rPr>
                <w:rFonts w:hint="eastAsia" w:ascii="宋体" w:hAnsi="宋体" w:eastAsia="宋体" w:cs="宋体"/>
                <w:sz w:val="18"/>
                <w:szCs w:val="18"/>
              </w:rPr>
            </w:pPr>
          </w:p>
        </w:tc>
        <w:tc>
          <w:tcPr>
            <w:tcW w:w="1151" w:type="dxa"/>
            <w:noWrap w:val="0"/>
            <w:vAlign w:val="top"/>
          </w:tcPr>
          <w:p>
            <w:pPr>
              <w:widowControl/>
              <w:spacing w:line="240" w:lineRule="exact"/>
              <w:ind w:right="-210" w:rightChars="-100"/>
              <w:jc w:val="right"/>
              <w:rPr>
                <w:rFonts w:hint="eastAsia" w:ascii="宋体" w:hAnsi="宋体" w:eastAsia="宋体" w:cs="宋体"/>
                <w:sz w:val="18"/>
                <w:szCs w:val="18"/>
              </w:rPr>
            </w:pPr>
            <w:r>
              <w:rPr>
                <w:rFonts w:hint="eastAsia" w:ascii="宋体" w:hAnsi="宋体" w:eastAsia="宋体" w:cs="宋体"/>
                <w:sz w:val="18"/>
                <w:szCs w:val="18"/>
              </w:rPr>
              <w:t>制定机关：</w:t>
            </w:r>
          </w:p>
        </w:tc>
        <w:tc>
          <w:tcPr>
            <w:tcW w:w="2026" w:type="dxa"/>
            <w:noWrap w:val="0"/>
            <w:vAlign w:val="center"/>
          </w:tcPr>
          <w:p>
            <w:pPr>
              <w:spacing w:line="200" w:lineRule="exact"/>
              <w:ind w:left="-63" w:leftChars="-30" w:right="-63" w:rightChars="-30"/>
              <w:jc w:val="distribute"/>
              <w:rPr>
                <w:rFonts w:hint="eastAsia" w:ascii="宋体" w:hAnsi="宋体" w:eastAsia="宋体" w:cs="宋体"/>
                <w:sz w:val="18"/>
                <w:szCs w:val="18"/>
              </w:rPr>
            </w:pPr>
            <w:r>
              <w:rPr>
                <w:rFonts w:hint="eastAsia" w:ascii="宋体" w:hAnsi="宋体" w:eastAsia="宋体" w:cs="宋体"/>
                <w:sz w:val="18"/>
                <w:szCs w:val="18"/>
              </w:rPr>
              <w:t>国 家 统 计 局</w:t>
            </w:r>
          </w:p>
        </w:tc>
      </w:tr>
      <w:tr>
        <w:tblPrEx>
          <w:tblCellMar>
            <w:top w:w="0" w:type="dxa"/>
            <w:left w:w="108" w:type="dxa"/>
            <w:bottom w:w="0" w:type="dxa"/>
            <w:right w:w="108" w:type="dxa"/>
          </w:tblCellMar>
        </w:tblPrEx>
        <w:trPr>
          <w:trHeight w:val="255" w:hRule="exact"/>
          <w:jc w:val="center"/>
        </w:trPr>
        <w:tc>
          <w:tcPr>
            <w:tcW w:w="6347" w:type="dxa"/>
            <w:noWrap w:val="0"/>
            <w:vAlign w:val="bottom"/>
          </w:tcPr>
          <w:p>
            <w:pPr>
              <w:widowControl/>
              <w:spacing w:line="240" w:lineRule="exact"/>
              <w:ind w:left="-63" w:leftChars="-30"/>
              <w:rPr>
                <w:rFonts w:hint="eastAsia" w:ascii="宋体" w:hAnsi="宋体" w:eastAsia="宋体" w:cs="宋体"/>
                <w:sz w:val="18"/>
                <w:szCs w:val="18"/>
              </w:rPr>
            </w:pPr>
            <w:r>
              <w:rPr>
                <w:rFonts w:hint="eastAsia" w:ascii="宋体" w:hAnsi="宋体" w:eastAsia="宋体" w:cs="宋体"/>
                <w:sz w:val="18"/>
                <w:szCs w:val="18"/>
              </w:rPr>
              <w:t>统一社会信用代码□□□□□□□□□□□□□□□□□□</w:t>
            </w:r>
          </w:p>
        </w:tc>
        <w:tc>
          <w:tcPr>
            <w:tcW w:w="1151" w:type="dxa"/>
            <w:noWrap w:val="0"/>
            <w:vAlign w:val="top"/>
          </w:tcPr>
          <w:p>
            <w:pPr>
              <w:widowControl/>
              <w:spacing w:line="240" w:lineRule="exact"/>
              <w:ind w:right="-210" w:rightChars="-100"/>
              <w:jc w:val="right"/>
              <w:rPr>
                <w:rFonts w:hint="eastAsia" w:ascii="宋体" w:hAnsi="宋体" w:eastAsia="宋体" w:cs="宋体"/>
                <w:sz w:val="18"/>
                <w:szCs w:val="18"/>
              </w:rPr>
            </w:pPr>
            <w:r>
              <w:rPr>
                <w:rFonts w:hint="eastAsia" w:ascii="宋体" w:hAnsi="宋体" w:eastAsia="宋体" w:cs="宋体"/>
                <w:sz w:val="18"/>
                <w:szCs w:val="18"/>
              </w:rPr>
              <w:t>文    号：</w:t>
            </w:r>
          </w:p>
        </w:tc>
        <w:tc>
          <w:tcPr>
            <w:tcW w:w="2026" w:type="dxa"/>
            <w:noWrap w:val="0"/>
            <w:vAlign w:val="center"/>
          </w:tcPr>
          <w:p>
            <w:pPr>
              <w:spacing w:line="220" w:lineRule="exact"/>
              <w:ind w:left="-63" w:leftChars="-30" w:right="-63" w:rightChars="-30"/>
              <w:jc w:val="distribute"/>
              <w:rPr>
                <w:rFonts w:hint="eastAsia" w:ascii="宋体" w:hAnsi="宋体" w:eastAsia="宋体" w:cs="宋体"/>
                <w:sz w:val="18"/>
                <w:szCs w:val="18"/>
                <w:lang w:eastAsia="zh-CN"/>
              </w:rPr>
            </w:pPr>
            <w:r>
              <w:rPr>
                <w:rFonts w:hint="eastAsia" w:ascii="宋体" w:hAnsi="宋体" w:eastAsia="宋体" w:cs="宋体"/>
                <w:snapToGrid w:val="0"/>
                <w:kern w:val="10"/>
                <w:sz w:val="18"/>
                <w:szCs w:val="18"/>
              </w:rPr>
              <w:t>国统字〔</w:t>
            </w:r>
            <w:r>
              <w:rPr>
                <w:rFonts w:hint="eastAsia" w:ascii="宋体" w:hAnsi="宋体" w:cs="宋体"/>
                <w:snapToGrid w:val="0"/>
                <w:kern w:val="10"/>
                <w:sz w:val="18"/>
                <w:szCs w:val="18"/>
                <w:lang w:val="en-US" w:eastAsia="zh-CN"/>
              </w:rPr>
              <w:t>2024</w:t>
            </w:r>
            <w:r>
              <w:rPr>
                <w:rFonts w:hint="eastAsia" w:ascii="宋体" w:hAnsi="宋体" w:eastAsia="宋体" w:cs="宋体"/>
                <w:snapToGrid w:val="0"/>
                <w:kern w:val="10"/>
                <w:sz w:val="18"/>
                <w:szCs w:val="18"/>
              </w:rPr>
              <w:t>〕</w:t>
            </w:r>
            <w:r>
              <w:rPr>
                <w:rFonts w:hint="eastAsia" w:ascii="宋体" w:hAnsi="宋体" w:cs="宋体"/>
                <w:snapToGrid w:val="0"/>
                <w:kern w:val="10"/>
                <w:sz w:val="18"/>
                <w:szCs w:val="18"/>
                <w:lang w:val="en-US" w:eastAsia="zh-CN"/>
              </w:rPr>
              <w:t>77</w:t>
            </w:r>
            <w:r>
              <w:rPr>
                <w:rFonts w:hint="eastAsia" w:ascii="宋体" w:hAnsi="宋体" w:eastAsia="宋体" w:cs="宋体"/>
                <w:snapToGrid w:val="0"/>
                <w:kern w:val="10"/>
                <w:sz w:val="18"/>
                <w:szCs w:val="18"/>
                <w:lang w:eastAsia="zh-CN"/>
              </w:rPr>
              <w:t>号</w:t>
            </w:r>
          </w:p>
        </w:tc>
      </w:tr>
      <w:tr>
        <w:tblPrEx>
          <w:tblCellMar>
            <w:top w:w="0" w:type="dxa"/>
            <w:left w:w="108" w:type="dxa"/>
            <w:bottom w:w="0" w:type="dxa"/>
            <w:right w:w="108" w:type="dxa"/>
          </w:tblCellMar>
        </w:tblPrEx>
        <w:trPr>
          <w:trHeight w:val="255" w:hRule="exact"/>
          <w:jc w:val="center"/>
        </w:trPr>
        <w:tc>
          <w:tcPr>
            <w:tcW w:w="6347" w:type="dxa"/>
            <w:noWrap w:val="0"/>
            <w:vAlign w:val="bottom"/>
          </w:tcPr>
          <w:p>
            <w:pPr>
              <w:widowControl/>
              <w:spacing w:line="240" w:lineRule="exact"/>
              <w:ind w:left="-63" w:leftChars="-30"/>
              <w:rPr>
                <w:rFonts w:hint="default" w:ascii="宋体" w:hAnsi="宋体" w:eastAsia="宋体" w:cs="宋体"/>
                <w:sz w:val="18"/>
                <w:szCs w:val="18"/>
                <w:lang w:val="en-US" w:eastAsia="zh-CN"/>
              </w:rPr>
            </w:pPr>
            <w:r>
              <w:rPr>
                <w:rFonts w:hint="eastAsia" w:ascii="宋体" w:hAnsi="宋体" w:eastAsia="宋体" w:cs="宋体"/>
                <w:sz w:val="18"/>
                <w:szCs w:val="18"/>
              </w:rPr>
              <w:t xml:space="preserve">单位详细名称：                              </w:t>
            </w:r>
            <w:r>
              <w:rPr>
                <w:rFonts w:hint="eastAsia" w:ascii="宋体" w:hAnsi="宋体" w:cs="宋体"/>
                <w:sz w:val="18"/>
                <w:szCs w:val="18"/>
                <w:lang w:val="en-US" w:eastAsia="zh-CN"/>
              </w:rPr>
              <w:t xml:space="preserve">      20   年</w:t>
            </w:r>
          </w:p>
        </w:tc>
        <w:tc>
          <w:tcPr>
            <w:tcW w:w="1151" w:type="dxa"/>
            <w:noWrap w:val="0"/>
            <w:vAlign w:val="top"/>
          </w:tcPr>
          <w:p>
            <w:pPr>
              <w:widowControl/>
              <w:spacing w:line="240" w:lineRule="exact"/>
              <w:ind w:right="-210" w:rightChars="-100"/>
              <w:jc w:val="right"/>
              <w:rPr>
                <w:rFonts w:hint="eastAsia" w:ascii="宋体" w:hAnsi="宋体" w:eastAsia="宋体" w:cs="宋体"/>
                <w:sz w:val="18"/>
                <w:szCs w:val="18"/>
              </w:rPr>
            </w:pPr>
            <w:r>
              <w:rPr>
                <w:rFonts w:hint="eastAsia" w:ascii="宋体" w:hAnsi="宋体" w:eastAsia="宋体" w:cs="宋体"/>
                <w:sz w:val="18"/>
                <w:szCs w:val="18"/>
              </w:rPr>
              <w:t>有效期至：</w:t>
            </w:r>
          </w:p>
        </w:tc>
        <w:tc>
          <w:tcPr>
            <w:tcW w:w="2026" w:type="dxa"/>
            <w:noWrap w:val="0"/>
            <w:vAlign w:val="center"/>
          </w:tcPr>
          <w:p>
            <w:pPr>
              <w:spacing w:line="220" w:lineRule="exact"/>
              <w:ind w:left="-63" w:leftChars="-30" w:right="-63" w:rightChars="-30"/>
              <w:jc w:val="distribute"/>
              <w:rPr>
                <w:rFonts w:hint="eastAsia" w:ascii="宋体" w:hAnsi="宋体" w:eastAsia="宋体" w:cs="宋体"/>
                <w:sz w:val="18"/>
                <w:szCs w:val="18"/>
              </w:rPr>
            </w:pPr>
            <w:r>
              <w:rPr>
                <w:rFonts w:hint="eastAsia" w:ascii="宋体" w:hAnsi="宋体" w:eastAsia="宋体" w:cs="宋体"/>
                <w:sz w:val="18"/>
                <w:szCs w:val="18"/>
                <w:lang w:val="en-US" w:eastAsia="zh-CN"/>
              </w:rPr>
              <w:t>202</w:t>
            </w:r>
            <w:r>
              <w:rPr>
                <w:rFonts w:hint="eastAsia" w:ascii="宋体" w:hAnsi="宋体" w:cs="宋体"/>
                <w:sz w:val="18"/>
                <w:szCs w:val="18"/>
                <w:lang w:val="en-US" w:eastAsia="zh-CN"/>
              </w:rPr>
              <w:t>5</w:t>
            </w:r>
            <w:r>
              <w:rPr>
                <w:rFonts w:hint="eastAsia" w:ascii="宋体" w:hAnsi="宋体" w:eastAsia="宋体" w:cs="宋体"/>
                <w:sz w:val="18"/>
                <w:szCs w:val="18"/>
              </w:rPr>
              <w:t>年</w:t>
            </w:r>
            <w:r>
              <w:rPr>
                <w:rFonts w:hint="eastAsia" w:ascii="宋体" w:hAnsi="宋体" w:cs="宋体"/>
                <w:sz w:val="18"/>
                <w:szCs w:val="18"/>
                <w:lang w:val="en-US" w:eastAsia="zh-CN"/>
              </w:rPr>
              <w:t>6</w:t>
            </w:r>
            <w:r>
              <w:rPr>
                <w:rFonts w:hint="eastAsia" w:ascii="宋体" w:hAnsi="宋体" w:eastAsia="宋体" w:cs="宋体"/>
                <w:sz w:val="18"/>
                <w:szCs w:val="18"/>
              </w:rPr>
              <w:t>月</w:t>
            </w:r>
          </w:p>
        </w:tc>
      </w:tr>
    </w:tbl>
    <w:p>
      <w:pPr>
        <w:widowControl/>
        <w:spacing w:line="40" w:lineRule="exact"/>
        <w:rPr>
          <w:rFonts w:hint="eastAsia" w:ascii="宋体" w:hAnsi="宋体" w:eastAsia="宋体" w:cs="宋体"/>
          <w:sz w:val="18"/>
          <w:szCs w:val="18"/>
        </w:rPr>
      </w:pPr>
    </w:p>
    <w:tbl>
      <w:tblPr>
        <w:tblStyle w:val="31"/>
        <w:tblW w:w="5059"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1" w:type="dxa"/>
          <w:bottom w:w="0" w:type="dxa"/>
          <w:right w:w="51" w:type="dxa"/>
        </w:tblCellMar>
      </w:tblPr>
      <w:tblGrid>
        <w:gridCol w:w="1153"/>
        <w:gridCol w:w="1074"/>
        <w:gridCol w:w="674"/>
        <w:gridCol w:w="659"/>
        <w:gridCol w:w="524"/>
        <w:gridCol w:w="749"/>
        <w:gridCol w:w="524"/>
        <w:gridCol w:w="705"/>
        <w:gridCol w:w="859"/>
        <w:gridCol w:w="893"/>
        <w:gridCol w:w="779"/>
        <w:gridCol w:w="9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516" w:hRule="atLeast"/>
          <w:jc w:val="center"/>
        </w:trPr>
        <w:tc>
          <w:tcPr>
            <w:tcW w:w="5000" w:type="pct"/>
            <w:gridSpan w:val="12"/>
            <w:tcBorders>
              <w:top w:val="single" w:color="auto" w:sz="8" w:space="0"/>
              <w:bottom w:val="single" w:color="auto" w:sz="2" w:space="0"/>
            </w:tcBorders>
            <w:noWrap/>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本法人单位</w:t>
            </w:r>
            <w:r>
              <w:rPr>
                <w:rFonts w:hint="eastAsia" w:ascii="宋体" w:hAnsi="宋体" w:eastAsia="宋体" w:cs="宋体"/>
                <w:sz w:val="18"/>
                <w:szCs w:val="18"/>
                <w:lang w:eastAsia="zh-CN"/>
              </w:rPr>
              <w:t>下属</w:t>
            </w:r>
            <w:r>
              <w:rPr>
                <w:rFonts w:hint="eastAsia" w:ascii="宋体" w:hAnsi="宋体" w:eastAsia="宋体" w:cs="宋体"/>
                <w:sz w:val="18"/>
                <w:szCs w:val="18"/>
              </w:rPr>
              <w:t>产业活动单位共</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1400" w:hRule="atLeast"/>
          <w:jc w:val="center"/>
        </w:trPr>
        <w:tc>
          <w:tcPr>
            <w:tcW w:w="605"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563"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宋体" w:hAnsi="宋体" w:eastAsia="宋体" w:cs="宋体"/>
                <w:sz w:val="18"/>
                <w:szCs w:val="18"/>
              </w:rPr>
            </w:pPr>
            <w:r>
              <w:rPr>
                <w:rFonts w:hint="eastAsia" w:ascii="宋体" w:hAnsi="宋体" w:cs="宋体"/>
                <w:sz w:val="18"/>
                <w:szCs w:val="18"/>
                <w:lang w:eastAsia="zh-CN"/>
              </w:rPr>
              <w:t>产业活动</w:t>
            </w:r>
            <w:r>
              <w:rPr>
                <w:rFonts w:hint="eastAsia" w:ascii="宋体" w:hAnsi="宋体" w:eastAsia="宋体" w:cs="宋体"/>
                <w:sz w:val="18"/>
                <w:szCs w:val="18"/>
              </w:rPr>
              <w:t>单位类别</w:t>
            </w:r>
          </w:p>
          <w:p>
            <w:pPr>
              <w:jc w:val="center"/>
              <w:rPr>
                <w:rFonts w:hint="eastAsia" w:ascii="宋体" w:hAnsi="宋体" w:eastAsia="宋体" w:cs="宋体"/>
                <w:sz w:val="18"/>
                <w:szCs w:val="18"/>
              </w:rPr>
            </w:pPr>
            <w:r>
              <w:rPr>
                <w:rFonts w:hint="eastAsia" w:ascii="宋体" w:hAnsi="宋体" w:eastAsia="宋体" w:cs="宋体"/>
                <w:sz w:val="18"/>
                <w:szCs w:val="18"/>
              </w:rPr>
              <w:t>（1本部</w:t>
            </w:r>
          </w:p>
          <w:p>
            <w:pPr>
              <w:jc w:val="center"/>
              <w:rPr>
                <w:rFonts w:hint="eastAsia" w:ascii="宋体" w:hAnsi="宋体" w:eastAsia="宋体" w:cs="宋体"/>
                <w:sz w:val="18"/>
                <w:szCs w:val="18"/>
              </w:rPr>
            </w:pPr>
            <w:r>
              <w:rPr>
                <w:rFonts w:hint="eastAsia" w:ascii="宋体" w:hAnsi="宋体" w:eastAsia="宋体" w:cs="宋体"/>
                <w:sz w:val="18"/>
                <w:szCs w:val="18"/>
              </w:rPr>
              <w:t>2分支机构）</w:t>
            </w:r>
          </w:p>
        </w:tc>
        <w:tc>
          <w:tcPr>
            <w:tcW w:w="353" w:type="pct"/>
            <w:tcBorders>
              <w:top w:val="single" w:color="auto" w:sz="2" w:space="0"/>
              <w:bottom w:val="single" w:color="auto" w:sz="2" w:space="0"/>
            </w:tcBorders>
            <w:shd w:val="clear" w:color="auto" w:fill="auto"/>
            <w:noWrap w:val="0"/>
            <w:vAlign w:val="center"/>
          </w:tcPr>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统一社会信用代码</w:t>
            </w:r>
          </w:p>
        </w:tc>
        <w:tc>
          <w:tcPr>
            <w:tcW w:w="345"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单位</w:t>
            </w:r>
          </w:p>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详细</w:t>
            </w:r>
          </w:p>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名称</w:t>
            </w:r>
          </w:p>
        </w:tc>
        <w:tc>
          <w:tcPr>
            <w:tcW w:w="275"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详细</w:t>
            </w:r>
          </w:p>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地址</w:t>
            </w:r>
          </w:p>
        </w:tc>
        <w:tc>
          <w:tcPr>
            <w:tcW w:w="393" w:type="pct"/>
            <w:tcBorders>
              <w:top w:val="single" w:color="auto" w:sz="2" w:space="0"/>
              <w:bottom w:val="single" w:color="auto" w:sz="2" w:space="0"/>
            </w:tcBorders>
            <w:shd w:val="clear" w:color="auto" w:fill="D7D7D7"/>
            <w:noWrap/>
            <w:tcMar>
              <w:left w:w="0" w:type="dxa"/>
              <w:right w:w="0" w:type="dxa"/>
            </w:tcMar>
            <w:vAlign w:val="center"/>
          </w:tcPr>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区划</w:t>
            </w:r>
          </w:p>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代码</w:t>
            </w:r>
          </w:p>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（6位）</w:t>
            </w:r>
          </w:p>
        </w:tc>
        <w:tc>
          <w:tcPr>
            <w:tcW w:w="275"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联系</w:t>
            </w:r>
          </w:p>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电话</w:t>
            </w:r>
          </w:p>
        </w:tc>
        <w:tc>
          <w:tcPr>
            <w:tcW w:w="370"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主要业务活动</w:t>
            </w:r>
          </w:p>
        </w:tc>
        <w:tc>
          <w:tcPr>
            <w:tcW w:w="450" w:type="pct"/>
            <w:tcBorders>
              <w:top w:val="single" w:color="auto" w:sz="2" w:space="0"/>
              <w:bottom w:val="single" w:color="auto" w:sz="2" w:space="0"/>
            </w:tcBorders>
            <w:shd w:val="clear" w:color="auto" w:fill="D7D7D7"/>
            <w:noWrap/>
            <w:tcMar>
              <w:left w:w="0" w:type="dxa"/>
              <w:right w:w="0" w:type="dxa"/>
            </w:tcMar>
            <w:vAlign w:val="center"/>
          </w:tcPr>
          <w:p>
            <w:pPr>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行业代码</w:t>
            </w:r>
          </w:p>
        </w:tc>
        <w:tc>
          <w:tcPr>
            <w:tcW w:w="468" w:type="pct"/>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从业人员期末人数</w:t>
            </w:r>
          </w:p>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（人）</w:t>
            </w:r>
          </w:p>
        </w:tc>
        <w:tc>
          <w:tcPr>
            <w:tcW w:w="408" w:type="pct"/>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经营性</w:t>
            </w:r>
          </w:p>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单位收入</w:t>
            </w:r>
          </w:p>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（千元）</w:t>
            </w:r>
          </w:p>
        </w:tc>
        <w:tc>
          <w:tcPr>
            <w:tcW w:w="488" w:type="pct"/>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非经营性</w:t>
            </w:r>
          </w:p>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单位支出</w:t>
            </w:r>
          </w:p>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（费用）</w:t>
            </w:r>
          </w:p>
          <w:p>
            <w:pPr>
              <w:snapToGrid w:val="0"/>
              <w:spacing w:line="280" w:lineRule="exact"/>
              <w:jc w:val="center"/>
              <w:rPr>
                <w:rFonts w:hint="eastAsia" w:ascii="宋体" w:hAnsi="宋体" w:eastAsia="宋体" w:cs="宋体"/>
                <w:sz w:val="18"/>
                <w:szCs w:val="18"/>
                <w:lang w:val="en"/>
              </w:rPr>
            </w:pPr>
            <w:r>
              <w:rPr>
                <w:rFonts w:hint="eastAsia" w:ascii="宋体" w:hAnsi="宋体" w:eastAsia="宋体" w:cs="宋体"/>
                <w:sz w:val="18"/>
                <w:szCs w:val="18"/>
                <w:lang w:val="en"/>
              </w:rPr>
              <w:t>（千元）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312" w:hRule="atLeast"/>
          <w:jc w:val="center"/>
        </w:trPr>
        <w:tc>
          <w:tcPr>
            <w:tcW w:w="60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甲</w:t>
            </w:r>
          </w:p>
        </w:tc>
        <w:tc>
          <w:tcPr>
            <w:tcW w:w="56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35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34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2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393" w:type="pct"/>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2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37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450" w:type="pct"/>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40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48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345" w:hRule="atLeast"/>
          <w:jc w:val="center"/>
        </w:trPr>
        <w:tc>
          <w:tcPr>
            <w:tcW w:w="605" w:type="pc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本     部</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分支机构1</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分支机构2</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分支机构N</w:t>
            </w:r>
          </w:p>
        </w:tc>
        <w:tc>
          <w:tcPr>
            <w:tcW w:w="4394" w:type="pct"/>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84" w:rightChars="40"/>
        <w:textAlignment w:val="auto"/>
        <w:rPr>
          <w:rFonts w:hint="eastAsia" w:ascii="宋体" w:hAnsi="宋体" w:eastAsia="宋体" w:cs="宋体"/>
          <w:sz w:val="18"/>
          <w:szCs w:val="18"/>
        </w:rPr>
      </w:pPr>
      <w:r>
        <w:rPr>
          <w:rFonts w:hint="eastAsia" w:ascii="宋体" w:hAnsi="宋体" w:eastAsia="宋体" w:cs="宋体"/>
          <w:sz w:val="18"/>
          <w:szCs w:val="18"/>
        </w:rPr>
        <w:t xml:space="preserve">单位负责人：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填表人：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联系电话：            报出日期：</w:t>
      </w:r>
      <w:r>
        <w:rPr>
          <w:rFonts w:hint="eastAsia" w:ascii="宋体" w:hAnsi="宋体" w:eastAsia="宋体" w:cs="宋体"/>
          <w:sz w:val="18"/>
          <w:szCs w:val="18"/>
          <w:lang w:val="en-US" w:eastAsia="zh-CN"/>
        </w:rPr>
        <w:t xml:space="preserve">2 0   </w:t>
      </w:r>
      <w:r>
        <w:rPr>
          <w:rFonts w:hint="eastAsia" w:ascii="宋体" w:hAnsi="宋体" w:eastAsia="宋体" w:cs="宋体"/>
          <w:sz w:val="18"/>
          <w:szCs w:val="18"/>
        </w:rPr>
        <w:t>年   月   日</w:t>
      </w:r>
    </w:p>
    <w:p>
      <w:pPr>
        <w:spacing w:line="240" w:lineRule="exact"/>
        <w:rPr>
          <w:rFonts w:hint="eastAsia" w:ascii="宋体" w:hAnsi="宋体" w:eastAsia="宋体" w:cs="宋体"/>
          <w:kern w:val="0"/>
          <w:sz w:val="18"/>
          <w:szCs w:val="18"/>
        </w:rPr>
      </w:pPr>
    </w:p>
    <w:p>
      <w:pPr>
        <w:spacing w:line="240" w:lineRule="exact"/>
        <w:ind w:left="1620" w:hanging="1620" w:hangingChars="900"/>
        <w:jc w:val="left"/>
        <w:rPr>
          <w:rFonts w:hint="default" w:ascii="宋体" w:hAnsi="宋体" w:eastAsia="宋体" w:cs="宋体"/>
          <w:color w:val="000000"/>
          <w:sz w:val="18"/>
          <w:szCs w:val="18"/>
          <w:lang w:val="en-US" w:eastAsia="zh-CN"/>
        </w:rPr>
      </w:pPr>
      <w:r>
        <w:rPr>
          <w:rFonts w:hint="eastAsia" w:ascii="宋体" w:hAnsi="宋体" w:eastAsia="宋体" w:cs="宋体"/>
          <w:kern w:val="0"/>
          <w:sz w:val="18"/>
          <w:szCs w:val="18"/>
        </w:rPr>
        <w:t>说明：</w:t>
      </w:r>
      <w:r>
        <w:rPr>
          <w:rFonts w:hint="eastAsia" w:ascii="宋体" w:hAnsi="宋体"/>
          <w:color w:val="000000"/>
          <w:sz w:val="18"/>
          <w:szCs w:val="18"/>
        </w:rPr>
        <w:t>1.统计范围</w:t>
      </w:r>
      <w:r>
        <w:rPr>
          <w:rFonts w:ascii="宋体" w:hAnsi="宋体"/>
          <w:color w:val="000000"/>
          <w:sz w:val="18"/>
          <w:szCs w:val="18"/>
        </w:rPr>
        <w:t>：</w:t>
      </w:r>
      <w:r>
        <w:rPr>
          <w:rFonts w:hint="eastAsia" w:ascii="宋体" w:hAnsi="宋体" w:eastAsia="宋体" w:cs="宋体"/>
          <w:sz w:val="18"/>
          <w:szCs w:val="18"/>
        </w:rPr>
        <w:t>辖区内</w:t>
      </w:r>
      <w:r>
        <w:rPr>
          <w:rFonts w:hint="eastAsia" w:ascii="宋体" w:hAnsi="宋体" w:eastAsia="宋体" w:cs="宋体"/>
          <w:sz w:val="18"/>
          <w:szCs w:val="18"/>
          <w:lang w:eastAsia="zh-CN"/>
        </w:rPr>
        <w:t>规模以上服务业</w:t>
      </w:r>
      <w:r>
        <w:rPr>
          <w:rFonts w:hint="eastAsia" w:ascii="宋体" w:hAnsi="宋体" w:eastAsia="宋体" w:cs="宋体"/>
          <w:sz w:val="18"/>
          <w:szCs w:val="18"/>
        </w:rPr>
        <w:t>法人单位</w:t>
      </w:r>
      <w:r>
        <w:rPr>
          <w:rFonts w:hint="eastAsia" w:ascii="宋体" w:hAnsi="宋体" w:cs="宋体"/>
          <w:color w:val="000000"/>
          <w:sz w:val="18"/>
          <w:szCs w:val="18"/>
          <w:lang w:eastAsia="zh-CN"/>
        </w:rPr>
        <w:t>且</w:t>
      </w:r>
      <w:r>
        <w:rPr>
          <w:rFonts w:hint="eastAsia" w:ascii="宋体" w:hAnsi="宋体" w:cs="宋体"/>
          <w:color w:val="000000"/>
          <w:sz w:val="18"/>
          <w:szCs w:val="18"/>
          <w:lang w:val="en-US" w:eastAsia="zh-CN"/>
        </w:rPr>
        <w:t>101-1表212栏“本法人（视同法人）单位是否有下属产业活动单位（分支机构、派出机构、分公司、分部、分厂、分店等）”选“1.是”的填写本表。</w:t>
      </w:r>
    </w:p>
    <w:p>
      <w:pPr>
        <w:spacing w:line="240" w:lineRule="exact"/>
        <w:ind w:left="1620" w:hanging="1620" w:hangingChars="900"/>
        <w:jc w:val="left"/>
        <w:rPr>
          <w:rFonts w:hint="eastAsia" w:ascii="宋体" w:hAnsi="宋体" w:eastAsia="宋体" w:cs="宋体"/>
          <w:color w:val="000000"/>
          <w:sz w:val="18"/>
          <w:szCs w:val="18"/>
          <w:lang w:eastAsia="zh-CN"/>
        </w:rPr>
      </w:pPr>
      <w:r>
        <w:rPr>
          <w:rFonts w:hint="eastAsia" w:ascii="宋体" w:cs="宋体"/>
          <w:color w:val="000000"/>
          <w:sz w:val="18"/>
          <w:szCs w:val="18"/>
          <w:lang w:val="en-US" w:eastAsia="zh-CN"/>
        </w:rPr>
        <w:t xml:space="preserve">      </w:t>
      </w:r>
      <w:r>
        <w:rPr>
          <w:rFonts w:ascii="宋体" w:cs="宋体"/>
          <w:color w:val="000000"/>
          <w:sz w:val="18"/>
          <w:szCs w:val="18"/>
        </w:rPr>
        <w:t>2.</w:t>
      </w:r>
      <w:r>
        <w:rPr>
          <w:rFonts w:hint="eastAsia" w:ascii="宋体" w:cs="宋体"/>
          <w:color w:val="000000"/>
          <w:sz w:val="18"/>
          <w:szCs w:val="18"/>
        </w:rPr>
        <w:t>报送日期及方式：</w:t>
      </w:r>
      <w:r>
        <w:rPr>
          <w:rFonts w:hint="eastAsia" w:ascii="宋体" w:cs="宋体"/>
          <w:color w:val="000000"/>
          <w:sz w:val="18"/>
          <w:szCs w:val="18"/>
          <w:lang w:eastAsia="zh-CN"/>
        </w:rPr>
        <w:t>开网时间：</w:t>
      </w:r>
      <w:r>
        <w:rPr>
          <w:rFonts w:hint="eastAsia" w:ascii="宋体" w:hAnsi="宋体" w:eastAsia="宋体" w:cs="宋体"/>
          <w:color w:val="000000"/>
          <w:sz w:val="18"/>
          <w:szCs w:val="18"/>
        </w:rPr>
        <w:t>202</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年1月20日0时；企业上报截止时间：3月10日24时；</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cs="宋体"/>
          <w:sz w:val="18"/>
          <w:szCs w:val="18"/>
        </w:rPr>
        <w:t>。</w:t>
      </w:r>
    </w:p>
    <w:p>
      <w:pPr>
        <w:spacing w:line="240" w:lineRule="exact"/>
        <w:ind w:left="2342" w:leftChars="258" w:hanging="1800" w:hangingChars="1000"/>
        <w:jc w:val="both"/>
        <w:rPr>
          <w:rFonts w:hint="eastAsia" w:ascii="宋体" w:cs="宋体"/>
          <w:color w:val="000000"/>
          <w:sz w:val="18"/>
          <w:szCs w:val="18"/>
        </w:rPr>
      </w:pPr>
      <w:r>
        <w:rPr>
          <w:rFonts w:ascii="宋体" w:cs="宋体"/>
          <w:color w:val="000000"/>
          <w:sz w:val="18"/>
          <w:szCs w:val="18"/>
        </w:rPr>
        <w:t>3.</w:t>
      </w:r>
      <w:r>
        <w:rPr>
          <w:rFonts w:hint="eastAsia" w:ascii="宋体" w:cs="宋体"/>
          <w:color w:val="000000"/>
          <w:sz w:val="18"/>
          <w:szCs w:val="18"/>
        </w:rPr>
        <w:t>调查单位填报要求：本表部分数据由国家统计局在调查开始前统一导入数据采集处理软件中，生成报表数据。调查单位应根据实际情况对表中的数据进行认真核对与填写，指标数据如有变动应及时进行修改</w:t>
      </w:r>
      <w:r>
        <w:rPr>
          <w:rFonts w:ascii="宋体" w:cs="宋体"/>
          <w:color w:val="000000"/>
          <w:sz w:val="18"/>
          <w:szCs w:val="18"/>
        </w:rPr>
        <w:t>(</w:t>
      </w:r>
      <w:r>
        <w:rPr>
          <w:rFonts w:hint="eastAsia" w:ascii="宋体" w:cs="宋体"/>
          <w:color w:val="000000"/>
          <w:sz w:val="18"/>
          <w:szCs w:val="18"/>
        </w:rPr>
        <w:t>加灰底的指标除外</w:t>
      </w:r>
      <w:r>
        <w:rPr>
          <w:rFonts w:ascii="宋体" w:cs="宋体"/>
          <w:color w:val="000000"/>
          <w:sz w:val="18"/>
          <w:szCs w:val="18"/>
        </w:rPr>
        <w:t>)</w:t>
      </w:r>
      <w:r>
        <w:rPr>
          <w:rFonts w:hint="eastAsia" w:ascii="宋体" w:cs="宋体"/>
          <w:color w:val="000000"/>
          <w:sz w:val="18"/>
          <w:szCs w:val="18"/>
        </w:rPr>
        <w:t>。</w:t>
      </w:r>
    </w:p>
    <w:p>
      <w:pPr>
        <w:spacing w:line="240" w:lineRule="exact"/>
        <w:jc w:val="left"/>
        <w:rPr>
          <w:rFonts w:ascii="宋体" w:cs="宋体"/>
          <w:color w:val="000000"/>
          <w:sz w:val="18"/>
          <w:szCs w:val="18"/>
        </w:rPr>
      </w:pPr>
      <w:r>
        <w:rPr>
          <w:rFonts w:hint="eastAsia" w:ascii="宋体" w:cs="宋体"/>
          <w:color w:val="000000"/>
          <w:sz w:val="18"/>
          <w:szCs w:val="18"/>
        </w:rPr>
        <w:t xml:space="preserve">   </w:t>
      </w:r>
      <w:r>
        <w:rPr>
          <w:rFonts w:ascii="宋体" w:cs="宋体"/>
          <w:color w:val="000000"/>
          <w:sz w:val="18"/>
          <w:szCs w:val="18"/>
        </w:rPr>
        <w:t xml:space="preserve">   </w:t>
      </w:r>
      <w:r>
        <w:rPr>
          <w:rFonts w:hint="eastAsia" w:ascii="宋体" w:cs="宋体"/>
          <w:color w:val="000000"/>
          <w:sz w:val="18"/>
          <w:szCs w:val="18"/>
        </w:rPr>
        <w:t>4.区划代码、行业代码由统计机构填写。</w:t>
      </w:r>
    </w:p>
    <w:p>
      <w:pPr>
        <w:keepNext w:val="0"/>
        <w:keepLines w:val="0"/>
        <w:pageBreakBefore w:val="0"/>
        <w:widowControl w:val="0"/>
        <w:kinsoku/>
        <w:wordWrap/>
        <w:overflowPunct/>
        <w:topLinePunct w:val="0"/>
        <w:autoSpaceDE/>
        <w:autoSpaceDN/>
        <w:bidi w:val="0"/>
        <w:adjustRightInd/>
        <w:snapToGrid/>
        <w:spacing w:line="240" w:lineRule="atLeast"/>
        <w:ind w:left="0" w:hanging="2340" w:hangingChars="1300"/>
        <w:textAlignment w:val="auto"/>
        <w:rPr>
          <w:rFonts w:hint="eastAsia" w:ascii="宋体" w:cs="宋体"/>
          <w:color w:val="000000"/>
          <w:sz w:val="18"/>
          <w:szCs w:val="18"/>
        </w:rPr>
      </w:pPr>
      <w:r>
        <w:rPr>
          <w:rFonts w:hint="eastAsia" w:ascii="宋体" w:cs="宋体"/>
          <w:color w:val="000000"/>
          <w:sz w:val="18"/>
          <w:szCs w:val="18"/>
        </w:rPr>
        <w:t xml:space="preserve">      5.</w:t>
      </w:r>
      <w:r>
        <w:rPr>
          <w:rFonts w:hint="eastAsia" w:ascii="宋体" w:cs="宋体"/>
          <w:color w:val="000000"/>
          <w:sz w:val="18"/>
          <w:szCs w:val="18"/>
          <w:lang w:eastAsia="zh-CN"/>
        </w:rPr>
        <w:t>产业活动</w:t>
      </w:r>
      <w:r>
        <w:rPr>
          <w:rFonts w:hint="eastAsia" w:ascii="宋体" w:cs="宋体"/>
          <w:color w:val="000000"/>
          <w:sz w:val="18"/>
          <w:szCs w:val="18"/>
        </w:rPr>
        <w:t>单位类别</w:t>
      </w:r>
      <w:r>
        <w:rPr>
          <w:rFonts w:ascii="宋体" w:cs="宋体"/>
          <w:color w:val="000000"/>
          <w:sz w:val="18"/>
          <w:szCs w:val="18"/>
        </w:rPr>
        <w:t>：</w:t>
      </w:r>
      <w:r>
        <w:rPr>
          <w:rFonts w:hint="eastAsia" w:ascii="宋体" w:cs="宋体"/>
          <w:color w:val="000000"/>
          <w:sz w:val="18"/>
          <w:szCs w:val="18"/>
        </w:rPr>
        <w:t>1法人</w:t>
      </w:r>
      <w:r>
        <w:rPr>
          <w:rFonts w:ascii="宋体" w:cs="宋体"/>
          <w:color w:val="000000"/>
          <w:sz w:val="18"/>
          <w:szCs w:val="18"/>
        </w:rPr>
        <w:t>单位本部（</w:t>
      </w:r>
      <w:r>
        <w:rPr>
          <w:rFonts w:hint="eastAsia" w:ascii="宋体" w:cs="宋体"/>
          <w:color w:val="000000"/>
          <w:sz w:val="18"/>
          <w:szCs w:val="18"/>
        </w:rPr>
        <w:t>总部</w:t>
      </w:r>
      <w:r>
        <w:rPr>
          <w:rFonts w:ascii="宋体" w:cs="宋体"/>
          <w:color w:val="000000"/>
          <w:sz w:val="18"/>
          <w:szCs w:val="18"/>
        </w:rPr>
        <w:t>、</w:t>
      </w:r>
      <w:r>
        <w:rPr>
          <w:rFonts w:hint="eastAsia" w:ascii="宋体" w:cs="宋体"/>
          <w:color w:val="000000"/>
          <w:sz w:val="18"/>
          <w:szCs w:val="18"/>
        </w:rPr>
        <w:t>本店</w:t>
      </w:r>
      <w:r>
        <w:rPr>
          <w:rFonts w:ascii="宋体" w:cs="宋体"/>
          <w:color w:val="000000"/>
          <w:sz w:val="18"/>
          <w:szCs w:val="18"/>
        </w:rPr>
        <w:t>、本所等）</w:t>
      </w:r>
      <w:r>
        <w:rPr>
          <w:rFonts w:hint="eastAsia" w:ascii="宋体" w:cs="宋体"/>
          <w:color w:val="000000"/>
          <w:sz w:val="18"/>
          <w:szCs w:val="18"/>
        </w:rPr>
        <w:t xml:space="preserve"> 2法人</w:t>
      </w:r>
      <w:r>
        <w:rPr>
          <w:rFonts w:ascii="宋体" w:cs="宋体"/>
          <w:color w:val="000000"/>
          <w:sz w:val="18"/>
          <w:szCs w:val="18"/>
        </w:rPr>
        <w:t>单位分支机构（</w:t>
      </w:r>
      <w:r>
        <w:rPr>
          <w:rFonts w:hint="eastAsia" w:ascii="宋体" w:cs="宋体"/>
          <w:color w:val="000000"/>
          <w:sz w:val="18"/>
          <w:szCs w:val="18"/>
        </w:rPr>
        <w:t>分部</w:t>
      </w:r>
      <w:r>
        <w:rPr>
          <w:rFonts w:ascii="宋体" w:cs="宋体"/>
          <w:color w:val="000000"/>
          <w:sz w:val="18"/>
          <w:szCs w:val="18"/>
        </w:rPr>
        <w:t>、分厂、分</w:t>
      </w:r>
      <w:r>
        <w:rPr>
          <w:rFonts w:hint="eastAsia" w:ascii="宋体" w:cs="宋体"/>
          <w:color w:val="000000"/>
          <w:sz w:val="18"/>
          <w:szCs w:val="18"/>
        </w:rPr>
        <w:t>店</w:t>
      </w:r>
      <w:r>
        <w:rPr>
          <w:rFonts w:ascii="宋体" w:cs="宋体"/>
          <w:color w:val="000000"/>
          <w:sz w:val="18"/>
          <w:szCs w:val="18"/>
        </w:rPr>
        <w:t>、支所等）</w:t>
      </w:r>
      <w:r>
        <w:rPr>
          <w:rFonts w:hint="eastAsia" w:ascii="宋体" w:cs="宋体"/>
          <w:color w:val="000000"/>
          <w:sz w:val="18"/>
          <w:szCs w:val="18"/>
        </w:rPr>
        <w:t>。</w:t>
      </w:r>
    </w:p>
    <w:p>
      <w:pPr>
        <w:pStyle w:val="9"/>
        <w:keepNext w:val="0"/>
        <w:keepLines w:val="0"/>
        <w:pageBreakBefore w:val="0"/>
        <w:widowControl w:val="0"/>
        <w:kinsoku/>
        <w:wordWrap/>
        <w:overflowPunct/>
        <w:topLinePunct w:val="0"/>
        <w:autoSpaceDE/>
        <w:autoSpaceDN/>
        <w:bidi w:val="0"/>
        <w:adjustRightInd/>
        <w:snapToGrid/>
        <w:ind w:left="1440" w:hanging="1440" w:hangingChars="800"/>
        <w:jc w:val="center"/>
        <w:textAlignment w:val="auto"/>
        <w:rPr>
          <w:rFonts w:hint="eastAsia"/>
          <w:sz w:val="32"/>
          <w:szCs w:val="32"/>
        </w:rPr>
      </w:pPr>
      <w:r>
        <w:rPr>
          <w:rFonts w:hint="eastAsia" w:ascii="宋体" w:cs="宋体"/>
          <w:color w:val="000000"/>
          <w:sz w:val="18"/>
          <w:szCs w:val="18"/>
          <w:lang w:val="en-US" w:eastAsia="zh-CN"/>
        </w:rPr>
        <w:t xml:space="preserve">      6.数据审核要求：本表由负责法人单位一套表统计的各相关专业对全部指标进行审核，普查中心对单位类别、统一社会信用代码、单位详细名称、详细地址、区划代码、联系电话等属性指标再审核。</w:t>
      </w:r>
      <w:r>
        <w:rPr>
          <w:rFonts w:hint="eastAsia" w:ascii="宋体" w:cs="宋体"/>
          <w:color w:val="000000"/>
          <w:sz w:val="18"/>
          <w:szCs w:val="18"/>
        </w:rPr>
        <w:br w:type="page"/>
      </w:r>
    </w:p>
    <w:p>
      <w:pPr>
        <w:jc w:val="center"/>
        <w:outlineLvl w:val="2"/>
        <w:rPr>
          <w:rFonts w:hint="eastAsia" w:ascii="宋体" w:hAnsi="宋体" w:eastAsia="宋体" w:cs="宋体"/>
          <w:sz w:val="32"/>
          <w:szCs w:val="32"/>
        </w:rPr>
      </w:pPr>
      <w:r>
        <w:rPr>
          <w:rFonts w:ascii="Nimbus Roman No9 L" w:hAnsi="Nimbus Roman No9 L" w:cs="Nimbus Roman No9 L"/>
          <w:sz w:val="32"/>
          <w:szCs w:val="32"/>
        </w:rPr>
        <w:t>从业人员及工资总额</w:t>
      </w:r>
    </w:p>
    <w:tbl>
      <w:tblPr>
        <w:tblStyle w:val="31"/>
        <w:tblW w:w="9411" w:type="dxa"/>
        <w:jc w:val="center"/>
        <w:tblLayout w:type="autofit"/>
        <w:tblCellMar>
          <w:top w:w="0" w:type="dxa"/>
          <w:left w:w="108" w:type="dxa"/>
          <w:bottom w:w="0" w:type="dxa"/>
          <w:right w:w="108" w:type="dxa"/>
        </w:tblCellMar>
      </w:tblPr>
      <w:tblGrid>
        <w:gridCol w:w="6247"/>
        <w:gridCol w:w="1127"/>
        <w:gridCol w:w="2037"/>
      </w:tblGrid>
      <w:tr>
        <w:tblPrEx>
          <w:tblCellMar>
            <w:top w:w="0" w:type="dxa"/>
            <w:left w:w="108" w:type="dxa"/>
            <w:bottom w:w="0" w:type="dxa"/>
            <w:right w:w="108" w:type="dxa"/>
          </w:tblCellMar>
        </w:tblPrEx>
        <w:trPr>
          <w:trHeight w:val="255" w:hRule="exact"/>
          <w:jc w:val="center"/>
        </w:trPr>
        <w:tc>
          <w:tcPr>
            <w:tcW w:w="6247" w:type="dxa"/>
            <w:noWrap w:val="0"/>
            <w:tcMar>
              <w:left w:w="0" w:type="dxa"/>
              <w:right w:w="0" w:type="dxa"/>
            </w:tcMar>
            <w:vAlign w:val="top"/>
          </w:tcPr>
          <w:p>
            <w:pPr>
              <w:spacing w:line="240" w:lineRule="exact"/>
              <w:jc w:val="center"/>
              <w:rPr>
                <w:rFonts w:hint="eastAsia" w:ascii="宋体" w:hAnsi="宋体" w:eastAsia="宋体" w:cs="宋体"/>
                <w:sz w:val="32"/>
                <w:szCs w:val="32"/>
              </w:rPr>
            </w:pPr>
          </w:p>
        </w:tc>
        <w:tc>
          <w:tcPr>
            <w:tcW w:w="1127" w:type="dxa"/>
            <w:noWrap w:val="0"/>
            <w:vAlign w:val="bottom"/>
          </w:tcPr>
          <w:p>
            <w:pPr>
              <w:spacing w:line="240" w:lineRule="exact"/>
              <w:ind w:right="-252" w:rightChars="-120"/>
              <w:jc w:val="center"/>
              <w:rPr>
                <w:rFonts w:hint="eastAsia" w:ascii="宋体" w:hAnsi="宋体" w:eastAsia="宋体" w:cs="宋体"/>
                <w:sz w:val="32"/>
                <w:szCs w:val="32"/>
              </w:rPr>
            </w:pPr>
            <w:r>
              <w:rPr>
                <w:rFonts w:hint="eastAsia" w:ascii="宋体" w:hAnsi="宋体" w:eastAsia="宋体" w:cs="宋体"/>
                <w:sz w:val="18"/>
                <w:szCs w:val="18"/>
              </w:rPr>
              <w:t>表    号：</w:t>
            </w:r>
          </w:p>
        </w:tc>
        <w:tc>
          <w:tcPr>
            <w:tcW w:w="2037" w:type="dxa"/>
            <w:noWrap w:val="0"/>
            <w:vAlign w:val="center"/>
          </w:tcPr>
          <w:p>
            <w:pPr>
              <w:spacing w:line="240" w:lineRule="exact"/>
              <w:ind w:left="-84" w:leftChars="-40" w:right="-84" w:rightChars="-40"/>
              <w:jc w:val="distribute"/>
              <w:rPr>
                <w:rFonts w:hint="eastAsia" w:ascii="宋体" w:hAnsi="宋体" w:eastAsia="宋体" w:cs="宋体"/>
                <w:sz w:val="18"/>
                <w:szCs w:val="18"/>
              </w:rPr>
            </w:pPr>
            <w:r>
              <w:rPr>
                <w:rFonts w:hint="eastAsia" w:ascii="宋体" w:hAnsi="宋体" w:eastAsia="宋体" w:cs="宋体"/>
                <w:sz w:val="18"/>
                <w:szCs w:val="18"/>
                <w:lang w:val="en-US" w:eastAsia="zh-CN"/>
              </w:rPr>
              <w:t>102-1</w:t>
            </w:r>
            <w:r>
              <w:rPr>
                <w:rFonts w:hint="eastAsia" w:ascii="宋体" w:hAnsi="宋体" w:eastAsia="宋体" w:cs="宋体"/>
                <w:sz w:val="18"/>
                <w:szCs w:val="18"/>
              </w:rPr>
              <w:t>表</w:t>
            </w:r>
          </w:p>
        </w:tc>
      </w:tr>
      <w:tr>
        <w:tblPrEx>
          <w:tblCellMar>
            <w:top w:w="0" w:type="dxa"/>
            <w:left w:w="108" w:type="dxa"/>
            <w:bottom w:w="0" w:type="dxa"/>
            <w:right w:w="108" w:type="dxa"/>
          </w:tblCellMar>
        </w:tblPrEx>
        <w:trPr>
          <w:trHeight w:val="295" w:hRule="atLeast"/>
          <w:jc w:val="center"/>
        </w:trPr>
        <w:tc>
          <w:tcPr>
            <w:tcW w:w="6247" w:type="dxa"/>
            <w:noWrap w:val="0"/>
            <w:tcMar>
              <w:left w:w="0" w:type="dxa"/>
              <w:right w:w="0" w:type="dxa"/>
            </w:tcMar>
            <w:vAlign w:val="bottom"/>
          </w:tcPr>
          <w:p>
            <w:pPr>
              <w:spacing w:line="240" w:lineRule="exact"/>
              <w:rPr>
                <w:rFonts w:hint="eastAsia" w:ascii="宋体" w:hAnsi="宋体" w:eastAsia="宋体" w:cs="宋体"/>
                <w:sz w:val="32"/>
                <w:szCs w:val="32"/>
              </w:rPr>
            </w:pPr>
          </w:p>
        </w:tc>
        <w:tc>
          <w:tcPr>
            <w:tcW w:w="1127" w:type="dxa"/>
            <w:noWrap w:val="0"/>
            <w:vAlign w:val="top"/>
          </w:tcPr>
          <w:p>
            <w:pPr>
              <w:spacing w:line="240" w:lineRule="exact"/>
              <w:ind w:right="-252" w:rightChars="-120"/>
              <w:jc w:val="center"/>
              <w:rPr>
                <w:rFonts w:hint="eastAsia" w:ascii="宋体" w:hAnsi="宋体" w:eastAsia="宋体" w:cs="宋体"/>
                <w:sz w:val="32"/>
                <w:szCs w:val="32"/>
              </w:rPr>
            </w:pPr>
            <w:r>
              <w:rPr>
                <w:rFonts w:hint="eastAsia" w:ascii="宋体" w:hAnsi="宋体" w:eastAsia="宋体" w:cs="宋体"/>
                <w:sz w:val="18"/>
                <w:szCs w:val="18"/>
              </w:rPr>
              <w:t>制定机关：</w:t>
            </w:r>
          </w:p>
        </w:tc>
        <w:tc>
          <w:tcPr>
            <w:tcW w:w="2037" w:type="dxa"/>
            <w:noWrap w:val="0"/>
            <w:vAlign w:val="center"/>
          </w:tcPr>
          <w:p>
            <w:pPr>
              <w:spacing w:line="200" w:lineRule="exact"/>
              <w:ind w:left="-84" w:leftChars="-40" w:right="-84" w:rightChars="-40"/>
              <w:jc w:val="distribute"/>
              <w:rPr>
                <w:rFonts w:hint="eastAsia" w:ascii="宋体" w:hAnsi="宋体" w:eastAsia="宋体" w:cs="宋体"/>
                <w:sz w:val="18"/>
                <w:szCs w:val="18"/>
              </w:rPr>
            </w:pPr>
            <w:r>
              <w:rPr>
                <w:rFonts w:hint="eastAsia" w:ascii="宋体" w:hAnsi="宋体"/>
                <w:color w:val="000000"/>
                <w:sz w:val="18"/>
                <w:szCs w:val="18"/>
              </w:rPr>
              <w:t>国家统计局</w:t>
            </w:r>
          </w:p>
        </w:tc>
      </w:tr>
      <w:tr>
        <w:tblPrEx>
          <w:tblCellMar>
            <w:top w:w="0" w:type="dxa"/>
            <w:left w:w="108" w:type="dxa"/>
            <w:bottom w:w="0" w:type="dxa"/>
            <w:right w:w="108" w:type="dxa"/>
          </w:tblCellMar>
        </w:tblPrEx>
        <w:trPr>
          <w:trHeight w:val="255" w:hRule="exact"/>
          <w:jc w:val="center"/>
        </w:trPr>
        <w:tc>
          <w:tcPr>
            <w:tcW w:w="6247" w:type="dxa"/>
            <w:noWrap w:val="0"/>
            <w:tcMar>
              <w:left w:w="0" w:type="dxa"/>
              <w:right w:w="0" w:type="dxa"/>
            </w:tcMar>
            <w:vAlign w:val="bottom"/>
          </w:tcPr>
          <w:p>
            <w:pPr>
              <w:spacing w:line="240" w:lineRule="exact"/>
              <w:rPr>
                <w:rFonts w:hint="eastAsia" w:ascii="宋体" w:hAnsi="宋体" w:eastAsia="宋体" w:cs="宋体"/>
                <w:sz w:val="32"/>
                <w:szCs w:val="32"/>
              </w:rPr>
            </w:pPr>
            <w:r>
              <w:rPr>
                <w:rFonts w:hint="eastAsia" w:ascii="宋体" w:hAnsi="宋体" w:eastAsia="宋体" w:cs="宋体"/>
                <w:sz w:val="18"/>
                <w:szCs w:val="18"/>
              </w:rPr>
              <w:t>统一社会信用代码□□□□□□□□□□□□□□□□□□</w:t>
            </w:r>
          </w:p>
        </w:tc>
        <w:tc>
          <w:tcPr>
            <w:tcW w:w="1127" w:type="dxa"/>
            <w:noWrap w:val="0"/>
            <w:vAlign w:val="center"/>
          </w:tcPr>
          <w:p>
            <w:pPr>
              <w:spacing w:line="240" w:lineRule="exact"/>
              <w:ind w:right="-252" w:rightChars="-120"/>
              <w:jc w:val="center"/>
              <w:rPr>
                <w:rFonts w:hint="eastAsia" w:ascii="宋体" w:hAnsi="宋体" w:eastAsia="宋体" w:cs="宋体"/>
                <w:sz w:val="32"/>
                <w:szCs w:val="32"/>
              </w:rPr>
            </w:pPr>
            <w:r>
              <w:rPr>
                <w:rFonts w:hint="eastAsia" w:ascii="宋体" w:hAnsi="宋体" w:eastAsia="宋体" w:cs="宋体"/>
                <w:sz w:val="18"/>
                <w:szCs w:val="18"/>
              </w:rPr>
              <w:t>文    号：</w:t>
            </w:r>
          </w:p>
        </w:tc>
        <w:tc>
          <w:tcPr>
            <w:tcW w:w="2037" w:type="dxa"/>
            <w:noWrap w:val="0"/>
            <w:vAlign w:val="center"/>
          </w:tcPr>
          <w:p>
            <w:pPr>
              <w:ind w:left="-84" w:leftChars="-40" w:right="-84" w:rightChars="-40"/>
              <w:jc w:val="distribute"/>
              <w:rPr>
                <w:rFonts w:hint="eastAsia" w:ascii="宋体" w:hAnsi="宋体" w:eastAsia="宋体" w:cs="宋体"/>
                <w:sz w:val="32"/>
                <w:szCs w:val="32"/>
                <w:lang w:eastAsia="zh-CN"/>
              </w:rPr>
            </w:pPr>
            <w:r>
              <w:rPr>
                <w:rFonts w:hint="eastAsia" w:ascii="宋体" w:hAnsi="宋体" w:cs="宋体"/>
                <w:sz w:val="18"/>
                <w:szCs w:val="18"/>
                <w:highlight w:val="none"/>
              </w:rPr>
              <w:t>国统字〔202</w:t>
            </w:r>
            <w:r>
              <w:rPr>
                <w:rFonts w:hint="eastAsia" w:ascii="宋体" w:hAnsi="宋体" w:cs="宋体"/>
                <w:sz w:val="18"/>
                <w:szCs w:val="18"/>
                <w:highlight w:val="none"/>
                <w:lang w:val="en-US" w:eastAsia="zh-CN"/>
              </w:rPr>
              <w:t>4</w:t>
            </w:r>
            <w:r>
              <w:rPr>
                <w:rFonts w:hint="eastAsia" w:ascii="宋体" w:hAnsi="宋体" w:cs="宋体"/>
                <w:sz w:val="18"/>
                <w:szCs w:val="18"/>
                <w:highlight w:val="none"/>
              </w:rPr>
              <w:t>〕</w:t>
            </w:r>
            <w:r>
              <w:rPr>
                <w:rFonts w:hint="eastAsia" w:ascii="宋体" w:hAnsi="宋体" w:cs="宋体"/>
                <w:sz w:val="18"/>
                <w:szCs w:val="18"/>
                <w:highlight w:val="none"/>
                <w:lang w:val="en-US" w:eastAsia="zh-CN"/>
              </w:rPr>
              <w:t>77</w:t>
            </w:r>
            <w:r>
              <w:rPr>
                <w:rFonts w:hint="eastAsia" w:ascii="宋体" w:hAnsi="宋体" w:cs="宋体"/>
                <w:sz w:val="18"/>
                <w:szCs w:val="18"/>
                <w:highlight w:val="none"/>
              </w:rPr>
              <w:t>号</w:t>
            </w:r>
          </w:p>
        </w:tc>
      </w:tr>
      <w:tr>
        <w:tblPrEx>
          <w:tblCellMar>
            <w:top w:w="0" w:type="dxa"/>
            <w:left w:w="108" w:type="dxa"/>
            <w:bottom w:w="0" w:type="dxa"/>
            <w:right w:w="108" w:type="dxa"/>
          </w:tblCellMar>
        </w:tblPrEx>
        <w:trPr>
          <w:trHeight w:val="255" w:hRule="exact"/>
          <w:jc w:val="center"/>
        </w:trPr>
        <w:tc>
          <w:tcPr>
            <w:tcW w:w="6247" w:type="dxa"/>
            <w:noWrap w:val="0"/>
            <w:tcMar>
              <w:left w:w="0" w:type="dxa"/>
              <w:right w:w="0" w:type="dxa"/>
            </w:tcMar>
            <w:vAlign w:val="bottom"/>
          </w:tcPr>
          <w:p>
            <w:pPr>
              <w:spacing w:line="240" w:lineRule="exact"/>
              <w:rPr>
                <w:rFonts w:hint="eastAsia" w:ascii="宋体" w:hAnsi="宋体" w:eastAsia="宋体" w:cs="宋体"/>
                <w:sz w:val="32"/>
                <w:szCs w:val="32"/>
              </w:rPr>
            </w:pPr>
            <w:r>
              <w:rPr>
                <w:rFonts w:hint="eastAsia" w:ascii="宋体" w:hAnsi="宋体" w:eastAsia="宋体" w:cs="宋体"/>
                <w:sz w:val="18"/>
                <w:szCs w:val="18"/>
              </w:rPr>
              <w:t xml:space="preserve">单位详细名称：　　　　　　　　　　　　　　　　　 </w:t>
            </w:r>
            <w:r>
              <w:rPr>
                <w:rFonts w:hint="eastAsia" w:ascii="宋体" w:hAnsi="宋体" w:eastAsia="宋体" w:cs="宋体"/>
                <w:spacing w:val="90"/>
                <w:kern w:val="0"/>
                <w:sz w:val="18"/>
                <w:szCs w:val="18"/>
                <w:fitText w:val="450" w:id="-278623"/>
                <w:lang w:val="en-US" w:eastAsia="zh-CN"/>
              </w:rPr>
              <w:t>20</w:t>
            </w:r>
            <w:r>
              <w:rPr>
                <w:rFonts w:hint="eastAsia" w:ascii="宋体" w:hAnsi="宋体" w:cs="宋体"/>
                <w:spacing w:val="0"/>
                <w:kern w:val="0"/>
                <w:sz w:val="18"/>
                <w:szCs w:val="18"/>
                <w:fitText w:val="450" w:id="-278623"/>
                <w:lang w:val="en-US" w:eastAsia="zh-CN"/>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sz w:val="18"/>
                <w:szCs w:val="18"/>
              </w:rPr>
              <w:t>年</w:t>
            </w:r>
          </w:p>
        </w:tc>
        <w:tc>
          <w:tcPr>
            <w:tcW w:w="1127" w:type="dxa"/>
            <w:noWrap w:val="0"/>
            <w:vAlign w:val="center"/>
          </w:tcPr>
          <w:p>
            <w:pPr>
              <w:spacing w:line="240" w:lineRule="exact"/>
              <w:ind w:right="-252" w:rightChars="-120"/>
              <w:jc w:val="center"/>
              <w:rPr>
                <w:rFonts w:hint="eastAsia" w:ascii="宋体" w:hAnsi="宋体" w:eastAsia="宋体" w:cs="宋体"/>
                <w:sz w:val="32"/>
                <w:szCs w:val="32"/>
              </w:rPr>
            </w:pPr>
            <w:r>
              <w:rPr>
                <w:rFonts w:hint="eastAsia" w:ascii="宋体" w:hAnsi="宋体" w:eastAsia="宋体" w:cs="宋体"/>
                <w:sz w:val="18"/>
                <w:szCs w:val="18"/>
              </w:rPr>
              <w:t>有效期至：</w:t>
            </w:r>
          </w:p>
        </w:tc>
        <w:tc>
          <w:tcPr>
            <w:tcW w:w="2037" w:type="dxa"/>
            <w:noWrap w:val="0"/>
            <w:vAlign w:val="center"/>
          </w:tcPr>
          <w:p>
            <w:pPr>
              <w:ind w:left="-84" w:leftChars="-40" w:right="-84" w:rightChars="-40"/>
              <w:jc w:val="distribute"/>
              <w:rPr>
                <w:rFonts w:hint="eastAsia" w:ascii="宋体" w:hAnsi="宋体" w:eastAsia="宋体" w:cs="宋体"/>
                <w:sz w:val="32"/>
                <w:szCs w:val="32"/>
              </w:rPr>
            </w:pPr>
            <w:r>
              <w:rPr>
                <w:rFonts w:hint="eastAsia" w:ascii="宋体" w:hAnsi="宋体" w:eastAsia="宋体" w:cs="宋体"/>
                <w:sz w:val="18"/>
                <w:szCs w:val="18"/>
                <w:lang w:val="en-US" w:eastAsia="zh-CN"/>
              </w:rPr>
              <w:t>2025年6</w:t>
            </w:r>
            <w:r>
              <w:rPr>
                <w:rFonts w:hint="eastAsia" w:ascii="宋体" w:hAnsi="宋体" w:eastAsia="宋体" w:cs="宋体"/>
                <w:sz w:val="18"/>
                <w:szCs w:val="18"/>
              </w:rPr>
              <w:t>月</w:t>
            </w:r>
          </w:p>
        </w:tc>
      </w:tr>
    </w:tbl>
    <w:p>
      <w:pPr>
        <w:spacing w:line="14" w:lineRule="exact"/>
        <w:rPr>
          <w:rFonts w:hint="eastAsia" w:ascii="宋体" w:hAnsi="宋体" w:eastAsia="宋体" w:cs="宋体"/>
          <w:sz w:val="18"/>
          <w:szCs w:val="18"/>
        </w:rPr>
      </w:pPr>
    </w:p>
    <w:tbl>
      <w:tblPr>
        <w:tblStyle w:val="31"/>
        <w:tblW w:w="9411" w:type="dxa"/>
        <w:jc w:val="center"/>
        <w:tblLayout w:type="fixed"/>
        <w:tblCellMar>
          <w:top w:w="0" w:type="dxa"/>
          <w:left w:w="108" w:type="dxa"/>
          <w:bottom w:w="0" w:type="dxa"/>
          <w:right w:w="108" w:type="dxa"/>
        </w:tblCellMar>
      </w:tblPr>
      <w:tblGrid>
        <w:gridCol w:w="3092"/>
        <w:gridCol w:w="622"/>
        <w:gridCol w:w="502"/>
        <w:gridCol w:w="531"/>
        <w:gridCol w:w="3023"/>
        <w:gridCol w:w="636"/>
        <w:gridCol w:w="538"/>
        <w:gridCol w:w="467"/>
      </w:tblGrid>
      <w:tr>
        <w:tblPrEx>
          <w:tblCellMar>
            <w:top w:w="0" w:type="dxa"/>
            <w:left w:w="108" w:type="dxa"/>
            <w:bottom w:w="0" w:type="dxa"/>
            <w:right w:w="108" w:type="dxa"/>
          </w:tblCellMar>
        </w:tblPrEx>
        <w:trPr>
          <w:trHeight w:val="680" w:hRule="atLeast"/>
          <w:jc w:val="center"/>
        </w:trPr>
        <w:tc>
          <w:tcPr>
            <w:tcW w:w="1642" w:type="pct"/>
            <w:tcBorders>
              <w:top w:val="single" w:color="auto" w:sz="8" w:space="0"/>
              <w:left w:val="nil"/>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330"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266"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代码</w:t>
            </w:r>
          </w:p>
        </w:tc>
        <w:tc>
          <w:tcPr>
            <w:tcW w:w="282"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本年</w:t>
            </w:r>
          </w:p>
        </w:tc>
        <w:tc>
          <w:tcPr>
            <w:tcW w:w="1606" w:type="pct"/>
            <w:tcBorders>
              <w:top w:val="single" w:color="auto" w:sz="8" w:space="0"/>
              <w:left w:val="double" w:color="auto" w:sz="4"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337"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285"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代码</w:t>
            </w:r>
          </w:p>
        </w:tc>
        <w:tc>
          <w:tcPr>
            <w:tcW w:w="248" w:type="pct"/>
            <w:tcBorders>
              <w:top w:val="single" w:color="auto" w:sz="8" w:space="0"/>
              <w:left w:val="single" w:color="auto" w:sz="2" w:space="0"/>
              <w:bottom w:val="single" w:color="auto" w:sz="2" w:space="0"/>
              <w:right w:val="nil"/>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本年</w:t>
            </w:r>
          </w:p>
        </w:tc>
      </w:tr>
      <w:tr>
        <w:tblPrEx>
          <w:tblCellMar>
            <w:top w:w="0" w:type="dxa"/>
            <w:left w:w="108" w:type="dxa"/>
            <w:bottom w:w="0" w:type="dxa"/>
            <w:right w:w="108" w:type="dxa"/>
          </w:tblCellMar>
        </w:tblPrEx>
        <w:trPr>
          <w:trHeight w:val="312" w:hRule="atLeast"/>
          <w:jc w:val="center"/>
        </w:trPr>
        <w:tc>
          <w:tcPr>
            <w:tcW w:w="3092" w:type="dxa"/>
            <w:tcBorders>
              <w:top w:val="single" w:color="auto" w:sz="2" w:space="0"/>
              <w:left w:val="nil"/>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62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50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531"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rPr>
              <w:t>1</w:t>
            </w:r>
          </w:p>
        </w:tc>
        <w:tc>
          <w:tcPr>
            <w:tcW w:w="3023" w:type="dxa"/>
            <w:tcBorders>
              <w:top w:val="single" w:color="auto" w:sz="2" w:space="0"/>
              <w:left w:val="double" w:color="auto" w:sz="4"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636"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5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467" w:type="dxa"/>
            <w:tcBorders>
              <w:top w:val="single" w:color="auto" w:sz="2" w:space="0"/>
              <w:left w:val="single" w:color="auto" w:sz="2" w:space="0"/>
              <w:bottom w:val="single" w:color="auto" w:sz="2" w:space="0"/>
              <w:right w:val="nil"/>
            </w:tcBorders>
            <w:noWrap w:val="0"/>
            <w:vAlign w:val="center"/>
          </w:tcPr>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rPr>
              <w:t>1</w:t>
            </w:r>
          </w:p>
        </w:tc>
      </w:tr>
      <w:tr>
        <w:tblPrEx>
          <w:tblCellMar>
            <w:top w:w="0" w:type="dxa"/>
            <w:left w:w="108" w:type="dxa"/>
            <w:bottom w:w="0" w:type="dxa"/>
            <w:right w:w="108" w:type="dxa"/>
          </w:tblCellMar>
        </w:tblPrEx>
        <w:trPr>
          <w:trHeight w:val="7309" w:hRule="atLeast"/>
          <w:jc w:val="center"/>
        </w:trPr>
        <w:tc>
          <w:tcPr>
            <w:tcW w:w="3092" w:type="dxa"/>
            <w:tcBorders>
              <w:top w:val="single" w:color="auto" w:sz="2" w:space="0"/>
              <w:left w:val="nil"/>
              <w:bottom w:val="single" w:color="auto" w:sz="8" w:space="0"/>
              <w:right w:val="single" w:color="auto" w:sz="2" w:space="0"/>
            </w:tcBorders>
            <w:noWrap w:val="0"/>
            <w:vAlign w:val="top"/>
          </w:tcPr>
          <w:p>
            <w:pPr>
              <w:autoSpaceDE w:val="0"/>
              <w:autoSpaceDN w:val="0"/>
              <w:adjustRightInd w:val="0"/>
              <w:snapToGrid w:val="0"/>
              <w:spacing w:before="31" w:beforeLines="10" w:line="300" w:lineRule="exact"/>
              <w:ind w:left="-105" w:leftChars="-50" w:right="-105" w:rightChars="-50"/>
              <w:jc w:val="left"/>
              <w:rPr>
                <w:rFonts w:hint="eastAsia" w:ascii="宋体" w:hAnsi="宋体" w:eastAsia="宋体" w:cs="宋体"/>
                <w:spacing w:val="-4"/>
                <w:sz w:val="18"/>
                <w:szCs w:val="18"/>
              </w:rPr>
            </w:pPr>
            <w:r>
              <w:rPr>
                <w:rFonts w:hint="eastAsia" w:ascii="宋体" w:hAnsi="宋体" w:eastAsia="宋体" w:cs="宋体"/>
                <w:spacing w:val="-4"/>
                <w:sz w:val="18"/>
                <w:szCs w:val="18"/>
              </w:rPr>
              <w:t>一、从业人员</w:t>
            </w:r>
          </w:p>
          <w:p>
            <w:pPr>
              <w:autoSpaceDE w:val="0"/>
              <w:autoSpaceDN w:val="0"/>
              <w:adjustRightInd w:val="0"/>
              <w:snapToGrid w:val="0"/>
              <w:spacing w:line="300" w:lineRule="exact"/>
              <w:ind w:left="-105" w:leftChars="-50" w:right="-105" w:rightChars="-50"/>
              <w:jc w:val="left"/>
              <w:rPr>
                <w:rFonts w:hint="eastAsia" w:ascii="宋体" w:hAnsi="宋体" w:eastAsia="宋体" w:cs="宋体"/>
                <w:spacing w:val="-4"/>
                <w:sz w:val="18"/>
                <w:szCs w:val="18"/>
              </w:rPr>
            </w:pPr>
            <w:r>
              <w:rPr>
                <w:rFonts w:hint="eastAsia" w:ascii="宋体" w:hAnsi="宋体" w:eastAsia="宋体" w:cs="宋体"/>
                <w:spacing w:val="-4"/>
                <w:sz w:val="18"/>
                <w:szCs w:val="18"/>
              </w:rPr>
              <w:t xml:space="preserve">    从业人员期末人数</w:t>
            </w:r>
          </w:p>
          <w:p>
            <w:pPr>
              <w:autoSpaceDE w:val="0"/>
              <w:autoSpaceDN w:val="0"/>
              <w:snapToGrid w:val="0"/>
              <w:spacing w:line="300" w:lineRule="exact"/>
              <w:ind w:left="-105" w:leftChars="-50" w:right="-105" w:rightChars="-50"/>
              <w:jc w:val="left"/>
              <w:rPr>
                <w:rFonts w:hint="eastAsia" w:ascii="宋体" w:hAnsi="宋体" w:eastAsia="宋体" w:cs="宋体"/>
                <w:spacing w:val="-4"/>
                <w:sz w:val="18"/>
                <w:szCs w:val="18"/>
              </w:rPr>
            </w:pPr>
            <w:r>
              <w:rPr>
                <w:rFonts w:hint="eastAsia" w:ascii="宋体" w:hAnsi="宋体" w:eastAsia="宋体" w:cs="宋体"/>
                <w:spacing w:val="-4"/>
                <w:sz w:val="18"/>
                <w:szCs w:val="18"/>
              </w:rPr>
              <w:t xml:space="preserve">      其中：女性</w:t>
            </w:r>
          </w:p>
          <w:p>
            <w:pPr>
              <w:autoSpaceDE w:val="0"/>
              <w:autoSpaceDN w:val="0"/>
              <w:snapToGrid w:val="0"/>
              <w:spacing w:line="300" w:lineRule="exact"/>
              <w:ind w:right="-105" w:rightChars="-50"/>
              <w:jc w:val="left"/>
              <w:rPr>
                <w:rFonts w:hint="eastAsia" w:ascii="宋体" w:hAnsi="宋体" w:eastAsia="宋体" w:cs="宋体"/>
                <w:spacing w:val="-4"/>
                <w:sz w:val="18"/>
                <w:szCs w:val="18"/>
                <w:lang w:eastAsia="zh-CN"/>
              </w:rPr>
            </w:pPr>
            <w:r>
              <w:rPr>
                <w:rFonts w:hint="eastAsia" w:ascii="宋体" w:hAnsi="宋体" w:eastAsia="宋体" w:cs="宋体"/>
                <w:spacing w:val="-4"/>
                <w:sz w:val="18"/>
                <w:szCs w:val="18"/>
              </w:rPr>
              <w:t xml:space="preserve">   按人员类型分</w:t>
            </w:r>
            <w:r>
              <w:rPr>
                <w:rFonts w:hint="eastAsia" w:ascii="宋体" w:hAnsi="宋体" w:eastAsia="宋体" w:cs="宋体"/>
                <w:spacing w:val="-4"/>
                <w:sz w:val="18"/>
                <w:szCs w:val="18"/>
                <w:lang w:eastAsia="zh-CN"/>
              </w:rPr>
              <w:t>：</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在岗职工</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劳务派遣人员</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其他从业人员</w:t>
            </w:r>
          </w:p>
          <w:p>
            <w:pPr>
              <w:autoSpaceDE w:val="0"/>
              <w:autoSpaceDN w:val="0"/>
              <w:snapToGrid w:val="0"/>
              <w:spacing w:line="300" w:lineRule="exact"/>
              <w:ind w:left="-105" w:leftChars="-50" w:right="-105" w:rightChars="-50" w:firstLine="344" w:firstLineChars="200"/>
              <w:jc w:val="left"/>
              <w:rPr>
                <w:rFonts w:hint="eastAsia" w:ascii="宋体" w:hAnsi="宋体" w:eastAsia="宋体" w:cs="宋体"/>
                <w:spacing w:val="-4"/>
                <w:sz w:val="18"/>
                <w:szCs w:val="18"/>
                <w:lang w:eastAsia="zh-CN"/>
              </w:rPr>
            </w:pPr>
            <w:r>
              <w:rPr>
                <w:rFonts w:hint="eastAsia" w:ascii="宋体" w:hAnsi="宋体" w:eastAsia="宋体" w:cs="宋体"/>
                <w:spacing w:val="-4"/>
                <w:sz w:val="18"/>
                <w:szCs w:val="18"/>
              </w:rPr>
              <w:t>按职业类型分</w:t>
            </w:r>
            <w:r>
              <w:rPr>
                <w:rFonts w:hint="eastAsia" w:ascii="宋体" w:hAnsi="宋体" w:eastAsia="宋体" w:cs="宋体"/>
                <w:spacing w:val="-4"/>
                <w:sz w:val="18"/>
                <w:szCs w:val="18"/>
                <w:lang w:eastAsia="zh-CN"/>
              </w:rPr>
              <w:t>：</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中层及以上管理人员</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专业技术人员</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办事人员和有关人员</w:t>
            </w:r>
          </w:p>
          <w:p>
            <w:pPr>
              <w:autoSpaceDE w:val="0"/>
              <w:autoSpaceDN w:val="0"/>
              <w:snapToGrid w:val="0"/>
              <w:spacing w:line="300" w:lineRule="exact"/>
              <w:ind w:right="-105" w:rightChars="-50"/>
              <w:jc w:val="left"/>
              <w:rPr>
                <w:rFonts w:hint="eastAsia" w:ascii="宋体" w:hAnsi="宋体" w:eastAsia="宋体" w:cs="宋体"/>
                <w:spacing w:val="-4"/>
                <w:sz w:val="18"/>
                <w:szCs w:val="18"/>
              </w:rPr>
            </w:pPr>
            <w:r>
              <w:rPr>
                <w:rFonts w:hint="eastAsia" w:ascii="宋体" w:hAnsi="宋体" w:eastAsia="宋体" w:cs="宋体"/>
                <w:spacing w:val="-4"/>
                <w:sz w:val="18"/>
                <w:szCs w:val="18"/>
              </w:rPr>
              <w:t xml:space="preserve">     社会生产服务和生活服务人员</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14"/>
                <w:sz w:val="18"/>
                <w:szCs w:val="18"/>
              </w:rPr>
            </w:pPr>
            <w:r>
              <w:rPr>
                <w:rFonts w:hint="eastAsia" w:ascii="宋体" w:hAnsi="宋体" w:eastAsia="宋体" w:cs="宋体"/>
                <w:spacing w:val="-4"/>
                <w:sz w:val="18"/>
                <w:szCs w:val="18"/>
              </w:rPr>
              <w:t>生产制造及有关人员</w:t>
            </w:r>
          </w:p>
          <w:p>
            <w:pPr>
              <w:autoSpaceDE w:val="0"/>
              <w:autoSpaceDN w:val="0"/>
              <w:snapToGrid w:val="0"/>
              <w:spacing w:line="300" w:lineRule="exact"/>
              <w:ind w:left="-105" w:leftChars="-50" w:right="-105" w:rightChars="-50" w:firstLine="344" w:firstLineChars="200"/>
              <w:jc w:val="left"/>
              <w:rPr>
                <w:rFonts w:hint="eastAsia" w:ascii="宋体" w:hAnsi="宋体" w:eastAsia="宋体" w:cs="宋体"/>
                <w:spacing w:val="-4"/>
                <w:sz w:val="18"/>
                <w:szCs w:val="18"/>
              </w:rPr>
            </w:pPr>
            <w:r>
              <w:rPr>
                <w:rFonts w:hint="eastAsia" w:ascii="宋体" w:hAnsi="宋体" w:eastAsia="宋体" w:cs="宋体"/>
                <w:spacing w:val="-4"/>
                <w:sz w:val="18"/>
                <w:szCs w:val="18"/>
              </w:rPr>
              <w:t>从业人员平均人数</w:t>
            </w:r>
          </w:p>
          <w:p>
            <w:pPr>
              <w:autoSpaceDE w:val="0"/>
              <w:autoSpaceDN w:val="0"/>
              <w:snapToGrid w:val="0"/>
              <w:spacing w:line="300" w:lineRule="exact"/>
              <w:ind w:left="-105" w:leftChars="-50" w:right="-105" w:rightChars="-50" w:firstLine="344" w:firstLineChars="200"/>
              <w:jc w:val="left"/>
              <w:rPr>
                <w:rFonts w:hint="eastAsia" w:ascii="宋体" w:hAnsi="宋体" w:eastAsia="宋体" w:cs="宋体"/>
                <w:spacing w:val="-4"/>
                <w:sz w:val="18"/>
                <w:szCs w:val="18"/>
                <w:lang w:eastAsia="zh-CN"/>
              </w:rPr>
            </w:pPr>
            <w:r>
              <w:rPr>
                <w:rFonts w:hint="eastAsia" w:ascii="宋体" w:hAnsi="宋体" w:eastAsia="宋体" w:cs="宋体"/>
                <w:spacing w:val="-4"/>
                <w:sz w:val="18"/>
                <w:szCs w:val="18"/>
              </w:rPr>
              <w:t>按人员类型分</w:t>
            </w:r>
            <w:r>
              <w:rPr>
                <w:rFonts w:hint="eastAsia" w:ascii="宋体" w:hAnsi="宋体" w:eastAsia="宋体" w:cs="宋体"/>
                <w:spacing w:val="-4"/>
                <w:sz w:val="18"/>
                <w:szCs w:val="18"/>
                <w:lang w:eastAsia="zh-CN"/>
              </w:rPr>
              <w:t>：</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在岗职工</w:t>
            </w:r>
          </w:p>
          <w:p>
            <w:pPr>
              <w:autoSpaceDE w:val="0"/>
              <w:autoSpaceDN w:val="0"/>
              <w:snapToGrid w:val="0"/>
              <w:spacing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劳务派遣人员</w:t>
            </w:r>
          </w:p>
          <w:p>
            <w:pPr>
              <w:autoSpaceDE w:val="0"/>
              <w:autoSpaceDN w:val="0"/>
              <w:snapToGrid w:val="0"/>
              <w:spacing w:after="63" w:afterLines="20" w:line="300" w:lineRule="exact"/>
              <w:ind w:left="-105" w:leftChars="-50"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其他从业人员</w:t>
            </w:r>
          </w:p>
          <w:p>
            <w:pPr>
              <w:autoSpaceDE w:val="0"/>
              <w:autoSpaceDN w:val="0"/>
              <w:snapToGrid w:val="0"/>
              <w:spacing w:before="31" w:beforeLines="10" w:line="300" w:lineRule="exact"/>
              <w:ind w:left="-105" w:leftChars="-50" w:right="-105" w:rightChars="-50" w:firstLine="344" w:firstLineChars="200"/>
              <w:jc w:val="left"/>
              <w:rPr>
                <w:rFonts w:hint="eastAsia" w:ascii="宋体" w:hAnsi="宋体" w:eastAsia="宋体" w:cs="宋体"/>
                <w:spacing w:val="-4"/>
                <w:sz w:val="18"/>
                <w:szCs w:val="18"/>
                <w:lang w:eastAsia="zh-CN"/>
              </w:rPr>
            </w:pPr>
            <w:r>
              <w:rPr>
                <w:rFonts w:hint="eastAsia" w:ascii="宋体" w:hAnsi="宋体" w:eastAsia="宋体" w:cs="宋体"/>
                <w:spacing w:val="-4"/>
                <w:sz w:val="18"/>
                <w:szCs w:val="18"/>
              </w:rPr>
              <w:t xml:space="preserve"> 按职业类型分</w:t>
            </w:r>
            <w:r>
              <w:rPr>
                <w:rFonts w:hint="eastAsia" w:ascii="宋体" w:hAnsi="宋体" w:eastAsia="宋体" w:cs="宋体"/>
                <w:spacing w:val="-4"/>
                <w:sz w:val="18"/>
                <w:szCs w:val="18"/>
                <w:lang w:eastAsia="zh-CN"/>
              </w:rPr>
              <w:t>：</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中层及以上管理人员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专业技术人员</w:t>
            </w:r>
          </w:p>
          <w:p>
            <w:pPr>
              <w:tabs>
                <w:tab w:val="left" w:pos="2445"/>
              </w:tabs>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办事人员和有关人员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社会生产服务和生活服务人员</w:t>
            </w:r>
          </w:p>
          <w:p>
            <w:pPr>
              <w:autoSpaceDE w:val="0"/>
              <w:autoSpaceDN w:val="0"/>
              <w:snapToGrid w:val="0"/>
              <w:spacing w:after="0" w:afterLines="0" w:line="300" w:lineRule="exact"/>
              <w:ind w:left="0" w:leftChars="0" w:right="-105" w:rightChars="-50" w:firstLine="456" w:firstLineChars="300"/>
              <w:jc w:val="left"/>
              <w:rPr>
                <w:rFonts w:hint="eastAsia" w:ascii="宋体" w:hAnsi="宋体" w:eastAsia="宋体" w:cs="宋体"/>
                <w:spacing w:val="-4"/>
                <w:sz w:val="18"/>
                <w:szCs w:val="18"/>
              </w:rPr>
            </w:pPr>
            <w:r>
              <w:rPr>
                <w:rFonts w:hint="eastAsia" w:ascii="宋体" w:hAnsi="宋体" w:eastAsia="宋体" w:cs="宋体"/>
                <w:spacing w:val="-14"/>
                <w:sz w:val="18"/>
                <w:szCs w:val="18"/>
              </w:rPr>
              <w:t xml:space="preserve"> </w:t>
            </w:r>
            <w:r>
              <w:rPr>
                <w:rFonts w:hint="default" w:ascii="宋体" w:hAnsi="宋体" w:eastAsia="宋体" w:cs="宋体"/>
                <w:spacing w:val="-4"/>
                <w:sz w:val="18"/>
                <w:szCs w:val="18"/>
                <w:lang w:val="en-US"/>
              </w:rPr>
              <w:t>生产制造及有关人员</w:t>
            </w:r>
          </w:p>
        </w:tc>
        <w:tc>
          <w:tcPr>
            <w:tcW w:w="622" w:type="dxa"/>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before="31" w:beforeLines="10"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before="31" w:beforeLines="10"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before="31" w:beforeLines="10"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人</w:t>
            </w:r>
          </w:p>
        </w:tc>
        <w:tc>
          <w:tcPr>
            <w:tcW w:w="502" w:type="dxa"/>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before="31" w:beforeLines="10"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01</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02</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05</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06</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07</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71</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72</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73</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74</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75</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08</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09</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10</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11</w:t>
            </w:r>
          </w:p>
          <w:p>
            <w:pPr>
              <w:autoSpaceDE w:val="0"/>
              <w:autoSpaceDN w:val="0"/>
              <w:snapToGrid w:val="0"/>
              <w:spacing w:before="31" w:beforeLines="10"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76</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77</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78</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79</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80</w:t>
            </w:r>
          </w:p>
        </w:tc>
        <w:tc>
          <w:tcPr>
            <w:tcW w:w="531" w:type="dxa"/>
            <w:tcBorders>
              <w:top w:val="single" w:color="auto" w:sz="2" w:space="0"/>
              <w:left w:val="single" w:color="auto" w:sz="2" w:space="0"/>
              <w:bottom w:val="single" w:color="auto" w:sz="8" w:space="0"/>
              <w:right w:val="single" w:color="auto" w:sz="2" w:space="0"/>
            </w:tcBorders>
            <w:noWrap w:val="0"/>
            <w:vAlign w:val="top"/>
          </w:tcPr>
          <w:p>
            <w:pPr>
              <w:snapToGrid w:val="0"/>
              <w:spacing w:line="300" w:lineRule="exact"/>
              <w:ind w:left="-105" w:leftChars="-50" w:right="-105" w:rightChars="-50"/>
              <w:jc w:val="center"/>
              <w:rPr>
                <w:rFonts w:hint="eastAsia" w:ascii="宋体" w:hAnsi="宋体" w:eastAsia="宋体" w:cs="宋体"/>
                <w:b/>
                <w:bCs/>
                <w:spacing w:val="-4"/>
                <w:sz w:val="18"/>
                <w:szCs w:val="18"/>
              </w:rPr>
            </w:pPr>
          </w:p>
        </w:tc>
        <w:tc>
          <w:tcPr>
            <w:tcW w:w="3023" w:type="dxa"/>
            <w:tcBorders>
              <w:top w:val="single" w:color="auto" w:sz="2" w:space="0"/>
              <w:left w:val="double" w:color="auto" w:sz="4" w:space="0"/>
              <w:bottom w:val="single" w:color="auto" w:sz="8" w:space="0"/>
              <w:right w:val="single" w:color="auto" w:sz="2" w:space="0"/>
            </w:tcBorders>
            <w:noWrap w:val="0"/>
            <w:vAlign w:val="top"/>
          </w:tcPr>
          <w:p>
            <w:pPr>
              <w:autoSpaceDE w:val="0"/>
              <w:autoSpaceDN w:val="0"/>
              <w:snapToGrid w:val="0"/>
              <w:spacing w:line="300" w:lineRule="exact"/>
              <w:ind w:right="-105" w:rightChars="-50"/>
              <w:jc w:val="left"/>
              <w:rPr>
                <w:rFonts w:hint="eastAsia" w:ascii="宋体" w:hAnsi="宋体" w:eastAsia="宋体" w:cs="宋体"/>
                <w:spacing w:val="-4"/>
                <w:sz w:val="18"/>
                <w:szCs w:val="18"/>
              </w:rPr>
            </w:pPr>
            <w:r>
              <w:rPr>
                <w:rFonts w:hint="eastAsia" w:ascii="宋体" w:hAnsi="宋体" w:eastAsia="宋体" w:cs="宋体"/>
                <w:spacing w:val="-4"/>
                <w:sz w:val="18"/>
                <w:szCs w:val="18"/>
              </w:rPr>
              <w:t>二、工资总额</w:t>
            </w:r>
          </w:p>
          <w:p>
            <w:pPr>
              <w:autoSpaceDE w:val="0"/>
              <w:autoSpaceDN w:val="0"/>
              <w:snapToGrid w:val="0"/>
              <w:spacing w:line="300" w:lineRule="exact"/>
              <w:ind w:right="-105" w:rightChars="-50" w:firstLine="344" w:firstLineChars="200"/>
              <w:jc w:val="left"/>
              <w:rPr>
                <w:rFonts w:hint="eastAsia" w:ascii="宋体" w:hAnsi="宋体" w:eastAsia="宋体" w:cs="宋体"/>
                <w:spacing w:val="-4"/>
                <w:sz w:val="18"/>
                <w:szCs w:val="18"/>
              </w:rPr>
            </w:pPr>
            <w:r>
              <w:rPr>
                <w:rFonts w:hint="eastAsia" w:ascii="宋体" w:hAnsi="宋体" w:eastAsia="宋体" w:cs="宋体"/>
                <w:spacing w:val="-4"/>
                <w:sz w:val="18"/>
                <w:szCs w:val="18"/>
              </w:rPr>
              <w:t>从业人员工资总额</w:t>
            </w:r>
          </w:p>
          <w:p>
            <w:pPr>
              <w:autoSpaceDE w:val="0"/>
              <w:autoSpaceDN w:val="0"/>
              <w:snapToGrid w:val="0"/>
              <w:spacing w:line="300" w:lineRule="exact"/>
              <w:ind w:right="-105" w:rightChars="-50" w:firstLine="344" w:firstLineChars="200"/>
              <w:jc w:val="left"/>
              <w:rPr>
                <w:rFonts w:hint="eastAsia" w:ascii="宋体" w:hAnsi="宋体" w:eastAsia="宋体" w:cs="宋体"/>
                <w:spacing w:val="-4"/>
                <w:sz w:val="18"/>
                <w:szCs w:val="18"/>
                <w:lang w:eastAsia="zh-CN"/>
              </w:rPr>
            </w:pPr>
            <w:r>
              <w:rPr>
                <w:rFonts w:hint="eastAsia" w:ascii="宋体" w:hAnsi="宋体" w:eastAsia="宋体" w:cs="宋体"/>
                <w:spacing w:val="-4"/>
                <w:sz w:val="18"/>
                <w:szCs w:val="18"/>
              </w:rPr>
              <w:t>按人员类型分</w:t>
            </w:r>
            <w:r>
              <w:rPr>
                <w:rFonts w:hint="eastAsia" w:ascii="宋体" w:hAnsi="宋体" w:eastAsia="宋体" w:cs="宋体"/>
                <w:spacing w:val="-4"/>
                <w:sz w:val="18"/>
                <w:szCs w:val="18"/>
                <w:lang w:eastAsia="zh-CN"/>
              </w:rPr>
              <w:t>：</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在岗职工</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劳务派遣人员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其他从业人员</w:t>
            </w:r>
          </w:p>
          <w:p>
            <w:pPr>
              <w:autoSpaceDE w:val="0"/>
              <w:autoSpaceDN w:val="0"/>
              <w:snapToGrid w:val="0"/>
              <w:spacing w:line="300" w:lineRule="exact"/>
              <w:ind w:right="-105" w:rightChars="-50" w:firstLine="344" w:firstLineChars="200"/>
              <w:jc w:val="left"/>
              <w:rPr>
                <w:rFonts w:hint="eastAsia" w:ascii="宋体" w:hAnsi="宋体" w:eastAsia="宋体" w:cs="宋体"/>
                <w:spacing w:val="-4"/>
                <w:sz w:val="18"/>
                <w:szCs w:val="18"/>
                <w:lang w:eastAsia="zh-CN"/>
              </w:rPr>
            </w:pPr>
            <w:r>
              <w:rPr>
                <w:rFonts w:hint="eastAsia" w:ascii="宋体" w:hAnsi="宋体" w:eastAsia="宋体" w:cs="宋体"/>
                <w:spacing w:val="-4"/>
                <w:sz w:val="18"/>
                <w:szCs w:val="18"/>
              </w:rPr>
              <w:t>按职业类型分</w:t>
            </w:r>
            <w:r>
              <w:rPr>
                <w:rFonts w:hint="eastAsia" w:ascii="宋体" w:hAnsi="宋体" w:eastAsia="宋体" w:cs="宋体"/>
                <w:spacing w:val="-4"/>
                <w:sz w:val="18"/>
                <w:szCs w:val="18"/>
                <w:lang w:eastAsia="zh-CN"/>
              </w:rPr>
              <w:t>：</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中层及以上管理人员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专业技术人员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办事人员和有关人员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rPr>
            </w:pPr>
            <w:r>
              <w:rPr>
                <w:rFonts w:hint="eastAsia" w:ascii="宋体" w:hAnsi="宋体" w:eastAsia="宋体" w:cs="宋体"/>
                <w:spacing w:val="-4"/>
                <w:sz w:val="18"/>
                <w:szCs w:val="18"/>
              </w:rPr>
              <w:t>社会生产服务和生活服务人员</w:t>
            </w:r>
          </w:p>
          <w:p>
            <w:pPr>
              <w:autoSpaceDE w:val="0"/>
              <w:autoSpaceDN w:val="0"/>
              <w:snapToGrid w:val="0"/>
              <w:spacing w:after="31" w:afterLines="10" w:line="300" w:lineRule="exact"/>
              <w:ind w:right="-105" w:rightChars="-50" w:firstLine="456" w:firstLineChars="300"/>
              <w:jc w:val="left"/>
              <w:rPr>
                <w:rFonts w:hint="eastAsia" w:ascii="宋体" w:hAnsi="宋体" w:eastAsia="宋体" w:cs="宋体"/>
                <w:spacing w:val="-4"/>
                <w:sz w:val="18"/>
                <w:szCs w:val="18"/>
              </w:rPr>
            </w:pPr>
            <w:r>
              <w:rPr>
                <w:rFonts w:hint="eastAsia" w:ascii="宋体" w:hAnsi="宋体" w:eastAsia="宋体" w:cs="宋体"/>
                <w:spacing w:val="-14"/>
                <w:sz w:val="18"/>
                <w:szCs w:val="18"/>
              </w:rPr>
              <w:t xml:space="preserve"> </w:t>
            </w:r>
            <w:r>
              <w:rPr>
                <w:rFonts w:hint="eastAsia" w:ascii="宋体" w:hAnsi="宋体" w:eastAsia="宋体" w:cs="宋体"/>
                <w:spacing w:val="-4"/>
                <w:sz w:val="18"/>
                <w:szCs w:val="18"/>
              </w:rPr>
              <w:t>生产制造及有关人员</w:t>
            </w:r>
          </w:p>
          <w:p>
            <w:pPr>
              <w:autoSpaceDE w:val="0"/>
              <w:autoSpaceDN w:val="0"/>
              <w:snapToGrid w:val="0"/>
              <w:spacing w:line="300" w:lineRule="exact"/>
              <w:ind w:right="-105" w:rightChars="-5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lang w:eastAsia="zh-CN"/>
              </w:rPr>
              <w:t>三</w:t>
            </w:r>
            <w:r>
              <w:rPr>
                <w:rFonts w:hint="eastAsia" w:ascii="宋体" w:hAnsi="宋体" w:eastAsia="宋体" w:cs="宋体"/>
                <w:spacing w:val="-4"/>
                <w:sz w:val="18"/>
                <w:szCs w:val="18"/>
                <w:shd w:val="clear" w:color="FFFFFF" w:fill="D9D9D9"/>
              </w:rPr>
              <w:t>、</w:t>
            </w:r>
            <w:r>
              <w:rPr>
                <w:rFonts w:hint="eastAsia" w:ascii="宋体" w:hAnsi="宋体" w:eastAsia="宋体" w:cs="宋体"/>
                <w:spacing w:val="-4"/>
                <w:sz w:val="18"/>
                <w:szCs w:val="18"/>
                <w:shd w:val="clear" w:color="FFFFFF" w:fill="D9D9D9"/>
                <w:lang w:eastAsia="zh-CN"/>
              </w:rPr>
              <w:t>平均</w:t>
            </w:r>
            <w:r>
              <w:rPr>
                <w:rFonts w:hint="eastAsia" w:ascii="宋体" w:hAnsi="宋体" w:eastAsia="宋体" w:cs="宋体"/>
                <w:spacing w:val="-4"/>
                <w:sz w:val="18"/>
                <w:szCs w:val="18"/>
                <w:shd w:val="clear" w:color="FFFFFF" w:fill="D9D9D9"/>
              </w:rPr>
              <w:t>工资</w:t>
            </w:r>
          </w:p>
          <w:p>
            <w:pPr>
              <w:autoSpaceDE w:val="0"/>
              <w:autoSpaceDN w:val="0"/>
              <w:snapToGrid w:val="0"/>
              <w:spacing w:line="300" w:lineRule="exact"/>
              <w:ind w:right="-105" w:rightChars="-50" w:firstLine="344" w:firstLineChars="20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从业人员</w:t>
            </w:r>
            <w:r>
              <w:rPr>
                <w:rFonts w:hint="eastAsia" w:ascii="宋体" w:hAnsi="宋体" w:eastAsia="宋体" w:cs="宋体"/>
                <w:spacing w:val="-4"/>
                <w:sz w:val="18"/>
                <w:szCs w:val="18"/>
                <w:shd w:val="clear" w:color="FFFFFF" w:fill="D9D9D9"/>
                <w:lang w:eastAsia="zh-CN"/>
              </w:rPr>
              <w:t>平均</w:t>
            </w:r>
            <w:r>
              <w:rPr>
                <w:rFonts w:hint="eastAsia" w:ascii="宋体" w:hAnsi="宋体" w:eastAsia="宋体" w:cs="宋体"/>
                <w:spacing w:val="-4"/>
                <w:sz w:val="18"/>
                <w:szCs w:val="18"/>
                <w:shd w:val="clear" w:color="FFFFFF" w:fill="D9D9D9"/>
              </w:rPr>
              <w:t>工资</w:t>
            </w:r>
          </w:p>
          <w:p>
            <w:pPr>
              <w:autoSpaceDE w:val="0"/>
              <w:autoSpaceDN w:val="0"/>
              <w:snapToGrid w:val="0"/>
              <w:spacing w:line="300" w:lineRule="exact"/>
              <w:ind w:right="-105" w:rightChars="-50" w:firstLine="344" w:firstLineChars="200"/>
              <w:jc w:val="left"/>
              <w:rPr>
                <w:rFonts w:hint="eastAsia" w:ascii="宋体" w:hAnsi="宋体" w:eastAsia="宋体" w:cs="宋体"/>
                <w:spacing w:val="-4"/>
                <w:sz w:val="18"/>
                <w:szCs w:val="18"/>
                <w:shd w:val="clear" w:color="FFFFFF" w:fill="D9D9D9"/>
                <w:lang w:eastAsia="zh-CN"/>
              </w:rPr>
            </w:pPr>
            <w:r>
              <w:rPr>
                <w:rFonts w:hint="eastAsia" w:ascii="宋体" w:hAnsi="宋体" w:eastAsia="宋体" w:cs="宋体"/>
                <w:spacing w:val="-4"/>
                <w:sz w:val="18"/>
                <w:szCs w:val="18"/>
                <w:shd w:val="clear" w:color="FFFFFF" w:fill="D9D9D9"/>
              </w:rPr>
              <w:t>按人员类型分</w:t>
            </w:r>
            <w:r>
              <w:rPr>
                <w:rFonts w:hint="eastAsia" w:ascii="宋体" w:hAnsi="宋体" w:eastAsia="宋体" w:cs="宋体"/>
                <w:spacing w:val="-4"/>
                <w:sz w:val="18"/>
                <w:szCs w:val="18"/>
                <w:shd w:val="clear" w:color="FFFFFF" w:fill="D9D9D9"/>
                <w:lang w:eastAsia="zh-CN"/>
              </w:rPr>
              <w:t>：</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在岗职工</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劳务派遣人员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其他从业人员</w:t>
            </w:r>
          </w:p>
          <w:p>
            <w:pPr>
              <w:autoSpaceDE w:val="0"/>
              <w:autoSpaceDN w:val="0"/>
              <w:snapToGrid w:val="0"/>
              <w:spacing w:line="300" w:lineRule="exact"/>
              <w:ind w:right="-105" w:rightChars="-50" w:firstLine="344" w:firstLineChars="200"/>
              <w:jc w:val="left"/>
              <w:rPr>
                <w:rFonts w:hint="eastAsia" w:ascii="宋体" w:hAnsi="宋体" w:eastAsia="宋体" w:cs="宋体"/>
                <w:spacing w:val="-4"/>
                <w:sz w:val="18"/>
                <w:szCs w:val="18"/>
                <w:shd w:val="clear" w:color="FFFFFF" w:fill="D9D9D9"/>
                <w:lang w:eastAsia="zh-CN"/>
              </w:rPr>
            </w:pPr>
            <w:r>
              <w:rPr>
                <w:rFonts w:hint="eastAsia" w:ascii="宋体" w:hAnsi="宋体" w:eastAsia="宋体" w:cs="宋体"/>
                <w:spacing w:val="-4"/>
                <w:sz w:val="18"/>
                <w:szCs w:val="18"/>
                <w:shd w:val="clear" w:color="FFFFFF" w:fill="D9D9D9"/>
              </w:rPr>
              <w:t>按职业类型分</w:t>
            </w:r>
            <w:r>
              <w:rPr>
                <w:rFonts w:hint="eastAsia" w:ascii="宋体" w:hAnsi="宋体" w:eastAsia="宋体" w:cs="宋体"/>
                <w:spacing w:val="-4"/>
                <w:sz w:val="18"/>
                <w:szCs w:val="18"/>
                <w:shd w:val="clear" w:color="FFFFFF" w:fill="D9D9D9"/>
                <w:lang w:eastAsia="zh-CN"/>
              </w:rPr>
              <w:t>：</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中层及以上管理人员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专业技术人员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办事人员和有关人员</w:t>
            </w:r>
          </w:p>
          <w:p>
            <w:pPr>
              <w:autoSpaceDE w:val="0"/>
              <w:autoSpaceDN w:val="0"/>
              <w:snapToGrid w:val="0"/>
              <w:spacing w:line="300" w:lineRule="exact"/>
              <w:ind w:right="-105" w:rightChars="-50" w:firstLine="516" w:firstLineChars="300"/>
              <w:jc w:val="left"/>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社会生产服务和生活服务人员</w:t>
            </w:r>
          </w:p>
          <w:p>
            <w:pPr>
              <w:autoSpaceDE w:val="0"/>
              <w:autoSpaceDN w:val="0"/>
              <w:snapToGrid w:val="0"/>
              <w:spacing w:after="31" w:afterLines="10" w:line="300" w:lineRule="exact"/>
              <w:ind w:right="-105" w:rightChars="-50" w:firstLine="456" w:firstLineChars="300"/>
              <w:jc w:val="left"/>
              <w:rPr>
                <w:rFonts w:hint="eastAsia" w:ascii="宋体" w:hAnsi="宋体" w:eastAsia="宋体" w:cs="宋体"/>
                <w:spacing w:val="-4"/>
                <w:sz w:val="18"/>
                <w:szCs w:val="18"/>
              </w:rPr>
            </w:pPr>
            <w:r>
              <w:rPr>
                <w:rFonts w:hint="eastAsia" w:ascii="宋体" w:hAnsi="宋体" w:eastAsia="宋体" w:cs="宋体"/>
                <w:spacing w:val="-14"/>
                <w:sz w:val="18"/>
                <w:szCs w:val="18"/>
                <w:shd w:val="clear" w:color="FFFFFF" w:fill="D9D9D9"/>
              </w:rPr>
              <w:t xml:space="preserve"> </w:t>
            </w:r>
            <w:r>
              <w:rPr>
                <w:rFonts w:hint="eastAsia" w:ascii="宋体" w:hAnsi="宋体" w:eastAsia="宋体" w:cs="宋体"/>
                <w:spacing w:val="-4"/>
                <w:sz w:val="18"/>
                <w:szCs w:val="18"/>
                <w:shd w:val="clear" w:color="FFFFFF" w:fill="D9D9D9"/>
              </w:rPr>
              <w:t>生产制造及有关人员</w:t>
            </w:r>
          </w:p>
        </w:tc>
        <w:tc>
          <w:tcPr>
            <w:tcW w:w="636" w:type="dxa"/>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千元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w:t>
            </w:r>
          </w:p>
          <w:p>
            <w:pPr>
              <w:autoSpaceDE w:val="0"/>
              <w:autoSpaceDN w:val="0"/>
              <w:snapToGrid w:val="0"/>
              <w:spacing w:line="300" w:lineRule="exact"/>
              <w:ind w:left="-105" w:leftChars="-50" w:right="-105" w:rightChars="-50"/>
              <w:jc w:val="center"/>
            </w:pPr>
            <w:r>
              <w:rPr>
                <w:rFonts w:hint="eastAsia" w:ascii="宋体" w:hAnsi="宋体" w:eastAsia="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元</w:t>
            </w:r>
          </w:p>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shd w:val="clear" w:color="FFFFFF" w:fill="D9D9D9"/>
              </w:rPr>
            </w:pPr>
            <w:r>
              <w:rPr>
                <w:rFonts w:hint="eastAsia" w:ascii="宋体" w:hAnsi="宋体" w:eastAsia="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shd w:val="clear" w:color="FFFFFF" w:fill="D9D9D9"/>
              </w:rPr>
              <w:t>元</w:t>
            </w:r>
          </w:p>
        </w:tc>
        <w:tc>
          <w:tcPr>
            <w:tcW w:w="538" w:type="dxa"/>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12</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13</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18</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19</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81</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82</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83</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84</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rPr>
            </w:pPr>
            <w:r>
              <w:rPr>
                <w:rFonts w:hint="eastAsia" w:ascii="宋体" w:hAnsi="宋体" w:eastAsia="宋体" w:cs="宋体"/>
                <w:spacing w:val="-4"/>
                <w:sz w:val="18"/>
                <w:szCs w:val="18"/>
              </w:rPr>
              <w:t>85</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hint="default" w:ascii="宋体" w:hAnsi="宋体" w:eastAsia="宋体" w:cs="宋体"/>
                <w:spacing w:val="-4"/>
                <w:sz w:val="18"/>
                <w:szCs w:val="18"/>
                <w:shd w:val="clear" w:color="FFFFFF" w:fill="D9D9D9"/>
                <w:lang w:val="en-US"/>
              </w:rPr>
            </w:pPr>
            <w:r>
              <w:rPr>
                <w:rFonts w:hint="default" w:ascii="宋体" w:hAnsi="宋体" w:eastAsia="宋体" w:cs="宋体"/>
                <w:spacing w:val="-4"/>
                <w:sz w:val="18"/>
                <w:szCs w:val="18"/>
                <w:shd w:val="clear" w:color="FFFFFF" w:fill="D9D9D9"/>
                <w:lang w:val="en-US"/>
              </w:rPr>
              <w:t>20</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hint="default" w:ascii="宋体" w:hAnsi="宋体" w:eastAsia="宋体" w:cs="宋体"/>
                <w:spacing w:val="-4"/>
                <w:sz w:val="18"/>
                <w:szCs w:val="18"/>
                <w:shd w:val="clear" w:color="FFFFFF" w:fill="D9D9D9"/>
                <w:lang w:val="en-US"/>
              </w:rPr>
            </w:pPr>
            <w:r>
              <w:rPr>
                <w:rFonts w:hint="default" w:ascii="宋体" w:hAnsi="宋体" w:eastAsia="宋体" w:cs="宋体"/>
                <w:spacing w:val="-4"/>
                <w:sz w:val="18"/>
                <w:szCs w:val="18"/>
                <w:shd w:val="clear" w:color="FFFFFF" w:fill="D9D9D9"/>
                <w:lang w:val="en-US"/>
              </w:rPr>
              <w:t>21</w:t>
            </w:r>
          </w:p>
          <w:p>
            <w:pPr>
              <w:autoSpaceDE w:val="0"/>
              <w:autoSpaceDN w:val="0"/>
              <w:snapToGrid w:val="0"/>
              <w:spacing w:line="300" w:lineRule="exact"/>
              <w:ind w:left="-105" w:leftChars="-50" w:right="-105" w:rightChars="-50"/>
              <w:jc w:val="center"/>
              <w:rPr>
                <w:rFonts w:hint="default" w:ascii="宋体" w:hAnsi="宋体" w:eastAsia="宋体" w:cs="宋体"/>
                <w:spacing w:val="-4"/>
                <w:sz w:val="18"/>
                <w:szCs w:val="18"/>
                <w:shd w:val="clear" w:color="FFFFFF" w:fill="D9D9D9"/>
                <w:lang w:val="en-US"/>
              </w:rPr>
            </w:pPr>
            <w:r>
              <w:rPr>
                <w:rFonts w:hint="default" w:ascii="宋体" w:hAnsi="宋体" w:eastAsia="宋体" w:cs="宋体"/>
                <w:spacing w:val="-4"/>
                <w:sz w:val="18"/>
                <w:szCs w:val="18"/>
                <w:shd w:val="clear" w:color="FFFFFF" w:fill="D9D9D9"/>
                <w:lang w:val="en-US"/>
              </w:rPr>
              <w:t>22</w:t>
            </w:r>
          </w:p>
          <w:p>
            <w:pPr>
              <w:autoSpaceDE w:val="0"/>
              <w:autoSpaceDN w:val="0"/>
              <w:snapToGrid w:val="0"/>
              <w:spacing w:line="300" w:lineRule="exact"/>
              <w:ind w:left="-105" w:leftChars="-50" w:right="-105" w:rightChars="-50"/>
              <w:jc w:val="center"/>
              <w:rPr>
                <w:rFonts w:hint="default" w:ascii="宋体" w:hAnsi="宋体" w:eastAsia="宋体" w:cs="宋体"/>
                <w:spacing w:val="-4"/>
                <w:sz w:val="18"/>
                <w:szCs w:val="18"/>
                <w:shd w:val="clear" w:color="FFFFFF" w:fill="D9D9D9"/>
                <w:lang w:val="en-US"/>
              </w:rPr>
            </w:pPr>
            <w:r>
              <w:rPr>
                <w:rFonts w:hint="default" w:ascii="宋体" w:hAnsi="宋体" w:eastAsia="宋体" w:cs="宋体"/>
                <w:spacing w:val="-4"/>
                <w:sz w:val="18"/>
                <w:szCs w:val="18"/>
                <w:shd w:val="clear" w:color="FFFFFF" w:fill="D9D9D9"/>
                <w:lang w:val="en-US"/>
              </w:rPr>
              <w:t>23</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8</w:t>
            </w:r>
            <w:r>
              <w:rPr>
                <w:rFonts w:hint="default" w:ascii="宋体" w:hAnsi="宋体" w:eastAsia="宋体" w:cs="宋体"/>
                <w:spacing w:val="-4"/>
                <w:sz w:val="18"/>
                <w:szCs w:val="18"/>
                <w:shd w:val="clear" w:color="FFFFFF" w:fill="D9D9D9"/>
                <w:lang w:val="en-US"/>
              </w:rPr>
              <w:t>6</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8</w:t>
            </w:r>
            <w:r>
              <w:rPr>
                <w:rFonts w:hint="default" w:ascii="宋体" w:hAnsi="宋体" w:eastAsia="宋体" w:cs="宋体"/>
                <w:spacing w:val="-4"/>
                <w:sz w:val="18"/>
                <w:szCs w:val="18"/>
                <w:shd w:val="clear" w:color="FFFFFF" w:fill="D9D9D9"/>
                <w:lang w:val="en-US"/>
              </w:rPr>
              <w:t>7</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8</w:t>
            </w:r>
            <w:r>
              <w:rPr>
                <w:rFonts w:hint="default" w:ascii="宋体" w:hAnsi="宋体" w:eastAsia="宋体" w:cs="宋体"/>
                <w:spacing w:val="-4"/>
                <w:sz w:val="18"/>
                <w:szCs w:val="18"/>
                <w:shd w:val="clear" w:color="FFFFFF" w:fill="D9D9D9"/>
                <w:lang w:val="en-US"/>
              </w:rPr>
              <w:t>8</w:t>
            </w:r>
          </w:p>
          <w:p>
            <w:pPr>
              <w:autoSpaceDE w:val="0"/>
              <w:autoSpaceDN w:val="0"/>
              <w:snapToGrid w:val="0"/>
              <w:spacing w:line="300" w:lineRule="exact"/>
              <w:ind w:left="-105" w:leftChars="-50" w:right="-105" w:rightChars="-50"/>
              <w:jc w:val="center"/>
              <w:rPr>
                <w:rFonts w:hint="eastAsia" w:ascii="宋体" w:hAnsi="宋体" w:eastAsia="宋体" w:cs="宋体"/>
                <w:spacing w:val="-4"/>
                <w:sz w:val="18"/>
                <w:szCs w:val="18"/>
                <w:shd w:val="clear" w:color="FFFFFF" w:fill="D9D9D9"/>
              </w:rPr>
            </w:pPr>
            <w:r>
              <w:rPr>
                <w:rFonts w:hint="eastAsia" w:ascii="宋体" w:hAnsi="宋体" w:eastAsia="宋体" w:cs="宋体"/>
                <w:spacing w:val="-4"/>
                <w:sz w:val="18"/>
                <w:szCs w:val="18"/>
                <w:shd w:val="clear" w:color="FFFFFF" w:fill="D9D9D9"/>
              </w:rPr>
              <w:t>8</w:t>
            </w:r>
            <w:r>
              <w:rPr>
                <w:rFonts w:hint="default" w:ascii="宋体" w:hAnsi="宋体" w:eastAsia="宋体" w:cs="宋体"/>
                <w:spacing w:val="-4"/>
                <w:sz w:val="18"/>
                <w:szCs w:val="18"/>
                <w:shd w:val="clear" w:color="FFFFFF" w:fill="D9D9D9"/>
                <w:lang w:val="en-US"/>
              </w:rPr>
              <w:t>9</w:t>
            </w:r>
          </w:p>
          <w:p>
            <w:pPr>
              <w:snapToGrid w:val="0"/>
              <w:spacing w:line="300" w:lineRule="exact"/>
              <w:ind w:left="-105" w:leftChars="-50" w:right="-105" w:rightChars="-50"/>
              <w:jc w:val="center"/>
              <w:rPr>
                <w:rFonts w:hint="default" w:ascii="宋体" w:hAnsi="宋体" w:eastAsia="宋体" w:cs="宋体"/>
                <w:spacing w:val="-4"/>
                <w:sz w:val="18"/>
                <w:szCs w:val="18"/>
                <w:lang w:val="en-US"/>
              </w:rPr>
            </w:pPr>
            <w:r>
              <w:rPr>
                <w:rFonts w:hint="default" w:ascii="宋体" w:hAnsi="宋体" w:eastAsia="宋体" w:cs="宋体"/>
                <w:spacing w:val="-4"/>
                <w:sz w:val="18"/>
                <w:szCs w:val="18"/>
                <w:shd w:val="clear" w:color="FFFFFF" w:fill="D9D9D9"/>
                <w:lang w:val="en-US"/>
              </w:rPr>
              <w:t>90</w:t>
            </w:r>
          </w:p>
        </w:tc>
        <w:tc>
          <w:tcPr>
            <w:tcW w:w="467" w:type="dxa"/>
            <w:tcBorders>
              <w:top w:val="single" w:color="auto" w:sz="2" w:space="0"/>
              <w:left w:val="single" w:color="auto" w:sz="2" w:space="0"/>
              <w:bottom w:val="single" w:color="auto" w:sz="8" w:space="0"/>
              <w:right w:val="nil"/>
            </w:tcBorders>
            <w:noWrap w:val="0"/>
            <w:vAlign w:val="top"/>
          </w:tcPr>
          <w:p>
            <w:pPr>
              <w:snapToGrid w:val="0"/>
              <w:spacing w:line="300" w:lineRule="exact"/>
              <w:ind w:left="-105" w:leftChars="-50" w:right="-105" w:rightChars="-50"/>
              <w:jc w:val="center"/>
              <w:rPr>
                <w:rFonts w:hint="eastAsia" w:ascii="宋体" w:hAnsi="宋体" w:eastAsia="宋体" w:cs="宋体"/>
                <w:b/>
                <w:bCs/>
                <w:spacing w:val="-4"/>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exact"/>
        <w:ind w:left="126" w:leftChars="60" w:right="105" w:rightChars="50"/>
        <w:textAlignment w:val="auto"/>
        <w:rPr>
          <w:rFonts w:hint="eastAsia" w:ascii="宋体" w:hAnsi="宋体" w:eastAsia="宋体" w:cs="宋体"/>
          <w:kern w:val="0"/>
          <w:sz w:val="18"/>
          <w:szCs w:val="18"/>
        </w:rPr>
      </w:pPr>
      <w:r>
        <w:rPr>
          <w:rFonts w:hint="eastAsia" w:ascii="宋体" w:hAnsi="宋体" w:eastAsia="宋体" w:cs="宋体"/>
          <w:kern w:val="0"/>
          <w:sz w:val="18"/>
          <w:szCs w:val="18"/>
        </w:rPr>
        <w:t xml:space="preserve">单位负责人：        统计负责人：        填表人：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 xml:space="preserve"> 联系电话：  </w:t>
      </w:r>
      <w:r>
        <w:rPr>
          <w:rFonts w:hint="eastAsia" w:ascii="宋体" w:hAnsi="宋体" w:eastAsia="宋体" w:cs="宋体"/>
          <w:sz w:val="18"/>
          <w:szCs w:val="18"/>
        </w:rPr>
        <w:t xml:space="preserve"> </w:t>
      </w:r>
      <w:r>
        <w:rPr>
          <w:rFonts w:hint="eastAsia" w:ascii="宋体" w:hAnsi="宋体" w:eastAsia="宋体" w:cs="宋体"/>
          <w:kern w:val="0"/>
          <w:sz w:val="18"/>
          <w:szCs w:val="18"/>
        </w:rPr>
        <w:t xml:space="preserve">        报出日期：2 0   年   月   日</w:t>
      </w:r>
    </w:p>
    <w:p>
      <w:pPr>
        <w:kinsoku w:val="0"/>
        <w:overflowPunct w:val="0"/>
        <w:adjustRightInd w:val="0"/>
        <w:snapToGrid w:val="0"/>
        <w:spacing w:line="240" w:lineRule="exact"/>
        <w:ind w:left="1619" w:leftChars="-1" w:hanging="1621" w:hangingChars="901"/>
        <w:rPr>
          <w:rFonts w:ascii="宋体" w:hAnsi="宋体" w:cs="宋体"/>
          <w:bCs/>
          <w:color w:val="000000"/>
          <w:kern w:val="0"/>
          <w:sz w:val="18"/>
          <w:szCs w:val="18"/>
        </w:rPr>
      </w:pPr>
    </w:p>
    <w:p>
      <w:pPr>
        <w:kinsoku w:val="0"/>
        <w:overflowPunct w:val="0"/>
        <w:adjustRightInd w:val="0"/>
        <w:snapToGrid w:val="0"/>
        <w:spacing w:line="240" w:lineRule="exact"/>
        <w:ind w:left="1619" w:leftChars="-1" w:hanging="1621" w:hangingChars="901"/>
        <w:rPr>
          <w:rFonts w:hint="eastAsia" w:ascii="宋体"/>
          <w:color w:val="000000"/>
          <w:sz w:val="18"/>
        </w:rPr>
      </w:pPr>
      <w:r>
        <w:rPr>
          <w:rFonts w:hint="eastAsia" w:ascii="宋体" w:hAnsi="宋体" w:cs="宋体"/>
          <w:bCs/>
          <w:color w:val="000000"/>
          <w:kern w:val="0"/>
          <w:sz w:val="18"/>
          <w:szCs w:val="18"/>
        </w:rPr>
        <w:t>说明：1.统计范围：</w:t>
      </w:r>
      <w:r>
        <w:rPr>
          <w:rFonts w:hint="eastAsia" w:ascii="宋体" w:hAnsi="宋体"/>
          <w:color w:val="000000"/>
          <w:sz w:val="18"/>
          <w:szCs w:val="18"/>
        </w:rPr>
        <w:t>辖区内限额以上</w:t>
      </w:r>
      <w:r>
        <w:rPr>
          <w:rFonts w:hint="eastAsia" w:ascii="宋体" w:hAnsi="宋体"/>
          <w:color w:val="000000"/>
          <w:sz w:val="18"/>
          <w:szCs w:val="18"/>
          <w:lang w:eastAsia="zh-CN"/>
        </w:rPr>
        <w:t>服务业</w:t>
      </w:r>
      <w:r>
        <w:rPr>
          <w:rFonts w:hint="eastAsia" w:ascii="宋体" w:hAnsi="宋体"/>
          <w:color w:val="000000"/>
          <w:sz w:val="18"/>
          <w:szCs w:val="18"/>
        </w:rPr>
        <w:t>法人单位。</w:t>
      </w:r>
    </w:p>
    <w:p>
      <w:pPr>
        <w:snapToGrid w:val="0"/>
        <w:spacing w:line="240" w:lineRule="exact"/>
        <w:ind w:left="2160" w:leftChars="257" w:hanging="1620" w:hangingChars="900"/>
        <w:rPr>
          <w:rFonts w:hint="eastAsia" w:ascii="宋体"/>
          <w:color w:val="000000"/>
          <w:sz w:val="18"/>
        </w:rPr>
      </w:pPr>
      <w:r>
        <w:rPr>
          <w:rFonts w:hint="eastAsia" w:ascii="宋体" w:hAnsi="宋体" w:cs="宋体"/>
          <w:bCs/>
          <w:color w:val="000000"/>
          <w:kern w:val="0"/>
          <w:sz w:val="18"/>
          <w:szCs w:val="18"/>
        </w:rPr>
        <w:t>2.报送日期及方式：一套表平台12月31日0</w:t>
      </w:r>
      <w:r>
        <w:rPr>
          <w:rFonts w:hint="eastAsia" w:ascii="宋体" w:hAnsi="宋体" w:cs="宋体"/>
          <w:bCs/>
          <w:color w:val="000000"/>
          <w:kern w:val="0"/>
          <w:sz w:val="18"/>
          <w:szCs w:val="18"/>
          <w:lang w:eastAsia="zh-CN"/>
        </w:rPr>
        <w:t>时</w:t>
      </w:r>
      <w:r>
        <w:rPr>
          <w:rFonts w:hint="eastAsia" w:ascii="宋体" w:hAnsi="宋体" w:cs="宋体"/>
          <w:bCs/>
          <w:color w:val="000000"/>
          <w:kern w:val="0"/>
          <w:sz w:val="18"/>
          <w:szCs w:val="18"/>
        </w:rPr>
        <w:t>开网；</w:t>
      </w:r>
      <w:r>
        <w:rPr>
          <w:rFonts w:hint="eastAsia" w:ascii="宋体"/>
          <w:color w:val="000000"/>
          <w:sz w:val="18"/>
        </w:rPr>
        <w:t>调查单位次年</w:t>
      </w:r>
      <w:r>
        <w:rPr>
          <w:rFonts w:hint="eastAsia" w:ascii="宋体"/>
          <w:color w:val="000000"/>
          <w:sz w:val="18"/>
          <w:lang w:val="en-US" w:eastAsia="zh-CN"/>
        </w:rPr>
        <w:t>1</w:t>
      </w:r>
      <w:r>
        <w:rPr>
          <w:rFonts w:hint="eastAsia" w:ascii="宋体"/>
          <w:color w:val="000000"/>
          <w:sz w:val="18"/>
        </w:rPr>
        <w:t>月</w:t>
      </w:r>
      <w:r>
        <w:rPr>
          <w:rFonts w:hint="eastAsia" w:ascii="宋体"/>
          <w:color w:val="000000"/>
          <w:sz w:val="18"/>
          <w:lang w:val="en-US" w:eastAsia="zh-CN"/>
        </w:rPr>
        <w:t>9</w:t>
      </w:r>
      <w:r>
        <w:rPr>
          <w:rFonts w:hint="eastAsia" w:ascii="宋体"/>
          <w:color w:val="000000"/>
          <w:sz w:val="18"/>
        </w:rPr>
        <w:t>日</w:t>
      </w:r>
      <w:r>
        <w:rPr>
          <w:rFonts w:hint="eastAsia" w:ascii="宋体"/>
          <w:color w:val="000000"/>
          <w:sz w:val="18"/>
          <w:lang w:val="en-US" w:eastAsia="zh-CN"/>
        </w:rPr>
        <w:t>12</w:t>
      </w:r>
      <w:r>
        <w:rPr>
          <w:rFonts w:hint="eastAsia" w:ascii="宋体"/>
          <w:color w:val="000000"/>
          <w:sz w:val="18"/>
          <w:lang w:eastAsia="zh-CN"/>
        </w:rPr>
        <w:t>时</w:t>
      </w:r>
      <w:r>
        <w:rPr>
          <w:rFonts w:hint="eastAsia" w:ascii="宋体"/>
          <w:color w:val="000000"/>
          <w:sz w:val="18"/>
        </w:rPr>
        <w:t>前独立自行网上填报；</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color w:val="000000"/>
          <w:sz w:val="18"/>
        </w:rPr>
        <w:t>。</w:t>
      </w:r>
    </w:p>
    <w:p>
      <w:pPr>
        <w:autoSpaceDE/>
        <w:autoSpaceDN/>
        <w:snapToGrid w:val="0"/>
        <w:spacing w:line="220" w:lineRule="exact"/>
        <w:ind w:left="540" w:leftChars="257" w:firstLine="0" w:firstLineChars="0"/>
        <w:rPr>
          <w:rFonts w:hint="eastAsia"/>
        </w:rPr>
      </w:pPr>
      <w:r>
        <w:rPr>
          <w:rFonts w:hint="eastAsia" w:ascii="宋体" w:hAnsi="Times New Roman" w:eastAsia="宋体" w:cs="Times New Roman"/>
          <w:color w:val="000000"/>
          <w:sz w:val="18"/>
        </w:rPr>
        <w:t>3.</w:t>
      </w:r>
      <w:r>
        <w:rPr>
          <w:rFonts w:hint="eastAsia" w:ascii="宋体" w:hAnsi="Times New Roman" w:eastAsia="宋体" w:cs="Times New Roman"/>
          <w:color w:val="000000"/>
          <w:sz w:val="18"/>
          <w:lang w:val="en-US" w:eastAsia="zh-CN"/>
        </w:rPr>
        <w:t>从业人员平均工资由联网直报平台根据调查单位填报数据计算生成，调查单位无需填写</w:t>
      </w:r>
      <w:r>
        <w:rPr>
          <w:rFonts w:hint="eastAsia" w:ascii="宋体" w:eastAsia="宋体" w:cs="Times New Roman"/>
          <w:color w:val="000000"/>
          <w:sz w:val="18"/>
          <w:lang w:val="en-US" w:eastAsia="zh-CN"/>
        </w:rPr>
        <w:t>。</w:t>
      </w:r>
    </w:p>
    <w:p>
      <w:pPr>
        <w:kinsoku w:val="0"/>
        <w:overflowPunct w:val="0"/>
        <w:adjustRightInd w:val="0"/>
        <w:snapToGrid w:val="0"/>
        <w:spacing w:line="240" w:lineRule="exact"/>
        <w:ind w:left="0" w:leftChars="0" w:firstLine="540" w:firstLineChars="300"/>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rPr>
        <w:t>.审核关系：</w:t>
      </w:r>
    </w:p>
    <w:p>
      <w:pPr>
        <w:snapToGrid w:val="0"/>
        <w:spacing w:line="240" w:lineRule="exact"/>
        <w:ind w:firstLine="720" w:firstLineChars="400"/>
        <w:rPr>
          <w:rFonts w:ascii="宋体" w:hAnsi="宋体" w:cs="宋体"/>
          <w:color w:val="000000"/>
          <w:kern w:val="0"/>
          <w:sz w:val="18"/>
          <w:szCs w:val="18"/>
        </w:rPr>
      </w:pPr>
      <w:r>
        <w:rPr>
          <w:rFonts w:hint="eastAsia" w:ascii="宋体" w:hAnsi="宋体" w:cs="宋体"/>
          <w:color w:val="000000"/>
          <w:kern w:val="0"/>
          <w:sz w:val="18"/>
          <w:szCs w:val="18"/>
        </w:rPr>
        <w:t>（1）01≥02              （2）01=05+06+07      （3）01=71+72+73+74+75     （4）08=09+10+11</w:t>
      </w:r>
    </w:p>
    <w:p>
      <w:pPr>
        <w:pStyle w:val="9"/>
        <w:ind w:firstLine="720" w:firstLineChars="400"/>
        <w:jc w:val="both"/>
        <w:rPr>
          <w:rFonts w:hint="eastAsia" w:ascii="宋体" w:hAnsi="宋体" w:cs="宋体"/>
          <w:color w:val="000000"/>
          <w:kern w:val="0"/>
          <w:sz w:val="18"/>
          <w:szCs w:val="18"/>
        </w:rPr>
      </w:pPr>
      <w:r>
        <w:rPr>
          <w:rFonts w:hint="eastAsia" w:ascii="宋体" w:hAnsi="宋体" w:cs="宋体"/>
          <w:color w:val="000000"/>
          <w:kern w:val="0"/>
          <w:sz w:val="18"/>
          <w:szCs w:val="18"/>
        </w:rPr>
        <w:t xml:space="preserve">（5）08=76+77+78+79+80   （6）12=13+18+19      （7）12=81+82+83+84+85 </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3"/>
        <w:rPr>
          <w:rFonts w:hint="eastAsia" w:ascii="宋体" w:hAnsi="宋体" w:eastAsia="宋体" w:cs="宋体"/>
          <w:sz w:val="32"/>
          <w:szCs w:val="32"/>
        </w:rPr>
      </w:pPr>
      <w:r>
        <w:rPr>
          <w:rFonts w:hint="eastAsia" w:ascii="宋体" w:hAnsi="宋体"/>
          <w:sz w:val="32"/>
          <w:szCs w:val="32"/>
        </w:rPr>
        <w:br w:type="page"/>
      </w:r>
      <w:r>
        <w:rPr>
          <w:rFonts w:ascii="Nimbus Roman No9 L" w:hAnsi="Nimbus Roman No9 L" w:cs="Nimbus Roman No9 L"/>
          <w:sz w:val="32"/>
          <w:szCs w:val="32"/>
        </w:rPr>
        <w:t>财务状况</w:t>
      </w:r>
    </w:p>
    <w:tbl>
      <w:tblPr>
        <w:tblStyle w:val="31"/>
        <w:tblW w:w="9421" w:type="dxa"/>
        <w:jc w:val="center"/>
        <w:tblLayout w:type="autofit"/>
        <w:tblCellMar>
          <w:top w:w="0" w:type="dxa"/>
          <w:left w:w="0" w:type="dxa"/>
          <w:bottom w:w="0" w:type="dxa"/>
          <w:right w:w="0" w:type="dxa"/>
        </w:tblCellMar>
      </w:tblPr>
      <w:tblGrid>
        <w:gridCol w:w="3023"/>
        <w:gridCol w:w="1246"/>
        <w:gridCol w:w="2002"/>
        <w:gridCol w:w="1133"/>
        <w:gridCol w:w="2017"/>
      </w:tblGrid>
      <w:tr>
        <w:tblPrEx>
          <w:tblCellMar>
            <w:top w:w="0" w:type="dxa"/>
            <w:left w:w="0" w:type="dxa"/>
            <w:bottom w:w="0" w:type="dxa"/>
            <w:right w:w="0" w:type="dxa"/>
          </w:tblCellMar>
        </w:tblPrEx>
        <w:trPr>
          <w:trHeight w:val="227" w:hRule="exact"/>
          <w:jc w:val="center"/>
        </w:trPr>
        <w:tc>
          <w:tcPr>
            <w:tcW w:w="3023" w:type="dxa"/>
            <w:noWrap w:val="0"/>
            <w:vAlign w:val="top"/>
          </w:tcPr>
          <w:p>
            <w:pPr>
              <w:spacing w:line="200" w:lineRule="exact"/>
              <w:rPr>
                <w:rFonts w:hint="eastAsia" w:ascii="宋体" w:hAnsi="宋体" w:eastAsia="宋体" w:cs="宋体"/>
                <w:sz w:val="18"/>
                <w:szCs w:val="18"/>
              </w:rPr>
            </w:pPr>
          </w:p>
        </w:tc>
        <w:tc>
          <w:tcPr>
            <w:tcW w:w="1246" w:type="dxa"/>
            <w:noWrap w:val="0"/>
            <w:vAlign w:val="top"/>
          </w:tcPr>
          <w:p>
            <w:pPr>
              <w:spacing w:line="200" w:lineRule="exact"/>
              <w:rPr>
                <w:rFonts w:hint="eastAsia" w:ascii="宋体" w:hAnsi="宋体" w:eastAsia="宋体" w:cs="宋体"/>
                <w:sz w:val="18"/>
                <w:szCs w:val="18"/>
              </w:rPr>
            </w:pPr>
          </w:p>
        </w:tc>
        <w:tc>
          <w:tcPr>
            <w:tcW w:w="2002" w:type="dxa"/>
            <w:noWrap w:val="0"/>
            <w:vAlign w:val="top"/>
          </w:tcPr>
          <w:p>
            <w:pPr>
              <w:spacing w:line="200" w:lineRule="exact"/>
              <w:rPr>
                <w:rFonts w:hint="eastAsia" w:ascii="宋体" w:hAnsi="宋体" w:eastAsia="宋体" w:cs="宋体"/>
                <w:sz w:val="18"/>
                <w:szCs w:val="18"/>
              </w:rPr>
            </w:pPr>
          </w:p>
        </w:tc>
        <w:tc>
          <w:tcPr>
            <w:tcW w:w="1133" w:type="dxa"/>
            <w:noWrap w:val="0"/>
            <w:tcMar>
              <w:left w:w="0" w:type="dxa"/>
              <w:right w:w="0" w:type="dxa"/>
            </w:tcMar>
            <w:vAlign w:val="top"/>
          </w:tcPr>
          <w:p>
            <w:pPr>
              <w:spacing w:line="220" w:lineRule="exact"/>
              <w:ind w:right="-63" w:rightChars="-30"/>
              <w:jc w:val="right"/>
              <w:rPr>
                <w:rFonts w:hint="eastAsia" w:ascii="宋体" w:hAnsi="宋体" w:eastAsia="宋体" w:cs="宋体"/>
                <w:sz w:val="18"/>
                <w:szCs w:val="18"/>
              </w:rPr>
            </w:pPr>
            <w:r>
              <w:rPr>
                <w:rFonts w:hint="eastAsia" w:ascii="宋体" w:hAnsi="宋体" w:eastAsia="宋体" w:cs="宋体"/>
                <w:sz w:val="18"/>
                <w:szCs w:val="18"/>
              </w:rPr>
              <w:t>表    号：</w:t>
            </w:r>
          </w:p>
        </w:tc>
        <w:tc>
          <w:tcPr>
            <w:tcW w:w="2017" w:type="dxa"/>
            <w:noWrap w:val="0"/>
            <w:tcMar>
              <w:left w:w="0" w:type="dxa"/>
              <w:right w:w="0" w:type="dxa"/>
            </w:tcMar>
            <w:vAlign w:val="center"/>
          </w:tcPr>
          <w:p>
            <w:pPr>
              <w:spacing w:line="200" w:lineRule="exact"/>
              <w:jc w:val="distribute"/>
              <w:rPr>
                <w:rFonts w:hint="eastAsia" w:ascii="宋体" w:hAnsi="宋体" w:eastAsia="宋体" w:cs="宋体"/>
                <w:sz w:val="18"/>
                <w:szCs w:val="18"/>
              </w:rPr>
            </w:pPr>
            <w:r>
              <w:rPr>
                <w:rFonts w:hint="eastAsia" w:ascii="宋体" w:hAnsi="宋体" w:eastAsia="宋体" w:cs="宋体"/>
                <w:sz w:val="18"/>
                <w:szCs w:val="18"/>
                <w:lang w:val="en-US" w:eastAsia="zh-CN"/>
              </w:rPr>
              <w:t>F１03</w:t>
            </w:r>
            <w:r>
              <w:rPr>
                <w:rFonts w:hint="eastAsia" w:ascii="宋体" w:hAnsi="宋体" w:eastAsia="宋体" w:cs="宋体"/>
                <w:sz w:val="18"/>
                <w:szCs w:val="18"/>
              </w:rPr>
              <w:t>表</w:t>
            </w:r>
          </w:p>
        </w:tc>
      </w:tr>
      <w:tr>
        <w:tblPrEx>
          <w:tblCellMar>
            <w:top w:w="0" w:type="dxa"/>
            <w:left w:w="0" w:type="dxa"/>
            <w:bottom w:w="0" w:type="dxa"/>
            <w:right w:w="0" w:type="dxa"/>
          </w:tblCellMar>
        </w:tblPrEx>
        <w:trPr>
          <w:trHeight w:val="200" w:hRule="exact"/>
          <w:jc w:val="center"/>
        </w:trPr>
        <w:tc>
          <w:tcPr>
            <w:tcW w:w="6271" w:type="dxa"/>
            <w:gridSpan w:val="3"/>
            <w:noWrap w:val="0"/>
            <w:vAlign w:val="bottom"/>
          </w:tcPr>
          <w:p>
            <w:pPr>
              <w:spacing w:line="200" w:lineRule="exact"/>
              <w:rPr>
                <w:rFonts w:hint="eastAsia" w:ascii="宋体" w:hAnsi="宋体" w:eastAsia="宋体" w:cs="宋体"/>
                <w:sz w:val="18"/>
                <w:szCs w:val="18"/>
              </w:rPr>
            </w:pPr>
          </w:p>
        </w:tc>
        <w:tc>
          <w:tcPr>
            <w:tcW w:w="1133" w:type="dxa"/>
            <w:noWrap w:val="0"/>
            <w:tcMar>
              <w:left w:w="0" w:type="dxa"/>
              <w:right w:w="0" w:type="dxa"/>
            </w:tcMar>
            <w:vAlign w:val="top"/>
          </w:tcPr>
          <w:p>
            <w:pPr>
              <w:spacing w:line="220" w:lineRule="exact"/>
              <w:ind w:right="-63" w:rightChars="-30"/>
              <w:jc w:val="right"/>
              <w:rPr>
                <w:rFonts w:hint="eastAsia" w:ascii="宋体" w:hAnsi="宋体" w:eastAsia="宋体" w:cs="宋体"/>
                <w:sz w:val="18"/>
                <w:szCs w:val="18"/>
              </w:rPr>
            </w:pPr>
            <w:r>
              <w:rPr>
                <w:rFonts w:hint="eastAsia" w:ascii="宋体" w:hAnsi="宋体" w:eastAsia="宋体" w:cs="宋体"/>
                <w:sz w:val="18"/>
                <w:szCs w:val="18"/>
              </w:rPr>
              <w:t>制定机关：</w:t>
            </w:r>
          </w:p>
        </w:tc>
        <w:tc>
          <w:tcPr>
            <w:tcW w:w="2017" w:type="dxa"/>
            <w:noWrap w:val="0"/>
            <w:tcMar>
              <w:left w:w="0" w:type="dxa"/>
              <w:right w:w="0" w:type="dxa"/>
            </w:tcMar>
            <w:vAlign w:val="center"/>
          </w:tcPr>
          <w:p>
            <w:pPr>
              <w:spacing w:line="200" w:lineRule="exact"/>
              <w:ind w:left="21" w:leftChars="10" w:right="21" w:rightChars="10"/>
              <w:jc w:val="distribute"/>
              <w:rPr>
                <w:rFonts w:hint="eastAsia" w:ascii="宋体" w:hAnsi="宋体" w:eastAsia="宋体" w:cs="宋体"/>
                <w:sz w:val="18"/>
                <w:szCs w:val="18"/>
              </w:rPr>
            </w:pPr>
            <w:r>
              <w:rPr>
                <w:rFonts w:hint="eastAsia" w:ascii="宋体" w:hAnsi="宋体" w:eastAsia="宋体" w:cs="宋体"/>
                <w:sz w:val="18"/>
                <w:szCs w:val="18"/>
              </w:rPr>
              <w:t>国 家 统 计 局</w:t>
            </w:r>
          </w:p>
        </w:tc>
      </w:tr>
      <w:tr>
        <w:tblPrEx>
          <w:tblCellMar>
            <w:top w:w="0" w:type="dxa"/>
            <w:left w:w="0" w:type="dxa"/>
            <w:bottom w:w="0" w:type="dxa"/>
            <w:right w:w="0" w:type="dxa"/>
          </w:tblCellMar>
        </w:tblPrEx>
        <w:trPr>
          <w:trHeight w:val="227" w:hRule="exact"/>
          <w:jc w:val="center"/>
        </w:trPr>
        <w:tc>
          <w:tcPr>
            <w:tcW w:w="6271" w:type="dxa"/>
            <w:gridSpan w:val="3"/>
            <w:noWrap w:val="0"/>
            <w:vAlign w:val="bottom"/>
          </w:tcPr>
          <w:p>
            <w:pPr>
              <w:spacing w:line="200" w:lineRule="exact"/>
              <w:rPr>
                <w:rFonts w:hint="eastAsia" w:ascii="宋体" w:hAnsi="宋体" w:eastAsia="宋体" w:cs="宋体"/>
                <w:sz w:val="18"/>
                <w:szCs w:val="18"/>
              </w:rPr>
            </w:pPr>
            <w:r>
              <w:rPr>
                <w:rFonts w:hint="eastAsia" w:ascii="宋体" w:hAnsi="宋体" w:eastAsia="宋体" w:cs="宋体"/>
                <w:sz w:val="18"/>
                <w:szCs w:val="18"/>
              </w:rPr>
              <w:t>统一社会信用代码□□□□□□□□□□□□□□□□□□</w:t>
            </w:r>
          </w:p>
        </w:tc>
        <w:tc>
          <w:tcPr>
            <w:tcW w:w="1133" w:type="dxa"/>
            <w:noWrap w:val="0"/>
            <w:tcMar>
              <w:left w:w="0" w:type="dxa"/>
              <w:right w:w="0" w:type="dxa"/>
            </w:tcMar>
            <w:vAlign w:val="center"/>
          </w:tcPr>
          <w:p>
            <w:pPr>
              <w:spacing w:line="220" w:lineRule="exact"/>
              <w:ind w:right="-63" w:rightChars="-30"/>
              <w:jc w:val="right"/>
              <w:rPr>
                <w:rFonts w:hint="eastAsia" w:ascii="宋体" w:hAnsi="宋体" w:eastAsia="宋体" w:cs="宋体"/>
                <w:sz w:val="18"/>
                <w:szCs w:val="18"/>
              </w:rPr>
            </w:pPr>
            <w:r>
              <w:rPr>
                <w:rFonts w:hint="eastAsia" w:ascii="宋体" w:hAnsi="宋体" w:eastAsia="宋体" w:cs="宋体"/>
                <w:sz w:val="18"/>
                <w:szCs w:val="18"/>
              </w:rPr>
              <w:t>文    号：</w:t>
            </w:r>
          </w:p>
        </w:tc>
        <w:tc>
          <w:tcPr>
            <w:tcW w:w="2017" w:type="dxa"/>
            <w:noWrap w:val="0"/>
            <w:tcMar>
              <w:left w:w="0" w:type="dxa"/>
              <w:right w:w="0" w:type="dxa"/>
            </w:tcMar>
            <w:vAlign w:val="center"/>
          </w:tcPr>
          <w:p>
            <w:pPr>
              <w:spacing w:line="220" w:lineRule="exact"/>
              <w:ind w:left="21" w:leftChars="10" w:right="21" w:rightChars="10"/>
              <w:jc w:val="distribute"/>
              <w:rPr>
                <w:rFonts w:hint="eastAsia" w:ascii="宋体" w:hAnsi="宋体" w:eastAsia="宋体" w:cs="宋体"/>
                <w:sz w:val="18"/>
                <w:szCs w:val="18"/>
                <w:lang w:eastAsia="zh-CN"/>
              </w:rPr>
            </w:pPr>
            <w:r>
              <w:rPr>
                <w:rFonts w:hint="eastAsia" w:ascii="宋体" w:hAnsi="宋体" w:eastAsia="宋体" w:cs="宋体"/>
                <w:snapToGrid w:val="0"/>
                <w:kern w:val="10"/>
                <w:sz w:val="18"/>
                <w:szCs w:val="18"/>
              </w:rPr>
              <w:t>国统字〔</w:t>
            </w:r>
            <w:r>
              <w:rPr>
                <w:rFonts w:hint="eastAsia" w:ascii="宋体" w:hAnsi="宋体" w:cs="宋体"/>
                <w:snapToGrid w:val="0"/>
                <w:kern w:val="10"/>
                <w:sz w:val="18"/>
                <w:szCs w:val="18"/>
                <w:lang w:val="en-US" w:eastAsia="zh-CN"/>
              </w:rPr>
              <w:t>２０２４</w:t>
            </w:r>
            <w:r>
              <w:rPr>
                <w:rFonts w:hint="eastAsia" w:ascii="宋体" w:hAnsi="宋体" w:eastAsia="宋体" w:cs="宋体"/>
                <w:snapToGrid w:val="0"/>
                <w:kern w:val="10"/>
                <w:sz w:val="18"/>
                <w:szCs w:val="18"/>
              </w:rPr>
              <w:t>〕</w:t>
            </w:r>
            <w:r>
              <w:rPr>
                <w:rFonts w:hint="eastAsia" w:ascii="宋体" w:hAnsi="宋体" w:cs="宋体"/>
                <w:snapToGrid w:val="0"/>
                <w:kern w:val="10"/>
                <w:sz w:val="18"/>
                <w:szCs w:val="18"/>
                <w:lang w:val="en-US" w:eastAsia="zh-CN"/>
              </w:rPr>
              <w:t>77</w:t>
            </w:r>
            <w:r>
              <w:rPr>
                <w:rFonts w:hint="eastAsia" w:ascii="宋体" w:hAnsi="宋体" w:eastAsia="宋体" w:cs="宋体"/>
                <w:snapToGrid w:val="0"/>
                <w:kern w:val="10"/>
                <w:sz w:val="18"/>
                <w:szCs w:val="18"/>
                <w:lang w:eastAsia="zh-CN"/>
              </w:rPr>
              <w:t>号</w:t>
            </w:r>
          </w:p>
        </w:tc>
      </w:tr>
      <w:tr>
        <w:tblPrEx>
          <w:tblCellMar>
            <w:top w:w="0" w:type="dxa"/>
            <w:left w:w="0" w:type="dxa"/>
            <w:bottom w:w="0" w:type="dxa"/>
            <w:right w:w="0" w:type="dxa"/>
          </w:tblCellMar>
        </w:tblPrEx>
        <w:trPr>
          <w:trHeight w:val="227" w:hRule="exact"/>
          <w:jc w:val="center"/>
        </w:trPr>
        <w:tc>
          <w:tcPr>
            <w:tcW w:w="3023" w:type="dxa"/>
            <w:noWrap w:val="0"/>
            <w:vAlign w:val="bottom"/>
          </w:tcPr>
          <w:p>
            <w:pPr>
              <w:spacing w:line="200" w:lineRule="exact"/>
              <w:rPr>
                <w:rFonts w:hint="eastAsia" w:ascii="宋体" w:hAnsi="宋体" w:eastAsia="宋体" w:cs="宋体"/>
                <w:sz w:val="18"/>
                <w:szCs w:val="18"/>
              </w:rPr>
            </w:pPr>
            <w:r>
              <w:rPr>
                <w:rFonts w:hint="eastAsia" w:ascii="宋体" w:hAnsi="宋体" w:eastAsia="宋体" w:cs="宋体"/>
                <w:sz w:val="18"/>
              </w:rPr>
              <w:t>单位详细名称：</w:t>
            </w:r>
          </w:p>
        </w:tc>
        <w:tc>
          <w:tcPr>
            <w:tcW w:w="1246" w:type="dxa"/>
            <w:noWrap w:val="0"/>
            <w:vAlign w:val="bottom"/>
          </w:tcPr>
          <w:p>
            <w:pPr>
              <w:spacing w:line="200" w:lineRule="exact"/>
              <w:rPr>
                <w:rFonts w:hint="eastAsia" w:ascii="宋体" w:hAnsi="宋体" w:eastAsia="宋体" w:cs="宋体"/>
                <w:sz w:val="18"/>
                <w:szCs w:val="18"/>
              </w:rPr>
            </w:pPr>
          </w:p>
        </w:tc>
        <w:tc>
          <w:tcPr>
            <w:tcW w:w="2002" w:type="dxa"/>
            <w:noWrap w:val="0"/>
            <w:vAlign w:val="bottom"/>
          </w:tcPr>
          <w:p>
            <w:pPr>
              <w:spacing w:line="200" w:lineRule="exact"/>
              <w:rPr>
                <w:rFonts w:hint="eastAsia" w:ascii="宋体" w:hAnsi="宋体" w:eastAsia="宋体" w:cs="宋体"/>
                <w:sz w:val="18"/>
                <w:szCs w:val="18"/>
              </w:rPr>
            </w:pPr>
            <w:r>
              <w:rPr>
                <w:rFonts w:hint="eastAsia" w:ascii="宋体" w:hAnsi="宋体" w:eastAsia="宋体" w:cs="宋体"/>
                <w:kern w:val="0"/>
                <w:sz w:val="18"/>
                <w:szCs w:val="18"/>
                <w:lang w:val="en-US" w:eastAsia="zh-CN"/>
              </w:rPr>
              <w:t xml:space="preserve"> </w:t>
            </w:r>
            <w:r>
              <w:rPr>
                <w:rFonts w:hint="eastAsia" w:ascii="宋体" w:hAnsi="宋体" w:eastAsia="宋体" w:cs="宋体"/>
                <w:spacing w:val="90"/>
                <w:kern w:val="0"/>
                <w:sz w:val="18"/>
                <w:szCs w:val="18"/>
                <w:fitText w:val="450" w:id="2146251356"/>
                <w:lang w:val="en-US" w:eastAsia="zh-CN"/>
              </w:rPr>
              <w:t>20</w:t>
            </w:r>
            <w:r>
              <w:rPr>
                <w:rFonts w:hint="eastAsia" w:ascii="宋体" w:hAnsi="宋体" w:eastAsia="宋体" w:cs="宋体"/>
                <w:spacing w:val="0"/>
                <w:kern w:val="0"/>
                <w:sz w:val="18"/>
                <w:szCs w:val="18"/>
                <w:fitText w:val="450" w:id="2146251356"/>
                <w:lang w:val="en-US" w:eastAsia="zh-CN"/>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sz w:val="18"/>
                <w:szCs w:val="18"/>
              </w:rPr>
              <w:t>年</w:t>
            </w:r>
          </w:p>
        </w:tc>
        <w:tc>
          <w:tcPr>
            <w:tcW w:w="1133" w:type="dxa"/>
            <w:noWrap w:val="0"/>
            <w:tcMar>
              <w:left w:w="0" w:type="dxa"/>
              <w:right w:w="0" w:type="dxa"/>
            </w:tcMar>
            <w:vAlign w:val="center"/>
          </w:tcPr>
          <w:p>
            <w:pPr>
              <w:spacing w:line="220" w:lineRule="exact"/>
              <w:ind w:right="-63" w:rightChars="-30"/>
              <w:jc w:val="right"/>
              <w:rPr>
                <w:rFonts w:hint="eastAsia" w:ascii="宋体" w:hAnsi="宋体" w:eastAsia="宋体" w:cs="宋体"/>
                <w:sz w:val="18"/>
                <w:szCs w:val="18"/>
              </w:rPr>
            </w:pPr>
            <w:r>
              <w:rPr>
                <w:rFonts w:hint="eastAsia" w:ascii="宋体" w:hAnsi="宋体" w:eastAsia="宋体" w:cs="宋体"/>
                <w:sz w:val="18"/>
                <w:szCs w:val="18"/>
              </w:rPr>
              <w:t>有效期至：</w:t>
            </w:r>
          </w:p>
        </w:tc>
        <w:tc>
          <w:tcPr>
            <w:tcW w:w="2017" w:type="dxa"/>
            <w:noWrap w:val="0"/>
            <w:tcMar>
              <w:left w:w="0" w:type="dxa"/>
              <w:right w:w="0" w:type="dxa"/>
            </w:tcMar>
            <w:vAlign w:val="center"/>
          </w:tcPr>
          <w:p>
            <w:pPr>
              <w:spacing w:line="220" w:lineRule="exact"/>
              <w:ind w:left="21" w:leftChars="10" w:right="21" w:rightChars="10"/>
              <w:jc w:val="distribute"/>
              <w:rPr>
                <w:rFonts w:hint="eastAsia" w:ascii="宋体" w:hAnsi="宋体" w:eastAsia="宋体" w:cs="宋体"/>
                <w:sz w:val="18"/>
                <w:szCs w:val="18"/>
              </w:rPr>
            </w:pPr>
            <w:r>
              <w:rPr>
                <w:rFonts w:hint="eastAsia" w:ascii="宋体" w:hAnsi="宋体" w:eastAsia="宋体" w:cs="宋体"/>
                <w:sz w:val="18"/>
                <w:szCs w:val="18"/>
                <w:lang w:val="en-US" w:eastAsia="zh-CN"/>
              </w:rPr>
              <w:t>202</w:t>
            </w:r>
            <w:r>
              <w:rPr>
                <w:rFonts w:hint="eastAsia" w:ascii="宋体" w:hAnsi="宋体" w:cs="宋体"/>
                <w:sz w:val="18"/>
                <w:szCs w:val="18"/>
                <w:lang w:val="en-US" w:eastAsia="zh-CN"/>
              </w:rPr>
              <w:t>5</w:t>
            </w:r>
            <w:r>
              <w:rPr>
                <w:rFonts w:hint="eastAsia" w:ascii="宋体" w:hAnsi="宋体" w:eastAsia="宋体" w:cs="宋体"/>
                <w:sz w:val="18"/>
                <w:szCs w:val="18"/>
              </w:rPr>
              <w:t>年</w:t>
            </w:r>
            <w:r>
              <w:rPr>
                <w:rFonts w:hint="eastAsia" w:ascii="宋体" w:hAnsi="宋体" w:cs="宋体"/>
                <w:sz w:val="18"/>
                <w:szCs w:val="18"/>
                <w:lang w:val="en-US" w:eastAsia="zh-CN"/>
              </w:rPr>
              <w:t>6</w:t>
            </w:r>
            <w:r>
              <w:rPr>
                <w:rFonts w:hint="eastAsia" w:ascii="宋体" w:hAnsi="宋体" w:eastAsia="宋体" w:cs="宋体"/>
                <w:sz w:val="18"/>
                <w:szCs w:val="18"/>
              </w:rPr>
              <w:t>月</w:t>
            </w:r>
          </w:p>
        </w:tc>
      </w:tr>
    </w:tbl>
    <w:p>
      <w:pPr>
        <w:spacing w:line="40" w:lineRule="exact"/>
        <w:rPr>
          <w:rFonts w:hint="eastAsia" w:ascii="宋体" w:hAnsi="宋体" w:eastAsia="宋体" w:cs="宋体"/>
          <w:vanish/>
          <w:u w:val="single"/>
        </w:rPr>
      </w:pPr>
    </w:p>
    <w:tbl>
      <w:tblPr>
        <w:tblStyle w:val="31"/>
        <w:tblW w:w="9422" w:type="dxa"/>
        <w:jc w:val="center"/>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3474"/>
        <w:gridCol w:w="1144"/>
        <w:gridCol w:w="1144"/>
        <w:gridCol w:w="1830"/>
        <w:gridCol w:w="1830"/>
      </w:tblGrid>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rPr>
          <w:cantSplit/>
          <w:trHeight w:val="322" w:hRule="atLeast"/>
          <w:jc w:val="center"/>
        </w:trPr>
        <w:tc>
          <w:tcPr>
            <w:tcW w:w="1843" w:type="pct"/>
            <w:tcBorders>
              <w:right w:val="single" w:color="auto" w:sz="2" w:space="0"/>
            </w:tcBorders>
            <w:shd w:val="clear" w:color="auto" w:fill="auto"/>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指标名称</w:t>
            </w:r>
          </w:p>
        </w:tc>
        <w:tc>
          <w:tcPr>
            <w:tcW w:w="607" w:type="pct"/>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计量单位</w:t>
            </w:r>
          </w:p>
        </w:tc>
        <w:tc>
          <w:tcPr>
            <w:tcW w:w="607" w:type="pct"/>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代码</w:t>
            </w:r>
          </w:p>
        </w:tc>
        <w:tc>
          <w:tcPr>
            <w:tcW w:w="971" w:type="pct"/>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本年</w:t>
            </w:r>
          </w:p>
        </w:tc>
        <w:tc>
          <w:tcPr>
            <w:tcW w:w="971" w:type="pct"/>
            <w:tcBorders>
              <w:left w:val="single" w:color="auto" w:sz="2" w:space="0"/>
            </w:tcBorders>
            <w:shd w:val="clear" w:color="auto" w:fill="D7D7D7"/>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上年</w:t>
            </w:r>
          </w:p>
        </w:tc>
      </w:tr>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rPr>
          <w:cantSplit/>
          <w:trHeight w:val="272" w:hRule="atLeast"/>
          <w:jc w:val="center"/>
        </w:trPr>
        <w:tc>
          <w:tcPr>
            <w:tcW w:w="1843" w:type="pct"/>
            <w:tcBorders>
              <w:right w:val="single" w:color="auto" w:sz="2" w:space="0"/>
            </w:tcBorders>
            <w:shd w:val="clear" w:color="auto" w:fill="auto"/>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甲</w:t>
            </w:r>
          </w:p>
        </w:tc>
        <w:tc>
          <w:tcPr>
            <w:tcW w:w="607" w:type="pct"/>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乙</w:t>
            </w:r>
          </w:p>
        </w:tc>
        <w:tc>
          <w:tcPr>
            <w:tcW w:w="607" w:type="pct"/>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丙</w:t>
            </w:r>
          </w:p>
        </w:tc>
        <w:tc>
          <w:tcPr>
            <w:tcW w:w="971" w:type="pct"/>
            <w:tcBorders>
              <w:left w:val="single" w:color="auto" w:sz="2" w:space="0"/>
              <w:right w:val="single" w:color="auto" w:sz="2" w:space="0"/>
            </w:tcBorders>
            <w:shd w:val="clear" w:color="auto" w:fill="auto"/>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71" w:type="pct"/>
            <w:tcBorders>
              <w:left w:val="single" w:color="auto" w:sz="2" w:space="0"/>
            </w:tcBorders>
            <w:shd w:val="clear" w:color="auto" w:fill="D7D7D7"/>
            <w:noWrap w:val="0"/>
            <w:vAlign w:val="center"/>
          </w:tcPr>
          <w:p>
            <w:pPr>
              <w:keepNext w:val="0"/>
              <w:keepLines w:val="0"/>
              <w:pageBreakBefore w:val="0"/>
              <w:widowControl w:val="0"/>
              <w:kinsoku/>
              <w:wordWrap/>
              <w:overflowPunct/>
              <w:topLinePunct w:val="0"/>
              <w:bidi w:val="0"/>
              <w:adjustRightInd/>
              <w:snapToGrid w:val="0"/>
              <w:spacing w:line="1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rPr>
          <w:cantSplit/>
          <w:jc w:val="center"/>
        </w:trPr>
        <w:tc>
          <w:tcPr>
            <w:tcW w:w="1843" w:type="pct"/>
            <w:tcBorders>
              <w:right w:val="single" w:color="auto" w:sz="2" w:space="0"/>
            </w:tcBorders>
            <w:noWrap w:val="0"/>
            <w:vAlign w:val="top"/>
          </w:tcPr>
          <w:p>
            <w:pPr>
              <w:keepNext w:val="0"/>
              <w:keepLines w:val="0"/>
              <w:pageBreakBefore w:val="0"/>
              <w:widowControl w:val="0"/>
              <w:kinsoku/>
              <w:wordWrap/>
              <w:overflowPunct/>
              <w:topLinePunct w:val="0"/>
              <w:bidi w:val="0"/>
              <w:adjustRightInd/>
              <w:snapToGrid w:val="0"/>
              <w:spacing w:before="0" w:beforeLines="0" w:line="21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一、年初存货</w:t>
            </w:r>
          </w:p>
          <w:p>
            <w:pPr>
              <w:keepNext w:val="0"/>
              <w:keepLines w:val="0"/>
              <w:pageBreakBefore w:val="0"/>
              <w:widowControl w:val="0"/>
              <w:kinsoku/>
              <w:wordWrap/>
              <w:overflowPunct/>
              <w:topLinePunct w:val="0"/>
              <w:bidi w:val="0"/>
              <w:adjustRightInd/>
              <w:snapToGrid w:val="0"/>
              <w:spacing w:beforeLines="0" w:line="21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二、期末资产负债</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流动资产合计</w:t>
            </w:r>
          </w:p>
          <w:p>
            <w:pPr>
              <w:snapToGrid w:val="0"/>
              <w:spacing w:beforeLines="0" w:line="210" w:lineRule="exact"/>
              <w:ind w:firstLine="360"/>
              <w:jc w:val="left"/>
            </w:pPr>
            <w:r>
              <w:rPr>
                <w:rFonts w:hint="eastAsia" w:ascii="宋体" w:hAnsi="宋体" w:eastAsia="宋体" w:cs="宋体"/>
                <w:sz w:val="18"/>
                <w:szCs w:val="18"/>
              </w:rPr>
              <w:t xml:space="preserve">  其中：应收账款</w:t>
            </w:r>
          </w:p>
          <w:p>
            <w:pPr>
              <w:keepNext w:val="0"/>
              <w:keepLines w:val="0"/>
              <w:pageBreakBefore w:val="0"/>
              <w:widowControl w:val="0"/>
              <w:kinsoku/>
              <w:wordWrap/>
              <w:overflowPunct/>
              <w:topLinePunct w:val="0"/>
              <w:bidi w:val="0"/>
              <w:adjustRightInd/>
              <w:snapToGrid w:val="0"/>
              <w:spacing w:beforeLines="0" w:line="210" w:lineRule="exact"/>
              <w:ind w:firstLine="1080" w:firstLineChars="600"/>
              <w:jc w:val="left"/>
              <w:textAlignment w:val="auto"/>
              <w:rPr>
                <w:rFonts w:hint="eastAsia" w:ascii="宋体" w:hAnsi="宋体" w:eastAsia="宋体" w:cs="宋体"/>
                <w:sz w:val="18"/>
                <w:szCs w:val="18"/>
              </w:rPr>
            </w:pPr>
            <w:r>
              <w:rPr>
                <w:rFonts w:hint="eastAsia" w:ascii="宋体" w:hAnsi="宋体" w:eastAsia="宋体" w:cs="宋体"/>
                <w:sz w:val="18"/>
                <w:szCs w:val="18"/>
              </w:rPr>
              <w:t>存货</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固定资产原价</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其中：房屋和构筑物</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机器和设备</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累计折旧</w:t>
            </w:r>
          </w:p>
          <w:p>
            <w:pPr>
              <w:snapToGrid w:val="0"/>
              <w:spacing w:beforeLines="0" w:line="210" w:lineRule="exact"/>
              <w:ind w:firstLine="540" w:firstLineChars="300"/>
              <w:jc w:val="left"/>
            </w:pPr>
            <w:r>
              <w:rPr>
                <w:rFonts w:hint="eastAsia" w:ascii="宋体" w:hAnsi="宋体" w:eastAsia="宋体" w:cs="宋体"/>
                <w:sz w:val="18"/>
                <w:szCs w:val="18"/>
              </w:rPr>
              <w:t>其中：本年折旧</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无形资产</w:t>
            </w:r>
          </w:p>
          <w:p>
            <w:pPr>
              <w:spacing w:beforeLines="0" w:line="210" w:lineRule="exact"/>
            </w:pPr>
            <w:r>
              <w:rPr>
                <w:rFonts w:hint="eastAsia" w:ascii="宋体" w:hAnsi="宋体" w:eastAsia="宋体" w:cs="宋体"/>
                <w:sz w:val="18"/>
                <w:szCs w:val="18"/>
              </w:rPr>
              <w:t xml:space="preserve">  其中：土地使用权</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资产总计</w:t>
            </w:r>
          </w:p>
          <w:p>
            <w:pPr>
              <w:pStyle w:val="43"/>
              <w:keepNext w:val="0"/>
              <w:keepLines w:val="0"/>
              <w:pageBreakBefore w:val="0"/>
              <w:widowControl w:val="0"/>
              <w:kinsoku/>
              <w:wordWrap/>
              <w:overflowPunct/>
              <w:topLinePunct w:val="0"/>
              <w:bidi w:val="0"/>
              <w:adjustRightInd/>
              <w:snapToGrid w:val="0"/>
              <w:spacing w:before="0" w:beforeLines="0" w:beforeAutospacing="0" w:after="0" w:afterAutospacing="0" w:line="210" w:lineRule="exact"/>
              <w:ind w:firstLine="360" w:firstLineChars="200"/>
              <w:jc w:val="left"/>
              <w:textAlignment w:val="auto"/>
              <w:rPr>
                <w:rFonts w:hint="eastAsia" w:ascii="宋体" w:hAnsi="宋体" w:eastAsia="宋体" w:cs="宋体"/>
                <w:color w:val="auto"/>
                <w:kern w:val="2"/>
              </w:rPr>
            </w:pPr>
            <w:r>
              <w:rPr>
                <w:rFonts w:hint="eastAsia" w:ascii="宋体" w:hAnsi="宋体" w:eastAsia="宋体" w:cs="宋体"/>
                <w:color w:val="auto"/>
                <w:kern w:val="2"/>
              </w:rPr>
              <w:t>负债合计</w:t>
            </w:r>
          </w:p>
          <w:p>
            <w:pPr>
              <w:pStyle w:val="43"/>
              <w:keepNext w:val="0"/>
              <w:keepLines w:val="0"/>
              <w:pageBreakBefore w:val="0"/>
              <w:widowControl w:val="0"/>
              <w:kinsoku/>
              <w:wordWrap/>
              <w:overflowPunct/>
              <w:topLinePunct w:val="0"/>
              <w:bidi w:val="0"/>
              <w:adjustRightInd/>
              <w:snapToGrid w:val="0"/>
              <w:spacing w:before="0" w:beforeLines="0" w:beforeAutospacing="0" w:after="0" w:afterAutospacing="0" w:line="210" w:lineRule="exact"/>
              <w:ind w:firstLine="360" w:firstLineChars="200"/>
              <w:jc w:val="left"/>
              <w:textAlignment w:val="auto"/>
              <w:rPr>
                <w:rFonts w:hint="eastAsia" w:ascii="宋体" w:hAnsi="宋体" w:eastAsia="宋体" w:cs="宋体"/>
                <w:color w:val="auto"/>
                <w:kern w:val="2"/>
              </w:rPr>
            </w:pPr>
            <w:r>
              <w:rPr>
                <w:rFonts w:hint="eastAsia" w:ascii="宋体" w:hAnsi="宋体" w:eastAsia="宋体" w:cs="宋体"/>
                <w:color w:val="auto"/>
                <w:kern w:val="2"/>
              </w:rPr>
              <w:t>所有者权益合计</w:t>
            </w:r>
          </w:p>
          <w:p>
            <w:pPr>
              <w:pStyle w:val="43"/>
              <w:keepNext w:val="0"/>
              <w:keepLines w:val="0"/>
              <w:pageBreakBefore w:val="0"/>
              <w:widowControl w:val="0"/>
              <w:kinsoku/>
              <w:wordWrap/>
              <w:overflowPunct/>
              <w:topLinePunct w:val="0"/>
              <w:bidi w:val="0"/>
              <w:adjustRightInd/>
              <w:snapToGrid w:val="0"/>
              <w:spacing w:before="0" w:beforeLines="0" w:beforeAutospacing="0" w:after="0" w:afterAutospacing="0" w:line="210" w:lineRule="exact"/>
              <w:ind w:firstLine="360" w:firstLineChars="200"/>
              <w:jc w:val="left"/>
              <w:textAlignment w:val="auto"/>
              <w:rPr>
                <w:rFonts w:hint="eastAsia" w:ascii="宋体" w:hAnsi="宋体" w:eastAsia="宋体" w:cs="宋体"/>
                <w:color w:val="auto"/>
                <w:kern w:val="2"/>
              </w:rPr>
            </w:pPr>
            <w:r>
              <w:rPr>
                <w:rFonts w:hint="eastAsia" w:ascii="宋体" w:hAnsi="宋体" w:eastAsia="宋体" w:cs="宋体"/>
                <w:color w:val="auto"/>
                <w:kern w:val="2"/>
              </w:rPr>
              <w:t xml:space="preserve">  其中：实收资本</w:t>
            </w:r>
          </w:p>
          <w:p>
            <w:pPr>
              <w:pStyle w:val="43"/>
              <w:keepNext w:val="0"/>
              <w:keepLines w:val="0"/>
              <w:pageBreakBefore w:val="0"/>
              <w:widowControl w:val="0"/>
              <w:kinsoku/>
              <w:wordWrap/>
              <w:overflowPunct/>
              <w:topLinePunct w:val="0"/>
              <w:bidi w:val="0"/>
              <w:adjustRightInd/>
              <w:snapToGrid w:val="0"/>
              <w:spacing w:before="0" w:beforeLines="0" w:beforeAutospacing="0" w:after="0" w:afterAutospacing="0" w:line="210" w:lineRule="exact"/>
              <w:ind w:firstLine="360" w:firstLineChars="200"/>
              <w:jc w:val="left"/>
              <w:textAlignment w:val="auto"/>
              <w:rPr>
                <w:rFonts w:hint="eastAsia" w:ascii="宋体" w:hAnsi="宋体" w:eastAsia="宋体" w:cs="宋体"/>
                <w:color w:val="auto"/>
                <w:kern w:val="2"/>
              </w:rPr>
            </w:pPr>
            <w:r>
              <w:rPr>
                <w:rFonts w:hint="eastAsia" w:ascii="宋体" w:hAnsi="宋体" w:eastAsia="宋体" w:cs="宋体"/>
                <w:color w:val="auto"/>
                <w:kern w:val="2"/>
              </w:rPr>
              <w:t xml:space="preserve">    </w:t>
            </w:r>
            <w:r>
              <w:rPr>
                <w:rFonts w:hint="eastAsia" w:ascii="宋体" w:hAnsi="宋体" w:eastAsia="宋体" w:cs="宋体"/>
                <w:color w:val="auto"/>
                <w:kern w:val="2"/>
                <w:lang w:val="en-US" w:eastAsia="zh-CN"/>
              </w:rPr>
              <w:t xml:space="preserve">      </w:t>
            </w:r>
            <w:r>
              <w:rPr>
                <w:rFonts w:hint="eastAsia" w:ascii="宋体" w:hAnsi="宋体" w:eastAsia="宋体" w:cs="宋体"/>
                <w:color w:val="auto"/>
                <w:kern w:val="2"/>
              </w:rPr>
              <w:t>其中：个人资本</w:t>
            </w:r>
          </w:p>
          <w:p>
            <w:pPr>
              <w:pStyle w:val="43"/>
              <w:keepNext w:val="0"/>
              <w:keepLines w:val="0"/>
              <w:pageBreakBefore w:val="0"/>
              <w:widowControl w:val="0"/>
              <w:kinsoku/>
              <w:wordWrap/>
              <w:overflowPunct/>
              <w:topLinePunct w:val="0"/>
              <w:bidi w:val="0"/>
              <w:adjustRightInd/>
              <w:snapToGrid w:val="0"/>
              <w:spacing w:before="0" w:beforeLines="0" w:beforeAutospacing="0" w:after="0" w:afterAutospacing="0" w:line="210" w:lineRule="exact"/>
              <w:jc w:val="left"/>
              <w:textAlignment w:val="auto"/>
              <w:rPr>
                <w:rFonts w:hint="eastAsia" w:ascii="宋体" w:hAnsi="宋体" w:eastAsia="宋体" w:cs="宋体"/>
                <w:color w:val="auto"/>
                <w:kern w:val="2"/>
              </w:rPr>
            </w:pPr>
            <w:r>
              <w:rPr>
                <w:rFonts w:hint="eastAsia" w:ascii="宋体" w:hAnsi="宋体" w:eastAsia="宋体" w:cs="宋体"/>
                <w:color w:val="auto"/>
                <w:kern w:val="2"/>
              </w:rPr>
              <w:t>三、损益</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营业收入</w:t>
            </w:r>
          </w:p>
          <w:p>
            <w:pPr>
              <w:keepNext w:val="0"/>
              <w:keepLines w:val="0"/>
              <w:pageBreakBefore w:val="0"/>
              <w:widowControl w:val="0"/>
              <w:kinsoku/>
              <w:wordWrap/>
              <w:overflowPunct/>
              <w:topLinePunct w:val="0"/>
              <w:bidi w:val="0"/>
              <w:adjustRightInd/>
              <w:snapToGrid w:val="0"/>
              <w:spacing w:beforeLines="0" w:line="210" w:lineRule="exact"/>
              <w:ind w:firstLine="540" w:firstLineChars="300"/>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其中：</w:t>
            </w:r>
            <w:r>
              <w:rPr>
                <w:rFonts w:hint="eastAsia" w:ascii="宋体" w:hAnsi="宋体" w:eastAsia="宋体" w:cs="宋体"/>
                <w:sz w:val="18"/>
                <w:szCs w:val="18"/>
              </w:rPr>
              <w:t>净服务收入</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营业成本</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税金及附加</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销售费用</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管理费用</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研发费用</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财务费用</w:t>
            </w:r>
          </w:p>
          <w:p>
            <w:pPr>
              <w:pStyle w:val="43"/>
              <w:keepNext w:val="0"/>
              <w:keepLines w:val="0"/>
              <w:pageBreakBefore w:val="0"/>
              <w:widowControl w:val="0"/>
              <w:kinsoku/>
              <w:wordWrap/>
              <w:overflowPunct/>
              <w:topLinePunct w:val="0"/>
              <w:bidi w:val="0"/>
              <w:adjustRightInd/>
              <w:snapToGrid w:val="0"/>
              <w:spacing w:before="0" w:beforeLines="0" w:beforeAutospacing="0" w:after="0" w:afterAutospacing="0" w:line="210" w:lineRule="exact"/>
              <w:ind w:firstLine="360" w:firstLineChars="200"/>
              <w:jc w:val="left"/>
              <w:textAlignment w:val="auto"/>
              <w:rPr>
                <w:rFonts w:hint="eastAsia" w:ascii="宋体" w:hAnsi="宋体" w:eastAsia="宋体" w:cs="宋体"/>
                <w:color w:val="auto"/>
                <w:kern w:val="2"/>
              </w:rPr>
            </w:pPr>
            <w:r>
              <w:rPr>
                <w:rFonts w:hint="eastAsia" w:ascii="宋体" w:hAnsi="宋体" w:eastAsia="宋体" w:cs="宋体"/>
                <w:color w:val="auto"/>
                <w:kern w:val="2"/>
              </w:rPr>
              <w:t xml:space="preserve">  其中：利息收入</w:t>
            </w:r>
          </w:p>
          <w:p>
            <w:pPr>
              <w:pStyle w:val="43"/>
              <w:keepNext w:val="0"/>
              <w:keepLines w:val="0"/>
              <w:pageBreakBefore w:val="0"/>
              <w:widowControl w:val="0"/>
              <w:kinsoku/>
              <w:wordWrap/>
              <w:overflowPunct/>
              <w:topLinePunct w:val="0"/>
              <w:bidi w:val="0"/>
              <w:adjustRightInd/>
              <w:snapToGrid w:val="0"/>
              <w:spacing w:before="0" w:beforeLines="0" w:beforeAutospacing="0" w:after="0" w:afterAutospacing="0" w:line="210" w:lineRule="exact"/>
              <w:ind w:firstLine="360" w:firstLineChars="200"/>
              <w:jc w:val="left"/>
              <w:textAlignment w:val="auto"/>
              <w:rPr>
                <w:rFonts w:hint="eastAsia" w:ascii="宋体" w:hAnsi="宋体" w:eastAsia="宋体" w:cs="宋体"/>
                <w:color w:val="auto"/>
                <w:kern w:val="2"/>
              </w:rPr>
            </w:pPr>
            <w:r>
              <w:rPr>
                <w:rFonts w:hint="eastAsia" w:ascii="宋体" w:hAnsi="宋体" w:eastAsia="宋体" w:cs="宋体"/>
                <w:color w:val="auto"/>
                <w:kern w:val="2"/>
              </w:rPr>
              <w:t xml:space="preserve">        利息费用</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资产减值损失(损失以“-”号记)</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信用减值损失(损失以“-”号记)</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公允价值变动收益(损失以“-”号记)</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投资收益(损失以“-”号记)</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净敞口套期收益(损失以“-”号记)</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资产处置收益(损失以“-”号记)</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其他收益</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营业利润</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营业外收入</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营业外支出</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利润总额</w:t>
            </w:r>
          </w:p>
          <w:p>
            <w:pPr>
              <w:keepNext w:val="0"/>
              <w:keepLines w:val="0"/>
              <w:pageBreakBefore w:val="0"/>
              <w:widowControl w:val="0"/>
              <w:kinsoku/>
              <w:wordWrap/>
              <w:overflowPunct/>
              <w:topLinePunct w:val="0"/>
              <w:bidi w:val="0"/>
              <w:adjustRightInd/>
              <w:snapToGrid w:val="0"/>
              <w:spacing w:beforeLines="0" w:line="21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所得税费用</w:t>
            </w:r>
          </w:p>
          <w:p>
            <w:pPr>
              <w:keepNext w:val="0"/>
              <w:keepLines w:val="0"/>
              <w:pageBreakBefore w:val="0"/>
              <w:widowControl w:val="0"/>
              <w:kinsoku/>
              <w:wordWrap/>
              <w:overflowPunct/>
              <w:topLinePunct w:val="0"/>
              <w:bidi w:val="0"/>
              <w:adjustRightInd/>
              <w:snapToGrid w:val="0"/>
              <w:spacing w:beforeLines="0" w:line="21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四、人工成本及增值税</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应付职工薪酬(</w:t>
            </w:r>
            <w:r>
              <w:rPr>
                <w:rFonts w:hint="eastAsia" w:ascii="宋体" w:hAnsi="宋体" w:eastAsia="宋体" w:cs="宋体"/>
                <w:sz w:val="18"/>
                <w:szCs w:val="18"/>
                <w:lang w:val="en"/>
              </w:rPr>
              <w:t>本年贷方累计发生额</w:t>
            </w:r>
            <w:r>
              <w:rPr>
                <w:rFonts w:hint="eastAsia" w:ascii="宋体" w:hAnsi="宋体" w:eastAsia="宋体" w:cs="宋体"/>
                <w:sz w:val="18"/>
                <w:szCs w:val="18"/>
              </w:rPr>
              <w:t>)</w:t>
            </w:r>
          </w:p>
          <w:p>
            <w:pPr>
              <w:keepNext w:val="0"/>
              <w:keepLines w:val="0"/>
              <w:pageBreakBefore w:val="0"/>
              <w:widowControl w:val="0"/>
              <w:kinsoku/>
              <w:wordWrap/>
              <w:overflowPunct/>
              <w:topLinePunct w:val="0"/>
              <w:bidi w:val="0"/>
              <w:adjustRightInd/>
              <w:snapToGrid w:val="0"/>
              <w:spacing w:beforeLines="0" w:line="21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应交增值税</w:t>
            </w:r>
            <w:r>
              <w:rPr>
                <w:rFonts w:hint="eastAsia" w:ascii="宋体" w:hAnsi="宋体" w:eastAsia="宋体" w:cs="宋体"/>
                <w:sz w:val="18"/>
                <w:szCs w:val="18"/>
                <w:lang w:val="en"/>
              </w:rPr>
              <w:t>(本年累计发生额)</w:t>
            </w:r>
          </w:p>
          <w:p>
            <w:pPr>
              <w:pStyle w:val="44"/>
              <w:keepNext w:val="0"/>
              <w:keepLines w:val="0"/>
              <w:pageBreakBefore w:val="0"/>
              <w:widowControl w:val="0"/>
              <w:kinsoku/>
              <w:wordWrap/>
              <w:overflowPunct/>
              <w:topLinePunct w:val="0"/>
              <w:bidi w:val="0"/>
              <w:adjustRightInd/>
              <w:snapToGrid w:val="0"/>
              <w:spacing w:beforeLines="0" w:line="210" w:lineRule="exact"/>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五、</w:t>
            </w:r>
            <w:r>
              <w:rPr>
                <w:rFonts w:hint="eastAsia" w:ascii="宋体" w:hAnsi="宋体" w:eastAsia="宋体" w:cs="宋体"/>
                <w:color w:val="auto"/>
                <w:sz w:val="18"/>
                <w:szCs w:val="18"/>
                <w:lang w:eastAsia="zh-CN"/>
              </w:rPr>
              <w:t>平均</w:t>
            </w:r>
            <w:r>
              <w:rPr>
                <w:rFonts w:hint="eastAsia" w:ascii="宋体" w:hAnsi="宋体" w:eastAsia="宋体" w:cs="宋体"/>
                <w:color w:val="auto"/>
                <w:sz w:val="18"/>
                <w:szCs w:val="18"/>
              </w:rPr>
              <w:t>用工人数</w:t>
            </w:r>
          </w:p>
        </w:tc>
        <w:tc>
          <w:tcPr>
            <w:tcW w:w="607" w:type="pct"/>
            <w:tcBorders>
              <w:left w:val="single" w:color="auto" w:sz="2" w:space="0"/>
              <w:right w:val="single" w:color="auto" w:sz="2" w:space="0"/>
            </w:tcBorders>
            <w:noWrap w:val="0"/>
            <w:vAlign w:val="top"/>
          </w:tcPr>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kinsoku/>
              <w:wordWrap/>
              <w:overflowPunct/>
              <w:topLinePunct w:val="0"/>
              <w:bidi w:val="0"/>
              <w:adjustRightInd/>
              <w:snapToGrid/>
              <w:spacing w:beforeLines="0" w:line="210" w:lineRule="exact"/>
              <w:jc w:val="left"/>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spacing w:beforeLines="0" w:line="210" w:lineRule="exact"/>
            </w:pPr>
            <w:r>
              <w:rPr>
                <w:rFonts w:hint="eastAsia" w:ascii="宋体" w:hAnsi="宋体" w:cs="宋体"/>
                <w:sz w:val="18"/>
                <w:szCs w:val="18"/>
                <w:lang w:val="en-US" w:eastAsia="zh-CN"/>
              </w:rPr>
              <w:t xml:space="preserve">   </w:t>
            </w: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千元</w:t>
            </w:r>
          </w:p>
          <w:p>
            <w:pPr>
              <w:keepNext w:val="0"/>
              <w:keepLines w:val="0"/>
              <w:pageBreakBefore w:val="0"/>
              <w:widowControl w:val="0"/>
              <w:kinsoku/>
              <w:wordWrap/>
              <w:overflowPunct/>
              <w:topLinePunct w:val="0"/>
              <w:bidi w:val="0"/>
              <w:adjustRightInd/>
              <w:snapToGrid w:val="0"/>
              <w:spacing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607" w:type="pct"/>
            <w:tcBorders>
              <w:left w:val="single" w:color="auto" w:sz="2" w:space="0"/>
              <w:right w:val="single" w:color="auto" w:sz="2" w:space="0"/>
            </w:tcBorders>
            <w:noWrap w:val="0"/>
            <w:vAlign w:val="top"/>
          </w:tcPr>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101</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201</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202</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205</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209</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231</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232</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210</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211</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246</w:t>
            </w:r>
          </w:p>
          <w:p>
            <w:pPr>
              <w:snapToGrid w:val="0"/>
              <w:spacing w:beforeLines="0" w:line="210" w:lineRule="exact"/>
              <w:jc w:val="center"/>
              <w:rPr>
                <w:rFonts w:hint="eastAsia" w:ascii="宋体" w:hAnsi="宋体" w:cs="宋体"/>
                <w:sz w:val="18"/>
                <w:szCs w:val="18"/>
              </w:rPr>
            </w:pPr>
            <w:r>
              <w:rPr>
                <w:rFonts w:hint="eastAsia" w:ascii="宋体" w:hAnsi="宋体" w:eastAsia="宋体" w:cs="宋体"/>
                <w:sz w:val="18"/>
                <w:szCs w:val="18"/>
              </w:rPr>
              <w:t>247</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213</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217</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218</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219</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223</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301</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340</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307</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309</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312</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313</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331</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317</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318</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319</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320</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333</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321</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322</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334</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335</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330</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323</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325</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326</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327</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328</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401</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402</w:t>
            </w:r>
          </w:p>
          <w:p>
            <w:pPr>
              <w:keepNext w:val="0"/>
              <w:keepLines w:val="0"/>
              <w:pageBreakBefore w:val="0"/>
              <w:widowControl w:val="0"/>
              <w:kinsoku/>
              <w:wordWrap/>
              <w:overflowPunct/>
              <w:topLinePunct w:val="0"/>
              <w:bidi w:val="0"/>
              <w:adjustRightInd/>
              <w:snapToGrid w:val="0"/>
              <w:spacing w:before="0" w:beforeLines="0" w:line="21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609</w:t>
            </w:r>
          </w:p>
        </w:tc>
        <w:tc>
          <w:tcPr>
            <w:tcW w:w="1942" w:type="pct"/>
            <w:gridSpan w:val="2"/>
            <w:tcBorders>
              <w:left w:val="single" w:color="auto" w:sz="2"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1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p>
        </w:tc>
      </w:tr>
    </w:tbl>
    <w:p>
      <w:pPr>
        <w:keepNext w:val="0"/>
        <w:keepLines w:val="0"/>
        <w:pageBreakBefore w:val="0"/>
        <w:widowControl w:val="0"/>
        <w:kinsoku/>
        <w:wordWrap/>
        <w:overflowPunct/>
        <w:topLinePunct w:val="0"/>
        <w:autoSpaceDE/>
        <w:autoSpaceDN/>
        <w:bidi w:val="0"/>
        <w:adjustRightInd/>
        <w:snapToGrid w:val="0"/>
        <w:spacing w:line="240" w:lineRule="exact"/>
        <w:ind w:left="21" w:leftChars="10" w:firstLine="118" w:firstLineChars="66"/>
        <w:textAlignment w:val="auto"/>
        <w:rPr>
          <w:rFonts w:hint="eastAsia" w:ascii="宋体" w:hAnsi="宋体" w:eastAsia="宋体" w:cs="宋体"/>
          <w:sz w:val="18"/>
          <w:szCs w:val="18"/>
        </w:rPr>
      </w:pPr>
      <w:r>
        <w:rPr>
          <w:rFonts w:hint="eastAsia" w:ascii="宋体" w:hAnsi="宋体" w:eastAsia="宋体" w:cs="宋体"/>
          <w:sz w:val="18"/>
          <w:szCs w:val="18"/>
        </w:rPr>
        <w:t xml:space="preserve">单位负责人：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统计负责人：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填表人：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联系电话：     报出日期：</w:t>
      </w:r>
      <w:r>
        <w:rPr>
          <w:rFonts w:hint="eastAsia" w:ascii="宋体" w:hAnsi="宋体" w:eastAsia="宋体" w:cs="宋体"/>
          <w:sz w:val="18"/>
          <w:szCs w:val="18"/>
          <w:lang w:val="en-US" w:eastAsia="zh-CN"/>
        </w:rPr>
        <w:t>2 0</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年   月   日</w:t>
      </w:r>
    </w:p>
    <w:p>
      <w:pPr>
        <w:keepNext w:val="0"/>
        <w:keepLines w:val="0"/>
        <w:pageBreakBefore w:val="0"/>
        <w:widowControl w:val="0"/>
        <w:kinsoku/>
        <w:wordWrap/>
        <w:overflowPunct/>
        <w:topLinePunct w:val="0"/>
        <w:autoSpaceDE/>
        <w:autoSpaceDN/>
        <w:bidi w:val="0"/>
        <w:adjustRightInd/>
        <w:snapToGrid w:val="0"/>
        <w:spacing w:before="96" w:beforeLines="40" w:line="240" w:lineRule="exact"/>
        <w:ind w:left="-27" w:leftChars="-13"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说明：1.统计范围：辖区内规模以上服务业法人单位。</w:t>
      </w:r>
    </w:p>
    <w:p>
      <w:pPr>
        <w:keepNext w:val="0"/>
        <w:keepLines w:val="0"/>
        <w:pageBreakBefore w:val="0"/>
        <w:widowControl w:val="0"/>
        <w:tabs>
          <w:tab w:val="left" w:pos="540"/>
        </w:tabs>
        <w:kinsoku/>
        <w:wordWrap/>
        <w:overflowPunct/>
        <w:topLinePunct w:val="0"/>
        <w:autoSpaceDE/>
        <w:autoSpaceDN/>
        <w:bidi w:val="0"/>
        <w:adjustRightInd/>
        <w:snapToGrid w:val="0"/>
        <w:spacing w:line="240" w:lineRule="exact"/>
        <w:ind w:left="2313" w:leftChars="330" w:right="105" w:rightChars="50" w:hanging="1620" w:hangingChars="900"/>
        <w:textAlignment w:val="auto"/>
        <w:rPr>
          <w:rFonts w:hint="eastAsia" w:ascii="宋体" w:hAnsi="宋体" w:eastAsia="宋体" w:cs="宋体"/>
          <w:sz w:val="18"/>
          <w:szCs w:val="18"/>
        </w:rPr>
      </w:pPr>
      <w:r>
        <w:rPr>
          <w:rFonts w:hint="eastAsia" w:ascii="宋体" w:hAnsi="宋体" w:eastAsia="宋体" w:cs="宋体"/>
          <w:sz w:val="18"/>
          <w:szCs w:val="18"/>
        </w:rPr>
        <w:t>2.报送日期及方式：调查单位202</w:t>
      </w:r>
      <w:r>
        <w:rPr>
          <w:rFonts w:hint="default" w:ascii="宋体" w:hAnsi="宋体" w:cs="宋体"/>
          <w:sz w:val="18"/>
          <w:szCs w:val="18"/>
          <w:lang w:val="en"/>
        </w:rPr>
        <w:t>5</w:t>
      </w:r>
      <w:r>
        <w:rPr>
          <w:rFonts w:hint="eastAsia" w:ascii="宋体" w:hAnsi="宋体" w:eastAsia="宋体" w:cs="宋体"/>
          <w:sz w:val="18"/>
          <w:szCs w:val="18"/>
        </w:rPr>
        <w:t>年3月10日24时前网上填报，</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snapToGrid w:val="0"/>
        <w:spacing w:line="240" w:lineRule="exact"/>
        <w:ind w:left="2133" w:leftChars="330" w:right="105" w:rightChars="50" w:hanging="1440" w:hangingChars="800"/>
        <w:textAlignment w:val="auto"/>
        <w:rPr>
          <w:rFonts w:hint="eastAsia" w:ascii="宋体" w:hAnsi="宋体" w:eastAsia="宋体" w:cs="宋体"/>
          <w:kern w:val="0"/>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数据处理要求：</w:t>
      </w:r>
      <w:r>
        <w:rPr>
          <w:rFonts w:hint="eastAsia" w:ascii="宋体" w:hAnsi="宋体" w:eastAsia="宋体" w:cs="宋体"/>
          <w:kern w:val="0"/>
          <w:sz w:val="18"/>
          <w:szCs w:val="18"/>
        </w:rPr>
        <w:t>本表“上年同期”数据统一由国家统计局在数据处理软件中复制，调查单位和各级统计机构原则上不得修改；本年新增的调查单位自行填报“上年同期”数据；涉及拆分、兼并、重组等情况的企业，经国家统计局批准后，调查单位可调整上年同期数；本年新增指标的上年同期数由调查单位自行填报。</w:t>
      </w:r>
    </w:p>
    <w:p>
      <w:pPr>
        <w:keepNext w:val="0"/>
        <w:keepLines w:val="0"/>
        <w:pageBreakBefore w:val="0"/>
        <w:widowControl w:val="0"/>
        <w:kinsoku/>
        <w:wordWrap/>
        <w:overflowPunct/>
        <w:topLinePunct w:val="0"/>
        <w:autoSpaceDE/>
        <w:autoSpaceDN/>
        <w:bidi w:val="0"/>
        <w:adjustRightInd/>
        <w:snapToGrid/>
        <w:spacing w:line="240" w:lineRule="exact"/>
        <w:ind w:left="821" w:leftChars="308" w:hanging="174" w:hangingChars="97"/>
        <w:textAlignment w:val="auto"/>
        <w:rPr>
          <w:rFonts w:hint="default" w:ascii="Times New Roman" w:hAnsi="Times New Roman" w:cs="Times New Roman"/>
          <w:kern w:val="0"/>
          <w:sz w:val="18"/>
          <w:szCs w:val="18"/>
        </w:rPr>
      </w:pPr>
      <w:r>
        <w:rPr>
          <w:rFonts w:hint="eastAsia" w:ascii="宋体" w:hAnsi="宋体"/>
          <w:kern w:val="0"/>
          <w:sz w:val="18"/>
          <w:szCs w:val="18"/>
        </w:rPr>
        <w:t>4</w:t>
      </w:r>
      <w:r>
        <w:rPr>
          <w:rFonts w:ascii="宋体" w:hAnsi="宋体"/>
          <w:kern w:val="0"/>
          <w:sz w:val="18"/>
          <w:szCs w:val="18"/>
        </w:rPr>
        <w:t>.</w:t>
      </w:r>
      <w:r>
        <w:rPr>
          <w:rFonts w:hint="eastAsia" w:ascii="宋体" w:hAnsi="宋体"/>
          <w:kern w:val="0"/>
          <w:sz w:val="18"/>
          <w:szCs w:val="18"/>
        </w:rPr>
        <w:t>审</w:t>
      </w:r>
      <w:r>
        <w:rPr>
          <w:rFonts w:hint="default" w:ascii="Times New Roman" w:hAnsi="Times New Roman" w:cs="Times New Roman"/>
          <w:kern w:val="0"/>
          <w:sz w:val="18"/>
          <w:szCs w:val="18"/>
        </w:rPr>
        <w:t>核关系：</w:t>
      </w:r>
    </w:p>
    <w:p>
      <w:pPr>
        <w:keepNext w:val="0"/>
        <w:keepLines w:val="0"/>
        <w:pageBreakBefore w:val="0"/>
        <w:widowControl w:val="0"/>
        <w:kinsoku/>
        <w:wordWrap/>
        <w:overflowPunct/>
        <w:topLinePunct w:val="0"/>
        <w:autoSpaceDE/>
        <w:autoSpaceDN/>
        <w:bidi w:val="0"/>
        <w:adjustRightInd/>
        <w:snapToGrid w:val="0"/>
        <w:spacing w:line="240" w:lineRule="exact"/>
        <w:ind w:left="1122" w:leftChars="400" w:hanging="282" w:hangingChars="157"/>
        <w:textAlignment w:val="auto"/>
        <w:rPr>
          <w:rFonts w:hint="default" w:ascii="Times New Roman" w:hAnsi="Times New Roman" w:cs="Times New Roman"/>
          <w:sz w:val="18"/>
          <w:szCs w:val="18"/>
        </w:rPr>
      </w:pPr>
      <w:r>
        <w:rPr>
          <w:rFonts w:hint="default" w:ascii="Times New Roman" w:hAnsi="Times New Roman" w:cs="Times New Roman"/>
          <w:sz w:val="18"/>
          <w:szCs w:val="18"/>
        </w:rPr>
        <w:t>(1)所有者权益合计（218）=资产总计（213）-负债合计（217）。</w:t>
      </w:r>
    </w:p>
    <w:p>
      <w:pPr>
        <w:keepNext w:val="0"/>
        <w:keepLines w:val="0"/>
        <w:pageBreakBefore w:val="0"/>
        <w:widowControl w:val="0"/>
        <w:kinsoku/>
        <w:wordWrap/>
        <w:overflowPunct/>
        <w:topLinePunct w:val="0"/>
        <w:autoSpaceDE/>
        <w:autoSpaceDN/>
        <w:bidi w:val="0"/>
        <w:adjustRightInd/>
        <w:snapToGrid w:val="0"/>
        <w:spacing w:line="240" w:lineRule="exact"/>
        <w:ind w:left="1122" w:leftChars="400" w:hanging="282" w:hangingChars="157"/>
        <w:textAlignment w:val="auto"/>
        <w:rPr>
          <w:rFonts w:hint="default" w:ascii="Times New Roman" w:hAnsi="Times New Roman" w:cs="Times New Roman"/>
          <w:sz w:val="18"/>
          <w:szCs w:val="18"/>
        </w:rPr>
      </w:pPr>
      <w:r>
        <w:rPr>
          <w:rFonts w:hint="default" w:ascii="Times New Roman" w:hAnsi="Times New Roman" w:cs="Times New Roman"/>
          <w:sz w:val="18"/>
          <w:szCs w:val="18"/>
        </w:rPr>
        <w:t>(2)当利润总额(327)＞0时，利润总额(327)＞所得税费用(328)。</w:t>
      </w:r>
    </w:p>
    <w:p>
      <w:pPr>
        <w:keepNext w:val="0"/>
        <w:keepLines w:val="0"/>
        <w:pageBreakBefore w:val="0"/>
        <w:widowControl w:val="0"/>
        <w:kinsoku/>
        <w:wordWrap/>
        <w:overflowPunct/>
        <w:topLinePunct w:val="0"/>
        <w:autoSpaceDE/>
        <w:autoSpaceDN/>
        <w:bidi w:val="0"/>
        <w:adjustRightInd/>
        <w:snapToGrid w:val="0"/>
        <w:spacing w:line="240" w:lineRule="exact"/>
        <w:ind w:left="1032" w:leftChars="400" w:hanging="192" w:hangingChars="107"/>
        <w:textAlignment w:val="auto"/>
        <w:rPr>
          <w:rFonts w:hint="default" w:ascii="Times New Roman" w:hAnsi="Times New Roman" w:eastAsia="宋体" w:cs="Times New Roman"/>
          <w:sz w:val="18"/>
          <w:szCs w:val="18"/>
        </w:rPr>
      </w:pPr>
      <w:r>
        <w:rPr>
          <w:rFonts w:hint="default" w:ascii="Times New Roman" w:hAnsi="Times New Roman" w:cs="Times New Roman"/>
          <w:color w:val="auto"/>
          <w:sz w:val="18"/>
          <w:szCs w:val="18"/>
        </w:rPr>
        <w:t>(3)</w:t>
      </w:r>
      <w:r>
        <w:rPr>
          <w:rFonts w:hint="default" w:ascii="Times New Roman" w:hAnsi="Times New Roman" w:eastAsia="宋体" w:cs="Times New Roman"/>
          <w:sz w:val="18"/>
          <w:szCs w:val="18"/>
        </w:rPr>
        <w:t>执行《企业会计准则》的企业：营业利润(323)＝营业收入(301)－营业成本(307)－税金及附加(309)－销售费用(312)－管理费用(313)－财务费用(317)－研发费用(331)＋资产减值损失(320)＋信用减值损失(333)＋公允价值变动收益(321)＋投资收益(322)＋净敞口套期收益(334)＋资产处置收益(335)＋其他收益(330)；</w:t>
      </w:r>
    </w:p>
    <w:p>
      <w:pPr>
        <w:keepNext w:val="0"/>
        <w:keepLines w:val="0"/>
        <w:pageBreakBefore w:val="0"/>
        <w:widowControl w:val="0"/>
        <w:kinsoku/>
        <w:wordWrap/>
        <w:overflowPunct/>
        <w:topLinePunct w:val="0"/>
        <w:autoSpaceDE/>
        <w:autoSpaceDN/>
        <w:bidi w:val="0"/>
        <w:adjustRightInd/>
        <w:snapToGrid w:val="0"/>
        <w:spacing w:line="240" w:lineRule="exact"/>
        <w:ind w:left="1050" w:leftChars="500" w:firstLine="0" w:firstLineChars="0"/>
        <w:textAlignment w:val="auto"/>
        <w:rPr>
          <w:rFonts w:hint="default" w:ascii="Times New Roman" w:hAnsi="Times New Roman" w:cs="Times New Roman"/>
          <w:kern w:val="0"/>
          <w:sz w:val="18"/>
          <w:szCs w:val="18"/>
        </w:rPr>
      </w:pPr>
      <w:r>
        <w:rPr>
          <w:rFonts w:hint="default" w:ascii="Times New Roman" w:hAnsi="Times New Roman" w:eastAsia="宋体" w:cs="Times New Roman"/>
          <w:sz w:val="18"/>
          <w:szCs w:val="18"/>
        </w:rPr>
        <w:t>执行《小企业会计准则》</w:t>
      </w:r>
      <w:r>
        <w:rPr>
          <w:rFonts w:hint="default" w:ascii="Times New Roman" w:hAnsi="Times New Roman" w:cs="Times New Roman"/>
          <w:sz w:val="18"/>
          <w:szCs w:val="18"/>
          <w:lang w:eastAsia="zh-CN"/>
        </w:rPr>
        <w:t>或</w:t>
      </w:r>
      <w:r>
        <w:rPr>
          <w:rFonts w:hint="default" w:ascii="Times New Roman" w:hAnsi="Times New Roman" w:eastAsia="宋体" w:cs="Times New Roman"/>
          <w:sz w:val="18"/>
          <w:szCs w:val="18"/>
        </w:rPr>
        <w:t>《企业会计制度》的企业：营业利润(323)</w:t>
      </w:r>
      <w:r>
        <w:rPr>
          <w:rFonts w:hint="default" w:ascii="Times New Roman" w:hAnsi="Times New Roman" w:eastAsia="宋体" w:cs="Times New Roman"/>
          <w:sz w:val="18"/>
          <w:szCs w:val="18"/>
          <w:lang w:val="en"/>
        </w:rPr>
        <w:t>＝</w:t>
      </w:r>
      <w:r>
        <w:rPr>
          <w:rFonts w:hint="default" w:ascii="Times New Roman" w:hAnsi="Times New Roman" w:eastAsia="宋体" w:cs="Times New Roman"/>
          <w:sz w:val="18"/>
          <w:szCs w:val="18"/>
        </w:rPr>
        <w:t>营业收入(301)－营业成本(307)－税金及附加(309</w:t>
      </w:r>
      <w:r>
        <w:rPr>
          <w:rFonts w:hint="default" w:ascii="Times New Roman" w:hAnsi="Times New Roman" w:eastAsia="宋体" w:cs="Times New Roman"/>
          <w:sz w:val="18"/>
          <w:szCs w:val="18"/>
          <w:lang w:val="en"/>
        </w:rPr>
        <w:t>)</w:t>
      </w:r>
      <w:r>
        <w:rPr>
          <w:rFonts w:hint="default" w:ascii="Times New Roman" w:hAnsi="Times New Roman" w:eastAsia="宋体" w:cs="Times New Roman"/>
          <w:sz w:val="18"/>
          <w:szCs w:val="18"/>
        </w:rPr>
        <w:t>－销售费用(312)－管理费用(313)－财务费用(317)－</w:t>
      </w:r>
      <w:r>
        <w:rPr>
          <w:rFonts w:hint="default" w:ascii="Times New Roman" w:hAnsi="Times New Roman" w:cs="Times New Roman"/>
          <w:kern w:val="0"/>
          <w:sz w:val="18"/>
          <w:szCs w:val="18"/>
        </w:rPr>
        <w:t>研发费用（331）</w:t>
      </w:r>
      <w:r>
        <w:rPr>
          <w:rFonts w:hint="default" w:ascii="Times New Roman" w:hAnsi="Times New Roman" w:eastAsia="宋体" w:cs="Times New Roman"/>
          <w:sz w:val="18"/>
          <w:szCs w:val="18"/>
        </w:rPr>
        <w:t>＋投资收益(322)</w:t>
      </w:r>
    </w:p>
    <w:p>
      <w:pPr>
        <w:keepNext w:val="0"/>
        <w:keepLines w:val="0"/>
        <w:pageBreakBefore w:val="0"/>
        <w:widowControl w:val="0"/>
        <w:kinsoku/>
        <w:wordWrap/>
        <w:overflowPunct/>
        <w:topLinePunct w:val="0"/>
        <w:autoSpaceDE/>
        <w:autoSpaceDN/>
        <w:bidi w:val="0"/>
        <w:adjustRightInd/>
        <w:snapToGrid w:val="0"/>
        <w:spacing w:line="240" w:lineRule="exact"/>
        <w:ind w:left="840" w:leftChars="400" w:firstLine="12" w:firstLineChars="7"/>
        <w:jc w:val="left"/>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(4)</w:t>
      </w:r>
      <w:r>
        <w:rPr>
          <w:rFonts w:hint="default" w:ascii="Times New Roman" w:hAnsi="Times New Roman" w:cs="Times New Roman"/>
          <w:kern w:val="0"/>
          <w:sz w:val="18"/>
          <w:szCs w:val="18"/>
        </w:rPr>
        <w:t>利润总额(327)=营业利润(323)+营业外收入(325)-营业外支出(326)。</w:t>
      </w:r>
    </w:p>
    <w:p>
      <w:pPr>
        <w:pStyle w:val="9"/>
        <w:ind w:firstLine="640"/>
        <w:jc w:val="center"/>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color w:val="auto"/>
          <w:kern w:val="0"/>
          <w:sz w:val="32"/>
          <w:szCs w:val="32"/>
        </w:rPr>
      </w:pPr>
      <w:r>
        <w:rPr>
          <w:rFonts w:hint="eastAsia" w:ascii="宋体" w:hAnsi="宋体" w:cs="宋体"/>
          <w:color w:val="auto"/>
          <w:sz w:val="32"/>
          <w:szCs w:val="32"/>
        </w:rPr>
        <w:br w:type="page"/>
      </w:r>
      <w:r>
        <w:rPr>
          <w:rFonts w:hint="eastAsia" w:ascii="宋体" w:hAnsi="宋体" w:cs="宋体"/>
          <w:color w:val="auto"/>
          <w:sz w:val="32"/>
          <w:szCs w:val="32"/>
        </w:rPr>
        <w:t>企业研究</w:t>
      </w:r>
      <w:r>
        <w:rPr>
          <w:rFonts w:ascii="宋体" w:hAnsi="宋体" w:cs="宋体"/>
          <w:color w:val="auto"/>
          <w:sz w:val="32"/>
          <w:szCs w:val="32"/>
        </w:rPr>
        <w:t>开</w:t>
      </w:r>
      <w:r>
        <w:rPr>
          <w:rFonts w:hint="eastAsia" w:ascii="宋体" w:hAnsi="宋体" w:cs="宋体"/>
          <w:color w:val="auto"/>
          <w:sz w:val="32"/>
          <w:szCs w:val="32"/>
        </w:rPr>
        <w:t>发</w:t>
      </w:r>
      <w:r>
        <w:rPr>
          <w:rFonts w:hint="eastAsia" w:ascii="宋体" w:hAnsi="宋体" w:cs="宋体"/>
          <w:color w:val="auto"/>
          <w:kern w:val="0"/>
          <w:sz w:val="32"/>
          <w:szCs w:val="32"/>
        </w:rPr>
        <w:t>项目情况</w:t>
      </w:r>
    </w:p>
    <w:tbl>
      <w:tblPr>
        <w:tblStyle w:val="31"/>
        <w:tblW w:w="9356" w:type="dxa"/>
        <w:jc w:val="center"/>
        <w:tblLayout w:type="fixed"/>
        <w:tblCellMar>
          <w:top w:w="0" w:type="dxa"/>
          <w:left w:w="108" w:type="dxa"/>
          <w:bottom w:w="0" w:type="dxa"/>
          <w:right w:w="108" w:type="dxa"/>
        </w:tblCellMar>
      </w:tblPr>
      <w:tblGrid>
        <w:gridCol w:w="2908"/>
        <w:gridCol w:w="1713"/>
        <w:gridCol w:w="1249"/>
        <w:gridCol w:w="1525"/>
        <w:gridCol w:w="1961"/>
      </w:tblGrid>
      <w:tr>
        <w:tblPrEx>
          <w:tblCellMar>
            <w:top w:w="0" w:type="dxa"/>
            <w:left w:w="108" w:type="dxa"/>
            <w:bottom w:w="0" w:type="dxa"/>
            <w:right w:w="108" w:type="dxa"/>
          </w:tblCellMar>
        </w:tblPrEx>
        <w:trPr>
          <w:jc w:val="center"/>
        </w:trPr>
        <w:tc>
          <w:tcPr>
            <w:tcW w:w="4814" w:type="dxa"/>
            <w:gridSpan w:val="2"/>
            <w:tcBorders>
              <w:top w:val="nil"/>
              <w:left w:val="nil"/>
              <w:bottom w:val="nil"/>
              <w:right w:val="nil"/>
            </w:tcBorders>
            <w:noWrap w:val="0"/>
            <w:tcMar>
              <w:left w:w="28" w:type="dxa"/>
              <w:right w:w="28" w:type="dxa"/>
            </w:tcMar>
            <w:vAlign w:val="center"/>
          </w:tcPr>
          <w:p>
            <w:pPr>
              <w:widowControl/>
              <w:adjustRightInd w:val="0"/>
              <w:snapToGrid w:val="0"/>
              <w:spacing w:line="260" w:lineRule="atLeast"/>
              <w:ind w:left="2970" w:hanging="2970" w:hangingChars="1650"/>
              <w:jc w:val="left"/>
              <w:rPr>
                <w:color w:val="auto"/>
                <w:kern w:val="0"/>
                <w:sz w:val="18"/>
                <w:szCs w:val="18"/>
              </w:rPr>
            </w:pPr>
          </w:p>
        </w:tc>
        <w:tc>
          <w:tcPr>
            <w:tcW w:w="1299"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color w:val="auto"/>
                <w:kern w:val="0"/>
                <w:sz w:val="18"/>
                <w:szCs w:val="18"/>
              </w:rPr>
            </w:pPr>
          </w:p>
        </w:tc>
        <w:tc>
          <w:tcPr>
            <w:tcW w:w="1586"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right"/>
              <w:rPr>
                <w:color w:val="auto"/>
                <w:kern w:val="0"/>
                <w:sz w:val="18"/>
                <w:szCs w:val="18"/>
              </w:rPr>
            </w:pPr>
            <w:r>
              <w:rPr>
                <w:color w:val="auto"/>
                <w:kern w:val="0"/>
                <w:sz w:val="18"/>
                <w:szCs w:val="18"/>
              </w:rPr>
              <w:t>表　　号：</w:t>
            </w:r>
          </w:p>
        </w:tc>
        <w:tc>
          <w:tcPr>
            <w:tcW w:w="2041"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color w:val="auto"/>
                <w:kern w:val="0"/>
                <w:sz w:val="18"/>
                <w:szCs w:val="18"/>
              </w:rPr>
            </w:pPr>
            <w:r>
              <w:rPr>
                <w:rFonts w:hint="eastAsia" w:ascii="宋体" w:hAnsi="宋体"/>
                <w:color w:val="auto"/>
                <w:sz w:val="18"/>
                <w:szCs w:val="18"/>
              </w:rPr>
              <w:t>１</w:t>
            </w:r>
            <w:r>
              <w:rPr>
                <w:rFonts w:ascii="宋体" w:hAnsi="宋体"/>
                <w:color w:val="auto"/>
                <w:sz w:val="18"/>
                <w:szCs w:val="18"/>
              </w:rPr>
              <w:t>０７</w:t>
            </w:r>
            <w:r>
              <w:rPr>
                <w:rFonts w:hint="eastAsia" w:ascii="宋体" w:hAnsi="宋体"/>
                <w:color w:val="auto"/>
                <w:sz w:val="18"/>
                <w:szCs w:val="18"/>
              </w:rPr>
              <w:t>-</w:t>
            </w:r>
            <w:r>
              <w:rPr>
                <w:color w:val="auto"/>
                <w:kern w:val="0"/>
                <w:sz w:val="18"/>
                <w:szCs w:val="18"/>
              </w:rPr>
              <w:t>１</w:t>
            </w:r>
            <w:r>
              <w:rPr>
                <w:color w:val="auto"/>
                <w:sz w:val="18"/>
                <w:szCs w:val="18"/>
              </w:rPr>
              <w:t>表</w:t>
            </w:r>
          </w:p>
        </w:tc>
      </w:tr>
      <w:tr>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noWrap w:val="0"/>
            <w:tcMar>
              <w:left w:w="28" w:type="dxa"/>
              <w:right w:w="28" w:type="dxa"/>
            </w:tcMar>
            <w:vAlign w:val="bottom"/>
          </w:tcPr>
          <w:p>
            <w:pPr>
              <w:widowControl/>
              <w:adjustRightInd w:val="0"/>
              <w:snapToGrid w:val="0"/>
              <w:spacing w:line="260" w:lineRule="atLeast"/>
              <w:rPr>
                <w:color w:val="auto"/>
                <w:kern w:val="0"/>
                <w:sz w:val="18"/>
                <w:szCs w:val="18"/>
              </w:rPr>
            </w:pPr>
          </w:p>
        </w:tc>
        <w:tc>
          <w:tcPr>
            <w:tcW w:w="1586" w:type="dxa"/>
            <w:tcBorders>
              <w:top w:val="nil"/>
              <w:left w:val="nil"/>
              <w:bottom w:val="nil"/>
              <w:right w:val="nil"/>
            </w:tcBorders>
            <w:noWrap w:val="0"/>
            <w:tcMar>
              <w:left w:w="28" w:type="dxa"/>
              <w:right w:w="28" w:type="dxa"/>
            </w:tcMar>
            <w:vAlign w:val="top"/>
          </w:tcPr>
          <w:p>
            <w:pPr>
              <w:widowControl/>
              <w:adjustRightInd w:val="0"/>
              <w:snapToGrid w:val="0"/>
              <w:spacing w:line="260" w:lineRule="atLeast"/>
              <w:jc w:val="right"/>
              <w:rPr>
                <w:color w:val="auto"/>
                <w:kern w:val="0"/>
                <w:sz w:val="18"/>
                <w:szCs w:val="18"/>
              </w:rPr>
            </w:pPr>
            <w:r>
              <w:rPr>
                <w:color w:val="auto"/>
                <w:kern w:val="0"/>
                <w:sz w:val="18"/>
                <w:szCs w:val="18"/>
              </w:rPr>
              <w:t>制表机关：</w:t>
            </w:r>
          </w:p>
        </w:tc>
        <w:tc>
          <w:tcPr>
            <w:tcW w:w="2041" w:type="dxa"/>
            <w:tcBorders>
              <w:top w:val="nil"/>
              <w:left w:val="nil"/>
              <w:bottom w:val="nil"/>
              <w:right w:val="nil"/>
            </w:tcBorders>
            <w:noWrap w:val="0"/>
            <w:tcMar>
              <w:left w:w="28" w:type="dxa"/>
              <w:right w:w="28" w:type="dxa"/>
            </w:tcMar>
            <w:vAlign w:val="center"/>
          </w:tcPr>
          <w:p>
            <w:pPr>
              <w:spacing w:line="260" w:lineRule="exact"/>
              <w:jc w:val="distribute"/>
              <w:rPr>
                <w:color w:val="auto"/>
                <w:kern w:val="0"/>
                <w:sz w:val="18"/>
                <w:szCs w:val="18"/>
              </w:rPr>
            </w:pPr>
            <w:r>
              <w:rPr>
                <w:color w:val="auto"/>
                <w:sz w:val="18"/>
                <w:szCs w:val="18"/>
              </w:rPr>
              <w:t>国家统计局</w:t>
            </w:r>
          </w:p>
        </w:tc>
      </w:tr>
      <w:tr>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noWrap w:val="0"/>
            <w:tcMar>
              <w:left w:w="28" w:type="dxa"/>
              <w:right w:w="28" w:type="dxa"/>
            </w:tcMar>
            <w:vAlign w:val="top"/>
          </w:tcPr>
          <w:p>
            <w:pPr>
              <w:widowControl/>
              <w:adjustRightInd w:val="0"/>
              <w:snapToGrid w:val="0"/>
              <w:spacing w:line="260" w:lineRule="atLeast"/>
              <w:jc w:val="left"/>
              <w:rPr>
                <w:color w:val="auto"/>
                <w:kern w:val="0"/>
                <w:sz w:val="18"/>
                <w:szCs w:val="18"/>
              </w:rPr>
            </w:pPr>
            <w:r>
              <w:rPr>
                <w:rFonts w:hint="eastAsia"/>
                <w:color w:val="auto"/>
                <w:sz w:val="18"/>
              </w:rPr>
              <w:t>统一社会信用代码□□□□□□□□□□□□□□□□□□</w:t>
            </w:r>
          </w:p>
        </w:tc>
        <w:tc>
          <w:tcPr>
            <w:tcW w:w="1586"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right"/>
              <w:rPr>
                <w:color w:val="auto"/>
                <w:kern w:val="0"/>
                <w:sz w:val="18"/>
                <w:szCs w:val="18"/>
              </w:rPr>
            </w:pPr>
            <w:r>
              <w:rPr>
                <w:color w:val="auto"/>
                <w:kern w:val="0"/>
                <w:sz w:val="18"/>
                <w:szCs w:val="18"/>
              </w:rPr>
              <w:t>文　　号：</w:t>
            </w:r>
          </w:p>
        </w:tc>
        <w:tc>
          <w:tcPr>
            <w:tcW w:w="2041"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color w:val="auto"/>
                <w:kern w:val="0"/>
                <w:sz w:val="18"/>
                <w:szCs w:val="18"/>
              </w:rPr>
            </w:pPr>
            <w:r>
              <w:rPr>
                <w:rFonts w:hint="eastAsia" w:ascii="宋体" w:hAnsi="宋体"/>
                <w:color w:val="auto"/>
                <w:sz w:val="18"/>
                <w:szCs w:val="18"/>
              </w:rPr>
              <w:t>国统字〔202</w:t>
            </w:r>
            <w:r>
              <w:rPr>
                <w:rFonts w:hint="eastAsia" w:ascii="宋体" w:hAnsi="宋体"/>
                <w:color w:val="auto"/>
                <w:sz w:val="18"/>
                <w:szCs w:val="18"/>
                <w:lang w:val="en-US" w:eastAsia="zh-CN"/>
              </w:rPr>
              <w:t>4</w:t>
            </w:r>
            <w:r>
              <w:rPr>
                <w:rFonts w:hint="eastAsia" w:ascii="宋体" w:hAnsi="宋体"/>
                <w:color w:val="auto"/>
                <w:sz w:val="18"/>
                <w:szCs w:val="18"/>
              </w:rPr>
              <w:t>〕</w:t>
            </w:r>
            <w:r>
              <w:rPr>
                <w:rFonts w:hint="eastAsia" w:ascii="宋体" w:hAnsi="宋体"/>
                <w:color w:val="auto"/>
                <w:sz w:val="18"/>
                <w:szCs w:val="18"/>
                <w:lang w:val="en-US" w:eastAsia="zh-CN"/>
              </w:rPr>
              <w:t>77</w:t>
            </w:r>
            <w:r>
              <w:rPr>
                <w:rFonts w:hint="eastAsia" w:ascii="宋体" w:hAnsi="宋体"/>
                <w:color w:val="auto"/>
                <w:sz w:val="18"/>
                <w:szCs w:val="18"/>
              </w:rPr>
              <w:t>号</w:t>
            </w:r>
          </w:p>
        </w:tc>
      </w:tr>
      <w:tr>
        <w:tblPrEx>
          <w:tblCellMar>
            <w:top w:w="0" w:type="dxa"/>
            <w:left w:w="108" w:type="dxa"/>
            <w:bottom w:w="0" w:type="dxa"/>
            <w:right w:w="108" w:type="dxa"/>
          </w:tblCellMar>
        </w:tblPrEx>
        <w:trPr>
          <w:jc w:val="center"/>
        </w:trPr>
        <w:tc>
          <w:tcPr>
            <w:tcW w:w="3028" w:type="dxa"/>
            <w:tcBorders>
              <w:top w:val="nil"/>
              <w:left w:val="nil"/>
              <w:right w:val="nil"/>
            </w:tcBorders>
            <w:noWrap w:val="0"/>
            <w:tcMar>
              <w:left w:w="28" w:type="dxa"/>
              <w:right w:w="28" w:type="dxa"/>
            </w:tcMar>
            <w:vAlign w:val="center"/>
          </w:tcPr>
          <w:p>
            <w:pPr>
              <w:widowControl/>
              <w:adjustRightInd w:val="0"/>
              <w:snapToGrid w:val="0"/>
              <w:spacing w:line="260" w:lineRule="atLeast"/>
              <w:jc w:val="left"/>
              <w:rPr>
                <w:color w:val="auto"/>
                <w:kern w:val="0"/>
                <w:sz w:val="18"/>
                <w:szCs w:val="18"/>
              </w:rPr>
            </w:pPr>
            <w:r>
              <w:rPr>
                <w:color w:val="auto"/>
                <w:kern w:val="0"/>
                <w:sz w:val="18"/>
                <w:szCs w:val="18"/>
              </w:rPr>
              <w:t>单位详细名称：</w:t>
            </w:r>
          </w:p>
        </w:tc>
        <w:tc>
          <w:tcPr>
            <w:tcW w:w="3085" w:type="dxa"/>
            <w:gridSpan w:val="2"/>
            <w:tcBorders>
              <w:top w:val="nil"/>
              <w:left w:val="nil"/>
            </w:tcBorders>
            <w:noWrap w:val="0"/>
            <w:tcMar>
              <w:left w:w="28" w:type="dxa"/>
              <w:right w:w="28" w:type="dxa"/>
            </w:tcMar>
            <w:vAlign w:val="top"/>
          </w:tcPr>
          <w:p>
            <w:pPr>
              <w:adjustRightInd w:val="0"/>
              <w:snapToGrid w:val="0"/>
              <w:spacing w:line="260" w:lineRule="atLeast"/>
              <w:ind w:firstLine="1170" w:firstLineChars="650"/>
              <w:rPr>
                <w:color w:val="auto"/>
                <w:kern w:val="0"/>
                <w:sz w:val="18"/>
                <w:szCs w:val="18"/>
              </w:rPr>
            </w:pPr>
            <w:r>
              <w:rPr>
                <w:rFonts w:hint="eastAsia" w:ascii="宋体" w:hAnsi="宋体"/>
                <w:color w:val="auto"/>
                <w:sz w:val="18"/>
                <w:szCs w:val="18"/>
              </w:rPr>
              <w:t xml:space="preserve">２０ </w:t>
            </w:r>
            <w:r>
              <w:rPr>
                <w:rFonts w:ascii="宋体" w:hAnsi="宋体"/>
                <w:color w:val="auto"/>
                <w:sz w:val="18"/>
                <w:szCs w:val="18"/>
              </w:rPr>
              <w:t xml:space="preserve"> </w:t>
            </w:r>
            <w:r>
              <w:rPr>
                <w:color w:val="auto"/>
                <w:kern w:val="0"/>
                <w:sz w:val="18"/>
                <w:szCs w:val="18"/>
              </w:rPr>
              <w:t>年</w:t>
            </w:r>
          </w:p>
        </w:tc>
        <w:tc>
          <w:tcPr>
            <w:tcW w:w="1586" w:type="dxa"/>
            <w:tcBorders>
              <w:top w:val="nil"/>
              <w:left w:val="nil"/>
            </w:tcBorders>
            <w:noWrap w:val="0"/>
            <w:tcMar>
              <w:left w:w="28" w:type="dxa"/>
              <w:right w:w="28" w:type="dxa"/>
            </w:tcMar>
            <w:vAlign w:val="top"/>
          </w:tcPr>
          <w:p>
            <w:pPr>
              <w:adjustRightInd w:val="0"/>
              <w:snapToGrid w:val="0"/>
              <w:spacing w:line="260" w:lineRule="atLeast"/>
              <w:jc w:val="right"/>
              <w:rPr>
                <w:color w:val="auto"/>
                <w:kern w:val="0"/>
                <w:sz w:val="18"/>
                <w:szCs w:val="18"/>
              </w:rPr>
            </w:pPr>
            <w:r>
              <w:rPr>
                <w:color w:val="auto"/>
                <w:kern w:val="0"/>
                <w:sz w:val="18"/>
                <w:szCs w:val="18"/>
              </w:rPr>
              <w:t>有效期至：</w:t>
            </w:r>
          </w:p>
        </w:tc>
        <w:tc>
          <w:tcPr>
            <w:tcW w:w="2041" w:type="dxa"/>
            <w:tcBorders>
              <w:top w:val="nil"/>
              <w:left w:val="nil"/>
            </w:tcBorders>
            <w:noWrap w:val="0"/>
            <w:tcMar>
              <w:left w:w="28" w:type="dxa"/>
              <w:right w:w="28" w:type="dxa"/>
            </w:tcMar>
            <w:vAlign w:val="center"/>
          </w:tcPr>
          <w:p>
            <w:pPr>
              <w:widowControl/>
              <w:adjustRightInd w:val="0"/>
              <w:snapToGrid w:val="0"/>
              <w:spacing w:line="260" w:lineRule="atLeast"/>
              <w:jc w:val="distribute"/>
              <w:rPr>
                <w:color w:val="auto"/>
                <w:kern w:val="0"/>
                <w:sz w:val="18"/>
                <w:szCs w:val="18"/>
              </w:rPr>
            </w:pPr>
            <w:r>
              <w:rPr>
                <w:color w:val="auto"/>
                <w:kern w:val="0"/>
                <w:sz w:val="18"/>
                <w:szCs w:val="18"/>
              </w:rPr>
              <w:t>２０</w:t>
            </w:r>
            <w:r>
              <w:rPr>
                <w:rFonts w:hint="eastAsia"/>
                <w:color w:val="auto"/>
                <w:kern w:val="0"/>
                <w:sz w:val="18"/>
                <w:szCs w:val="18"/>
              </w:rPr>
              <w:t>２</w:t>
            </w:r>
            <w:r>
              <w:rPr>
                <w:rFonts w:hint="eastAsia" w:ascii="宋体" w:hAnsi="宋体"/>
                <w:color w:val="auto"/>
                <w:sz w:val="18"/>
                <w:szCs w:val="18"/>
                <w:lang w:val="en-US" w:eastAsia="zh-CN"/>
              </w:rPr>
              <w:t>5</w:t>
            </w:r>
            <w:r>
              <w:rPr>
                <w:color w:val="auto"/>
                <w:kern w:val="0"/>
                <w:sz w:val="18"/>
                <w:szCs w:val="18"/>
              </w:rPr>
              <w:t>年６月</w:t>
            </w:r>
          </w:p>
        </w:tc>
      </w:tr>
    </w:tbl>
    <w:p>
      <w:pPr>
        <w:spacing w:line="14" w:lineRule="exact"/>
        <w:rPr>
          <w:rFonts w:ascii="宋体" w:cs="宋体"/>
          <w:color w:val="auto"/>
          <w:sz w:val="18"/>
          <w:szCs w:val="18"/>
        </w:rPr>
      </w:pPr>
    </w:p>
    <w:tbl>
      <w:tblPr>
        <w:tblStyle w:val="31"/>
        <w:tblW w:w="9403" w:type="dxa"/>
        <w:jc w:val="center"/>
        <w:tblLayout w:type="autofit"/>
        <w:tblCellMar>
          <w:top w:w="0" w:type="dxa"/>
          <w:left w:w="0" w:type="dxa"/>
          <w:bottom w:w="0" w:type="dxa"/>
          <w:right w:w="0" w:type="dxa"/>
        </w:tblCellMar>
      </w:tblPr>
      <w:tblGrid>
        <w:gridCol w:w="402"/>
        <w:gridCol w:w="427"/>
        <w:gridCol w:w="538"/>
        <w:gridCol w:w="538"/>
        <w:gridCol w:w="640"/>
        <w:gridCol w:w="640"/>
        <w:gridCol w:w="538"/>
        <w:gridCol w:w="538"/>
        <w:gridCol w:w="773"/>
        <w:gridCol w:w="642"/>
        <w:gridCol w:w="764"/>
        <w:gridCol w:w="647"/>
        <w:gridCol w:w="645"/>
        <w:gridCol w:w="557"/>
        <w:gridCol w:w="557"/>
        <w:gridCol w:w="557"/>
      </w:tblGrid>
      <w:tr>
        <w:tblPrEx>
          <w:tblCellMar>
            <w:top w:w="0" w:type="dxa"/>
            <w:left w:w="0" w:type="dxa"/>
            <w:bottom w:w="0" w:type="dxa"/>
            <w:right w:w="0" w:type="dxa"/>
          </w:tblCellMar>
        </w:tblPrEx>
        <w:trPr>
          <w:trHeight w:val="283" w:hRule="atLeast"/>
          <w:jc w:val="center"/>
        </w:trPr>
        <w:tc>
          <w:tcPr>
            <w:tcW w:w="214" w:type="pct"/>
            <w:vMerge w:val="restart"/>
            <w:tcBorders>
              <w:top w:val="single" w:color="auto" w:sz="8" w:space="0"/>
              <w:left w:val="nil"/>
              <w:right w:val="single" w:color="auto" w:sz="2" w:space="0"/>
            </w:tcBorders>
            <w:noWrap/>
            <w:vAlign w:val="center"/>
          </w:tcPr>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序号</w:t>
            </w:r>
          </w:p>
        </w:tc>
        <w:tc>
          <w:tcPr>
            <w:tcW w:w="227"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名称</w:t>
            </w:r>
          </w:p>
        </w:tc>
        <w:tc>
          <w:tcPr>
            <w:tcW w:w="28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来源</w:t>
            </w:r>
          </w:p>
        </w:tc>
        <w:tc>
          <w:tcPr>
            <w:tcW w:w="28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开展</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形式</w:t>
            </w:r>
          </w:p>
        </w:tc>
        <w:tc>
          <w:tcPr>
            <w:tcW w:w="340"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项目当年</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成果形式</w:t>
            </w:r>
          </w:p>
        </w:tc>
        <w:tc>
          <w:tcPr>
            <w:tcW w:w="340"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项目技术</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经济目标</w:t>
            </w:r>
          </w:p>
        </w:tc>
        <w:tc>
          <w:tcPr>
            <w:tcW w:w="28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起始</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日期</w:t>
            </w:r>
          </w:p>
        </w:tc>
        <w:tc>
          <w:tcPr>
            <w:tcW w:w="28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完成</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日期</w:t>
            </w:r>
          </w:p>
        </w:tc>
        <w:tc>
          <w:tcPr>
            <w:tcW w:w="411"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跨年项目</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当年所处</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主要进展</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阶段</w:t>
            </w:r>
          </w:p>
        </w:tc>
        <w:tc>
          <w:tcPr>
            <w:tcW w:w="341"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项目研究</w:t>
            </w:r>
            <w:r>
              <w:rPr>
                <w:rFonts w:ascii="宋体" w:hAnsi="宋体" w:cs="宋体"/>
                <w:color w:val="auto"/>
                <w:kern w:val="0"/>
                <w:sz w:val="18"/>
                <w:szCs w:val="18"/>
              </w:rPr>
              <w:t>开发</w:t>
            </w:r>
            <w:r>
              <w:rPr>
                <w:rFonts w:hint="eastAsia" w:ascii="宋体" w:hAnsi="宋体" w:cs="宋体"/>
                <w:color w:val="auto"/>
                <w:kern w:val="0"/>
                <w:sz w:val="18"/>
                <w:szCs w:val="18"/>
              </w:rPr>
              <w:t>人员 （人）</w:t>
            </w:r>
          </w:p>
        </w:tc>
        <w:tc>
          <w:tcPr>
            <w:tcW w:w="40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项目人员实际工作时间</w:t>
            </w:r>
            <w:r>
              <w:rPr>
                <w:rFonts w:ascii="宋体" w:hAnsi="宋体" w:cs="宋体"/>
                <w:color w:val="auto"/>
                <w:kern w:val="0"/>
                <w:sz w:val="18"/>
                <w:szCs w:val="18"/>
              </w:rPr>
              <w:t xml:space="preserve">  </w:t>
            </w:r>
            <w:r>
              <w:rPr>
                <w:rFonts w:hint="eastAsia" w:ascii="宋体" w:hAnsi="宋体" w:cs="宋体"/>
                <w:color w:val="auto"/>
                <w:kern w:val="0"/>
                <w:sz w:val="18"/>
                <w:szCs w:val="18"/>
              </w:rPr>
              <w:t>（人月）</w:t>
            </w:r>
          </w:p>
        </w:tc>
        <w:tc>
          <w:tcPr>
            <w:tcW w:w="344" w:type="pct"/>
            <w:vMerge w:val="restart"/>
            <w:tcBorders>
              <w:top w:val="single" w:color="auto" w:sz="8" w:space="0"/>
              <w:left w:val="single" w:color="auto" w:sz="2" w:space="0"/>
            </w:tcBorders>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经费</w:t>
            </w:r>
          </w:p>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支出</w:t>
            </w:r>
          </w:p>
          <w:p>
            <w:pPr>
              <w:spacing w:line="276" w:lineRule="auto"/>
              <w:jc w:val="center"/>
              <w:rPr>
                <w:rFonts w:ascii="宋体"/>
                <w:color w:val="auto"/>
                <w:kern w:val="0"/>
                <w:sz w:val="18"/>
                <w:szCs w:val="18"/>
              </w:rPr>
            </w:pPr>
            <w:r>
              <w:rPr>
                <w:rFonts w:hint="eastAsia" w:ascii="宋体" w:hAnsi="宋体" w:cs="宋体"/>
                <w:color w:val="auto"/>
                <w:kern w:val="0"/>
                <w:sz w:val="18"/>
                <w:szCs w:val="18"/>
              </w:rPr>
              <w:t>（千元）</w:t>
            </w:r>
          </w:p>
        </w:tc>
        <w:tc>
          <w:tcPr>
            <w:tcW w:w="341" w:type="pct"/>
            <w:tcBorders>
              <w:top w:val="single" w:color="auto" w:sz="8" w:space="0"/>
              <w:bottom w:val="single" w:color="auto" w:sz="2" w:space="0"/>
              <w:right w:val="nil"/>
            </w:tcBorders>
            <w:noWrap w:val="0"/>
            <w:vAlign w:val="center"/>
          </w:tcPr>
          <w:p>
            <w:pPr>
              <w:spacing w:line="276" w:lineRule="auto"/>
              <w:jc w:val="center"/>
              <w:rPr>
                <w:rFonts w:ascii="宋体"/>
                <w:color w:val="auto"/>
                <w:kern w:val="0"/>
                <w:sz w:val="18"/>
                <w:szCs w:val="18"/>
              </w:rPr>
            </w:pPr>
          </w:p>
        </w:tc>
        <w:tc>
          <w:tcPr>
            <w:tcW w:w="296" w:type="pct"/>
            <w:tcBorders>
              <w:top w:val="single" w:color="auto" w:sz="8" w:space="0"/>
              <w:bottom w:val="single" w:color="auto" w:sz="2" w:space="0"/>
              <w:right w:val="nil"/>
            </w:tcBorders>
            <w:noWrap w:val="0"/>
            <w:vAlign w:val="center"/>
          </w:tcPr>
          <w:p>
            <w:pPr>
              <w:spacing w:line="276" w:lineRule="auto"/>
              <w:jc w:val="center"/>
              <w:rPr>
                <w:rFonts w:ascii="宋体"/>
                <w:color w:val="auto"/>
                <w:kern w:val="0"/>
                <w:sz w:val="18"/>
                <w:szCs w:val="18"/>
              </w:rPr>
            </w:pPr>
          </w:p>
        </w:tc>
        <w:tc>
          <w:tcPr>
            <w:tcW w:w="296" w:type="pct"/>
            <w:tcBorders>
              <w:top w:val="single" w:color="auto" w:sz="8" w:space="0"/>
              <w:bottom w:val="single" w:color="auto" w:sz="2" w:space="0"/>
              <w:right w:val="nil"/>
            </w:tcBorders>
            <w:noWrap w:val="0"/>
            <w:vAlign w:val="center"/>
          </w:tcPr>
          <w:p>
            <w:pPr>
              <w:spacing w:line="276" w:lineRule="auto"/>
              <w:jc w:val="center"/>
              <w:rPr>
                <w:rFonts w:ascii="宋体"/>
                <w:color w:val="auto"/>
                <w:kern w:val="0"/>
                <w:sz w:val="18"/>
                <w:szCs w:val="18"/>
              </w:rPr>
            </w:pPr>
          </w:p>
        </w:tc>
        <w:tc>
          <w:tcPr>
            <w:tcW w:w="296" w:type="pct"/>
            <w:tcBorders>
              <w:top w:val="single" w:color="auto" w:sz="8" w:space="0"/>
              <w:bottom w:val="single" w:color="auto" w:sz="2" w:space="0"/>
              <w:right w:val="nil"/>
            </w:tcBorders>
            <w:noWrap w:val="0"/>
            <w:vAlign w:val="center"/>
          </w:tcPr>
          <w:p>
            <w:pPr>
              <w:spacing w:line="276" w:lineRule="auto"/>
              <w:jc w:val="center"/>
              <w:rPr>
                <w:rFonts w:ascii="宋体"/>
                <w:color w:val="auto"/>
                <w:kern w:val="0"/>
                <w:sz w:val="18"/>
                <w:szCs w:val="18"/>
              </w:rPr>
            </w:pPr>
          </w:p>
        </w:tc>
      </w:tr>
      <w:tr>
        <w:tblPrEx>
          <w:tblCellMar>
            <w:top w:w="0" w:type="dxa"/>
            <w:left w:w="0" w:type="dxa"/>
            <w:bottom w:w="0" w:type="dxa"/>
            <w:right w:w="0" w:type="dxa"/>
          </w:tblCellMar>
        </w:tblPrEx>
        <w:trPr>
          <w:trHeight w:val="90" w:hRule="atLeast"/>
          <w:jc w:val="center"/>
        </w:trPr>
        <w:tc>
          <w:tcPr>
            <w:tcW w:w="214" w:type="pct"/>
            <w:vMerge w:val="continue"/>
            <w:tcBorders>
              <w:left w:val="nil"/>
              <w:bottom w:val="single" w:color="auto" w:sz="2" w:space="0"/>
              <w:right w:val="single" w:color="auto" w:sz="2" w:space="0"/>
            </w:tcBorders>
            <w:noWrap/>
            <w:vAlign w:val="center"/>
          </w:tcPr>
          <w:p>
            <w:pPr>
              <w:widowControl/>
              <w:spacing w:line="276" w:lineRule="auto"/>
              <w:jc w:val="center"/>
              <w:rPr>
                <w:rFonts w:ascii="宋体"/>
                <w:color w:val="auto"/>
                <w:kern w:val="0"/>
                <w:sz w:val="18"/>
                <w:szCs w:val="18"/>
              </w:rPr>
            </w:pPr>
          </w:p>
        </w:tc>
        <w:tc>
          <w:tcPr>
            <w:tcW w:w="227"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340"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340"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top"/>
          </w:tcPr>
          <w:p>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411"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341"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406"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344" w:type="pct"/>
            <w:vMerge w:val="continue"/>
            <w:tcBorders>
              <w:left w:val="single" w:color="auto" w:sz="2" w:space="0"/>
              <w:bottom w:val="single" w:color="auto" w:sz="2" w:space="0"/>
              <w:right w:val="nil"/>
            </w:tcBorders>
            <w:noWrap w:val="0"/>
            <w:vAlign w:val="center"/>
          </w:tcPr>
          <w:p>
            <w:pPr>
              <w:spacing w:line="276" w:lineRule="auto"/>
              <w:jc w:val="center"/>
              <w:rPr>
                <w:rFonts w:ascii="宋体"/>
                <w:color w:val="auto"/>
                <w:kern w:val="0"/>
                <w:sz w:val="18"/>
                <w:szCs w:val="18"/>
              </w:rPr>
            </w:pPr>
          </w:p>
        </w:tc>
        <w:tc>
          <w:tcPr>
            <w:tcW w:w="341" w:type="pct"/>
            <w:vMerge w:val="restart"/>
            <w:tcBorders>
              <w:top w:val="single" w:color="auto" w:sz="2" w:space="0"/>
              <w:left w:val="single" w:color="auto" w:sz="2" w:space="0"/>
              <w:right w:val="nil"/>
            </w:tcBorders>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lang w:eastAsia="zh-CN"/>
              </w:rPr>
              <w:t>其中：</w:t>
            </w:r>
            <w:r>
              <w:rPr>
                <w:rFonts w:hint="eastAsia" w:ascii="宋体" w:hAnsi="宋体" w:cs="宋体"/>
                <w:color w:val="auto"/>
                <w:kern w:val="0"/>
                <w:sz w:val="18"/>
                <w:szCs w:val="18"/>
              </w:rPr>
              <w:t>政府</w:t>
            </w:r>
          </w:p>
          <w:p>
            <w:pPr>
              <w:spacing w:line="276" w:lineRule="auto"/>
              <w:jc w:val="center"/>
              <w:rPr>
                <w:rFonts w:ascii="宋体"/>
                <w:color w:val="auto"/>
                <w:kern w:val="0"/>
                <w:sz w:val="18"/>
                <w:szCs w:val="18"/>
              </w:rPr>
            </w:pPr>
            <w:r>
              <w:rPr>
                <w:rFonts w:hint="eastAsia" w:ascii="宋体" w:hAnsi="宋体" w:cs="宋体"/>
                <w:color w:val="auto"/>
                <w:kern w:val="0"/>
                <w:sz w:val="18"/>
                <w:szCs w:val="18"/>
              </w:rPr>
              <w:t>资金</w:t>
            </w:r>
          </w:p>
        </w:tc>
        <w:tc>
          <w:tcPr>
            <w:tcW w:w="296" w:type="pct"/>
            <w:vMerge w:val="restart"/>
            <w:tcBorders>
              <w:top w:val="single" w:color="auto" w:sz="2" w:space="0"/>
              <w:left w:val="single" w:color="auto" w:sz="2" w:space="0"/>
              <w:right w:val="nil"/>
            </w:tcBorders>
            <w:noWrap w:val="0"/>
            <w:vAlign w:val="center"/>
          </w:tcPr>
          <w:p>
            <w:pPr>
              <w:spacing w:line="276"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其中：用于科学原理的探索发现</w:t>
            </w:r>
          </w:p>
        </w:tc>
        <w:tc>
          <w:tcPr>
            <w:tcW w:w="296" w:type="pct"/>
            <w:tcBorders>
              <w:top w:val="single" w:color="auto" w:sz="2" w:space="0"/>
              <w:left w:val="nil"/>
              <w:bottom w:val="single" w:color="auto" w:sz="2" w:space="0"/>
              <w:right w:val="nil"/>
            </w:tcBorders>
            <w:noWrap w:val="0"/>
            <w:vAlign w:val="center"/>
          </w:tcPr>
          <w:p>
            <w:pPr>
              <w:spacing w:line="276" w:lineRule="auto"/>
              <w:jc w:val="center"/>
              <w:rPr>
                <w:rFonts w:hint="eastAsia" w:ascii="宋体" w:hAnsi="宋体" w:cs="宋体"/>
                <w:color w:val="auto"/>
                <w:kern w:val="0"/>
                <w:sz w:val="18"/>
                <w:szCs w:val="18"/>
              </w:rPr>
            </w:pPr>
          </w:p>
        </w:tc>
        <w:tc>
          <w:tcPr>
            <w:tcW w:w="296" w:type="pct"/>
            <w:tcBorders>
              <w:top w:val="single" w:color="auto" w:sz="2" w:space="0"/>
              <w:left w:val="nil"/>
              <w:bottom w:val="single" w:color="auto" w:sz="2" w:space="0"/>
              <w:right w:val="nil"/>
            </w:tcBorders>
            <w:noWrap w:val="0"/>
            <w:vAlign w:val="center"/>
          </w:tcPr>
          <w:p>
            <w:pPr>
              <w:spacing w:line="276" w:lineRule="auto"/>
              <w:jc w:val="center"/>
              <w:rPr>
                <w:rFonts w:hint="eastAsia" w:ascii="宋体" w:hAnsi="宋体" w:cs="宋体"/>
                <w:color w:val="auto"/>
                <w:kern w:val="0"/>
                <w:sz w:val="18"/>
                <w:szCs w:val="18"/>
              </w:rPr>
            </w:pPr>
          </w:p>
        </w:tc>
      </w:tr>
      <w:tr>
        <w:tblPrEx>
          <w:tblCellMar>
            <w:top w:w="0" w:type="dxa"/>
            <w:left w:w="0" w:type="dxa"/>
            <w:bottom w:w="0" w:type="dxa"/>
            <w:right w:w="0" w:type="dxa"/>
          </w:tblCellMar>
        </w:tblPrEx>
        <w:trPr>
          <w:trHeight w:val="1073" w:hRule="atLeast"/>
          <w:jc w:val="center"/>
        </w:trPr>
        <w:tc>
          <w:tcPr>
            <w:tcW w:w="214" w:type="pct"/>
            <w:vMerge w:val="continue"/>
            <w:tcBorders>
              <w:left w:val="nil"/>
              <w:bottom w:val="single" w:color="auto" w:sz="2" w:space="0"/>
              <w:right w:val="single" w:color="auto" w:sz="2" w:space="0"/>
            </w:tcBorders>
            <w:noWrap/>
            <w:vAlign w:val="center"/>
          </w:tcPr>
          <w:p>
            <w:pPr>
              <w:spacing w:line="276" w:lineRule="auto"/>
              <w:jc w:val="center"/>
              <w:rPr>
                <w:color w:val="auto"/>
              </w:rPr>
            </w:pPr>
          </w:p>
        </w:tc>
        <w:tc>
          <w:tcPr>
            <w:tcW w:w="227"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340"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340"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top"/>
          </w:tcPr>
          <w:p>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411"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341"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406"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344" w:type="pct"/>
            <w:vMerge w:val="continue"/>
            <w:tcBorders>
              <w:left w:val="single" w:color="auto" w:sz="2" w:space="0"/>
              <w:bottom w:val="single" w:color="auto" w:sz="2" w:space="0"/>
              <w:right w:val="nil"/>
            </w:tcBorders>
            <w:noWrap w:val="0"/>
            <w:vAlign w:val="center"/>
          </w:tcPr>
          <w:p>
            <w:pPr>
              <w:spacing w:line="276" w:lineRule="auto"/>
              <w:jc w:val="center"/>
              <w:rPr>
                <w:color w:val="auto"/>
              </w:rPr>
            </w:pPr>
          </w:p>
        </w:tc>
        <w:tc>
          <w:tcPr>
            <w:tcW w:w="341" w:type="pct"/>
            <w:vMerge w:val="continue"/>
            <w:tcBorders>
              <w:left w:val="single" w:color="auto" w:sz="2" w:space="0"/>
              <w:bottom w:val="single" w:color="auto" w:sz="2" w:space="0"/>
              <w:right w:val="nil"/>
            </w:tcBorders>
            <w:noWrap w:val="0"/>
            <w:vAlign w:val="center"/>
          </w:tcPr>
          <w:p>
            <w:pPr>
              <w:spacing w:line="276" w:lineRule="auto"/>
              <w:jc w:val="center"/>
              <w:rPr>
                <w:color w:val="auto"/>
              </w:rPr>
            </w:pPr>
          </w:p>
        </w:tc>
        <w:tc>
          <w:tcPr>
            <w:tcW w:w="296" w:type="pct"/>
            <w:vMerge w:val="continue"/>
            <w:tcBorders>
              <w:left w:val="single" w:color="auto" w:sz="2" w:space="0"/>
              <w:bottom w:val="single" w:color="auto" w:sz="2" w:space="0"/>
              <w:right w:val="nil"/>
            </w:tcBorders>
            <w:noWrap w:val="0"/>
            <w:vAlign w:val="center"/>
          </w:tcPr>
          <w:p>
            <w:pPr>
              <w:spacing w:line="276" w:lineRule="auto"/>
              <w:jc w:val="center"/>
              <w:rPr>
                <w:color w:val="auto"/>
              </w:rPr>
            </w:pPr>
          </w:p>
        </w:tc>
        <w:tc>
          <w:tcPr>
            <w:tcW w:w="296" w:type="pct"/>
            <w:tcBorders>
              <w:top w:val="single" w:color="auto" w:sz="2" w:space="0"/>
              <w:left w:val="single" w:color="auto" w:sz="2" w:space="0"/>
              <w:bottom w:val="single" w:color="auto" w:sz="2" w:space="0"/>
              <w:right w:val="single" w:color="auto" w:sz="2" w:space="0"/>
            </w:tcBorders>
            <w:noWrap w:val="0"/>
            <w:vAlign w:val="center"/>
          </w:tcPr>
          <w:p>
            <w:pPr>
              <w:spacing w:line="276"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其中：企业自主开展</w:t>
            </w:r>
          </w:p>
        </w:tc>
        <w:tc>
          <w:tcPr>
            <w:tcW w:w="296" w:type="pct"/>
            <w:tcBorders>
              <w:top w:val="single" w:color="auto" w:sz="2" w:space="0"/>
              <w:left w:val="single" w:color="auto" w:sz="2" w:space="0"/>
              <w:bottom w:val="single" w:color="auto" w:sz="2" w:space="0"/>
              <w:right w:val="nil"/>
            </w:tcBorders>
            <w:noWrap w:val="0"/>
            <w:vAlign w:val="center"/>
          </w:tcPr>
          <w:p>
            <w:pPr>
              <w:spacing w:line="276" w:lineRule="auto"/>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*委托外单位开展</w:t>
            </w:r>
          </w:p>
        </w:tc>
      </w:tr>
      <w:tr>
        <w:tblPrEx>
          <w:tblCellMar>
            <w:top w:w="0" w:type="dxa"/>
            <w:left w:w="0" w:type="dxa"/>
            <w:bottom w:w="0" w:type="dxa"/>
            <w:right w:w="0" w:type="dxa"/>
          </w:tblCellMar>
        </w:tblPrEx>
        <w:trPr>
          <w:trHeight w:val="340" w:hRule="atLeast"/>
          <w:jc w:val="center"/>
        </w:trPr>
        <w:tc>
          <w:tcPr>
            <w:tcW w:w="214" w:type="pct"/>
            <w:tcBorders>
              <w:top w:val="single" w:color="auto" w:sz="2" w:space="0"/>
              <w:left w:val="nil"/>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hint="eastAsia" w:ascii="宋体" w:hAnsi="宋体" w:cs="宋体"/>
                <w:color w:val="auto"/>
                <w:kern w:val="0"/>
                <w:sz w:val="18"/>
                <w:szCs w:val="18"/>
              </w:rPr>
              <w:t>甲</w:t>
            </w:r>
          </w:p>
        </w:tc>
        <w:tc>
          <w:tcPr>
            <w:tcW w:w="227"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hint="eastAsia" w:ascii="宋体" w:hAnsi="宋体" w:cs="宋体"/>
                <w:color w:val="auto"/>
                <w:kern w:val="0"/>
                <w:sz w:val="18"/>
                <w:szCs w:val="18"/>
              </w:rPr>
              <w:t>乙</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hAnsi="宋体" w:cs="宋体"/>
                <w:color w:val="auto"/>
                <w:kern w:val="0"/>
                <w:sz w:val="18"/>
                <w:szCs w:val="18"/>
              </w:rPr>
              <w:t>1</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hAnsi="宋体" w:cs="宋体"/>
                <w:color w:val="auto"/>
                <w:kern w:val="0"/>
                <w:sz w:val="18"/>
                <w:szCs w:val="18"/>
              </w:rPr>
              <w:t>2</w:t>
            </w:r>
          </w:p>
        </w:tc>
        <w:tc>
          <w:tcPr>
            <w:tcW w:w="340"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hAnsi="宋体" w:cs="宋体"/>
                <w:color w:val="auto"/>
                <w:kern w:val="0"/>
                <w:sz w:val="18"/>
                <w:szCs w:val="18"/>
              </w:rPr>
              <w:t>3</w:t>
            </w:r>
          </w:p>
        </w:tc>
        <w:tc>
          <w:tcPr>
            <w:tcW w:w="340"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hAnsi="宋体" w:cs="宋体"/>
                <w:color w:val="auto"/>
                <w:kern w:val="0"/>
                <w:sz w:val="18"/>
                <w:szCs w:val="18"/>
              </w:rPr>
              <w:t>4</w:t>
            </w:r>
          </w:p>
        </w:tc>
        <w:tc>
          <w:tcPr>
            <w:tcW w:w="286" w:type="pct"/>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rPr>
                <w:rFonts w:ascii="宋体"/>
                <w:color w:val="auto"/>
                <w:kern w:val="0"/>
                <w:sz w:val="18"/>
                <w:szCs w:val="18"/>
              </w:rPr>
            </w:pPr>
            <w:r>
              <w:rPr>
                <w:rFonts w:ascii="宋体"/>
                <w:color w:val="auto"/>
                <w:kern w:val="0"/>
                <w:sz w:val="18"/>
                <w:szCs w:val="18"/>
              </w:rPr>
              <w:t>5</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color w:val="auto"/>
                <w:kern w:val="0"/>
                <w:sz w:val="18"/>
                <w:szCs w:val="18"/>
              </w:rPr>
              <w:t>6</w:t>
            </w:r>
          </w:p>
        </w:tc>
        <w:tc>
          <w:tcPr>
            <w:tcW w:w="411" w:type="pct"/>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rPr>
                <w:rFonts w:ascii="宋体"/>
                <w:color w:val="auto"/>
                <w:kern w:val="0"/>
                <w:sz w:val="18"/>
                <w:szCs w:val="18"/>
              </w:rPr>
            </w:pPr>
            <w:r>
              <w:rPr>
                <w:rFonts w:ascii="宋体"/>
                <w:color w:val="auto"/>
                <w:kern w:val="0"/>
                <w:sz w:val="18"/>
                <w:szCs w:val="18"/>
              </w:rPr>
              <w:t>7</w:t>
            </w:r>
          </w:p>
        </w:tc>
        <w:tc>
          <w:tcPr>
            <w:tcW w:w="341"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color w:val="auto"/>
                <w:kern w:val="0"/>
                <w:sz w:val="18"/>
                <w:szCs w:val="18"/>
              </w:rPr>
              <w:t>8</w:t>
            </w:r>
          </w:p>
        </w:tc>
        <w:tc>
          <w:tcPr>
            <w:tcW w:w="40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color w:val="auto"/>
                <w:kern w:val="0"/>
                <w:sz w:val="18"/>
                <w:szCs w:val="18"/>
              </w:rPr>
              <w:t>9</w:t>
            </w:r>
          </w:p>
        </w:tc>
        <w:tc>
          <w:tcPr>
            <w:tcW w:w="344" w:type="pct"/>
            <w:tcBorders>
              <w:top w:val="single" w:color="auto" w:sz="2" w:space="0"/>
              <w:left w:val="single" w:color="auto" w:sz="2" w:space="0"/>
              <w:bottom w:val="single" w:color="auto" w:sz="2" w:space="0"/>
              <w:right w:val="nil"/>
            </w:tcBorders>
            <w:noWrap/>
            <w:vAlign w:val="center"/>
          </w:tcPr>
          <w:p>
            <w:pPr>
              <w:widowControl/>
              <w:spacing w:line="240" w:lineRule="exact"/>
              <w:jc w:val="center"/>
              <w:rPr>
                <w:rFonts w:ascii="宋体"/>
                <w:color w:val="auto"/>
                <w:kern w:val="0"/>
                <w:sz w:val="18"/>
                <w:szCs w:val="18"/>
              </w:rPr>
            </w:pPr>
            <w:r>
              <w:rPr>
                <w:rFonts w:ascii="宋体"/>
                <w:color w:val="auto"/>
                <w:kern w:val="0"/>
                <w:sz w:val="18"/>
                <w:szCs w:val="18"/>
              </w:rPr>
              <w:t>10</w:t>
            </w:r>
          </w:p>
        </w:tc>
        <w:tc>
          <w:tcPr>
            <w:tcW w:w="341" w:type="pct"/>
            <w:tcBorders>
              <w:top w:val="single" w:color="auto" w:sz="2" w:space="0"/>
              <w:left w:val="single" w:color="auto" w:sz="2" w:space="0"/>
              <w:bottom w:val="single" w:color="auto" w:sz="2" w:space="0"/>
              <w:right w:val="nil"/>
            </w:tcBorders>
            <w:noWrap w:val="0"/>
            <w:vAlign w:val="center"/>
          </w:tcPr>
          <w:p>
            <w:pPr>
              <w:widowControl/>
              <w:spacing w:line="240" w:lineRule="exact"/>
              <w:jc w:val="center"/>
              <w:rPr>
                <w:rFonts w:ascii="宋体"/>
                <w:color w:val="auto"/>
                <w:kern w:val="0"/>
                <w:sz w:val="18"/>
                <w:szCs w:val="18"/>
              </w:rPr>
            </w:pPr>
            <w:r>
              <w:rPr>
                <w:rFonts w:ascii="宋体"/>
                <w:color w:val="auto"/>
                <w:kern w:val="0"/>
                <w:sz w:val="18"/>
                <w:szCs w:val="18"/>
              </w:rPr>
              <w:t>11</w:t>
            </w:r>
          </w:p>
        </w:tc>
        <w:tc>
          <w:tcPr>
            <w:tcW w:w="296" w:type="pct"/>
            <w:tcBorders>
              <w:top w:val="single" w:color="auto" w:sz="2" w:space="0"/>
              <w:left w:val="single" w:color="auto" w:sz="2" w:space="0"/>
              <w:bottom w:val="single" w:color="auto" w:sz="2" w:space="0"/>
              <w:right w:val="nil"/>
            </w:tcBorders>
            <w:noWrap w:val="0"/>
            <w:vAlign w:val="center"/>
          </w:tcPr>
          <w:p>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12</w:t>
            </w:r>
          </w:p>
        </w:tc>
        <w:tc>
          <w:tcPr>
            <w:tcW w:w="296" w:type="pct"/>
            <w:tcBorders>
              <w:top w:val="single" w:color="auto" w:sz="2" w:space="0"/>
              <w:left w:val="single" w:color="auto" w:sz="2" w:space="0"/>
              <w:bottom w:val="single" w:color="auto" w:sz="2" w:space="0"/>
              <w:right w:val="nil"/>
            </w:tcBorders>
            <w:noWrap w:val="0"/>
            <w:vAlign w:val="center"/>
          </w:tcPr>
          <w:p>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13</w:t>
            </w:r>
          </w:p>
        </w:tc>
        <w:tc>
          <w:tcPr>
            <w:tcW w:w="296" w:type="pct"/>
            <w:tcBorders>
              <w:top w:val="single" w:color="auto" w:sz="2" w:space="0"/>
              <w:left w:val="single" w:color="auto" w:sz="2" w:space="0"/>
              <w:bottom w:val="single" w:color="auto" w:sz="2" w:space="0"/>
              <w:right w:val="nil"/>
            </w:tcBorders>
            <w:noWrap w:val="0"/>
            <w:vAlign w:val="center"/>
          </w:tcPr>
          <w:p>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14</w:t>
            </w:r>
          </w:p>
        </w:tc>
      </w:tr>
      <w:tr>
        <w:tblPrEx>
          <w:tblCellMar>
            <w:top w:w="0" w:type="dxa"/>
            <w:left w:w="0" w:type="dxa"/>
            <w:bottom w:w="0" w:type="dxa"/>
            <w:right w:w="0" w:type="dxa"/>
          </w:tblCellMar>
        </w:tblPrEx>
        <w:trPr>
          <w:trHeight w:val="1071" w:hRule="atLeast"/>
          <w:jc w:val="center"/>
        </w:trPr>
        <w:tc>
          <w:tcPr>
            <w:tcW w:w="214" w:type="pct"/>
            <w:tcBorders>
              <w:top w:val="single" w:color="auto" w:sz="2" w:space="0"/>
              <w:left w:val="nil"/>
              <w:bottom w:val="single" w:color="auto" w:sz="8" w:space="0"/>
              <w:right w:val="single" w:color="auto" w:sz="2" w:space="0"/>
            </w:tcBorders>
            <w:noWrap/>
            <w:vAlign w:val="center"/>
          </w:tcPr>
          <w:p>
            <w:pPr>
              <w:widowControl/>
              <w:spacing w:line="240" w:lineRule="exact"/>
              <w:jc w:val="center"/>
              <w:rPr>
                <w:rFonts w:ascii="宋体"/>
                <w:color w:val="auto"/>
                <w:kern w:val="0"/>
                <w:sz w:val="18"/>
                <w:szCs w:val="18"/>
              </w:rPr>
            </w:pPr>
          </w:p>
        </w:tc>
        <w:tc>
          <w:tcPr>
            <w:tcW w:w="227" w:type="pct"/>
            <w:tcBorders>
              <w:top w:val="single" w:color="auto" w:sz="2" w:space="0"/>
              <w:left w:val="single" w:color="auto" w:sz="2" w:space="0"/>
              <w:bottom w:val="single" w:color="auto" w:sz="8" w:space="0"/>
              <w:right w:val="single" w:color="auto" w:sz="2" w:space="0"/>
            </w:tcBorders>
            <w:noWrap/>
            <w:vAlign w:val="center"/>
          </w:tcPr>
          <w:p>
            <w:pPr>
              <w:widowControl/>
              <w:spacing w:line="240" w:lineRule="exact"/>
              <w:jc w:val="center"/>
              <w:rPr>
                <w:rFonts w:ascii="宋体"/>
                <w:color w:val="auto"/>
                <w:kern w:val="0"/>
                <w:sz w:val="18"/>
                <w:szCs w:val="18"/>
              </w:rPr>
            </w:pPr>
          </w:p>
        </w:tc>
        <w:tc>
          <w:tcPr>
            <w:tcW w:w="286" w:type="pct"/>
            <w:tcBorders>
              <w:top w:val="single" w:color="auto" w:sz="2" w:space="0"/>
              <w:left w:val="single" w:color="auto" w:sz="2" w:space="0"/>
              <w:bottom w:val="single" w:color="auto" w:sz="8" w:space="0"/>
            </w:tcBorders>
            <w:noWrap w:val="0"/>
            <w:vAlign w:val="top"/>
          </w:tcPr>
          <w:p>
            <w:pPr>
              <w:widowControl/>
              <w:spacing w:line="240" w:lineRule="exact"/>
              <w:rPr>
                <w:rFonts w:ascii="宋体"/>
                <w:color w:val="auto"/>
                <w:kern w:val="0"/>
                <w:sz w:val="18"/>
                <w:szCs w:val="18"/>
              </w:rPr>
            </w:pPr>
          </w:p>
        </w:tc>
        <w:tc>
          <w:tcPr>
            <w:tcW w:w="3383" w:type="pct"/>
            <w:gridSpan w:val="10"/>
            <w:tcBorders>
              <w:top w:val="single" w:color="auto" w:sz="2" w:space="0"/>
              <w:bottom w:val="single" w:color="auto" w:sz="8" w:space="0"/>
            </w:tcBorders>
            <w:noWrap w:val="0"/>
            <w:vAlign w:val="top"/>
          </w:tcPr>
          <w:p>
            <w:pPr>
              <w:widowControl/>
              <w:spacing w:line="240" w:lineRule="exact"/>
              <w:rPr>
                <w:rFonts w:ascii="宋体"/>
                <w:color w:val="auto"/>
                <w:kern w:val="0"/>
                <w:sz w:val="18"/>
                <w:szCs w:val="18"/>
              </w:rPr>
            </w:pPr>
            <w:r>
              <w:rPr>
                <w:rFonts w:hint="eastAsia" w:ascii="宋体"/>
                <w:color w:val="auto"/>
                <w:kern w:val="0"/>
                <w:sz w:val="18"/>
                <w:szCs w:val="18"/>
              </w:rPr>
              <w:t xml:space="preserve"> </w:t>
            </w:r>
            <w:r>
              <w:rPr>
                <w:rFonts w:ascii="宋体"/>
                <w:color w:val="auto"/>
                <w:kern w:val="0"/>
                <w:sz w:val="18"/>
                <w:szCs w:val="18"/>
              </w:rPr>
              <w:t xml:space="preserve">                                             </w:t>
            </w:r>
          </w:p>
          <w:p>
            <w:pPr>
              <w:widowControl/>
              <w:spacing w:line="240" w:lineRule="exact"/>
              <w:ind w:firstLine="4140" w:firstLineChars="2300"/>
              <w:rPr>
                <w:rFonts w:ascii="宋体"/>
                <w:color w:val="auto"/>
                <w:kern w:val="0"/>
                <w:sz w:val="18"/>
                <w:szCs w:val="18"/>
              </w:rPr>
            </w:pPr>
          </w:p>
        </w:tc>
        <w:tc>
          <w:tcPr>
            <w:tcW w:w="296" w:type="pct"/>
            <w:tcBorders>
              <w:top w:val="single" w:color="auto" w:sz="2" w:space="0"/>
              <w:bottom w:val="single" w:color="auto" w:sz="8" w:space="0"/>
            </w:tcBorders>
            <w:noWrap w:val="0"/>
            <w:vAlign w:val="top"/>
          </w:tcPr>
          <w:p>
            <w:pPr>
              <w:widowControl/>
              <w:spacing w:line="240" w:lineRule="exact"/>
              <w:ind w:firstLine="4140" w:firstLineChars="2300"/>
              <w:rPr>
                <w:rFonts w:ascii="宋体"/>
                <w:color w:val="auto"/>
                <w:kern w:val="0"/>
                <w:sz w:val="18"/>
                <w:szCs w:val="18"/>
              </w:rPr>
            </w:pPr>
          </w:p>
        </w:tc>
        <w:tc>
          <w:tcPr>
            <w:tcW w:w="296" w:type="pct"/>
            <w:tcBorders>
              <w:top w:val="single" w:color="auto" w:sz="2" w:space="0"/>
              <w:bottom w:val="single" w:color="auto" w:sz="8" w:space="0"/>
            </w:tcBorders>
            <w:noWrap w:val="0"/>
            <w:vAlign w:val="top"/>
          </w:tcPr>
          <w:p>
            <w:pPr>
              <w:widowControl/>
              <w:spacing w:line="240" w:lineRule="exact"/>
              <w:ind w:firstLine="4140" w:firstLineChars="2300"/>
              <w:rPr>
                <w:rFonts w:ascii="宋体"/>
                <w:color w:val="auto"/>
                <w:kern w:val="0"/>
                <w:sz w:val="18"/>
                <w:szCs w:val="18"/>
              </w:rPr>
            </w:pPr>
          </w:p>
        </w:tc>
        <w:tc>
          <w:tcPr>
            <w:tcW w:w="296" w:type="pct"/>
            <w:tcBorders>
              <w:top w:val="single" w:color="auto" w:sz="2" w:space="0"/>
              <w:bottom w:val="single" w:color="auto" w:sz="8" w:space="0"/>
            </w:tcBorders>
            <w:noWrap w:val="0"/>
            <w:vAlign w:val="top"/>
          </w:tcPr>
          <w:p>
            <w:pPr>
              <w:widowControl/>
              <w:spacing w:line="240" w:lineRule="exact"/>
              <w:ind w:firstLine="4140" w:firstLineChars="2300"/>
              <w:rPr>
                <w:rFonts w:ascii="宋体"/>
                <w:color w:val="auto"/>
                <w:kern w:val="0"/>
                <w:sz w:val="18"/>
                <w:szCs w:val="18"/>
              </w:rPr>
            </w:pPr>
          </w:p>
        </w:tc>
      </w:tr>
    </w:tbl>
    <w:p>
      <w:pPr>
        <w:spacing w:line="240" w:lineRule="exact"/>
        <w:ind w:left="-708" w:leftChars="-337" w:right="-710" w:rightChars="-338" w:firstLine="720" w:firstLineChars="400"/>
        <w:rPr>
          <w:rFonts w:ascii="宋体" w:cs="宋体"/>
          <w:color w:val="auto"/>
          <w:kern w:val="0"/>
          <w:sz w:val="18"/>
          <w:szCs w:val="18"/>
        </w:rPr>
      </w:pPr>
      <w:r>
        <w:rPr>
          <w:rFonts w:hint="eastAsia" w:ascii="宋体" w:hAnsi="宋体" w:cs="宋体"/>
          <w:color w:val="auto"/>
          <w:kern w:val="0"/>
          <w:sz w:val="18"/>
          <w:szCs w:val="18"/>
        </w:rPr>
        <w:t>单位负责人：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统计负责人：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填表人：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联系电话：</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报出日期：２０</w:t>
      </w:r>
      <w:r>
        <w:rPr>
          <w:rFonts w:ascii="宋体" w:hAnsi="宋体" w:cs="宋体"/>
          <w:color w:val="auto"/>
          <w:kern w:val="0"/>
          <w:sz w:val="18"/>
          <w:szCs w:val="18"/>
        </w:rPr>
        <w:t xml:space="preserve">   </w:t>
      </w:r>
      <w:r>
        <w:rPr>
          <w:rFonts w:hint="eastAsia" w:ascii="宋体" w:hAnsi="宋体" w:cs="宋体"/>
          <w:color w:val="auto"/>
          <w:kern w:val="0"/>
          <w:sz w:val="18"/>
          <w:szCs w:val="18"/>
        </w:rPr>
        <w:t>年</w:t>
      </w:r>
      <w:r>
        <w:rPr>
          <w:rFonts w:ascii="宋体" w:hAnsi="宋体" w:cs="宋体"/>
          <w:color w:val="auto"/>
          <w:kern w:val="0"/>
          <w:sz w:val="18"/>
          <w:szCs w:val="18"/>
        </w:rPr>
        <w:t xml:space="preserve">   </w:t>
      </w:r>
      <w:r>
        <w:rPr>
          <w:rFonts w:hint="eastAsia" w:ascii="宋体" w:hAnsi="宋体" w:cs="宋体"/>
          <w:color w:val="auto"/>
          <w:kern w:val="0"/>
          <w:sz w:val="18"/>
          <w:szCs w:val="18"/>
        </w:rPr>
        <w:t>月</w:t>
      </w:r>
      <w:r>
        <w:rPr>
          <w:rFonts w:ascii="宋体" w:hAnsi="宋体" w:cs="宋体"/>
          <w:color w:val="auto"/>
          <w:kern w:val="0"/>
          <w:sz w:val="18"/>
          <w:szCs w:val="18"/>
        </w:rPr>
        <w:t xml:space="preserve">   </w:t>
      </w:r>
      <w:r>
        <w:rPr>
          <w:rFonts w:hint="eastAsia" w:ascii="宋体" w:hAnsi="宋体" w:cs="宋体"/>
          <w:color w:val="auto"/>
          <w:kern w:val="0"/>
          <w:sz w:val="18"/>
          <w:szCs w:val="18"/>
        </w:rPr>
        <w:t>日</w:t>
      </w:r>
    </w:p>
    <w:p>
      <w:pPr>
        <w:spacing w:line="300" w:lineRule="exact"/>
        <w:ind w:left="853" w:leftChars="-314" w:right="-567" w:rightChars="-270" w:hanging="1512" w:hangingChars="900"/>
        <w:rPr>
          <w:rFonts w:ascii="宋体" w:cs="宋体"/>
          <w:color w:val="auto"/>
          <w:spacing w:val="-6"/>
          <w:sz w:val="18"/>
          <w:szCs w:val="18"/>
        </w:rPr>
      </w:pPr>
    </w:p>
    <w:p>
      <w:pPr>
        <w:spacing w:line="240" w:lineRule="exact"/>
        <w:ind w:left="1512" w:hanging="1512" w:hangingChars="900"/>
        <w:jc w:val="left"/>
        <w:rPr>
          <w:rFonts w:hint="eastAsia" w:ascii="宋体" w:eastAsia="宋体" w:cs="宋体"/>
          <w:color w:val="auto"/>
          <w:spacing w:val="-6"/>
          <w:sz w:val="18"/>
          <w:szCs w:val="18"/>
          <w:lang w:eastAsia="zh-CN"/>
        </w:rPr>
      </w:pPr>
      <w:r>
        <w:rPr>
          <w:rFonts w:hint="eastAsia" w:ascii="宋体" w:cs="宋体"/>
          <w:color w:val="auto"/>
          <w:spacing w:val="-6"/>
          <w:sz w:val="18"/>
          <w:szCs w:val="18"/>
        </w:rPr>
        <w:t>说明：</w:t>
      </w:r>
      <w:r>
        <w:rPr>
          <w:rFonts w:ascii="宋体" w:cs="宋体"/>
          <w:color w:val="auto"/>
          <w:spacing w:val="-6"/>
          <w:sz w:val="18"/>
          <w:szCs w:val="18"/>
        </w:rPr>
        <w:t>1.</w:t>
      </w:r>
      <w:r>
        <w:rPr>
          <w:rFonts w:hint="eastAsia" w:ascii="宋体" w:cs="宋体"/>
          <w:color w:val="auto"/>
          <w:spacing w:val="-6"/>
          <w:sz w:val="18"/>
          <w:szCs w:val="18"/>
        </w:rPr>
        <w:t>统计范围：</w:t>
      </w:r>
      <w:r>
        <w:rPr>
          <w:rFonts w:hint="eastAsia" w:ascii="宋体" w:hAnsi="宋体"/>
          <w:color w:val="000000"/>
          <w:sz w:val="18"/>
          <w:szCs w:val="18"/>
        </w:rPr>
        <w:t>辖区内限额以上</w:t>
      </w:r>
      <w:r>
        <w:rPr>
          <w:rFonts w:hint="eastAsia" w:ascii="宋体" w:hAnsi="宋体"/>
          <w:color w:val="000000"/>
          <w:sz w:val="18"/>
          <w:szCs w:val="18"/>
          <w:lang w:eastAsia="zh-CN"/>
        </w:rPr>
        <w:t>服务业</w:t>
      </w:r>
      <w:r>
        <w:rPr>
          <w:rFonts w:hint="eastAsia" w:ascii="宋体" w:hAnsi="宋体"/>
          <w:color w:val="000000"/>
          <w:sz w:val="18"/>
          <w:szCs w:val="18"/>
        </w:rPr>
        <w:t>法人单位</w:t>
      </w:r>
      <w:r>
        <w:rPr>
          <w:rFonts w:hint="eastAsia" w:ascii="宋体" w:hAnsi="宋体" w:cs="宋体"/>
          <w:kern w:val="0"/>
          <w:sz w:val="18"/>
          <w:szCs w:val="18"/>
        </w:rPr>
        <w:t>的全部研究开发项目</w:t>
      </w:r>
      <w:r>
        <w:rPr>
          <w:rFonts w:hint="eastAsia" w:ascii="宋体" w:hAnsi="宋体" w:cs="宋体"/>
          <w:kern w:val="0"/>
          <w:sz w:val="18"/>
          <w:szCs w:val="18"/>
          <w:lang w:eastAsia="zh-CN"/>
        </w:rPr>
        <w:t>。</w:t>
      </w:r>
    </w:p>
    <w:p>
      <w:pPr>
        <w:spacing w:line="300" w:lineRule="exact"/>
        <w:ind w:left="2162" w:leftChars="258" w:hanging="1620" w:hangingChars="900"/>
        <w:rPr>
          <w:rFonts w:ascii="宋体" w:hAnsi="宋体" w:cs="宋体"/>
          <w:color w:val="auto"/>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报送日期及方式：调查单位20</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年3月10日24时前网上填报，</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cs="宋体"/>
          <w:sz w:val="18"/>
          <w:szCs w:val="18"/>
        </w:rPr>
        <w:t>。</w:t>
      </w:r>
    </w:p>
    <w:p>
      <w:pPr>
        <w:spacing w:line="300" w:lineRule="exact"/>
        <w:ind w:firstLine="540" w:firstLineChars="300"/>
        <w:jc w:val="left"/>
        <w:rPr>
          <w:rFonts w:ascii="宋体" w:cs="宋体"/>
          <w:color w:val="auto"/>
          <w:spacing w:val="-6"/>
          <w:sz w:val="18"/>
          <w:szCs w:val="18"/>
        </w:rPr>
      </w:pPr>
      <w:r>
        <w:rPr>
          <w:rFonts w:ascii="宋体" w:cs="宋体"/>
          <w:color w:val="auto"/>
          <w:sz w:val="18"/>
          <w:szCs w:val="18"/>
        </w:rPr>
        <w:t>3.</w:t>
      </w:r>
      <w:r>
        <w:rPr>
          <w:rFonts w:hint="eastAsia" w:ascii="宋体" w:cs="宋体"/>
          <w:color w:val="auto"/>
          <w:sz w:val="18"/>
          <w:szCs w:val="18"/>
        </w:rPr>
        <w:t>本表“项目来源”按《研究开发项目来源分类目录》填报；</w:t>
      </w:r>
    </w:p>
    <w:p>
      <w:pPr>
        <w:spacing w:line="300" w:lineRule="exact"/>
        <w:ind w:left="2"/>
        <w:jc w:val="left"/>
        <w:rPr>
          <w:rFonts w:ascii="宋体" w:cs="宋体"/>
          <w:color w:val="auto"/>
          <w:sz w:val="18"/>
          <w:szCs w:val="18"/>
        </w:rPr>
      </w:pPr>
      <w:r>
        <w:rPr>
          <w:rFonts w:hint="eastAsia" w:ascii="宋体" w:cs="宋体"/>
          <w:color w:val="auto"/>
          <w:sz w:val="18"/>
          <w:szCs w:val="18"/>
        </w:rPr>
        <w:t xml:space="preserve">     </w:t>
      </w:r>
      <w:r>
        <w:rPr>
          <w:rFonts w:ascii="宋体" w:cs="宋体"/>
          <w:color w:val="auto"/>
          <w:sz w:val="18"/>
          <w:szCs w:val="18"/>
        </w:rPr>
        <w:t xml:space="preserve">       </w:t>
      </w:r>
      <w:r>
        <w:rPr>
          <w:rFonts w:hint="eastAsia" w:ascii="宋体" w:cs="宋体"/>
          <w:color w:val="auto"/>
          <w:sz w:val="18"/>
          <w:szCs w:val="18"/>
        </w:rPr>
        <w:t>“项目开展形式”按《研究开发项目开展形式分类目录》填报；</w:t>
      </w:r>
    </w:p>
    <w:p>
      <w:pPr>
        <w:spacing w:line="300" w:lineRule="exact"/>
        <w:ind w:left="2" w:firstLine="1080" w:firstLineChars="600"/>
        <w:jc w:val="left"/>
        <w:rPr>
          <w:rFonts w:ascii="宋体" w:cs="宋体"/>
          <w:color w:val="auto"/>
          <w:sz w:val="18"/>
          <w:szCs w:val="18"/>
        </w:rPr>
      </w:pPr>
      <w:r>
        <w:rPr>
          <w:rFonts w:hint="eastAsia" w:ascii="宋体" w:cs="宋体"/>
          <w:color w:val="auto"/>
          <w:sz w:val="18"/>
          <w:szCs w:val="18"/>
        </w:rPr>
        <w:t>“项目当年成果形式”按《研究开发项目成果形式分类目录》填报；</w:t>
      </w:r>
    </w:p>
    <w:p>
      <w:pPr>
        <w:spacing w:line="300" w:lineRule="exact"/>
        <w:ind w:left="2" w:firstLine="1080" w:firstLineChars="600"/>
        <w:jc w:val="left"/>
        <w:rPr>
          <w:rFonts w:ascii="宋体" w:cs="宋体"/>
          <w:color w:val="auto"/>
          <w:sz w:val="18"/>
          <w:szCs w:val="18"/>
        </w:rPr>
      </w:pPr>
      <w:r>
        <w:rPr>
          <w:rFonts w:hint="eastAsia" w:ascii="宋体" w:cs="宋体"/>
          <w:color w:val="auto"/>
          <w:sz w:val="18"/>
          <w:szCs w:val="18"/>
        </w:rPr>
        <w:t>“项目技术经济目标”按《研究开发项目技术经济目标分类目录》填报；</w:t>
      </w:r>
    </w:p>
    <w:p>
      <w:pPr>
        <w:spacing w:line="300" w:lineRule="exact"/>
        <w:ind w:left="2" w:firstLine="1080" w:firstLineChars="600"/>
        <w:jc w:val="left"/>
        <w:rPr>
          <w:rFonts w:ascii="宋体" w:cs="宋体"/>
          <w:color w:val="auto"/>
          <w:sz w:val="18"/>
          <w:szCs w:val="18"/>
        </w:rPr>
      </w:pPr>
      <w:r>
        <w:rPr>
          <w:rFonts w:hint="eastAsia" w:ascii="宋体" w:cs="宋体"/>
          <w:color w:val="auto"/>
          <w:sz w:val="18"/>
          <w:szCs w:val="18"/>
        </w:rPr>
        <w:t>“跨年项目当年所处主要进展阶段”按《研究开发项目进展阶段分类目录》填报，非跨年项目免填。</w:t>
      </w:r>
    </w:p>
    <w:p>
      <w:pPr>
        <w:spacing w:line="300" w:lineRule="exact"/>
        <w:ind w:left="632" w:leftChars="258" w:hanging="90" w:hangingChars="50"/>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带*部分指标仅限高技术制造业</w:t>
      </w:r>
      <w:r>
        <w:rPr>
          <w:rFonts w:hint="eastAsia" w:ascii="宋体" w:hAnsi="宋体" w:cs="宋体"/>
          <w:color w:val="auto"/>
          <w:kern w:val="0"/>
          <w:sz w:val="18"/>
          <w:szCs w:val="18"/>
          <w:lang w:eastAsia="zh-CN"/>
        </w:rPr>
        <w:t>大型企业、</w:t>
      </w:r>
      <w:r>
        <w:rPr>
          <w:rFonts w:hint="eastAsia" w:ascii="宋体" w:hAnsi="宋体" w:cs="宋体"/>
          <w:color w:val="auto"/>
          <w:kern w:val="0"/>
          <w:sz w:val="18"/>
          <w:szCs w:val="18"/>
        </w:rPr>
        <w:t>软件和信息技术服务业</w:t>
      </w:r>
      <w:r>
        <w:rPr>
          <w:rFonts w:hint="eastAsia" w:ascii="宋体" w:hAnsi="宋体" w:cs="宋体"/>
          <w:color w:val="auto"/>
          <w:kern w:val="0"/>
          <w:sz w:val="18"/>
          <w:szCs w:val="18"/>
          <w:lang w:eastAsia="zh-CN"/>
        </w:rPr>
        <w:t>大型企业法人单位，</w:t>
      </w:r>
      <w:r>
        <w:rPr>
          <w:rFonts w:hint="eastAsia" w:ascii="宋体" w:hAnsi="宋体" w:cs="宋体"/>
          <w:color w:val="auto"/>
          <w:kern w:val="0"/>
          <w:sz w:val="18"/>
          <w:szCs w:val="18"/>
        </w:rPr>
        <w:t>规模以上研究和试验发展行业</w:t>
      </w:r>
      <w:r>
        <w:rPr>
          <w:rFonts w:hint="eastAsia" w:ascii="宋体" w:hAnsi="宋体" w:cs="宋体"/>
          <w:color w:val="auto"/>
          <w:kern w:val="0"/>
          <w:sz w:val="18"/>
          <w:szCs w:val="18"/>
          <w:lang w:eastAsia="zh-CN"/>
        </w:rPr>
        <w:t>企业法人单位，</w:t>
      </w:r>
      <w:r>
        <w:rPr>
          <w:rFonts w:hint="eastAsia" w:ascii="宋体" w:hAnsi="宋体" w:eastAsia="宋体" w:cs="宋体"/>
          <w:color w:val="auto"/>
          <w:kern w:val="0"/>
          <w:sz w:val="18"/>
          <w:szCs w:val="18"/>
        </w:rPr>
        <w:t>国家重点实验室所在企业</w:t>
      </w:r>
      <w:r>
        <w:rPr>
          <w:rFonts w:hint="eastAsia" w:ascii="宋体" w:hAnsi="宋体" w:eastAsia="宋体" w:cs="宋体"/>
          <w:color w:val="auto"/>
          <w:kern w:val="0"/>
          <w:sz w:val="18"/>
          <w:szCs w:val="18"/>
          <w:lang w:eastAsia="zh-CN"/>
        </w:rPr>
        <w:t>法人单位和</w:t>
      </w:r>
      <w:r>
        <w:rPr>
          <w:rFonts w:hint="eastAsia" w:ascii="宋体" w:hAnsi="宋体" w:eastAsia="宋体" w:cs="宋体"/>
          <w:color w:val="auto"/>
          <w:kern w:val="0"/>
          <w:sz w:val="18"/>
          <w:szCs w:val="18"/>
        </w:rPr>
        <w:t>部分行业龙头企业</w:t>
      </w:r>
      <w:r>
        <w:rPr>
          <w:rFonts w:hint="eastAsia" w:ascii="宋体" w:hAnsi="宋体" w:eastAsia="宋体" w:cs="宋体"/>
          <w:color w:val="auto"/>
          <w:kern w:val="0"/>
          <w:sz w:val="18"/>
          <w:szCs w:val="18"/>
          <w:lang w:eastAsia="zh-CN"/>
        </w:rPr>
        <w:t>法人单位</w:t>
      </w:r>
      <w:r>
        <w:rPr>
          <w:rFonts w:hint="eastAsia" w:ascii="宋体" w:hAnsi="宋体" w:eastAsia="宋体" w:cs="宋体"/>
          <w:color w:val="auto"/>
          <w:kern w:val="0"/>
          <w:sz w:val="18"/>
          <w:szCs w:val="18"/>
        </w:rPr>
        <w:t>填报。</w:t>
      </w:r>
    </w:p>
    <w:p>
      <w:pPr>
        <w:spacing w:line="300" w:lineRule="exact"/>
        <w:ind w:left="2162" w:leftChars="258" w:hanging="1620" w:hangingChars="900"/>
        <w:rPr>
          <w:rFonts w:ascii="宋体" w:hAnsi="宋体" w:cs="宋体"/>
          <w:color w:val="auto"/>
          <w:kern w:val="0"/>
          <w:sz w:val="18"/>
          <w:szCs w:val="18"/>
        </w:rPr>
      </w:pPr>
      <w:r>
        <w:rPr>
          <w:rFonts w:hint="eastAsia" w:ascii="宋体" w:hAnsi="宋体" w:cs="宋体"/>
          <w:color w:val="auto"/>
          <w:kern w:val="0"/>
          <w:sz w:val="18"/>
          <w:szCs w:val="18"/>
          <w:lang w:val="en-US" w:eastAsia="zh-CN"/>
        </w:rPr>
        <w:t>5</w:t>
      </w:r>
      <w:r>
        <w:rPr>
          <w:rFonts w:ascii="宋体" w:hAnsi="宋体" w:cs="宋体"/>
          <w:color w:val="auto"/>
          <w:kern w:val="0"/>
          <w:sz w:val="18"/>
          <w:szCs w:val="18"/>
        </w:rPr>
        <w:t>.</w:t>
      </w:r>
      <w:r>
        <w:rPr>
          <w:rFonts w:hint="eastAsia" w:ascii="宋体" w:hAnsi="宋体" w:cs="宋体"/>
          <w:color w:val="auto"/>
          <w:kern w:val="0"/>
          <w:sz w:val="18"/>
          <w:szCs w:val="18"/>
        </w:rPr>
        <w:t>审核关系：</w:t>
      </w:r>
    </w:p>
    <w:p>
      <w:pPr>
        <w:spacing w:line="300" w:lineRule="exact"/>
        <w:ind w:left="735" w:leftChars="350"/>
        <w:jc w:val="left"/>
        <w:rPr>
          <w:rFonts w:ascii="宋体" w:cs="宋体"/>
          <w:color w:val="auto"/>
          <w:sz w:val="18"/>
          <w:szCs w:val="18"/>
        </w:rPr>
      </w:pPr>
      <w:r>
        <w:rPr>
          <w:rFonts w:hint="eastAsia" w:ascii="宋体" w:hAnsi="宋体" w:cs="宋体"/>
          <w:color w:val="auto"/>
          <w:kern w:val="0"/>
          <w:sz w:val="18"/>
          <w:szCs w:val="18"/>
        </w:rPr>
        <w:t>表内审核：</w:t>
      </w:r>
    </w:p>
    <w:p>
      <w:pPr>
        <w:spacing w:line="300" w:lineRule="exact"/>
        <w:ind w:left="840" w:leftChars="400"/>
        <w:jc w:val="left"/>
        <w:rPr>
          <w:rFonts w:ascii="宋体" w:cs="宋体"/>
          <w:color w:val="auto"/>
          <w:sz w:val="18"/>
          <w:szCs w:val="18"/>
        </w:rPr>
      </w:pPr>
      <w:r>
        <w:rPr>
          <w:rFonts w:hint="eastAsia" w:ascii="宋体" w:hAnsi="宋体" w:cs="宋体"/>
          <w:color w:val="auto"/>
          <w:kern w:val="0"/>
          <w:sz w:val="18"/>
          <w:szCs w:val="18"/>
        </w:rPr>
        <w:t>(1)若</w:t>
      </w:r>
      <w:r>
        <w:rPr>
          <w:rFonts w:ascii="宋体" w:hAnsi="宋体" w:cs="宋体"/>
          <w:color w:val="auto"/>
          <w:kern w:val="0"/>
          <w:sz w:val="18"/>
          <w:szCs w:val="18"/>
        </w:rPr>
        <w:t>6</w:t>
      </w:r>
      <w:r>
        <w:rPr>
          <w:rFonts w:hint="eastAsia" w:ascii="宋体" w:hAnsi="宋体" w:cs="宋体"/>
          <w:color w:val="auto"/>
          <w:kern w:val="0"/>
          <w:sz w:val="18"/>
          <w:szCs w:val="18"/>
        </w:rPr>
        <w:t>≠000000，则5≤6且5≤20</w:t>
      </w:r>
      <w:r>
        <w:rPr>
          <w:rFonts w:hint="eastAsia" w:ascii="宋体" w:hAnsi="宋体" w:cs="宋体"/>
          <w:color w:val="auto"/>
          <w:kern w:val="0"/>
          <w:sz w:val="18"/>
          <w:szCs w:val="18"/>
          <w:lang w:val="en-US" w:eastAsia="zh-CN"/>
        </w:rPr>
        <w:t>24</w:t>
      </w:r>
      <w:r>
        <w:rPr>
          <w:rFonts w:hint="eastAsia" w:ascii="宋体" w:hAnsi="宋体" w:cs="宋体"/>
          <w:color w:val="auto"/>
          <w:kern w:val="0"/>
          <w:sz w:val="18"/>
          <w:szCs w:val="18"/>
        </w:rPr>
        <w:t>12且6≥20</w:t>
      </w:r>
      <w:r>
        <w:rPr>
          <w:rFonts w:hint="eastAsia" w:ascii="宋体" w:hAnsi="宋体" w:cs="宋体"/>
          <w:color w:val="auto"/>
          <w:kern w:val="0"/>
          <w:sz w:val="18"/>
          <w:szCs w:val="18"/>
          <w:lang w:val="en-US" w:eastAsia="zh-CN"/>
        </w:rPr>
        <w:t>24</w:t>
      </w:r>
      <w:r>
        <w:rPr>
          <w:rFonts w:hint="eastAsia" w:ascii="宋体" w:hAnsi="宋体" w:cs="宋体"/>
          <w:color w:val="auto"/>
          <w:kern w:val="0"/>
          <w:sz w:val="18"/>
          <w:szCs w:val="18"/>
        </w:rPr>
        <w:t xml:space="preserve">01 </w:t>
      </w:r>
    </w:p>
    <w:p>
      <w:pPr>
        <w:spacing w:line="300" w:lineRule="exact"/>
        <w:ind w:left="840" w:leftChars="400"/>
        <w:jc w:val="left"/>
        <w:rPr>
          <w:rFonts w:ascii="宋体" w:cs="宋体"/>
          <w:color w:val="auto"/>
          <w:sz w:val="18"/>
          <w:szCs w:val="18"/>
        </w:rPr>
      </w:pPr>
      <w:r>
        <w:rPr>
          <w:rFonts w:hint="eastAsia" w:ascii="宋体" w:hAnsi="宋体" w:cs="宋体"/>
          <w:color w:val="auto"/>
          <w:kern w:val="0"/>
          <w:sz w:val="18"/>
          <w:szCs w:val="18"/>
        </w:rPr>
        <w:t>(2)若</w:t>
      </w:r>
      <w:r>
        <w:rPr>
          <w:rFonts w:ascii="宋体" w:hAnsi="宋体" w:cs="宋体"/>
          <w:color w:val="auto"/>
          <w:kern w:val="0"/>
          <w:sz w:val="18"/>
          <w:szCs w:val="18"/>
        </w:rPr>
        <w:t>5</w:t>
      </w:r>
      <w:r>
        <w:rPr>
          <w:rFonts w:hint="eastAsia" w:ascii="宋体" w:hAnsi="宋体" w:cs="宋体"/>
          <w:color w:val="auto"/>
          <w:kern w:val="0"/>
          <w:sz w:val="18"/>
          <w:szCs w:val="18"/>
        </w:rPr>
        <w:t>≤20</w:t>
      </w:r>
      <w:r>
        <w:rPr>
          <w:rFonts w:hint="eastAsia" w:ascii="宋体" w:hAnsi="宋体" w:cs="宋体"/>
          <w:color w:val="auto"/>
          <w:kern w:val="0"/>
          <w:sz w:val="18"/>
          <w:szCs w:val="18"/>
          <w:lang w:val="en-US" w:eastAsia="zh-CN"/>
        </w:rPr>
        <w:t>23</w:t>
      </w:r>
      <w:r>
        <w:rPr>
          <w:rFonts w:hint="eastAsia" w:ascii="宋体" w:hAnsi="宋体" w:cs="宋体"/>
          <w:color w:val="auto"/>
          <w:kern w:val="0"/>
          <w:sz w:val="18"/>
          <w:szCs w:val="18"/>
        </w:rPr>
        <w:t>12或6≥20</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01，则第7项的有效代码为1、2、3或4</w:t>
      </w:r>
      <w:r>
        <w:rPr>
          <w:rFonts w:ascii="宋体" w:hAnsi="宋体" w:cs="宋体"/>
          <w:color w:val="auto"/>
          <w:sz w:val="18"/>
          <w:szCs w:val="18"/>
        </w:rPr>
        <w:t xml:space="preserve"> </w:t>
      </w:r>
    </w:p>
    <w:p>
      <w:pPr>
        <w:spacing w:line="300" w:lineRule="exact"/>
        <w:ind w:left="840" w:leftChars="400"/>
        <w:jc w:val="left"/>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8</w:t>
      </w:r>
      <w:r>
        <w:rPr>
          <w:rFonts w:hint="eastAsia" w:ascii="宋体" w:hAnsi="宋体" w:cs="宋体"/>
          <w:color w:val="auto"/>
          <w:kern w:val="0"/>
          <w:sz w:val="18"/>
          <w:szCs w:val="18"/>
        </w:rPr>
        <w:t>&gt;0     (4)</w:t>
      </w:r>
      <w:r>
        <w:rPr>
          <w:rFonts w:ascii="宋体" w:hAnsi="宋体" w:cs="宋体"/>
          <w:color w:val="auto"/>
          <w:kern w:val="0"/>
          <w:sz w:val="18"/>
          <w:szCs w:val="18"/>
        </w:rPr>
        <w:t>9</w:t>
      </w:r>
      <w:r>
        <w:rPr>
          <w:rFonts w:hint="eastAsia" w:ascii="宋体" w:hAnsi="宋体" w:cs="宋体"/>
          <w:color w:val="auto"/>
          <w:kern w:val="0"/>
          <w:sz w:val="18"/>
          <w:szCs w:val="18"/>
        </w:rPr>
        <w:t>&gt;0     （5）10&gt;0     (</w:t>
      </w:r>
      <w:r>
        <w:rPr>
          <w:rFonts w:ascii="宋体" w:hAnsi="宋体" w:cs="宋体"/>
          <w:color w:val="auto"/>
          <w:kern w:val="0"/>
          <w:sz w:val="18"/>
          <w:szCs w:val="18"/>
        </w:rPr>
        <w:t>6</w:t>
      </w:r>
      <w:r>
        <w:rPr>
          <w:rFonts w:hint="eastAsia" w:ascii="宋体" w:hAnsi="宋体" w:cs="宋体"/>
          <w:color w:val="auto"/>
          <w:kern w:val="0"/>
          <w:sz w:val="18"/>
          <w:szCs w:val="18"/>
        </w:rPr>
        <w:t>)</w:t>
      </w:r>
      <w:r>
        <w:rPr>
          <w:rFonts w:ascii="宋体" w:hAnsi="宋体" w:cs="宋体"/>
          <w:color w:val="auto"/>
          <w:kern w:val="0"/>
          <w:sz w:val="18"/>
          <w:szCs w:val="18"/>
        </w:rPr>
        <w:t>10</w:t>
      </w:r>
      <w:r>
        <w:rPr>
          <w:rFonts w:hint="eastAsia" w:ascii="宋体" w:hAnsi="宋体" w:cs="宋体"/>
          <w:color w:val="auto"/>
          <w:kern w:val="0"/>
          <w:sz w:val="18"/>
          <w:szCs w:val="18"/>
        </w:rPr>
        <w:t>≥</w:t>
      </w:r>
      <w:r>
        <w:rPr>
          <w:rFonts w:ascii="宋体" w:hAnsi="宋体" w:cs="宋体"/>
          <w:color w:val="auto"/>
          <w:kern w:val="0"/>
          <w:sz w:val="18"/>
          <w:szCs w:val="18"/>
        </w:rPr>
        <w:t xml:space="preserve">11 </w:t>
      </w:r>
    </w:p>
    <w:p>
      <w:pPr>
        <w:spacing w:line="300" w:lineRule="exact"/>
        <w:ind w:left="840" w:leftChars="400"/>
        <w:jc w:val="left"/>
        <w:rPr>
          <w:rFonts w:hint="eastAsia" w:ascii="宋体" w:cs="宋体"/>
          <w:color w:val="auto"/>
          <w:sz w:val="18"/>
          <w:szCs w:val="18"/>
        </w:rPr>
      </w:pPr>
      <w:r>
        <w:rPr>
          <w:rFonts w:hint="eastAsia" w:ascii="宋体" w:hAnsi="宋体" w:cs="宋体"/>
          <w:color w:val="auto"/>
          <w:kern w:val="0"/>
          <w:sz w:val="18"/>
          <w:szCs w:val="18"/>
        </w:rPr>
        <w:t>(</w:t>
      </w:r>
      <w:r>
        <w:rPr>
          <w:rFonts w:ascii="宋体" w:hAnsi="宋体" w:cs="宋体"/>
          <w:color w:val="auto"/>
          <w:kern w:val="0"/>
          <w:sz w:val="18"/>
          <w:szCs w:val="18"/>
        </w:rPr>
        <w:t>7</w:t>
      </w:r>
      <w:r>
        <w:rPr>
          <w:rFonts w:hint="eastAsia" w:ascii="宋体" w:hAnsi="宋体" w:cs="宋体"/>
          <w:color w:val="auto"/>
          <w:kern w:val="0"/>
          <w:sz w:val="18"/>
          <w:szCs w:val="18"/>
        </w:rPr>
        <w:t>)</w:t>
      </w:r>
      <w:r>
        <w:rPr>
          <w:rFonts w:hint="eastAsia" w:ascii="宋体" w:cs="宋体"/>
          <w:color w:val="auto"/>
          <w:sz w:val="18"/>
          <w:szCs w:val="18"/>
        </w:rPr>
        <w:t>若第</w:t>
      </w:r>
      <w:r>
        <w:rPr>
          <w:rFonts w:ascii="宋体" w:cs="宋体"/>
          <w:color w:val="auto"/>
          <w:sz w:val="18"/>
          <w:szCs w:val="18"/>
        </w:rPr>
        <w:t>2</w:t>
      </w:r>
      <w:r>
        <w:rPr>
          <w:rFonts w:hint="eastAsia" w:ascii="宋体" w:cs="宋体"/>
          <w:color w:val="auto"/>
          <w:sz w:val="18"/>
          <w:szCs w:val="18"/>
        </w:rPr>
        <w:t>项</w:t>
      </w:r>
      <w:r>
        <w:rPr>
          <w:rFonts w:ascii="宋体" w:cs="宋体"/>
          <w:color w:val="auto"/>
          <w:sz w:val="18"/>
          <w:szCs w:val="18"/>
        </w:rPr>
        <w:t>的有效代码为30</w:t>
      </w:r>
      <w:r>
        <w:rPr>
          <w:rFonts w:hint="eastAsia" w:ascii="宋体" w:cs="宋体"/>
          <w:color w:val="auto"/>
          <w:sz w:val="18"/>
          <w:szCs w:val="18"/>
        </w:rPr>
        <w:t>，</w:t>
      </w:r>
      <w:r>
        <w:rPr>
          <w:rFonts w:ascii="宋体" w:cs="宋体"/>
          <w:color w:val="auto"/>
          <w:sz w:val="18"/>
          <w:szCs w:val="18"/>
        </w:rPr>
        <w:t>则</w:t>
      </w:r>
      <w:r>
        <w:rPr>
          <w:rFonts w:hint="eastAsia" w:ascii="宋体" w:cs="宋体"/>
          <w:color w:val="auto"/>
          <w:sz w:val="18"/>
          <w:szCs w:val="18"/>
        </w:rPr>
        <w:t>第7、</w:t>
      </w:r>
      <w:r>
        <w:rPr>
          <w:rFonts w:ascii="宋体" w:cs="宋体"/>
          <w:color w:val="auto"/>
          <w:sz w:val="18"/>
          <w:szCs w:val="18"/>
        </w:rPr>
        <w:t>8</w:t>
      </w:r>
      <w:r>
        <w:rPr>
          <w:rFonts w:hint="eastAsia" w:ascii="宋体" w:cs="宋体"/>
          <w:color w:val="auto"/>
          <w:sz w:val="18"/>
          <w:szCs w:val="18"/>
        </w:rPr>
        <w:t>和9项</w:t>
      </w:r>
      <w:r>
        <w:rPr>
          <w:rFonts w:ascii="宋体" w:cs="宋体"/>
          <w:color w:val="auto"/>
          <w:sz w:val="18"/>
          <w:szCs w:val="18"/>
        </w:rPr>
        <w:t>免填</w:t>
      </w:r>
      <w:r>
        <w:rPr>
          <w:rFonts w:hint="eastAsia" w:ascii="宋体" w:cs="宋体"/>
          <w:color w:val="auto"/>
          <w:sz w:val="18"/>
          <w:szCs w:val="18"/>
        </w:rPr>
        <w:t>。</w:t>
      </w:r>
    </w:p>
    <w:p>
      <w:pPr>
        <w:spacing w:line="300" w:lineRule="exact"/>
        <w:ind w:left="840" w:leftChars="400"/>
        <w:jc w:val="left"/>
        <w:rPr>
          <w:rFonts w:hint="default" w:ascii="宋体" w:eastAsia="宋体" w:cs="宋体"/>
          <w:color w:val="auto"/>
          <w:sz w:val="18"/>
          <w:szCs w:val="18"/>
          <w:lang w:val="en-US" w:eastAsia="zh-CN"/>
        </w:rPr>
      </w:pPr>
      <w:r>
        <w:rPr>
          <w:rFonts w:hint="eastAsia" w:ascii="宋体" w:cs="宋体"/>
          <w:color w:val="auto"/>
          <w:sz w:val="18"/>
          <w:szCs w:val="18"/>
          <w:lang w:val="en-US" w:eastAsia="zh-CN"/>
        </w:rPr>
        <w:t>(8)</w:t>
      </w:r>
      <w:r>
        <w:rPr>
          <w:rFonts w:ascii="宋体" w:hAnsi="宋体" w:cs="宋体"/>
          <w:color w:val="auto"/>
          <w:kern w:val="0"/>
          <w:sz w:val="18"/>
          <w:szCs w:val="18"/>
        </w:rPr>
        <w:t>10</w:t>
      </w:r>
      <w:r>
        <w:rPr>
          <w:rFonts w:hint="eastAsia" w:ascii="宋体" w:hAnsi="宋体" w:cs="宋体"/>
          <w:color w:val="auto"/>
          <w:kern w:val="0"/>
          <w:sz w:val="18"/>
          <w:szCs w:val="18"/>
        </w:rPr>
        <w:t>≥</w:t>
      </w:r>
      <w:r>
        <w:rPr>
          <w:rFonts w:ascii="宋体" w:hAnsi="宋体" w:cs="宋体"/>
          <w:color w:val="auto"/>
          <w:kern w:val="0"/>
          <w:sz w:val="18"/>
          <w:szCs w:val="18"/>
        </w:rPr>
        <w:t>1</w:t>
      </w:r>
      <w:r>
        <w:rPr>
          <w:rFonts w:hint="default" w:ascii="宋体" w:hAnsi="宋体" w:cs="宋体"/>
          <w:color w:val="auto"/>
          <w:kern w:val="0"/>
          <w:sz w:val="18"/>
          <w:szCs w:val="18"/>
          <w:lang w:val="en"/>
        </w:rPr>
        <w:t>2</w:t>
      </w:r>
      <w:r>
        <w:rPr>
          <w:rFonts w:hint="eastAsia" w:ascii="宋体" w:hAnsi="宋体" w:cs="宋体"/>
          <w:color w:val="auto"/>
          <w:kern w:val="0"/>
          <w:sz w:val="18"/>
          <w:szCs w:val="18"/>
          <w:lang w:val="en-US" w:eastAsia="zh-CN"/>
        </w:rPr>
        <w:t xml:space="preserve">  (9)12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13+14</w:t>
      </w:r>
    </w:p>
    <w:p>
      <w:pPr>
        <w:spacing w:line="300" w:lineRule="exact"/>
        <w:ind w:left="735" w:leftChars="350"/>
        <w:jc w:val="left"/>
        <w:rPr>
          <w:rFonts w:ascii="宋体" w:cs="宋体"/>
          <w:color w:val="auto"/>
          <w:sz w:val="18"/>
          <w:szCs w:val="18"/>
        </w:rPr>
      </w:pPr>
      <w:r>
        <w:rPr>
          <w:rFonts w:hint="eastAsia" w:ascii="宋体" w:hAnsi="宋体" w:cs="宋体"/>
          <w:color w:val="auto"/>
          <w:kern w:val="0"/>
          <w:sz w:val="18"/>
          <w:szCs w:val="18"/>
        </w:rPr>
        <w:t>表间审核：</w:t>
      </w:r>
    </w:p>
    <w:p>
      <w:pPr>
        <w:spacing w:line="300" w:lineRule="exact"/>
        <w:ind w:left="840" w:leftChars="400"/>
        <w:jc w:val="left"/>
        <w:rPr>
          <w:rFonts w:hint="eastAsia" w:ascii="宋体" w:hAnsi="宋体" w:cs="宋体"/>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1</w:t>
      </w:r>
      <w:r>
        <w:rPr>
          <w:rFonts w:hint="eastAsia" w:ascii="宋体" w:hAnsi="宋体" w:cs="宋体"/>
          <w:color w:val="auto"/>
          <w:kern w:val="0"/>
          <w:sz w:val="18"/>
          <w:szCs w:val="18"/>
        </w:rPr>
        <w:t>)</w:t>
      </w:r>
      <w:r>
        <w:rPr>
          <w:rFonts w:ascii="宋体" w:hAnsi="宋体" w:cs="宋体"/>
          <w:color w:val="auto"/>
          <w:kern w:val="0"/>
          <w:sz w:val="18"/>
          <w:szCs w:val="18"/>
        </w:rPr>
        <w:t>1</w:t>
      </w:r>
      <w:r>
        <w:rPr>
          <w:rFonts w:hint="eastAsia" w:ascii="宋体" w:hAnsi="宋体" w:cs="宋体"/>
          <w:color w:val="auto"/>
          <w:kern w:val="0"/>
          <w:sz w:val="18"/>
          <w:szCs w:val="18"/>
        </w:rPr>
        <w:t>07-1表∑(9)≤</w:t>
      </w:r>
      <w:r>
        <w:rPr>
          <w:rFonts w:ascii="宋体" w:hAnsi="宋体" w:cs="宋体"/>
          <w:color w:val="auto"/>
          <w:kern w:val="0"/>
          <w:sz w:val="18"/>
          <w:szCs w:val="18"/>
        </w:rPr>
        <w:t>1</w:t>
      </w:r>
      <w:r>
        <w:rPr>
          <w:rFonts w:hint="eastAsia" w:ascii="宋体" w:hAnsi="宋体" w:cs="宋体"/>
          <w:color w:val="auto"/>
          <w:kern w:val="0"/>
          <w:sz w:val="18"/>
          <w:szCs w:val="18"/>
        </w:rPr>
        <w:t xml:space="preserve">07-2表(1)*12 </w:t>
      </w:r>
    </w:p>
    <w:p>
      <w:pPr>
        <w:spacing w:line="300" w:lineRule="exact"/>
        <w:ind w:left="840" w:leftChars="400"/>
        <w:jc w:val="left"/>
        <w:rPr>
          <w:rFonts w:hint="eastAsia" w:ascii="宋体" w:hAnsi="宋体" w:cs="宋体"/>
          <w:color w:val="auto"/>
          <w:kern w:val="0"/>
          <w:sz w:val="18"/>
          <w:szCs w:val="18"/>
        </w:rPr>
      </w:pPr>
      <w:r>
        <w:rPr>
          <w:rFonts w:hint="eastAsia" w:ascii="宋体" w:hAnsi="宋体" w:eastAsia="宋体" w:cs="宋体"/>
          <w:color w:val="auto"/>
          <w:kern w:val="0"/>
          <w:sz w:val="18"/>
          <w:szCs w:val="18"/>
        </w:rPr>
        <w:t>(2)107-1表∑(10)≤107-2表(7)</w:t>
      </w:r>
    </w:p>
    <w:p>
      <w:pPr>
        <w:spacing w:before="120" w:beforeLines="50" w:after="120" w:afterLines="50" w:line="240" w:lineRule="exact"/>
        <w:jc w:val="center"/>
        <w:outlineLvl w:val="2"/>
        <w:rPr>
          <w:rFonts w:ascii="宋体" w:hAnsi="宋体" w:cs="宋体"/>
          <w:kern w:val="0"/>
          <w:sz w:val="32"/>
          <w:szCs w:val="32"/>
        </w:rPr>
      </w:pPr>
    </w:p>
    <w:p>
      <w:pPr>
        <w:keepNext w:val="0"/>
        <w:keepLines w:val="0"/>
        <w:pageBreakBefore w:val="0"/>
        <w:widowControl/>
        <w:kinsoku/>
        <w:wordWrap/>
        <w:overflowPunct/>
        <w:topLinePunct w:val="0"/>
        <w:autoSpaceDE/>
        <w:autoSpaceDN/>
        <w:bidi w:val="0"/>
        <w:adjustRightInd/>
        <w:snapToGrid w:val="0"/>
        <w:spacing w:before="0" w:beforeLines="0" w:line="240" w:lineRule="auto"/>
        <w:ind w:left="840" w:leftChars="400"/>
        <w:jc w:val="center"/>
        <w:textAlignment w:val="auto"/>
        <w:outlineLvl w:val="9"/>
        <w:rPr>
          <w:rFonts w:ascii="宋体" w:hAnsi="宋体" w:cs="宋体"/>
          <w:color w:val="auto"/>
          <w:sz w:val="32"/>
          <w:szCs w:val="32"/>
        </w:rPr>
      </w:pPr>
      <w:r>
        <w:rPr>
          <w:rFonts w:hint="eastAsia" w:ascii="宋体" w:hAnsi="宋体" w:cs="宋体"/>
          <w:sz w:val="32"/>
          <w:szCs w:val="32"/>
        </w:rPr>
        <w:br w:type="page"/>
      </w:r>
      <w:r>
        <w:rPr>
          <w:rFonts w:hint="eastAsia" w:ascii="宋体" w:hAnsi="宋体" w:cs="宋体"/>
          <w:color w:val="auto"/>
          <w:sz w:val="32"/>
          <w:szCs w:val="32"/>
        </w:rPr>
        <w:t>企业研究</w:t>
      </w:r>
      <w:r>
        <w:rPr>
          <w:rFonts w:ascii="宋体" w:hAnsi="宋体" w:cs="宋体"/>
          <w:color w:val="auto"/>
          <w:sz w:val="32"/>
          <w:szCs w:val="32"/>
        </w:rPr>
        <w:t>开发活动及相关情况</w:t>
      </w:r>
    </w:p>
    <w:tbl>
      <w:tblPr>
        <w:tblStyle w:val="31"/>
        <w:tblW w:w="9639" w:type="dxa"/>
        <w:jc w:val="center"/>
        <w:shd w:val="clear" w:color="auto" w:fill="FFFFFF"/>
        <w:tblLayout w:type="fixed"/>
        <w:tblCellMar>
          <w:top w:w="0" w:type="dxa"/>
          <w:left w:w="108" w:type="dxa"/>
          <w:bottom w:w="0" w:type="dxa"/>
          <w:right w:w="108" w:type="dxa"/>
        </w:tblCellMar>
      </w:tblPr>
      <w:tblGrid>
        <w:gridCol w:w="3119"/>
        <w:gridCol w:w="511"/>
        <w:gridCol w:w="199"/>
        <w:gridCol w:w="424"/>
        <w:gridCol w:w="567"/>
        <w:gridCol w:w="397"/>
        <w:gridCol w:w="852"/>
        <w:gridCol w:w="1560"/>
        <w:gridCol w:w="8"/>
        <w:gridCol w:w="447"/>
        <w:gridCol w:w="709"/>
        <w:gridCol w:w="424"/>
        <w:gridCol w:w="422"/>
      </w:tblGrid>
      <w:tr>
        <w:tblPrEx>
          <w:shd w:val="clear" w:color="auto" w:fill="FFFFFF"/>
          <w:tblCellMar>
            <w:top w:w="0" w:type="dxa"/>
            <w:left w:w="108" w:type="dxa"/>
            <w:bottom w:w="0" w:type="dxa"/>
            <w:right w:w="108" w:type="dxa"/>
          </w:tblCellMar>
        </w:tblPrEx>
        <w:trPr>
          <w:trHeight w:val="227" w:hRule="atLeast"/>
          <w:jc w:val="center"/>
        </w:trPr>
        <w:tc>
          <w:tcPr>
            <w:tcW w:w="3148" w:type="pct"/>
            <w:gridSpan w:val="7"/>
            <w:shd w:val="clear" w:color="auto" w:fill="FFFFFF"/>
            <w:noWrap w:val="0"/>
            <w:vAlign w:val="center"/>
          </w:tcPr>
          <w:p>
            <w:pPr>
              <w:widowControl/>
              <w:spacing w:line="200" w:lineRule="exact"/>
              <w:jc w:val="center"/>
              <w:rPr>
                <w:rFonts w:eastAsia="Times New Roman"/>
                <w:color w:val="auto"/>
                <w:kern w:val="0"/>
                <w:sz w:val="20"/>
                <w:szCs w:val="20"/>
              </w:rPr>
            </w:pPr>
          </w:p>
        </w:tc>
        <w:tc>
          <w:tcPr>
            <w:tcW w:w="813" w:type="pct"/>
            <w:gridSpan w:val="2"/>
            <w:shd w:val="clear" w:color="auto" w:fill="FFFFFF"/>
            <w:noWrap w:val="0"/>
            <w:vAlign w:val="center"/>
          </w:tcPr>
          <w:p>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表    号：</w:t>
            </w:r>
          </w:p>
        </w:tc>
        <w:tc>
          <w:tcPr>
            <w:tcW w:w="1038" w:type="pct"/>
            <w:gridSpan w:val="4"/>
            <w:shd w:val="clear" w:color="auto" w:fill="FFFFFF"/>
            <w:noWrap w:val="0"/>
            <w:vAlign w:val="center"/>
          </w:tcPr>
          <w:p>
            <w:pPr>
              <w:spacing w:line="200" w:lineRule="exact"/>
              <w:jc w:val="distribute"/>
              <w:rPr>
                <w:rFonts w:ascii="宋体" w:hAnsi="宋体"/>
                <w:color w:val="auto"/>
                <w:sz w:val="18"/>
                <w:szCs w:val="18"/>
              </w:rPr>
            </w:pPr>
            <w:r>
              <w:rPr>
                <w:rFonts w:hint="eastAsia" w:ascii="宋体" w:hAnsi="宋体"/>
                <w:color w:val="auto"/>
                <w:sz w:val="18"/>
                <w:szCs w:val="18"/>
              </w:rPr>
              <w:t>１</w:t>
            </w:r>
            <w:r>
              <w:rPr>
                <w:rFonts w:ascii="宋体" w:hAnsi="宋体"/>
                <w:color w:val="auto"/>
                <w:sz w:val="18"/>
                <w:szCs w:val="18"/>
              </w:rPr>
              <w:t>０７</w:t>
            </w:r>
            <w:r>
              <w:rPr>
                <w:rFonts w:hint="eastAsia" w:ascii="宋体" w:hAnsi="宋体"/>
                <w:color w:val="auto"/>
                <w:sz w:val="18"/>
                <w:szCs w:val="18"/>
              </w:rPr>
              <w:t>-</w:t>
            </w:r>
            <w:r>
              <w:rPr>
                <w:rFonts w:hint="eastAsia" w:ascii="宋体" w:hAnsi="宋体" w:cs="宋体"/>
                <w:color w:val="auto"/>
                <w:kern w:val="0"/>
                <w:sz w:val="18"/>
                <w:szCs w:val="18"/>
              </w:rPr>
              <w:t>２</w:t>
            </w:r>
            <w:r>
              <w:rPr>
                <w:rFonts w:hint="eastAsia" w:ascii="宋体" w:hAnsi="宋体"/>
                <w:color w:val="auto"/>
                <w:sz w:val="18"/>
                <w:szCs w:val="18"/>
              </w:rPr>
              <w:t>表</w:t>
            </w:r>
          </w:p>
        </w:tc>
      </w:tr>
      <w:tr>
        <w:tblPrEx>
          <w:tblCellMar>
            <w:top w:w="0" w:type="dxa"/>
            <w:left w:w="108" w:type="dxa"/>
            <w:bottom w:w="0" w:type="dxa"/>
            <w:right w:w="108" w:type="dxa"/>
          </w:tblCellMar>
        </w:tblPrEx>
        <w:trPr>
          <w:trHeight w:val="227" w:hRule="atLeast"/>
          <w:jc w:val="center"/>
        </w:trPr>
        <w:tc>
          <w:tcPr>
            <w:tcW w:w="2706" w:type="pct"/>
            <w:gridSpan w:val="6"/>
            <w:shd w:val="clear" w:color="auto" w:fill="FFFFFF"/>
            <w:noWrap w:val="0"/>
            <w:vAlign w:val="bottom"/>
          </w:tcPr>
          <w:p>
            <w:pPr>
              <w:widowControl/>
              <w:spacing w:line="200" w:lineRule="exact"/>
              <w:rPr>
                <w:rFonts w:eastAsia="Times New Roman"/>
                <w:color w:val="auto"/>
                <w:kern w:val="0"/>
                <w:sz w:val="20"/>
                <w:szCs w:val="20"/>
              </w:rPr>
            </w:pPr>
          </w:p>
        </w:tc>
        <w:tc>
          <w:tcPr>
            <w:tcW w:w="442" w:type="pct"/>
            <w:shd w:val="clear" w:color="auto" w:fill="FFFFFF"/>
            <w:noWrap/>
            <w:vAlign w:val="center"/>
          </w:tcPr>
          <w:p>
            <w:pPr>
              <w:widowControl/>
              <w:spacing w:line="200" w:lineRule="exact"/>
              <w:jc w:val="center"/>
              <w:rPr>
                <w:rFonts w:eastAsia="Times New Roman"/>
                <w:color w:val="auto"/>
                <w:kern w:val="0"/>
                <w:sz w:val="20"/>
                <w:szCs w:val="20"/>
              </w:rPr>
            </w:pPr>
          </w:p>
        </w:tc>
        <w:tc>
          <w:tcPr>
            <w:tcW w:w="809" w:type="pct"/>
            <w:shd w:val="clear" w:color="auto" w:fill="FFFFFF"/>
            <w:noWrap w:val="0"/>
            <w:vAlign w:val="top"/>
          </w:tcPr>
          <w:p>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 xml:space="preserve">  制定机关：</w:t>
            </w:r>
          </w:p>
        </w:tc>
        <w:tc>
          <w:tcPr>
            <w:tcW w:w="1043" w:type="pct"/>
            <w:gridSpan w:val="5"/>
            <w:shd w:val="clear" w:color="auto" w:fill="FFFFFF"/>
            <w:noWrap w:val="0"/>
            <w:vAlign w:val="center"/>
          </w:tcPr>
          <w:p>
            <w:pPr>
              <w:widowControl/>
              <w:spacing w:line="200" w:lineRule="exact"/>
              <w:jc w:val="distribute"/>
              <w:rPr>
                <w:rFonts w:ascii="宋体" w:hAnsi="宋体" w:cs="宋体"/>
                <w:color w:val="auto"/>
                <w:kern w:val="0"/>
                <w:sz w:val="18"/>
                <w:szCs w:val="18"/>
              </w:rPr>
            </w:pPr>
            <w:r>
              <w:rPr>
                <w:rFonts w:hint="eastAsia"/>
                <w:color w:val="auto"/>
                <w:sz w:val="18"/>
                <w:szCs w:val="18"/>
              </w:rPr>
              <w:t>国家统计局</w:t>
            </w:r>
          </w:p>
        </w:tc>
      </w:tr>
      <w:tr>
        <w:tblPrEx>
          <w:tblCellMar>
            <w:top w:w="0" w:type="dxa"/>
            <w:left w:w="108" w:type="dxa"/>
            <w:bottom w:w="0" w:type="dxa"/>
            <w:right w:w="108" w:type="dxa"/>
          </w:tblCellMar>
        </w:tblPrEx>
        <w:trPr>
          <w:trHeight w:val="227" w:hRule="atLeast"/>
          <w:jc w:val="center"/>
        </w:trPr>
        <w:tc>
          <w:tcPr>
            <w:tcW w:w="3148" w:type="pct"/>
            <w:gridSpan w:val="7"/>
            <w:shd w:val="clear" w:color="auto" w:fill="FFFFFF"/>
            <w:noWrap w:val="0"/>
            <w:vAlign w:val="center"/>
          </w:tcPr>
          <w:p>
            <w:pPr>
              <w:widowControl/>
              <w:spacing w:line="200" w:lineRule="exact"/>
              <w:jc w:val="left"/>
              <w:rPr>
                <w:rFonts w:ascii="宋体" w:hAnsi="宋体" w:cs="宋体"/>
                <w:color w:val="auto"/>
                <w:kern w:val="0"/>
                <w:sz w:val="18"/>
                <w:szCs w:val="18"/>
              </w:rPr>
            </w:pPr>
            <w:r>
              <w:rPr>
                <w:rFonts w:hint="eastAsia" w:ascii="宋体" w:hAnsi="宋体" w:cs="宋体"/>
                <w:color w:val="auto"/>
                <w:kern w:val="0"/>
                <w:sz w:val="18"/>
                <w:szCs w:val="18"/>
              </w:rPr>
              <w:t>统一社会信用代码□□□□□□□□□□□□□□□□□□</w:t>
            </w:r>
          </w:p>
        </w:tc>
        <w:tc>
          <w:tcPr>
            <w:tcW w:w="813" w:type="pct"/>
            <w:gridSpan w:val="2"/>
            <w:shd w:val="clear" w:color="auto" w:fill="FFFFFF"/>
            <w:noWrap w:val="0"/>
            <w:vAlign w:val="center"/>
          </w:tcPr>
          <w:p>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文    号：</w:t>
            </w:r>
          </w:p>
        </w:tc>
        <w:tc>
          <w:tcPr>
            <w:tcW w:w="1038" w:type="pct"/>
            <w:gridSpan w:val="4"/>
            <w:shd w:val="clear" w:color="auto" w:fill="FFFFFF"/>
            <w:noWrap w:val="0"/>
            <w:vAlign w:val="center"/>
          </w:tcPr>
          <w:p>
            <w:pPr>
              <w:spacing w:line="200" w:lineRule="exact"/>
              <w:jc w:val="distribute"/>
              <w:rPr>
                <w:rFonts w:ascii="宋体" w:hAnsi="宋体"/>
                <w:color w:val="auto"/>
                <w:sz w:val="18"/>
                <w:szCs w:val="18"/>
              </w:rPr>
            </w:pPr>
            <w:r>
              <w:rPr>
                <w:rFonts w:hint="eastAsia" w:ascii="宋体" w:hAnsi="宋体"/>
                <w:color w:val="auto"/>
                <w:sz w:val="18"/>
                <w:szCs w:val="18"/>
              </w:rPr>
              <w:t>国统字〔202</w:t>
            </w:r>
            <w:r>
              <w:rPr>
                <w:rFonts w:hint="eastAsia" w:ascii="宋体" w:hAnsi="宋体"/>
                <w:color w:val="auto"/>
                <w:sz w:val="18"/>
                <w:szCs w:val="18"/>
                <w:lang w:val="en-US" w:eastAsia="zh-CN"/>
              </w:rPr>
              <w:t>4</w:t>
            </w:r>
            <w:r>
              <w:rPr>
                <w:rFonts w:hint="eastAsia" w:ascii="宋体" w:hAnsi="宋体"/>
                <w:color w:val="auto"/>
                <w:sz w:val="18"/>
                <w:szCs w:val="18"/>
              </w:rPr>
              <w:t>〕</w:t>
            </w:r>
            <w:r>
              <w:rPr>
                <w:rFonts w:hint="eastAsia" w:ascii="宋体" w:hAnsi="宋体"/>
                <w:color w:val="auto"/>
                <w:sz w:val="18"/>
                <w:szCs w:val="18"/>
                <w:lang w:val="en-US" w:eastAsia="zh-CN"/>
              </w:rPr>
              <w:t>77</w:t>
            </w:r>
            <w:r>
              <w:rPr>
                <w:rFonts w:hint="eastAsia" w:ascii="宋体" w:hAnsi="宋体"/>
                <w:color w:val="auto"/>
                <w:sz w:val="18"/>
                <w:szCs w:val="18"/>
              </w:rPr>
              <w:t>号</w:t>
            </w:r>
          </w:p>
        </w:tc>
      </w:tr>
      <w:tr>
        <w:tblPrEx>
          <w:tblCellMar>
            <w:top w:w="0" w:type="dxa"/>
            <w:left w:w="108" w:type="dxa"/>
            <w:bottom w:w="0" w:type="dxa"/>
            <w:right w:w="108" w:type="dxa"/>
          </w:tblCellMar>
        </w:tblPrEx>
        <w:trPr>
          <w:trHeight w:val="227" w:hRule="atLeast"/>
          <w:jc w:val="center"/>
        </w:trPr>
        <w:tc>
          <w:tcPr>
            <w:tcW w:w="1883" w:type="pct"/>
            <w:gridSpan w:val="2"/>
            <w:shd w:val="clear" w:color="auto" w:fill="FFFFFF"/>
            <w:noWrap w:val="0"/>
            <w:vAlign w:val="center"/>
          </w:tcPr>
          <w:p>
            <w:pPr>
              <w:widowControl/>
              <w:spacing w:line="200" w:lineRule="exact"/>
              <w:rPr>
                <w:rFonts w:ascii="宋体" w:hAnsi="宋体" w:cs="宋体"/>
                <w:color w:val="auto"/>
                <w:kern w:val="0"/>
                <w:sz w:val="18"/>
                <w:szCs w:val="18"/>
              </w:rPr>
            </w:pPr>
            <w:r>
              <w:rPr>
                <w:rFonts w:hint="eastAsia" w:ascii="宋体" w:hAnsi="宋体" w:cs="宋体"/>
                <w:color w:val="auto"/>
                <w:kern w:val="0"/>
                <w:sz w:val="18"/>
                <w:szCs w:val="18"/>
              </w:rPr>
              <w:t>单位详细名称：</w:t>
            </w:r>
          </w:p>
        </w:tc>
        <w:tc>
          <w:tcPr>
            <w:tcW w:w="1265" w:type="pct"/>
            <w:gridSpan w:val="5"/>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sz w:val="18"/>
                <w:szCs w:val="18"/>
              </w:rPr>
              <w:t xml:space="preserve">２０ </w:t>
            </w:r>
            <w:r>
              <w:rPr>
                <w:rFonts w:ascii="宋体" w:hAnsi="宋体" w:cs="宋体"/>
                <w:color w:val="auto"/>
                <w:sz w:val="18"/>
                <w:szCs w:val="18"/>
              </w:rPr>
              <w:t xml:space="preserve"> </w:t>
            </w:r>
            <w:r>
              <w:rPr>
                <w:rFonts w:hint="eastAsia" w:ascii="宋体" w:hAnsi="宋体" w:cs="宋体"/>
                <w:color w:val="auto"/>
                <w:sz w:val="18"/>
                <w:szCs w:val="18"/>
              </w:rPr>
              <w:t>年</w:t>
            </w:r>
          </w:p>
        </w:tc>
        <w:tc>
          <w:tcPr>
            <w:tcW w:w="813" w:type="pct"/>
            <w:gridSpan w:val="2"/>
            <w:shd w:val="clear" w:color="auto" w:fill="FFFFFF"/>
            <w:noWrap w:val="0"/>
            <w:vAlign w:val="center"/>
          </w:tcPr>
          <w:p>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有效期至：</w:t>
            </w:r>
          </w:p>
        </w:tc>
        <w:tc>
          <w:tcPr>
            <w:tcW w:w="1038" w:type="pct"/>
            <w:gridSpan w:val="4"/>
            <w:shd w:val="clear" w:color="auto" w:fill="FFFFFF"/>
            <w:noWrap w:val="0"/>
            <w:vAlign w:val="center"/>
          </w:tcPr>
          <w:p>
            <w:pPr>
              <w:widowControl/>
              <w:spacing w:line="200" w:lineRule="exact"/>
              <w:jc w:val="distribute"/>
              <w:rPr>
                <w:rFonts w:ascii="宋体" w:hAnsi="宋体" w:cs="宋体"/>
                <w:color w:val="auto"/>
                <w:kern w:val="0"/>
                <w:sz w:val="18"/>
                <w:szCs w:val="18"/>
              </w:rPr>
            </w:pPr>
            <w:r>
              <w:rPr>
                <w:rFonts w:hint="eastAsia" w:ascii="宋体" w:hAnsi="宋体"/>
                <w:color w:val="auto"/>
                <w:sz w:val="18"/>
                <w:szCs w:val="18"/>
              </w:rPr>
              <w:t>２０２</w:t>
            </w:r>
            <w:r>
              <w:rPr>
                <w:rFonts w:hint="eastAsia" w:ascii="宋体" w:hAnsi="宋体"/>
                <w:color w:val="auto"/>
                <w:sz w:val="18"/>
                <w:szCs w:val="18"/>
                <w:lang w:val="en-US" w:eastAsia="zh-CN"/>
              </w:rPr>
              <w:t>5</w:t>
            </w:r>
            <w:r>
              <w:rPr>
                <w:rFonts w:hint="eastAsia" w:ascii="宋体" w:hAnsi="宋体"/>
                <w:color w:val="auto"/>
                <w:sz w:val="18"/>
                <w:szCs w:val="18"/>
              </w:rPr>
              <w:t>年６月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29" w:hRule="atLeast"/>
          <w:jc w:val="center"/>
        </w:trPr>
        <w:tc>
          <w:tcPr>
            <w:tcW w:w="1618" w:type="pct"/>
            <w:tcBorders>
              <w:top w:val="single" w:color="auto" w:sz="8" w:space="0"/>
            </w:tcBorders>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368" w:type="pct"/>
            <w:gridSpan w:val="2"/>
            <w:tcBorders>
              <w:top w:val="single" w:color="auto" w:sz="8"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计量</w:t>
            </w:r>
          </w:p>
          <w:p>
            <w:pPr>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220" w:type="pct"/>
            <w:tcBorders>
              <w:top w:val="single" w:color="auto" w:sz="8" w:space="0"/>
            </w:tcBorders>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94" w:type="pct"/>
            <w:tcBorders>
              <w:top w:val="single" w:color="auto" w:sz="8" w:space="0"/>
              <w:right w:val="double" w:color="auto" w:sz="4" w:space="0"/>
            </w:tcBorders>
            <w:shd w:val="clear" w:color="auto" w:fill="FFFFFF"/>
            <w:noWrap w:val="0"/>
            <w:vAlign w:val="center"/>
          </w:tcPr>
          <w:p>
            <w:pPr>
              <w:widowControl/>
              <w:spacing w:line="200" w:lineRule="exact"/>
              <w:ind w:left="-105" w:leftChars="-50" w:right="-105" w:rightChars="-50"/>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1693" w:type="pct"/>
            <w:gridSpan w:val="5"/>
            <w:tcBorders>
              <w:top w:val="single" w:color="auto" w:sz="8" w:space="0"/>
              <w:left w:val="double" w:color="auto" w:sz="4"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368" w:type="pct"/>
            <w:tcBorders>
              <w:top w:val="single" w:color="auto" w:sz="8"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计量</w:t>
            </w:r>
          </w:p>
          <w:p>
            <w:pPr>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220" w:type="pct"/>
            <w:tcBorders>
              <w:top w:val="single" w:color="auto" w:sz="8" w:space="0"/>
              <w:right w:val="single" w:color="auto" w:sz="2" w:space="0"/>
            </w:tcBorders>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19" w:type="pct"/>
            <w:tcBorders>
              <w:top w:val="single" w:color="auto" w:sz="8" w:space="0"/>
              <w:left w:val="single" w:color="auto" w:sz="2" w:space="0"/>
              <w:bottom w:val="single" w:color="auto" w:sz="2" w:space="0"/>
              <w:right w:val="nil"/>
            </w:tcBorders>
            <w:shd w:val="clear" w:color="auto" w:fill="FFFFFF"/>
            <w:noWrap w:val="0"/>
            <w:vAlign w:val="center"/>
          </w:tcPr>
          <w:p>
            <w:pPr>
              <w:widowControl/>
              <w:spacing w:line="200" w:lineRule="exact"/>
              <w:ind w:left="-105" w:leftChars="-50" w:right="-105" w:rightChars="-50"/>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1618" w:type="pct"/>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368" w:type="pct"/>
            <w:gridSpan w:val="2"/>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220" w:type="pct"/>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294" w:type="pct"/>
            <w:tcBorders>
              <w:right w:val="double" w:color="auto" w:sz="4"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693" w:type="pct"/>
            <w:gridSpan w:val="5"/>
            <w:tcBorders>
              <w:left w:val="double" w:color="auto" w:sz="4"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368" w:type="pct"/>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220" w:type="pct"/>
            <w:tcBorders>
              <w:right w:val="single" w:color="auto" w:sz="2" w:space="0"/>
            </w:tcBorders>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219" w:type="pct"/>
            <w:tcBorders>
              <w:top w:val="single" w:color="auto" w:sz="2" w:space="0"/>
              <w:left w:val="single" w:color="auto" w:sz="2" w:space="0"/>
              <w:bottom w:val="single" w:color="auto" w:sz="2" w:space="0"/>
              <w:right w:val="nil"/>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773" w:hRule="atLeast"/>
          <w:jc w:val="center"/>
        </w:trPr>
        <w:tc>
          <w:tcPr>
            <w:tcW w:w="1618" w:type="pct"/>
            <w:tcBorders>
              <w:bottom w:val="single" w:color="auto" w:sz="4" w:space="0"/>
            </w:tcBorders>
            <w:shd w:val="clear" w:color="auto" w:fill="FFFFFF"/>
            <w:noWrap/>
            <w:vAlign w:val="top"/>
          </w:tcPr>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一、研究开发人员情况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研究开发人员合计</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其中：管理和服务人员</w:t>
            </w:r>
          </w:p>
          <w:p>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其中：女性</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其中：全职人员</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其中：本科毕业及以上人员</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其中：外聘人员</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二、研究开发费用情况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研究开发费用合计</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1.人员人工费用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2.直接投入费用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3.折旧费用与长期待摊费用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4.无形资产摊销费用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5.设计费用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6.装备调试费用与试验费用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7.委托外部研究开发费用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①委托境内研究机构</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②委托境内高等学校</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 xml:space="preserve">     ③委托境内企业</w:t>
            </w:r>
          </w:p>
          <w:p>
            <w:pPr>
              <w:widowControl/>
              <w:spacing w:line="280" w:lineRule="exact"/>
              <w:ind w:firstLine="630" w:firstLineChars="350"/>
              <w:rPr>
                <w:rFonts w:ascii="宋体" w:hAnsi="宋体" w:cs="宋体"/>
                <w:color w:val="auto"/>
                <w:kern w:val="0"/>
                <w:sz w:val="18"/>
                <w:szCs w:val="18"/>
              </w:rPr>
            </w:pPr>
            <w:r>
              <w:rPr>
                <w:rFonts w:hint="eastAsia" w:ascii="宋体" w:hAnsi="宋体" w:cs="宋体"/>
                <w:color w:val="auto"/>
                <w:kern w:val="0"/>
                <w:sz w:val="18"/>
                <w:szCs w:val="18"/>
              </w:rPr>
              <w:t xml:space="preserve">④委托境外机构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8.其他费用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三、研究开发资产情况</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当年形成用于研究开发的固定资产</w:t>
            </w:r>
          </w:p>
          <w:p>
            <w:pPr>
              <w:widowControl/>
              <w:spacing w:line="280" w:lineRule="exact"/>
              <w:ind w:firstLine="360"/>
              <w:rPr>
                <w:rFonts w:ascii="宋体" w:hAnsi="宋体" w:cs="宋体"/>
                <w:color w:val="auto"/>
                <w:kern w:val="0"/>
                <w:sz w:val="18"/>
                <w:szCs w:val="18"/>
              </w:rPr>
            </w:pPr>
            <w:r>
              <w:rPr>
                <w:rFonts w:hint="eastAsia" w:ascii="宋体" w:hAnsi="宋体" w:cs="宋体"/>
                <w:color w:val="auto"/>
                <w:kern w:val="0"/>
                <w:sz w:val="18"/>
                <w:szCs w:val="18"/>
              </w:rPr>
              <w:t>其中：仪器和设备</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四、研究</w:t>
            </w:r>
            <w:r>
              <w:rPr>
                <w:rFonts w:ascii="宋体" w:hAnsi="宋体" w:cs="宋体"/>
                <w:color w:val="auto"/>
                <w:kern w:val="0"/>
                <w:sz w:val="18"/>
                <w:szCs w:val="18"/>
              </w:rPr>
              <w:t>开发支出</w:t>
            </w:r>
            <w:r>
              <w:rPr>
                <w:rFonts w:hint="eastAsia" w:ascii="宋体" w:hAnsi="宋体" w:cs="宋体"/>
                <w:color w:val="auto"/>
                <w:kern w:val="0"/>
                <w:sz w:val="18"/>
                <w:szCs w:val="18"/>
              </w:rPr>
              <w:t>资金</w:t>
            </w:r>
            <w:r>
              <w:rPr>
                <w:rFonts w:ascii="宋体" w:hAnsi="宋体" w:cs="宋体"/>
                <w:color w:val="auto"/>
                <w:kern w:val="0"/>
                <w:sz w:val="18"/>
                <w:szCs w:val="18"/>
              </w:rPr>
              <w:t>来源</w:t>
            </w:r>
          </w:p>
          <w:p>
            <w:pPr>
              <w:widowControl/>
              <w:spacing w:line="280" w:lineRule="exact"/>
              <w:ind w:firstLine="270" w:firstLineChars="150"/>
              <w:rPr>
                <w:rFonts w:hint="eastAsia" w:ascii="宋体" w:hAnsi="宋体" w:cs="宋体"/>
                <w:color w:val="auto"/>
                <w:kern w:val="0"/>
                <w:sz w:val="18"/>
                <w:szCs w:val="18"/>
              </w:rPr>
            </w:pPr>
            <w:r>
              <w:rPr>
                <w:rFonts w:hint="eastAsia" w:ascii="宋体" w:hAnsi="宋体" w:cs="宋体"/>
                <w:color w:val="auto"/>
                <w:kern w:val="0"/>
                <w:sz w:val="18"/>
                <w:szCs w:val="18"/>
              </w:rPr>
              <w:t>1.来自</w:t>
            </w:r>
            <w:r>
              <w:rPr>
                <w:rFonts w:ascii="宋体" w:hAnsi="宋体" w:cs="宋体"/>
                <w:color w:val="auto"/>
                <w:kern w:val="0"/>
                <w:sz w:val="18"/>
                <w:szCs w:val="18"/>
              </w:rPr>
              <w:t>企业自筹</w:t>
            </w:r>
          </w:p>
          <w:p>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2.来自政府部门</w:t>
            </w:r>
          </w:p>
          <w:p>
            <w:pPr>
              <w:widowControl/>
              <w:spacing w:line="280" w:lineRule="exact"/>
              <w:ind w:firstLine="270" w:firstLineChars="150"/>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来自</w:t>
            </w:r>
            <w:r>
              <w:rPr>
                <w:rFonts w:ascii="宋体" w:hAnsi="宋体" w:cs="宋体"/>
                <w:color w:val="auto"/>
                <w:kern w:val="0"/>
                <w:sz w:val="18"/>
                <w:szCs w:val="18"/>
              </w:rPr>
              <w:t>银行贷款</w:t>
            </w:r>
          </w:p>
          <w:p>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4.来自风险</w:t>
            </w:r>
            <w:r>
              <w:rPr>
                <w:rFonts w:ascii="宋体" w:hAnsi="宋体" w:cs="宋体"/>
                <w:color w:val="auto"/>
                <w:kern w:val="0"/>
                <w:sz w:val="18"/>
                <w:szCs w:val="18"/>
              </w:rPr>
              <w:t>投资</w:t>
            </w:r>
          </w:p>
          <w:p>
            <w:pPr>
              <w:widowControl/>
              <w:spacing w:line="280" w:lineRule="exact"/>
              <w:rPr>
                <w:rFonts w:hint="eastAsia"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5.</w:t>
            </w:r>
            <w:r>
              <w:rPr>
                <w:rFonts w:hint="eastAsia" w:ascii="宋体" w:hAnsi="宋体" w:cs="宋体"/>
                <w:color w:val="auto"/>
                <w:kern w:val="0"/>
                <w:sz w:val="18"/>
                <w:szCs w:val="18"/>
              </w:rPr>
              <w:t>来自</w:t>
            </w:r>
            <w:r>
              <w:rPr>
                <w:rFonts w:ascii="宋体" w:hAnsi="宋体" w:cs="宋体"/>
                <w:color w:val="auto"/>
                <w:kern w:val="0"/>
                <w:sz w:val="18"/>
                <w:szCs w:val="18"/>
              </w:rPr>
              <w:t>其他渠道</w:t>
            </w:r>
          </w:p>
          <w:p>
            <w:pPr>
              <w:widowControl/>
              <w:spacing w:line="280" w:lineRule="exact"/>
              <w:rPr>
                <w:rFonts w:hint="eastAsia" w:ascii="宋体" w:hAnsi="宋体" w:cs="宋体"/>
                <w:color w:val="auto"/>
                <w:kern w:val="0"/>
                <w:sz w:val="18"/>
                <w:szCs w:val="18"/>
              </w:rPr>
            </w:pPr>
            <w:r>
              <w:rPr>
                <w:rFonts w:hint="eastAsia" w:ascii="宋体" w:hAnsi="宋体" w:cs="宋体"/>
                <w:color w:val="auto"/>
                <w:kern w:val="0"/>
                <w:sz w:val="18"/>
                <w:szCs w:val="18"/>
              </w:rPr>
              <w:t>五</w:t>
            </w:r>
            <w:r>
              <w:rPr>
                <w:rFonts w:ascii="宋体" w:hAnsi="宋体" w:cs="宋体"/>
                <w:color w:val="auto"/>
                <w:kern w:val="0"/>
                <w:sz w:val="18"/>
                <w:szCs w:val="18"/>
              </w:rPr>
              <w:t>、</w:t>
            </w:r>
            <w:r>
              <w:rPr>
                <w:rFonts w:hint="eastAsia" w:ascii="宋体" w:hAnsi="宋体" w:cs="宋体"/>
                <w:color w:val="auto"/>
                <w:kern w:val="0"/>
                <w:sz w:val="18"/>
                <w:szCs w:val="18"/>
              </w:rPr>
              <w:t>相关</w:t>
            </w:r>
            <w:r>
              <w:rPr>
                <w:rFonts w:ascii="宋体" w:hAnsi="宋体" w:cs="宋体"/>
                <w:color w:val="auto"/>
                <w:kern w:val="0"/>
                <w:sz w:val="18"/>
                <w:szCs w:val="18"/>
              </w:rPr>
              <w:t>政策落实情况</w:t>
            </w:r>
          </w:p>
          <w:p>
            <w:pPr>
              <w:widowControl/>
              <w:spacing w:line="280" w:lineRule="exact"/>
              <w:ind w:firstLine="160" w:firstLineChars="100"/>
              <w:rPr>
                <w:rFonts w:ascii="宋体" w:hAnsi="宋体" w:cs="宋体"/>
                <w:color w:val="auto"/>
                <w:kern w:val="0"/>
                <w:sz w:val="16"/>
                <w:szCs w:val="16"/>
              </w:rPr>
            </w:pPr>
            <w:r>
              <w:rPr>
                <w:rFonts w:hint="eastAsia" w:ascii="宋体" w:hAnsi="宋体" w:cs="宋体"/>
                <w:color w:val="auto"/>
                <w:kern w:val="0"/>
                <w:sz w:val="16"/>
                <w:szCs w:val="16"/>
              </w:rPr>
              <w:t>申报加计扣除减免税的研究开发支出</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加计扣除减免税金额</w:t>
            </w:r>
          </w:p>
          <w:p>
            <w:pPr>
              <w:widowControl/>
              <w:spacing w:line="280" w:lineRule="exact"/>
              <w:ind w:firstLine="180" w:firstLineChars="100"/>
              <w:rPr>
                <w:rFonts w:hint="eastAsia" w:ascii="宋体" w:hAnsi="宋体" w:cs="宋体"/>
                <w:color w:val="auto"/>
                <w:kern w:val="0"/>
                <w:sz w:val="18"/>
                <w:szCs w:val="18"/>
              </w:rPr>
            </w:pPr>
            <w:r>
              <w:rPr>
                <w:rFonts w:hint="eastAsia" w:ascii="宋体" w:hAnsi="宋体" w:cs="宋体"/>
                <w:color w:val="auto"/>
                <w:kern w:val="0"/>
                <w:sz w:val="18"/>
                <w:szCs w:val="18"/>
              </w:rPr>
              <w:t>高新技术企业减免税金额</w:t>
            </w:r>
          </w:p>
        </w:tc>
        <w:tc>
          <w:tcPr>
            <w:tcW w:w="368" w:type="pct"/>
            <w:gridSpan w:val="2"/>
            <w:tcBorders>
              <w:bottom w:val="single" w:color="auto" w:sz="4" w:space="0"/>
            </w:tcBorders>
            <w:shd w:val="clear" w:color="auto" w:fill="FFFFFF"/>
            <w:noWrap/>
            <w:vAlign w:val="top"/>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tabs>
                <w:tab w:val="center" w:pos="227"/>
              </w:tabs>
              <w:spacing w:line="280" w:lineRule="exact"/>
              <w:rPr>
                <w:rFonts w:ascii="宋体" w:hAnsi="宋体" w:cs="宋体"/>
                <w:color w:val="auto"/>
                <w:kern w:val="0"/>
                <w:sz w:val="18"/>
                <w:szCs w:val="18"/>
              </w:rPr>
            </w:pPr>
            <w:r>
              <w:rPr>
                <w:rFonts w:ascii="宋体" w:hAnsi="宋体" w:cs="宋体"/>
                <w:color w:val="auto"/>
                <w:kern w:val="0"/>
                <w:sz w:val="18"/>
                <w:szCs w:val="18"/>
              </w:rPr>
              <w:tab/>
            </w: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ind w:firstLine="90" w:firstLineChars="50"/>
              <w:rPr>
                <w:rFonts w:ascii="宋体" w:hAnsi="宋体" w:cs="宋体"/>
                <w:color w:val="auto"/>
                <w:kern w:val="0"/>
                <w:sz w:val="18"/>
                <w:szCs w:val="18"/>
              </w:rPr>
            </w:pPr>
            <w:r>
              <w:rPr>
                <w:rFonts w:hint="eastAsia" w:ascii="宋体" w:hAnsi="宋体" w:cs="宋体"/>
                <w:color w:val="auto"/>
                <w:kern w:val="0"/>
                <w:sz w:val="18"/>
                <w:szCs w:val="18"/>
              </w:rPr>
              <w:t>千元</w:t>
            </w:r>
          </w:p>
        </w:tc>
        <w:tc>
          <w:tcPr>
            <w:tcW w:w="220" w:type="pct"/>
            <w:tcBorders>
              <w:bottom w:val="single" w:color="auto" w:sz="4" w:space="0"/>
            </w:tcBorders>
            <w:shd w:val="clear" w:color="auto" w:fill="FFFFFF"/>
            <w:noWrap/>
            <w:vAlign w:val="top"/>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9</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11</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13</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14</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15</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16</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18</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19</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20</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5</w:t>
            </w:r>
            <w:r>
              <w:rPr>
                <w:rFonts w:hint="eastAsia" w:ascii="宋体" w:hAnsi="宋体" w:cs="宋体"/>
                <w:color w:val="auto"/>
                <w:kern w:val="0"/>
                <w:sz w:val="18"/>
                <w:szCs w:val="18"/>
              </w:rPr>
              <w:t>7</w:t>
            </w:r>
          </w:p>
          <w:p>
            <w:pPr>
              <w:widowControl/>
              <w:spacing w:line="280" w:lineRule="exact"/>
              <w:jc w:val="center"/>
              <w:rPr>
                <w:rFonts w:hint="eastAsia" w:ascii="宋体" w:hAnsi="宋体" w:cs="宋体"/>
                <w:color w:val="auto"/>
                <w:kern w:val="0"/>
                <w:sz w:val="18"/>
                <w:szCs w:val="18"/>
              </w:rPr>
            </w:pPr>
            <w:r>
              <w:rPr>
                <w:rFonts w:ascii="宋体" w:hAnsi="宋体" w:cs="宋体"/>
                <w:color w:val="auto"/>
                <w:kern w:val="0"/>
                <w:sz w:val="18"/>
                <w:szCs w:val="18"/>
              </w:rPr>
              <w:t>435</w:t>
            </w:r>
            <w:r>
              <w:rPr>
                <w:rFonts w:hint="eastAsia" w:ascii="宋体" w:hAnsi="宋体" w:cs="宋体"/>
                <w:color w:val="auto"/>
                <w:kern w:val="0"/>
                <w:sz w:val="18"/>
                <w:szCs w:val="18"/>
              </w:rPr>
              <w:t>8</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5556</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52</w:t>
            </w:r>
          </w:p>
          <w:p>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44</w:t>
            </w:r>
          </w:p>
          <w:p>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45</w:t>
            </w:r>
          </w:p>
        </w:tc>
        <w:tc>
          <w:tcPr>
            <w:tcW w:w="294" w:type="pct"/>
            <w:tcBorders>
              <w:bottom w:val="single" w:color="auto" w:sz="4" w:space="0"/>
              <w:right w:val="double" w:color="auto" w:sz="4" w:space="0"/>
            </w:tcBorders>
            <w:shd w:val="clear" w:color="auto" w:fill="FFFFFF"/>
            <w:noWrap w:val="0"/>
            <w:vAlign w:val="center"/>
          </w:tcPr>
          <w:p>
            <w:pPr>
              <w:widowControl/>
              <w:spacing w:line="280" w:lineRule="exact"/>
              <w:jc w:val="center"/>
              <w:rPr>
                <w:rFonts w:ascii="宋体" w:hAnsi="宋体" w:cs="宋体"/>
                <w:color w:val="auto"/>
                <w:kern w:val="0"/>
                <w:sz w:val="18"/>
                <w:szCs w:val="18"/>
              </w:rPr>
            </w:pPr>
          </w:p>
        </w:tc>
        <w:tc>
          <w:tcPr>
            <w:tcW w:w="1693" w:type="pct"/>
            <w:gridSpan w:val="5"/>
            <w:tcBorders>
              <w:left w:val="double" w:color="auto" w:sz="4" w:space="0"/>
              <w:bottom w:val="single" w:color="auto" w:sz="4" w:space="0"/>
            </w:tcBorders>
            <w:shd w:val="clear" w:color="auto" w:fill="FFFFFF"/>
            <w:noWrap w:val="0"/>
            <w:vAlign w:val="top"/>
          </w:tcPr>
          <w:p>
            <w:pPr>
              <w:widowControl/>
              <w:spacing w:line="280" w:lineRule="exact"/>
              <w:rPr>
                <w:rFonts w:ascii="宋体" w:hAnsi="宋体" w:cs="宋体"/>
                <w:color w:val="auto"/>
                <w:kern w:val="0"/>
                <w:sz w:val="18"/>
                <w:szCs w:val="18"/>
              </w:rPr>
            </w:pPr>
            <w:r>
              <w:rPr>
                <w:rFonts w:hint="eastAsia" w:ascii="宋体" w:hAnsi="宋体" w:cs="宋体"/>
                <w:color w:val="auto"/>
                <w:kern w:val="0"/>
                <w:sz w:val="20"/>
                <w:szCs w:val="18"/>
              </w:rPr>
              <w:t>六、</w:t>
            </w:r>
            <w:r>
              <w:rPr>
                <w:rFonts w:hint="eastAsia" w:ascii="宋体" w:hAnsi="宋体" w:cs="宋体"/>
                <w:color w:val="auto"/>
                <w:kern w:val="0"/>
                <w:sz w:val="18"/>
                <w:szCs w:val="18"/>
              </w:rPr>
              <w:t>企业办研究开发机构（境内）情况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期末机构数</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机构研究开发人员</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其中：博士毕业</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硕士毕业</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机构研究开发费用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期末仪器和设备原价</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七、研究开发产出及相关情况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(一)专利情况</w:t>
            </w:r>
          </w:p>
          <w:p>
            <w:pPr>
              <w:widowControl/>
              <w:spacing w:line="280" w:lineRule="exact"/>
              <w:rPr>
                <w:rFonts w:ascii="宋体" w:hAnsi="宋体" w:cs="宋体"/>
                <w:color w:val="auto"/>
                <w:kern w:val="0"/>
                <w:sz w:val="18"/>
                <w:szCs w:val="18"/>
                <w:u w:val="single"/>
              </w:rPr>
            </w:pPr>
            <w:r>
              <w:rPr>
                <w:rFonts w:hint="eastAsia" w:ascii="宋体" w:hAnsi="宋体" w:cs="宋体"/>
                <w:color w:val="auto"/>
                <w:kern w:val="0"/>
                <w:sz w:val="18"/>
                <w:szCs w:val="18"/>
              </w:rPr>
              <w:t xml:space="preserve">    当年专利申请数</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其中：发明专利</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期末有效发明专利数</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其中：已被实施</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专利</w:t>
            </w:r>
            <w:r>
              <w:rPr>
                <w:rFonts w:ascii="宋体" w:hAnsi="宋体" w:cs="宋体"/>
                <w:color w:val="auto"/>
                <w:kern w:val="0"/>
                <w:sz w:val="18"/>
                <w:szCs w:val="18"/>
              </w:rPr>
              <w:t>所有权转让及许可数</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专利</w:t>
            </w:r>
            <w:r>
              <w:rPr>
                <w:rFonts w:ascii="宋体" w:hAnsi="宋体" w:cs="宋体"/>
                <w:color w:val="auto"/>
                <w:kern w:val="0"/>
                <w:sz w:val="18"/>
                <w:szCs w:val="18"/>
              </w:rPr>
              <w:t>所有权转让及</w:t>
            </w:r>
            <w:r>
              <w:rPr>
                <w:rFonts w:hint="eastAsia" w:ascii="宋体" w:hAnsi="宋体" w:cs="宋体"/>
                <w:color w:val="auto"/>
                <w:kern w:val="0"/>
                <w:sz w:val="18"/>
                <w:szCs w:val="18"/>
              </w:rPr>
              <w:t>许可</w:t>
            </w:r>
            <w:r>
              <w:rPr>
                <w:rFonts w:ascii="宋体" w:hAnsi="宋体" w:cs="宋体"/>
                <w:color w:val="auto"/>
                <w:kern w:val="0"/>
                <w:sz w:val="18"/>
                <w:szCs w:val="18"/>
              </w:rPr>
              <w:t>收入</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(二)新产品情况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新产品销售收入</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其中：出口</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(三)其他情况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期末拥有注册商标</w:t>
            </w:r>
          </w:p>
          <w:p>
            <w:pPr>
              <w:widowControl/>
              <w:spacing w:line="280" w:lineRule="exact"/>
              <w:ind w:firstLine="360" w:firstLineChars="200"/>
              <w:rPr>
                <w:rFonts w:ascii="宋体" w:hAnsi="宋体" w:cs="宋体"/>
                <w:color w:val="auto"/>
                <w:kern w:val="0"/>
                <w:sz w:val="18"/>
                <w:szCs w:val="18"/>
              </w:rPr>
            </w:pPr>
            <w:r>
              <w:rPr>
                <w:rFonts w:hint="eastAsia" w:ascii="宋体" w:hAnsi="宋体" w:cs="宋体"/>
                <w:color w:val="auto"/>
                <w:kern w:val="0"/>
                <w:sz w:val="18"/>
                <w:szCs w:val="18"/>
              </w:rPr>
              <w:t>发表科技论文</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形成国家或行业标准</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八、其他相关情况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(一)技术改造和</w:t>
            </w:r>
            <w:r>
              <w:rPr>
                <w:rFonts w:ascii="宋体" w:hAnsi="宋体" w:cs="宋体"/>
                <w:color w:val="auto"/>
                <w:kern w:val="0"/>
                <w:sz w:val="18"/>
                <w:szCs w:val="18"/>
              </w:rPr>
              <w:t>技术获取</w:t>
            </w:r>
            <w:r>
              <w:rPr>
                <w:rFonts w:hint="eastAsia" w:ascii="宋体" w:hAnsi="宋体" w:cs="宋体"/>
                <w:color w:val="auto"/>
                <w:kern w:val="0"/>
                <w:sz w:val="18"/>
                <w:szCs w:val="18"/>
              </w:rPr>
              <w:t>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技术改造经费支出</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购买境内技术经费支出</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引进境外技术经费支出</w:t>
            </w:r>
          </w:p>
          <w:p>
            <w:pPr>
              <w:widowControl/>
              <w:spacing w:line="280" w:lineRule="exact"/>
              <w:ind w:firstLine="240" w:firstLineChars="150"/>
              <w:rPr>
                <w:rFonts w:ascii="宋体" w:hAnsi="宋体" w:cs="宋体"/>
                <w:color w:val="auto"/>
                <w:kern w:val="0"/>
                <w:sz w:val="16"/>
                <w:szCs w:val="16"/>
              </w:rPr>
            </w:pPr>
            <w:r>
              <w:rPr>
                <w:rFonts w:hint="eastAsia" w:ascii="宋体" w:hAnsi="宋体" w:cs="宋体"/>
                <w:color w:val="auto"/>
                <w:kern w:val="0"/>
                <w:sz w:val="16"/>
                <w:szCs w:val="16"/>
              </w:rPr>
              <w:t>引进境外技术的消化吸收经费支出</w:t>
            </w:r>
          </w:p>
          <w:p>
            <w:pPr>
              <w:widowControl/>
              <w:spacing w:line="280" w:lineRule="exact"/>
              <w:rPr>
                <w:rFonts w:ascii="宋体" w:hAnsi="宋体" w:cs="宋体"/>
                <w:color w:val="auto"/>
                <w:w w:val="90"/>
                <w:kern w:val="0"/>
                <w:sz w:val="18"/>
                <w:szCs w:val="18"/>
              </w:rPr>
            </w:pPr>
            <w:r>
              <w:rPr>
                <w:rFonts w:ascii="宋体" w:hAnsi="宋体" w:cs="宋体"/>
                <w:color w:val="auto"/>
                <w:kern w:val="0"/>
                <w:sz w:val="15"/>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二</w:t>
            </w:r>
            <w:r>
              <w:rPr>
                <w:rFonts w:ascii="宋体" w:hAnsi="宋体" w:cs="宋体"/>
                <w:color w:val="auto"/>
                <w:kern w:val="0"/>
                <w:sz w:val="18"/>
                <w:szCs w:val="18"/>
              </w:rPr>
              <w:t>)</w:t>
            </w:r>
            <w:r>
              <w:rPr>
                <w:rFonts w:hint="eastAsia" w:ascii="宋体" w:hAnsi="宋体" w:cs="宋体"/>
                <w:color w:val="auto"/>
                <w:kern w:val="0"/>
                <w:sz w:val="18"/>
                <w:szCs w:val="18"/>
              </w:rPr>
              <w:t>企业</w:t>
            </w:r>
            <w:r>
              <w:rPr>
                <w:rFonts w:ascii="宋体" w:hAnsi="宋体" w:cs="宋体"/>
                <w:color w:val="auto"/>
                <w:kern w:val="0"/>
                <w:sz w:val="18"/>
                <w:szCs w:val="18"/>
              </w:rPr>
              <w:t>办</w:t>
            </w:r>
            <w:r>
              <w:rPr>
                <w:rFonts w:hint="eastAsia" w:ascii="宋体" w:hAnsi="宋体" w:cs="宋体"/>
                <w:color w:val="auto"/>
                <w:kern w:val="0"/>
                <w:sz w:val="18"/>
                <w:szCs w:val="18"/>
              </w:rPr>
              <w:t>研究开发机构</w:t>
            </w:r>
            <w:r>
              <w:rPr>
                <w:rFonts w:ascii="宋体" w:hAnsi="宋体" w:cs="宋体"/>
                <w:color w:val="auto"/>
                <w:kern w:val="0"/>
                <w:sz w:val="18"/>
                <w:szCs w:val="18"/>
              </w:rPr>
              <w:t>（</w:t>
            </w:r>
            <w:r>
              <w:rPr>
                <w:rFonts w:hint="eastAsia" w:ascii="宋体" w:hAnsi="宋体" w:cs="宋体"/>
                <w:color w:val="auto"/>
                <w:kern w:val="0"/>
                <w:sz w:val="18"/>
                <w:szCs w:val="18"/>
              </w:rPr>
              <w:t>境外</w:t>
            </w:r>
            <w:r>
              <w:rPr>
                <w:rFonts w:ascii="宋体" w:hAnsi="宋体" w:cs="宋体"/>
                <w:color w:val="auto"/>
                <w:kern w:val="0"/>
                <w:sz w:val="18"/>
                <w:szCs w:val="18"/>
              </w:rPr>
              <w:t>）</w:t>
            </w:r>
            <w:r>
              <w:rPr>
                <w:rFonts w:hint="eastAsia" w:ascii="宋体" w:hAnsi="宋体" w:cs="宋体"/>
                <w:color w:val="auto"/>
                <w:kern w:val="0"/>
                <w:sz w:val="18"/>
                <w:szCs w:val="18"/>
              </w:rPr>
              <w:t>情</w:t>
            </w:r>
            <w:r>
              <w:rPr>
                <w:rFonts w:hint="eastAsia" w:ascii="宋体" w:hAnsi="宋体" w:cs="宋体"/>
                <w:color w:val="auto"/>
                <w:w w:val="90"/>
                <w:kern w:val="0"/>
                <w:sz w:val="18"/>
                <w:szCs w:val="18"/>
              </w:rPr>
              <w:t>况</w:t>
            </w:r>
          </w:p>
          <w:p>
            <w:pPr>
              <w:widowControl/>
              <w:spacing w:line="280" w:lineRule="exact"/>
              <w:ind w:firstLine="240" w:firstLineChars="150"/>
              <w:jc w:val="left"/>
              <w:rPr>
                <w:rFonts w:ascii="宋体" w:hAnsi="宋体" w:cs="宋体"/>
                <w:color w:val="auto"/>
                <w:kern w:val="0"/>
                <w:sz w:val="16"/>
                <w:szCs w:val="16"/>
              </w:rPr>
            </w:pPr>
            <w:r>
              <w:rPr>
                <w:rFonts w:hint="eastAsia" w:ascii="宋体" w:hAnsi="宋体" w:cs="宋体"/>
                <w:color w:val="auto"/>
                <w:kern w:val="0"/>
                <w:sz w:val="16"/>
                <w:szCs w:val="16"/>
              </w:rPr>
              <w:t>期末</w:t>
            </w:r>
            <w:r>
              <w:rPr>
                <w:rFonts w:ascii="宋体" w:hAnsi="宋体" w:cs="宋体"/>
                <w:color w:val="auto"/>
                <w:kern w:val="0"/>
                <w:sz w:val="16"/>
                <w:szCs w:val="16"/>
              </w:rPr>
              <w:t>企业在境外设立的研究开发机构数</w:t>
            </w:r>
          </w:p>
          <w:p>
            <w:pPr>
              <w:widowControl/>
              <w:spacing w:line="280" w:lineRule="exact"/>
              <w:ind w:firstLine="0" w:firstLineChars="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（三）资金保障情况</w:t>
            </w:r>
          </w:p>
          <w:p>
            <w:pPr>
              <w:widowControl/>
              <w:spacing w:line="280" w:lineRule="exact"/>
              <w:ind w:firstLine="0" w:firstLineChars="0"/>
              <w:jc w:val="left"/>
              <w:rPr>
                <w:rFonts w:hint="default" w:ascii="宋体" w:hAnsi="宋体" w:cs="宋体"/>
                <w:color w:val="auto"/>
                <w:kern w:val="0"/>
                <w:sz w:val="16"/>
                <w:szCs w:val="16"/>
                <w:lang w:val="en-US" w:eastAsia="zh-CN"/>
              </w:rPr>
            </w:pPr>
            <w:r>
              <w:rPr>
                <w:rFonts w:hint="eastAsia" w:ascii="宋体" w:hAnsi="宋体" w:cs="宋体"/>
                <w:color w:val="auto"/>
                <w:kern w:val="0"/>
                <w:sz w:val="18"/>
                <w:szCs w:val="18"/>
                <w:lang w:val="en-US" w:eastAsia="zh-CN"/>
              </w:rPr>
              <w:t xml:space="preserve">   当年企业研发准备金合计</w:t>
            </w:r>
          </w:p>
        </w:tc>
        <w:tc>
          <w:tcPr>
            <w:tcW w:w="368" w:type="pct"/>
            <w:tcBorders>
              <w:bottom w:val="single" w:color="auto" w:sz="4" w:space="0"/>
            </w:tcBorders>
            <w:shd w:val="clear" w:color="auto" w:fill="FFFFFF"/>
            <w:noWrap w:val="0"/>
            <w:vAlign w:val="top"/>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个</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篇</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项</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tabs>
                <w:tab w:val="center" w:pos="227"/>
              </w:tabs>
              <w:spacing w:line="280" w:lineRule="exact"/>
              <w:rPr>
                <w:rFonts w:ascii="宋体" w:hAnsi="宋体" w:cs="宋体"/>
                <w:color w:val="auto"/>
                <w:kern w:val="0"/>
                <w:sz w:val="18"/>
                <w:szCs w:val="18"/>
              </w:rPr>
            </w:pPr>
            <w:r>
              <w:rPr>
                <w:rFonts w:ascii="宋体" w:hAnsi="宋体" w:cs="宋体"/>
                <w:color w:val="auto"/>
                <w:kern w:val="0"/>
                <w:sz w:val="18"/>
                <w:szCs w:val="18"/>
              </w:rPr>
              <w:tab/>
            </w: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ind w:firstLine="180" w:firstLineChars="100"/>
              <w:rPr>
                <w:rFonts w:hint="eastAsia" w:ascii="宋体" w:hAnsi="宋体" w:cs="宋体"/>
                <w:color w:val="auto"/>
                <w:kern w:val="0"/>
                <w:sz w:val="18"/>
                <w:szCs w:val="18"/>
              </w:rPr>
            </w:pPr>
            <w:r>
              <w:rPr>
                <w:rFonts w:hint="eastAsia" w:ascii="宋体" w:hAnsi="宋体" w:cs="宋体"/>
                <w:color w:val="auto"/>
                <w:kern w:val="0"/>
                <w:sz w:val="18"/>
                <w:szCs w:val="18"/>
              </w:rPr>
              <w:t>个</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ind w:firstLine="0" w:firstLineChars="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千元</w:t>
            </w:r>
          </w:p>
        </w:tc>
        <w:tc>
          <w:tcPr>
            <w:tcW w:w="220" w:type="pct"/>
            <w:tcBorders>
              <w:bottom w:val="single" w:color="auto" w:sz="4" w:space="0"/>
              <w:right w:val="single" w:color="auto" w:sz="2" w:space="0"/>
            </w:tcBorders>
            <w:shd w:val="clear" w:color="auto" w:fill="FFFFFF"/>
            <w:noWrap/>
            <w:vAlign w:val="top"/>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22</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23</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24</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26</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29</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0</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3</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53</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54</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36</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38</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40</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41</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tabs>
                <w:tab w:val="center" w:pos="227"/>
              </w:tabs>
              <w:spacing w:line="280" w:lineRule="exact"/>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6</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48</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49</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rPr>
                <w:rFonts w:hint="eastAsia" w:ascii="宋体" w:hAnsi="宋体" w:cs="宋体"/>
                <w:color w:val="auto"/>
                <w:kern w:val="0"/>
                <w:sz w:val="18"/>
                <w:szCs w:val="18"/>
              </w:rPr>
            </w:pPr>
            <w:r>
              <w:rPr>
                <w:rFonts w:hint="eastAsia" w:ascii="宋体" w:hAnsi="宋体" w:cs="宋体"/>
                <w:color w:val="auto"/>
                <w:kern w:val="0"/>
                <w:sz w:val="18"/>
                <w:szCs w:val="18"/>
              </w:rPr>
              <w:t>50</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c>
          <w:tcPr>
            <w:tcW w:w="219" w:type="pct"/>
            <w:tcBorders>
              <w:top w:val="single" w:color="auto" w:sz="2" w:space="0"/>
              <w:left w:val="single" w:color="auto" w:sz="2" w:space="0"/>
              <w:bottom w:val="single" w:color="auto" w:sz="4" w:space="0"/>
            </w:tcBorders>
            <w:shd w:val="clear" w:color="auto" w:fill="FFFFFF"/>
            <w:noWrap w:val="0"/>
            <w:vAlign w:val="top"/>
          </w:tcPr>
          <w:p>
            <w:pPr>
              <w:widowControl/>
              <w:spacing w:line="280" w:lineRule="exact"/>
              <w:jc w:val="center"/>
              <w:rPr>
                <w:rFonts w:ascii="宋体" w:hAnsi="宋体" w:cs="宋体"/>
                <w:color w:val="auto"/>
                <w:kern w:val="0"/>
                <w:sz w:val="18"/>
                <w:szCs w:val="18"/>
              </w:rPr>
            </w:pPr>
          </w:p>
        </w:tc>
      </w:tr>
    </w:tbl>
    <w:p>
      <w:pPr>
        <w:spacing w:line="300" w:lineRule="exact"/>
        <w:rPr>
          <w:rFonts w:ascii="宋体" w:hAnsi="宋体" w:cs="宋体"/>
          <w:color w:val="auto"/>
          <w:kern w:val="0"/>
          <w:sz w:val="18"/>
          <w:szCs w:val="18"/>
        </w:rPr>
      </w:pPr>
      <w:r>
        <w:rPr>
          <w:rFonts w:hint="eastAsia" w:ascii="宋体" w:hAnsi="宋体" w:cs="宋体"/>
          <w:color w:val="auto"/>
          <w:kern w:val="0"/>
          <w:sz w:val="18"/>
          <w:szCs w:val="18"/>
        </w:rPr>
        <w:t>单位负责人：</w:t>
      </w:r>
      <w:r>
        <w:rPr>
          <w:rFonts w:ascii="宋体" w:hAnsi="宋体" w:cs="宋体"/>
          <w:color w:val="auto"/>
          <w:kern w:val="0"/>
          <w:sz w:val="18"/>
          <w:szCs w:val="18"/>
        </w:rPr>
        <w:t xml:space="preserve">      </w:t>
      </w:r>
      <w:r>
        <w:rPr>
          <w:rFonts w:hint="eastAsia" w:ascii="宋体" w:hAnsi="宋体" w:cs="宋体"/>
          <w:color w:val="auto"/>
          <w:kern w:val="0"/>
          <w:sz w:val="18"/>
          <w:szCs w:val="18"/>
        </w:rPr>
        <w:t>　统计负责人：</w:t>
      </w:r>
      <w:r>
        <w:rPr>
          <w:rFonts w:ascii="宋体" w:hAnsi="宋体" w:cs="宋体"/>
          <w:color w:val="auto"/>
          <w:kern w:val="0"/>
          <w:sz w:val="18"/>
          <w:szCs w:val="18"/>
        </w:rPr>
        <w:t xml:space="preserve">      </w:t>
      </w:r>
      <w:r>
        <w:rPr>
          <w:rFonts w:hint="eastAsia" w:ascii="宋体" w:hAnsi="宋体" w:cs="宋体"/>
          <w:color w:val="auto"/>
          <w:kern w:val="0"/>
          <w:sz w:val="18"/>
          <w:szCs w:val="18"/>
        </w:rPr>
        <w:t>　填表人：</w:t>
      </w:r>
      <w:r>
        <w:rPr>
          <w:rFonts w:ascii="宋体" w:hAnsi="宋体" w:cs="宋体"/>
          <w:color w:val="auto"/>
          <w:kern w:val="0"/>
          <w:sz w:val="18"/>
          <w:szCs w:val="18"/>
        </w:rPr>
        <w:t xml:space="preserve">    </w:t>
      </w:r>
      <w:r>
        <w:rPr>
          <w:rFonts w:hint="eastAsia" w:ascii="宋体" w:hAnsi="宋体" w:cs="宋体"/>
          <w:color w:val="auto"/>
          <w:kern w:val="0"/>
          <w:sz w:val="18"/>
          <w:szCs w:val="18"/>
        </w:rPr>
        <w:t>　　联系电话：</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报出日期：２０</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年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月</w:t>
      </w:r>
      <w:r>
        <w:rPr>
          <w:rFonts w:ascii="宋体" w:hAnsi="宋体" w:cs="宋体"/>
          <w:color w:val="auto"/>
          <w:kern w:val="0"/>
          <w:sz w:val="18"/>
          <w:szCs w:val="18"/>
        </w:rPr>
        <w:t xml:space="preserve">   </w:t>
      </w:r>
      <w:r>
        <w:rPr>
          <w:rFonts w:hint="eastAsia" w:ascii="宋体" w:hAnsi="宋体" w:cs="宋体"/>
          <w:color w:val="auto"/>
          <w:kern w:val="0"/>
          <w:sz w:val="18"/>
          <w:szCs w:val="18"/>
        </w:rPr>
        <w:t>日</w:t>
      </w:r>
    </w:p>
    <w:p>
      <w:pPr>
        <w:spacing w:line="300" w:lineRule="exact"/>
        <w:rPr>
          <w:rFonts w:ascii="宋体" w:hAnsi="宋体" w:cs="宋体"/>
          <w:color w:val="auto"/>
          <w:kern w:val="0"/>
          <w:sz w:val="18"/>
          <w:szCs w:val="18"/>
        </w:rPr>
      </w:pPr>
    </w:p>
    <w:p>
      <w:pPr>
        <w:spacing w:line="300" w:lineRule="exact"/>
        <w:ind w:left="1643" w:leftChars="11" w:hanging="1620" w:hangingChars="900"/>
        <w:rPr>
          <w:rFonts w:ascii="宋体" w:hAnsi="宋体" w:cs="宋体"/>
          <w:color w:val="auto"/>
          <w:kern w:val="0"/>
          <w:sz w:val="18"/>
          <w:szCs w:val="18"/>
        </w:rPr>
      </w:pPr>
      <w:r>
        <w:rPr>
          <w:rFonts w:hint="eastAsia" w:ascii="宋体" w:hAnsi="宋体" w:cs="宋体"/>
          <w:color w:val="auto"/>
          <w:kern w:val="0"/>
          <w:sz w:val="18"/>
          <w:szCs w:val="18"/>
        </w:rPr>
        <w:t>说明：</w:t>
      </w:r>
      <w:r>
        <w:rPr>
          <w:rFonts w:ascii="宋体" w:hAnsi="宋体" w:cs="宋体"/>
          <w:color w:val="auto"/>
          <w:kern w:val="0"/>
          <w:sz w:val="18"/>
          <w:szCs w:val="18"/>
        </w:rPr>
        <w:t>1.</w:t>
      </w:r>
      <w:r>
        <w:rPr>
          <w:rFonts w:hint="eastAsia" w:ascii="宋体" w:hAnsi="宋体" w:cs="宋体"/>
          <w:color w:val="auto"/>
          <w:kern w:val="0"/>
          <w:sz w:val="18"/>
          <w:szCs w:val="18"/>
        </w:rPr>
        <w:t>统计范围：</w:t>
      </w:r>
      <w:r>
        <w:rPr>
          <w:rFonts w:hint="eastAsia" w:ascii="宋体" w:hAnsi="宋体"/>
          <w:color w:val="000000"/>
          <w:sz w:val="18"/>
          <w:szCs w:val="18"/>
        </w:rPr>
        <w:t>辖区内限额以上</w:t>
      </w:r>
      <w:r>
        <w:rPr>
          <w:rFonts w:hint="eastAsia" w:ascii="宋体" w:hAnsi="宋体"/>
          <w:color w:val="000000"/>
          <w:sz w:val="18"/>
          <w:szCs w:val="18"/>
          <w:lang w:eastAsia="zh-CN"/>
        </w:rPr>
        <w:t>服务业</w:t>
      </w:r>
      <w:r>
        <w:rPr>
          <w:rFonts w:hint="eastAsia" w:ascii="宋体" w:hAnsi="宋体"/>
          <w:color w:val="000000"/>
          <w:sz w:val="18"/>
          <w:szCs w:val="18"/>
        </w:rPr>
        <w:t>法人单位。</w:t>
      </w:r>
    </w:p>
    <w:p>
      <w:pPr>
        <w:keepNext w:val="0"/>
        <w:keepLines w:val="0"/>
        <w:pageBreakBefore w:val="0"/>
        <w:widowControl w:val="0"/>
        <w:kinsoku/>
        <w:wordWrap/>
        <w:overflowPunct/>
        <w:topLinePunct w:val="0"/>
        <w:autoSpaceDE/>
        <w:autoSpaceDN/>
        <w:bidi w:val="0"/>
        <w:adjustRightInd/>
        <w:snapToGrid/>
        <w:spacing w:line="300" w:lineRule="exact"/>
        <w:ind w:left="2168" w:leftChars="261" w:hanging="1620" w:hangingChars="900"/>
        <w:textAlignment w:val="auto"/>
        <w:rPr>
          <w:rFonts w:ascii="宋体" w:hAnsi="宋体" w:cs="宋体"/>
          <w:color w:val="auto"/>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报送日期及方式：调查单位20</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年3月10日24时前网上填报，</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cs="宋体"/>
          <w:sz w:val="18"/>
          <w:szCs w:val="18"/>
        </w:rPr>
        <w:t>。</w:t>
      </w:r>
    </w:p>
    <w:p>
      <w:pPr>
        <w:spacing w:line="300" w:lineRule="exact"/>
        <w:ind w:left="1622" w:leftChars="258" w:hanging="1080" w:hangingChars="600"/>
        <w:rPr>
          <w:rFonts w:ascii="宋体" w:hAnsi="宋体" w:cs="宋体"/>
          <w:color w:val="auto"/>
          <w:kern w:val="0"/>
          <w:sz w:val="18"/>
          <w:szCs w:val="18"/>
        </w:rPr>
      </w:pPr>
      <w:r>
        <w:rPr>
          <w:rFonts w:hint="eastAsia" w:ascii="宋体" w:hAnsi="宋体" w:cs="宋体"/>
          <w:color w:val="auto"/>
          <w:kern w:val="0"/>
          <w:sz w:val="18"/>
          <w:szCs w:val="18"/>
        </w:rPr>
        <w:t>3.标注“*”符号的指标限规模以上工业企业法人单位填报。</w:t>
      </w:r>
    </w:p>
    <w:p>
      <w:pPr>
        <w:spacing w:line="300" w:lineRule="exact"/>
        <w:ind w:left="1622" w:leftChars="258" w:hanging="1080" w:hangingChars="600"/>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审核关系：</w:t>
      </w:r>
    </w:p>
    <w:p>
      <w:pPr>
        <w:spacing w:line="300" w:lineRule="exact"/>
        <w:ind w:left="1622" w:leftChars="344" w:hanging="900" w:hangingChars="500"/>
        <w:rPr>
          <w:rFonts w:ascii="宋体" w:hAnsi="宋体" w:cs="宋体"/>
          <w:color w:val="auto"/>
          <w:kern w:val="0"/>
          <w:sz w:val="18"/>
          <w:szCs w:val="18"/>
        </w:rPr>
      </w:pPr>
      <w:r>
        <w:rPr>
          <w:rFonts w:hint="eastAsia" w:ascii="宋体" w:hAnsi="宋体" w:cs="宋体"/>
          <w:color w:val="auto"/>
          <w:kern w:val="0"/>
          <w:sz w:val="18"/>
          <w:szCs w:val="18"/>
        </w:rPr>
        <w:t>表内审核：</w:t>
      </w:r>
      <w:r>
        <w:rPr>
          <w:rFonts w:ascii="宋体" w:hAnsi="宋体" w:cs="宋体"/>
          <w:color w:val="auto"/>
          <w:kern w:val="0"/>
          <w:sz w:val="18"/>
          <w:szCs w:val="18"/>
        </w:rPr>
        <w:t xml:space="preserve">  </w:t>
      </w:r>
    </w:p>
    <w:p>
      <w:pPr>
        <w:spacing w:line="300" w:lineRule="exact"/>
        <w:ind w:left="1623" w:leftChars="387" w:hanging="810" w:hangingChars="450"/>
        <w:rPr>
          <w:rFonts w:ascii="宋体" w:hAnsi="宋体" w:cs="宋体"/>
          <w:color w:val="auto"/>
          <w:kern w:val="0"/>
          <w:sz w:val="18"/>
          <w:szCs w:val="18"/>
        </w:rPr>
      </w:pPr>
      <w:r>
        <w:rPr>
          <w:rFonts w:ascii="宋体" w:hAnsi="宋体" w:cs="宋体"/>
          <w:color w:val="auto"/>
          <w:kern w:val="0"/>
          <w:sz w:val="18"/>
          <w:szCs w:val="18"/>
        </w:rPr>
        <w:t>(1)1</w:t>
      </w:r>
      <w:r>
        <w:rPr>
          <w:rFonts w:hint="eastAsia" w:ascii="宋体" w:hAnsi="宋体" w:cs="宋体"/>
          <w:color w:val="auto"/>
          <w:kern w:val="0"/>
          <w:sz w:val="18"/>
          <w:szCs w:val="18"/>
        </w:rPr>
        <w:t>≥</w:t>
      </w:r>
      <w:r>
        <w:rPr>
          <w:rFonts w:ascii="宋体" w:hAnsi="宋体" w:cs="宋体"/>
          <w:color w:val="auto"/>
          <w:kern w:val="0"/>
          <w:sz w:val="18"/>
          <w:szCs w:val="18"/>
        </w:rPr>
        <w:t>2</w:t>
      </w:r>
      <w:r>
        <w:rPr>
          <w:rFonts w:hint="eastAsia" w:ascii="宋体" w:hAnsi="宋体" w:cs="宋体"/>
          <w:color w:val="auto"/>
          <w:kern w:val="0"/>
          <w:sz w:val="18"/>
          <w:szCs w:val="18"/>
        </w:rPr>
        <w:t xml:space="preserve">    </w:t>
      </w:r>
      <w:r>
        <w:rPr>
          <w:rFonts w:ascii="宋体" w:hAnsi="宋体" w:cs="宋体"/>
          <w:color w:val="auto"/>
          <w:kern w:val="0"/>
          <w:sz w:val="18"/>
          <w:szCs w:val="18"/>
        </w:rPr>
        <w:t>(2)1</w:t>
      </w:r>
      <w:r>
        <w:rPr>
          <w:rFonts w:hint="eastAsia" w:ascii="宋体" w:hAnsi="宋体" w:cs="宋体"/>
          <w:color w:val="auto"/>
          <w:kern w:val="0"/>
          <w:sz w:val="18"/>
          <w:szCs w:val="18"/>
        </w:rPr>
        <w:t>≥</w:t>
      </w:r>
      <w:r>
        <w:rPr>
          <w:rFonts w:ascii="宋体" w:hAnsi="宋体" w:cs="宋体"/>
          <w:color w:val="auto"/>
          <w:kern w:val="0"/>
          <w:sz w:val="18"/>
          <w:szCs w:val="18"/>
        </w:rPr>
        <w:t>3</w:t>
      </w:r>
      <w:r>
        <w:rPr>
          <w:rFonts w:hint="eastAsia" w:ascii="宋体" w:hAnsi="宋体" w:cs="宋体"/>
          <w:color w:val="auto"/>
          <w:kern w:val="0"/>
          <w:sz w:val="18"/>
          <w:szCs w:val="18"/>
        </w:rPr>
        <w:t xml:space="preserve">    </w:t>
      </w:r>
      <w:r>
        <w:rPr>
          <w:rFonts w:ascii="宋体" w:hAnsi="宋体" w:cs="宋体"/>
          <w:color w:val="auto"/>
          <w:kern w:val="0"/>
          <w:sz w:val="18"/>
          <w:szCs w:val="18"/>
        </w:rPr>
        <w:t>(3)1</w:t>
      </w:r>
      <w:r>
        <w:rPr>
          <w:rFonts w:hint="eastAsia" w:ascii="宋体" w:hAnsi="宋体" w:cs="宋体"/>
          <w:color w:val="auto"/>
          <w:kern w:val="0"/>
          <w:sz w:val="18"/>
          <w:szCs w:val="18"/>
        </w:rPr>
        <w:t>≥</w:t>
      </w:r>
      <w:r>
        <w:rPr>
          <w:rFonts w:ascii="宋体" w:hAnsi="宋体" w:cs="宋体"/>
          <w:color w:val="auto"/>
          <w:kern w:val="0"/>
          <w:sz w:val="18"/>
          <w:szCs w:val="18"/>
        </w:rPr>
        <w:t>4</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(4)1</w:t>
      </w:r>
      <w:r>
        <w:rPr>
          <w:rFonts w:hint="eastAsia" w:ascii="宋体" w:hAnsi="宋体" w:cs="宋体"/>
          <w:color w:val="auto"/>
          <w:kern w:val="0"/>
          <w:sz w:val="18"/>
          <w:szCs w:val="18"/>
        </w:rPr>
        <w:t>≥</w:t>
      </w:r>
      <w:r>
        <w:rPr>
          <w:rFonts w:ascii="宋体" w:hAnsi="宋体" w:cs="宋体"/>
          <w:color w:val="auto"/>
          <w:kern w:val="0"/>
          <w:sz w:val="18"/>
          <w:szCs w:val="18"/>
        </w:rPr>
        <w:t>5</w:t>
      </w:r>
      <w:r>
        <w:rPr>
          <w:rFonts w:hint="eastAsia" w:ascii="宋体" w:hAnsi="宋体" w:cs="宋体"/>
          <w:color w:val="auto"/>
          <w:kern w:val="0"/>
          <w:sz w:val="18"/>
          <w:szCs w:val="18"/>
        </w:rPr>
        <w:t>≥</w:t>
      </w:r>
      <w:r>
        <w:rPr>
          <w:rFonts w:ascii="宋体" w:hAnsi="宋体" w:cs="宋体"/>
          <w:color w:val="auto"/>
          <w:kern w:val="0"/>
          <w:sz w:val="18"/>
          <w:szCs w:val="18"/>
        </w:rPr>
        <w:t>24+25</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5</w:t>
      </w:r>
      <w:r>
        <w:rPr>
          <w:rFonts w:ascii="宋体" w:hAnsi="宋体" w:cs="宋体"/>
          <w:color w:val="auto"/>
          <w:kern w:val="0"/>
          <w:sz w:val="18"/>
          <w:szCs w:val="18"/>
        </w:rPr>
        <w:t>)1</w:t>
      </w:r>
      <w:r>
        <w:rPr>
          <w:rFonts w:hint="eastAsia" w:ascii="宋体" w:hAnsi="宋体" w:cs="宋体"/>
          <w:color w:val="auto"/>
          <w:kern w:val="0"/>
          <w:sz w:val="18"/>
          <w:szCs w:val="18"/>
        </w:rPr>
        <w:t>≥6</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6</w:t>
      </w:r>
      <w:r>
        <w:rPr>
          <w:rFonts w:ascii="宋体" w:hAnsi="宋体" w:cs="宋体"/>
          <w:color w:val="auto"/>
          <w:kern w:val="0"/>
          <w:sz w:val="18"/>
          <w:szCs w:val="18"/>
        </w:rPr>
        <w:t>)1</w:t>
      </w:r>
      <w:r>
        <w:rPr>
          <w:rFonts w:hint="eastAsia" w:ascii="宋体" w:hAnsi="宋体" w:cs="宋体"/>
          <w:color w:val="auto"/>
          <w:kern w:val="0"/>
          <w:sz w:val="18"/>
          <w:szCs w:val="18"/>
        </w:rPr>
        <w:t>≥</w:t>
      </w:r>
      <w:r>
        <w:rPr>
          <w:rFonts w:ascii="宋体" w:hAnsi="宋体" w:cs="宋体"/>
          <w:color w:val="auto"/>
          <w:kern w:val="0"/>
          <w:sz w:val="18"/>
          <w:szCs w:val="18"/>
        </w:rPr>
        <w:t>23</w:t>
      </w:r>
      <w:r>
        <w:rPr>
          <w:rFonts w:hint="eastAsia" w:ascii="宋体" w:hAnsi="宋体" w:cs="宋体"/>
          <w:color w:val="auto"/>
          <w:kern w:val="0"/>
          <w:sz w:val="18"/>
          <w:szCs w:val="18"/>
        </w:rPr>
        <w:t>≥</w:t>
      </w:r>
      <w:r>
        <w:rPr>
          <w:rFonts w:ascii="宋体" w:hAnsi="宋体" w:cs="宋体"/>
          <w:color w:val="auto"/>
          <w:kern w:val="0"/>
          <w:sz w:val="18"/>
          <w:szCs w:val="18"/>
        </w:rPr>
        <w:t>24+25</w:t>
      </w:r>
      <w:r>
        <w:rPr>
          <w:rFonts w:hint="eastAsia" w:ascii="宋体" w:hAnsi="宋体" w:cs="宋体"/>
          <w:color w:val="auto"/>
          <w:kern w:val="0"/>
          <w:sz w:val="18"/>
          <w:szCs w:val="18"/>
        </w:rPr>
        <w:t xml:space="preserve">      </w:t>
      </w:r>
    </w:p>
    <w:p>
      <w:pPr>
        <w:spacing w:line="300" w:lineRule="exact"/>
        <w:ind w:left="1623" w:leftChars="387" w:hanging="810" w:hangingChars="450"/>
        <w:rPr>
          <w:rFonts w:ascii="宋体" w:hAnsi="宋体" w:cs="宋体"/>
          <w:color w:val="auto"/>
          <w:kern w:val="0"/>
          <w:sz w:val="18"/>
          <w:szCs w:val="18"/>
        </w:rPr>
      </w:pPr>
      <w:r>
        <w:rPr>
          <w:rFonts w:ascii="宋体" w:hAnsi="宋体" w:cs="宋体"/>
          <w:color w:val="auto"/>
          <w:kern w:val="0"/>
          <w:sz w:val="18"/>
          <w:szCs w:val="18"/>
        </w:rPr>
        <w:t>(</w:t>
      </w:r>
      <w:r>
        <w:rPr>
          <w:rFonts w:hint="eastAsia" w:ascii="宋体" w:hAnsi="宋体" w:cs="宋体"/>
          <w:color w:val="auto"/>
          <w:kern w:val="0"/>
          <w:sz w:val="18"/>
          <w:szCs w:val="18"/>
        </w:rPr>
        <w:t>7</w:t>
      </w:r>
      <w:r>
        <w:rPr>
          <w:rFonts w:ascii="宋体" w:hAnsi="宋体" w:cs="宋体"/>
          <w:color w:val="auto"/>
          <w:kern w:val="0"/>
          <w:sz w:val="18"/>
          <w:szCs w:val="18"/>
        </w:rPr>
        <w:t>)</w:t>
      </w:r>
      <w:r>
        <w:rPr>
          <w:rFonts w:hint="eastAsia" w:ascii="宋体" w:hAnsi="宋体" w:cs="宋体"/>
          <w:color w:val="auto"/>
          <w:kern w:val="0"/>
          <w:sz w:val="18"/>
          <w:szCs w:val="18"/>
        </w:rPr>
        <w:t>7</w:t>
      </w:r>
      <w:r>
        <w:rPr>
          <w:rFonts w:ascii="宋体" w:hAnsi="宋体" w:cs="宋体"/>
          <w:color w:val="auto"/>
          <w:kern w:val="0"/>
          <w:sz w:val="18"/>
          <w:szCs w:val="18"/>
        </w:rPr>
        <w:t>=8+9+10+11+12+13+</w:t>
      </w:r>
      <w:r>
        <w:rPr>
          <w:rFonts w:hint="eastAsia" w:ascii="宋体" w:hAnsi="宋体" w:cs="宋体"/>
          <w:color w:val="auto"/>
          <w:kern w:val="0"/>
          <w:sz w:val="18"/>
          <w:szCs w:val="18"/>
        </w:rPr>
        <w:t>14+</w:t>
      </w:r>
      <w:r>
        <w:rPr>
          <w:rFonts w:ascii="宋体" w:hAnsi="宋体" w:cs="宋体"/>
          <w:color w:val="auto"/>
          <w:kern w:val="0"/>
          <w:sz w:val="18"/>
          <w:szCs w:val="18"/>
        </w:rPr>
        <w:t>19</w:t>
      </w:r>
      <w:r>
        <w:rPr>
          <w:rFonts w:hint="eastAsia" w:ascii="宋体" w:hAnsi="宋体" w:cs="宋体"/>
          <w:color w:val="auto"/>
          <w:kern w:val="0"/>
          <w:sz w:val="18"/>
          <w:szCs w:val="18"/>
        </w:rPr>
        <w:t>≥</w:t>
      </w:r>
      <w:r>
        <w:rPr>
          <w:rFonts w:ascii="宋体" w:hAnsi="宋体" w:cs="宋体"/>
          <w:color w:val="auto"/>
          <w:kern w:val="0"/>
          <w:sz w:val="18"/>
          <w:szCs w:val="18"/>
        </w:rPr>
        <w:t>26</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8</w:t>
      </w:r>
      <w:r>
        <w:rPr>
          <w:rFonts w:ascii="宋体" w:hAnsi="宋体" w:cs="宋体"/>
          <w:color w:val="auto"/>
          <w:kern w:val="0"/>
          <w:sz w:val="18"/>
          <w:szCs w:val="18"/>
        </w:rPr>
        <w:t>)</w:t>
      </w:r>
      <w:r>
        <w:rPr>
          <w:rFonts w:hint="eastAsia" w:ascii="宋体" w:hAnsi="宋体" w:cs="宋体"/>
          <w:color w:val="auto"/>
          <w:kern w:val="0"/>
          <w:sz w:val="18"/>
          <w:szCs w:val="18"/>
        </w:rPr>
        <w:t>若</w:t>
      </w:r>
      <w:r>
        <w:rPr>
          <w:rFonts w:ascii="宋体" w:hAnsi="宋体" w:cs="宋体"/>
          <w:color w:val="auto"/>
          <w:kern w:val="0"/>
          <w:sz w:val="18"/>
          <w:szCs w:val="18"/>
        </w:rPr>
        <w:t>1&gt;0</w:t>
      </w:r>
      <w:r>
        <w:rPr>
          <w:rFonts w:hint="eastAsia" w:ascii="宋体" w:hAnsi="宋体" w:cs="宋体"/>
          <w:color w:val="auto"/>
          <w:kern w:val="0"/>
          <w:sz w:val="18"/>
          <w:szCs w:val="18"/>
        </w:rPr>
        <w:t>，则8</w:t>
      </w:r>
      <w:r>
        <w:rPr>
          <w:rFonts w:ascii="宋体" w:hAnsi="宋体" w:cs="宋体"/>
          <w:color w:val="auto"/>
          <w:kern w:val="0"/>
          <w:sz w:val="18"/>
          <w:szCs w:val="18"/>
        </w:rPr>
        <w:t xml:space="preserve">&gt;0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9</w:t>
      </w:r>
      <w:r>
        <w:rPr>
          <w:rFonts w:ascii="宋体" w:hAnsi="宋体" w:cs="宋体"/>
          <w:color w:val="auto"/>
          <w:kern w:val="0"/>
          <w:sz w:val="18"/>
          <w:szCs w:val="18"/>
        </w:rPr>
        <w:t>)</w:t>
      </w:r>
      <w:r>
        <w:rPr>
          <w:rFonts w:hint="eastAsia" w:ascii="宋体" w:hAnsi="宋体" w:cs="宋体"/>
          <w:color w:val="auto"/>
          <w:kern w:val="0"/>
          <w:sz w:val="18"/>
          <w:szCs w:val="18"/>
        </w:rPr>
        <w:t>若8</w:t>
      </w:r>
      <w:r>
        <w:rPr>
          <w:rFonts w:ascii="宋体" w:hAnsi="宋体" w:cs="宋体"/>
          <w:color w:val="auto"/>
          <w:kern w:val="0"/>
          <w:sz w:val="18"/>
          <w:szCs w:val="18"/>
        </w:rPr>
        <w:t>&gt;0</w:t>
      </w:r>
      <w:r>
        <w:rPr>
          <w:rFonts w:hint="eastAsia" w:ascii="宋体" w:hAnsi="宋体" w:cs="宋体"/>
          <w:color w:val="auto"/>
          <w:kern w:val="0"/>
          <w:sz w:val="18"/>
          <w:szCs w:val="18"/>
        </w:rPr>
        <w:t>，则</w:t>
      </w:r>
      <w:r>
        <w:rPr>
          <w:rFonts w:ascii="宋体" w:hAnsi="宋体" w:cs="宋体"/>
          <w:color w:val="auto"/>
          <w:kern w:val="0"/>
          <w:sz w:val="18"/>
          <w:szCs w:val="18"/>
        </w:rPr>
        <w:t xml:space="preserve">1&gt;0    </w:t>
      </w:r>
    </w:p>
    <w:p>
      <w:pPr>
        <w:spacing w:line="300" w:lineRule="exact"/>
        <w:ind w:firstLine="810" w:firstLineChars="450"/>
        <w:rPr>
          <w:rFonts w:ascii="宋体" w:hAnsi="宋体" w:cs="宋体"/>
          <w:color w:val="auto"/>
          <w:kern w:val="0"/>
          <w:sz w:val="18"/>
          <w:szCs w:val="18"/>
        </w:rPr>
      </w:pPr>
      <w:r>
        <w:rPr>
          <w:rFonts w:ascii="宋体" w:hAnsi="宋体" w:cs="宋体"/>
          <w:color w:val="auto"/>
          <w:kern w:val="0"/>
          <w:sz w:val="18"/>
          <w:szCs w:val="18"/>
        </w:rPr>
        <w:t>(</w:t>
      </w:r>
      <w:r>
        <w:rPr>
          <w:rFonts w:hint="eastAsia" w:ascii="宋体" w:hAnsi="宋体" w:cs="宋体"/>
          <w:color w:val="auto"/>
          <w:kern w:val="0"/>
          <w:sz w:val="18"/>
          <w:szCs w:val="18"/>
        </w:rPr>
        <w:t>10</w:t>
      </w:r>
      <w:r>
        <w:rPr>
          <w:rFonts w:ascii="宋体" w:hAnsi="宋体" w:cs="宋体"/>
          <w:color w:val="auto"/>
          <w:kern w:val="0"/>
          <w:sz w:val="18"/>
          <w:szCs w:val="18"/>
        </w:rPr>
        <w:t>)1</w:t>
      </w:r>
      <w:r>
        <w:rPr>
          <w:rFonts w:hint="eastAsia" w:ascii="宋体" w:hAnsi="宋体" w:cs="宋体"/>
          <w:color w:val="auto"/>
          <w:kern w:val="0"/>
          <w:sz w:val="18"/>
          <w:szCs w:val="18"/>
        </w:rPr>
        <w:t>4</w:t>
      </w:r>
      <w:r>
        <w:rPr>
          <w:rFonts w:ascii="宋体" w:hAnsi="宋体" w:cs="宋体"/>
          <w:color w:val="auto"/>
          <w:kern w:val="0"/>
          <w:sz w:val="18"/>
          <w:szCs w:val="18"/>
        </w:rPr>
        <w:t>=15+16+17+18</w:t>
      </w:r>
      <w:r>
        <w:rPr>
          <w:rFonts w:hint="eastAsia" w:ascii="宋体" w:hAnsi="宋体" w:cs="宋体"/>
          <w:color w:val="auto"/>
          <w:kern w:val="0"/>
          <w:sz w:val="18"/>
          <w:szCs w:val="18"/>
        </w:rPr>
        <w:t xml:space="preserve">              </w:t>
      </w:r>
      <w:r>
        <w:rPr>
          <w:rFonts w:ascii="宋体" w:hAnsi="宋体" w:cs="宋体"/>
          <w:color w:val="auto"/>
          <w:kern w:val="0"/>
          <w:sz w:val="18"/>
          <w:szCs w:val="18"/>
        </w:rPr>
        <w:t>(1</w:t>
      </w:r>
      <w:r>
        <w:rPr>
          <w:rFonts w:hint="eastAsia" w:ascii="宋体" w:hAnsi="宋体" w:cs="宋体"/>
          <w:color w:val="auto"/>
          <w:kern w:val="0"/>
          <w:sz w:val="18"/>
          <w:szCs w:val="18"/>
        </w:rPr>
        <w:t>1</w:t>
      </w:r>
      <w:r>
        <w:rPr>
          <w:rFonts w:ascii="宋体" w:hAnsi="宋体" w:cs="宋体"/>
          <w:color w:val="auto"/>
          <w:kern w:val="0"/>
          <w:sz w:val="18"/>
          <w:szCs w:val="18"/>
        </w:rPr>
        <w:t>)20</w:t>
      </w:r>
      <w:r>
        <w:rPr>
          <w:rFonts w:hint="eastAsia" w:ascii="宋体" w:hAnsi="宋体" w:cs="宋体"/>
          <w:color w:val="auto"/>
          <w:kern w:val="0"/>
          <w:sz w:val="18"/>
          <w:szCs w:val="18"/>
        </w:rPr>
        <w:t>≥</w:t>
      </w:r>
      <w:r>
        <w:rPr>
          <w:rFonts w:ascii="宋体" w:hAnsi="宋体" w:cs="宋体"/>
          <w:color w:val="auto"/>
          <w:kern w:val="0"/>
          <w:sz w:val="18"/>
          <w:szCs w:val="18"/>
        </w:rPr>
        <w:t>21</w:t>
      </w:r>
      <w:r>
        <w:rPr>
          <w:rFonts w:hint="eastAsia" w:ascii="宋体" w:hAnsi="宋体" w:cs="宋体"/>
          <w:color w:val="auto"/>
          <w:kern w:val="0"/>
          <w:sz w:val="18"/>
          <w:szCs w:val="18"/>
        </w:rPr>
        <w:t xml:space="preserve">                    </w:t>
      </w:r>
    </w:p>
    <w:p>
      <w:pPr>
        <w:spacing w:line="300" w:lineRule="exact"/>
        <w:ind w:left="1623" w:leftChars="387" w:hanging="810" w:hangingChars="450"/>
        <w:rPr>
          <w:rFonts w:ascii="宋体" w:hAnsi="宋体" w:cs="宋体"/>
          <w:color w:val="auto"/>
          <w:kern w:val="0"/>
          <w:sz w:val="18"/>
          <w:szCs w:val="18"/>
        </w:rPr>
      </w:pPr>
      <w:r>
        <w:rPr>
          <w:rFonts w:ascii="宋体" w:hAnsi="宋体" w:cs="宋体"/>
          <w:color w:val="auto"/>
          <w:kern w:val="0"/>
          <w:sz w:val="18"/>
          <w:szCs w:val="18"/>
        </w:rPr>
        <w:t>(</w:t>
      </w:r>
      <w:r>
        <w:rPr>
          <w:rFonts w:hint="eastAsia" w:ascii="宋体" w:hAnsi="宋体" w:cs="宋体"/>
          <w:color w:val="auto"/>
          <w:kern w:val="0"/>
          <w:sz w:val="18"/>
          <w:szCs w:val="18"/>
          <w:lang w:val="en-US" w:eastAsia="zh-CN"/>
        </w:rPr>
        <w:t>12</w:t>
      </w:r>
      <w:r>
        <w:rPr>
          <w:rFonts w:ascii="宋体" w:hAnsi="宋体" w:cs="宋体"/>
          <w:color w:val="auto"/>
          <w:kern w:val="0"/>
          <w:sz w:val="18"/>
          <w:szCs w:val="18"/>
        </w:rPr>
        <w:t>)</w:t>
      </w:r>
      <w:r>
        <w:rPr>
          <w:rFonts w:hint="eastAsia" w:ascii="宋体" w:hAnsi="宋体" w:cs="宋体"/>
          <w:color w:val="auto"/>
          <w:kern w:val="0"/>
          <w:sz w:val="18"/>
          <w:szCs w:val="18"/>
        </w:rPr>
        <w:t>若</w:t>
      </w:r>
      <w:r>
        <w:rPr>
          <w:rFonts w:ascii="宋体" w:hAnsi="宋体" w:cs="宋体"/>
          <w:color w:val="auto"/>
          <w:kern w:val="0"/>
          <w:sz w:val="18"/>
          <w:szCs w:val="18"/>
        </w:rPr>
        <w:t>27&gt;0</w:t>
      </w:r>
      <w:r>
        <w:rPr>
          <w:rFonts w:hint="eastAsia" w:ascii="宋体" w:hAnsi="宋体" w:cs="宋体"/>
          <w:color w:val="auto"/>
          <w:kern w:val="0"/>
          <w:sz w:val="18"/>
          <w:szCs w:val="18"/>
        </w:rPr>
        <w:t>，则</w:t>
      </w:r>
      <w:r>
        <w:rPr>
          <w:rFonts w:ascii="宋体" w:hAnsi="宋体" w:cs="宋体"/>
          <w:color w:val="auto"/>
          <w:kern w:val="0"/>
          <w:sz w:val="18"/>
          <w:szCs w:val="18"/>
        </w:rPr>
        <w:t>22&gt;0           (</w:t>
      </w:r>
      <w:r>
        <w:rPr>
          <w:rFonts w:hint="eastAsia" w:ascii="宋体" w:hAnsi="宋体" w:cs="宋体"/>
          <w:color w:val="auto"/>
          <w:kern w:val="0"/>
          <w:sz w:val="18"/>
          <w:szCs w:val="18"/>
          <w:lang w:val="en-US" w:eastAsia="zh-CN"/>
        </w:rPr>
        <w:t>13</w:t>
      </w:r>
      <w:r>
        <w:rPr>
          <w:rFonts w:ascii="宋体" w:hAnsi="宋体" w:cs="宋体"/>
          <w:color w:val="auto"/>
          <w:kern w:val="0"/>
          <w:sz w:val="18"/>
          <w:szCs w:val="18"/>
        </w:rPr>
        <w:t>)29</w:t>
      </w:r>
      <w:r>
        <w:rPr>
          <w:rFonts w:hint="eastAsia" w:ascii="宋体" w:hAnsi="宋体" w:cs="宋体"/>
          <w:color w:val="auto"/>
          <w:kern w:val="0"/>
          <w:sz w:val="18"/>
          <w:szCs w:val="18"/>
        </w:rPr>
        <w:t>≥</w:t>
      </w:r>
      <w:r>
        <w:rPr>
          <w:rFonts w:ascii="宋体" w:hAnsi="宋体" w:cs="宋体"/>
          <w:color w:val="auto"/>
          <w:kern w:val="0"/>
          <w:sz w:val="18"/>
          <w:szCs w:val="18"/>
        </w:rPr>
        <w:t>30       (</w:t>
      </w:r>
      <w:r>
        <w:rPr>
          <w:rFonts w:hint="eastAsia" w:ascii="宋体" w:hAnsi="宋体" w:cs="宋体"/>
          <w:color w:val="auto"/>
          <w:kern w:val="0"/>
          <w:sz w:val="18"/>
          <w:szCs w:val="18"/>
          <w:lang w:val="en-US" w:eastAsia="zh-CN"/>
        </w:rPr>
        <w:t>14</w:t>
      </w:r>
      <w:r>
        <w:rPr>
          <w:rFonts w:ascii="宋体" w:hAnsi="宋体" w:cs="宋体"/>
          <w:color w:val="auto"/>
          <w:kern w:val="0"/>
          <w:sz w:val="18"/>
          <w:szCs w:val="18"/>
        </w:rPr>
        <w:t>)32</w:t>
      </w:r>
      <w:r>
        <w:rPr>
          <w:rFonts w:hint="eastAsia" w:ascii="宋体" w:hAnsi="宋体" w:cs="宋体"/>
          <w:color w:val="auto"/>
          <w:kern w:val="0"/>
          <w:sz w:val="18"/>
          <w:szCs w:val="18"/>
        </w:rPr>
        <w:t>≥</w:t>
      </w:r>
      <w:r>
        <w:rPr>
          <w:rFonts w:ascii="宋体" w:hAnsi="宋体" w:cs="宋体"/>
          <w:color w:val="auto"/>
          <w:kern w:val="0"/>
          <w:sz w:val="18"/>
          <w:szCs w:val="18"/>
        </w:rPr>
        <w:t>33   (</w:t>
      </w:r>
      <w:r>
        <w:rPr>
          <w:rFonts w:hint="eastAsia" w:ascii="宋体" w:hAnsi="宋体" w:cs="宋体"/>
          <w:color w:val="auto"/>
          <w:kern w:val="0"/>
          <w:sz w:val="18"/>
          <w:szCs w:val="18"/>
          <w:lang w:val="en-US" w:eastAsia="zh-CN"/>
        </w:rPr>
        <w:t>15</w:t>
      </w:r>
      <w:r>
        <w:rPr>
          <w:rFonts w:ascii="宋体" w:hAnsi="宋体" w:cs="宋体"/>
          <w:color w:val="auto"/>
          <w:kern w:val="0"/>
          <w:sz w:val="18"/>
          <w:szCs w:val="18"/>
        </w:rPr>
        <w:t>)36</w:t>
      </w:r>
      <w:r>
        <w:rPr>
          <w:rFonts w:hint="eastAsia" w:ascii="宋体" w:hAnsi="宋体" w:cs="宋体"/>
          <w:color w:val="auto"/>
          <w:kern w:val="0"/>
          <w:sz w:val="18"/>
          <w:szCs w:val="18"/>
        </w:rPr>
        <w:t>≥</w:t>
      </w:r>
      <w:r>
        <w:rPr>
          <w:rFonts w:ascii="宋体" w:hAnsi="宋体" w:cs="宋体"/>
          <w:color w:val="auto"/>
          <w:kern w:val="0"/>
          <w:sz w:val="18"/>
          <w:szCs w:val="18"/>
        </w:rPr>
        <w:t>37</w:t>
      </w:r>
      <w:r>
        <w:rPr>
          <w:rFonts w:hint="eastAsia" w:ascii="宋体" w:hAnsi="宋体" w:cs="宋体"/>
          <w:color w:val="auto"/>
          <w:kern w:val="0"/>
          <w:sz w:val="18"/>
          <w:szCs w:val="18"/>
        </w:rPr>
        <w:t xml:space="preserve">  </w:t>
      </w:r>
    </w:p>
    <w:p>
      <w:pPr>
        <w:spacing w:line="300" w:lineRule="exact"/>
        <w:ind w:left="1622" w:leftChars="344" w:hanging="900" w:hangingChars="500"/>
        <w:rPr>
          <w:rFonts w:ascii="宋体" w:hAnsi="宋体" w:cs="宋体"/>
          <w:color w:val="auto"/>
          <w:kern w:val="0"/>
          <w:sz w:val="18"/>
          <w:szCs w:val="18"/>
        </w:rPr>
      </w:pPr>
      <w:r>
        <w:rPr>
          <w:rFonts w:hint="eastAsia" w:ascii="宋体" w:hAnsi="宋体" w:cs="宋体"/>
          <w:color w:val="auto"/>
          <w:kern w:val="0"/>
          <w:sz w:val="18"/>
          <w:szCs w:val="18"/>
        </w:rPr>
        <w:t>表间审核：</w:t>
      </w:r>
    </w:p>
    <w:p>
      <w:pPr>
        <w:spacing w:line="300" w:lineRule="exact"/>
        <w:ind w:left="2" w:leftChars="1" w:firstLine="810" w:firstLineChars="450"/>
        <w:jc w:val="left"/>
        <w:rPr>
          <w:rFonts w:ascii="宋体" w:cs="宋体"/>
          <w:color w:val="auto"/>
          <w:sz w:val="18"/>
          <w:szCs w:val="18"/>
        </w:rPr>
      </w:pPr>
      <w:r>
        <w:rPr>
          <w:rFonts w:hint="eastAsia" w:ascii="宋体" w:cs="宋体"/>
          <w:color w:val="auto"/>
          <w:kern w:val="0"/>
          <w:sz w:val="18"/>
          <w:szCs w:val="18"/>
        </w:rPr>
        <w:t>(</w:t>
      </w:r>
      <w:r>
        <w:rPr>
          <w:rFonts w:ascii="宋体" w:cs="宋体"/>
          <w:color w:val="auto"/>
          <w:kern w:val="0"/>
          <w:sz w:val="18"/>
          <w:szCs w:val="18"/>
        </w:rPr>
        <w:t>1</w:t>
      </w:r>
      <w:r>
        <w:rPr>
          <w:rFonts w:hint="eastAsia" w:ascii="宋体" w:cs="宋体"/>
          <w:color w:val="auto"/>
          <w:kern w:val="0"/>
          <w:sz w:val="18"/>
          <w:szCs w:val="18"/>
        </w:rPr>
        <w:t>)</w:t>
      </w:r>
      <w:r>
        <w:rPr>
          <w:rFonts w:ascii="宋体" w:cs="宋体"/>
          <w:color w:val="auto"/>
          <w:kern w:val="0"/>
          <w:sz w:val="18"/>
          <w:szCs w:val="18"/>
        </w:rPr>
        <w:t>1</w:t>
      </w:r>
      <w:r>
        <w:rPr>
          <w:rFonts w:hint="eastAsia" w:ascii="宋体" w:cs="宋体"/>
          <w:color w:val="auto"/>
          <w:kern w:val="0"/>
          <w:sz w:val="18"/>
          <w:szCs w:val="18"/>
        </w:rPr>
        <w:t>07-2表(1)*12≥</w:t>
      </w:r>
      <w:r>
        <w:rPr>
          <w:rFonts w:ascii="宋体" w:cs="宋体"/>
          <w:color w:val="auto"/>
          <w:kern w:val="0"/>
          <w:sz w:val="18"/>
          <w:szCs w:val="18"/>
        </w:rPr>
        <w:t>1</w:t>
      </w:r>
      <w:r>
        <w:rPr>
          <w:rFonts w:hint="eastAsia" w:ascii="宋体" w:cs="宋体"/>
          <w:color w:val="auto"/>
          <w:kern w:val="0"/>
          <w:sz w:val="18"/>
          <w:szCs w:val="18"/>
        </w:rPr>
        <w:t>07-1表∑(9)</w:t>
      </w:r>
    </w:p>
    <w:p>
      <w:pPr>
        <w:spacing w:line="300" w:lineRule="exact"/>
        <w:ind w:firstLine="810" w:firstLineChars="450"/>
        <w:rPr>
          <w:rFonts w:ascii="宋体" w:hAnsi="宋体" w:cs="宋体"/>
          <w:color w:val="auto"/>
          <w:kern w:val="0"/>
          <w:sz w:val="18"/>
          <w:szCs w:val="18"/>
        </w:rPr>
      </w:pPr>
      <w:r>
        <w:rPr>
          <w:rFonts w:hint="eastAsia" w:ascii="宋体" w:cs="宋体"/>
          <w:color w:val="auto"/>
          <w:kern w:val="0"/>
          <w:sz w:val="18"/>
          <w:szCs w:val="18"/>
        </w:rPr>
        <w:t>(2)</w:t>
      </w:r>
      <w:r>
        <w:rPr>
          <w:rFonts w:ascii="宋体" w:hAnsi="宋体" w:cs="宋体"/>
          <w:color w:val="auto"/>
          <w:kern w:val="0"/>
          <w:sz w:val="18"/>
          <w:szCs w:val="18"/>
        </w:rPr>
        <w:t>1</w:t>
      </w:r>
      <w:r>
        <w:rPr>
          <w:rFonts w:hint="eastAsia" w:ascii="宋体" w:hAnsi="宋体" w:cs="宋体"/>
          <w:color w:val="auto"/>
          <w:kern w:val="0"/>
          <w:sz w:val="18"/>
          <w:szCs w:val="18"/>
        </w:rPr>
        <w:t>07-2表(7)</w:t>
      </w:r>
      <w:r>
        <w:rPr>
          <w:rFonts w:hint="eastAsia" w:ascii="宋体" w:cs="宋体"/>
          <w:color w:val="auto"/>
          <w:kern w:val="0"/>
          <w:sz w:val="18"/>
          <w:szCs w:val="18"/>
        </w:rPr>
        <w:t>≥</w:t>
      </w:r>
      <w:r>
        <w:rPr>
          <w:rFonts w:ascii="宋体" w:hAnsi="宋体" w:cs="宋体"/>
          <w:color w:val="auto"/>
          <w:kern w:val="0"/>
          <w:sz w:val="18"/>
          <w:szCs w:val="18"/>
        </w:rPr>
        <w:t>1</w:t>
      </w:r>
      <w:r>
        <w:rPr>
          <w:rFonts w:hint="eastAsia" w:ascii="宋体" w:hAnsi="宋体" w:cs="宋体"/>
          <w:color w:val="auto"/>
          <w:kern w:val="0"/>
          <w:sz w:val="18"/>
          <w:szCs w:val="18"/>
        </w:rPr>
        <w:t>07-1表∑(</w:t>
      </w:r>
      <w:r>
        <w:rPr>
          <w:rFonts w:ascii="宋体" w:hAnsi="宋体" w:cs="宋体"/>
          <w:color w:val="auto"/>
          <w:kern w:val="0"/>
          <w:sz w:val="18"/>
          <w:szCs w:val="18"/>
        </w:rPr>
        <w:t>10</w:t>
      </w:r>
      <w:r>
        <w:rPr>
          <w:rFonts w:hint="eastAsia" w:ascii="宋体" w:hAnsi="宋体" w:cs="宋体"/>
          <w:color w:val="auto"/>
          <w:kern w:val="0"/>
          <w:sz w:val="18"/>
          <w:szCs w:val="18"/>
        </w:rPr>
        <w:t>)</w:t>
      </w:r>
    </w:p>
    <w:p>
      <w:pPr>
        <w:pStyle w:val="9"/>
        <w:ind w:firstLine="640"/>
        <w:jc w:val="center"/>
        <w:rPr>
          <w:rFonts w:hint="eastAsia" w:ascii="Calibri Light" w:hAnsi="Calibri Light" w:cs="Calibri Light"/>
          <w:sz w:val="32"/>
          <w:szCs w:val="32"/>
        </w:rPr>
      </w:pPr>
    </w:p>
    <w:p>
      <w:pPr>
        <w:pStyle w:val="2"/>
        <w:spacing w:after="0"/>
        <w:ind w:left="0" w:leftChars="0" w:firstLine="0" w:firstLineChars="0"/>
        <w:jc w:val="center"/>
        <w:rPr>
          <w:rFonts w:hint="eastAsia" w:ascii="宋体" w:hAnsi="宋体"/>
          <w:sz w:val="28"/>
          <w:szCs w:val="28"/>
        </w:rPr>
      </w:pPr>
      <w:r>
        <w:rPr>
          <w:rFonts w:hint="eastAsia" w:ascii="Calibri Light" w:hAnsi="Calibri Light" w:cs="Calibri Light"/>
          <w:sz w:val="32"/>
          <w:szCs w:val="32"/>
        </w:rPr>
        <w:br w:type="page"/>
      </w:r>
      <w:r>
        <w:rPr>
          <w:rFonts w:hint="eastAsia" w:ascii="宋体" w:hAnsi="宋体"/>
          <w:sz w:val="28"/>
          <w:szCs w:val="28"/>
        </w:rPr>
        <w:t>信息通信技术应用和数字化转型情况</w:t>
      </w:r>
    </w:p>
    <w:p>
      <w:pPr>
        <w:tabs>
          <w:tab w:val="left" w:pos="264"/>
        </w:tabs>
        <w:snapToGrid w:val="0"/>
        <w:spacing w:line="20" w:lineRule="exact"/>
        <w:rPr>
          <w:rFonts w:hint="eastAsia" w:ascii="宋体" w:hAnsi="宋体" w:eastAsia="宋体" w:cs="宋体"/>
          <w:sz w:val="18"/>
          <w:szCs w:val="18"/>
        </w:rPr>
      </w:pPr>
      <w:r>
        <w:rPr>
          <w:rFonts w:hint="eastAsia" w:ascii="宋体" w:hAnsi="宋体" w:eastAsia="宋体" w:cs="宋体"/>
          <w:b/>
          <w:bCs/>
          <w:sz w:val="30"/>
          <w:szCs w:val="30"/>
        </w:rPr>
        <w:tab/>
      </w:r>
      <w:r>
        <w:rPr>
          <w:rFonts w:hint="eastAsia" w:ascii="宋体" w:hAnsi="宋体" w:eastAsia="宋体" w:cs="宋体"/>
          <w:b/>
          <w:bCs/>
          <w:sz w:val="30"/>
          <w:szCs w:val="30"/>
        </w:rPr>
        <w:t>　</w:t>
      </w:r>
    </w:p>
    <w:tbl>
      <w:tblPr>
        <w:tblStyle w:val="31"/>
        <w:tblW w:w="9614"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02"/>
        <w:gridCol w:w="3150"/>
        <w:gridCol w:w="2223"/>
        <w:gridCol w:w="1591"/>
        <w:gridCol w:w="2248"/>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3552" w:type="dxa"/>
            <w:gridSpan w:val="2"/>
            <w:tcBorders>
              <w:top w:val="nil"/>
              <w:bottom w:val="nil"/>
              <w:right w:val="nil"/>
            </w:tcBorders>
            <w:noWrap w:val="0"/>
            <w:vAlign w:val="top"/>
          </w:tcPr>
          <w:p>
            <w:pPr>
              <w:snapToGrid w:val="0"/>
              <w:spacing w:line="240" w:lineRule="exact"/>
              <w:jc w:val="center"/>
              <w:rPr>
                <w:rFonts w:hint="eastAsia" w:ascii="宋体" w:hAnsi="宋体" w:eastAsia="宋体" w:cs="宋体"/>
                <w:sz w:val="18"/>
                <w:szCs w:val="18"/>
              </w:rPr>
            </w:pPr>
          </w:p>
        </w:tc>
        <w:tc>
          <w:tcPr>
            <w:tcW w:w="2223" w:type="dxa"/>
            <w:tcBorders>
              <w:top w:val="nil"/>
              <w:left w:val="nil"/>
              <w:bottom w:val="nil"/>
              <w:right w:val="nil"/>
            </w:tcBorders>
            <w:noWrap w:val="0"/>
            <w:vAlign w:val="top"/>
          </w:tcPr>
          <w:p>
            <w:pPr>
              <w:snapToGrid w:val="0"/>
              <w:spacing w:line="240" w:lineRule="exact"/>
              <w:jc w:val="center"/>
              <w:rPr>
                <w:rFonts w:hint="eastAsia" w:ascii="宋体" w:hAnsi="宋体" w:eastAsia="宋体" w:cs="宋体"/>
                <w:sz w:val="18"/>
                <w:szCs w:val="18"/>
              </w:rPr>
            </w:pPr>
          </w:p>
        </w:tc>
        <w:tc>
          <w:tcPr>
            <w:tcW w:w="159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63" w:rightChars="-30"/>
              <w:jc w:val="right"/>
              <w:textAlignment w:val="auto"/>
              <w:rPr>
                <w:rFonts w:hint="eastAsia" w:ascii="宋体" w:hAnsi="宋体" w:eastAsia="宋体" w:cs="宋体"/>
                <w:sz w:val="18"/>
                <w:szCs w:val="18"/>
              </w:rPr>
            </w:pPr>
            <w:r>
              <w:rPr>
                <w:rFonts w:hint="eastAsia" w:ascii="宋体" w:hAnsi="宋体" w:eastAsia="宋体" w:cs="宋体"/>
                <w:sz w:val="18"/>
                <w:szCs w:val="18"/>
              </w:rPr>
              <w:t>表    号：</w:t>
            </w:r>
          </w:p>
        </w:tc>
        <w:tc>
          <w:tcPr>
            <w:tcW w:w="2248"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21" w:leftChars="10" w:right="21" w:rightChars="10"/>
              <w:jc w:val="distribute"/>
              <w:textAlignment w:val="auto"/>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09</w:t>
            </w:r>
            <w:r>
              <w:rPr>
                <w:rFonts w:hint="eastAsia" w:ascii="宋体" w:hAnsi="宋体" w:eastAsia="宋体" w:cs="宋体"/>
                <w:sz w:val="18"/>
                <w:szCs w:val="18"/>
              </w:rPr>
              <w:t>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92" w:hRule="atLeast"/>
          <w:jc w:val="center"/>
        </w:trPr>
        <w:tc>
          <w:tcPr>
            <w:tcW w:w="5775" w:type="dxa"/>
            <w:gridSpan w:val="3"/>
            <w:tcBorders>
              <w:top w:val="nil"/>
              <w:bottom w:val="nil"/>
              <w:right w:val="nil"/>
            </w:tcBorders>
            <w:noWrap w:val="0"/>
            <w:vAlign w:val="bottom"/>
          </w:tcPr>
          <w:p>
            <w:pPr>
              <w:snapToGrid w:val="0"/>
              <w:spacing w:line="240" w:lineRule="exact"/>
              <w:rPr>
                <w:rFonts w:hint="eastAsia" w:ascii="宋体" w:hAnsi="宋体" w:eastAsia="宋体" w:cs="宋体"/>
                <w:sz w:val="18"/>
                <w:szCs w:val="18"/>
              </w:rPr>
            </w:pPr>
          </w:p>
        </w:tc>
        <w:tc>
          <w:tcPr>
            <w:tcW w:w="1591"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right="-63" w:rightChars="-30"/>
              <w:jc w:val="right"/>
              <w:textAlignment w:val="auto"/>
              <w:rPr>
                <w:rFonts w:hint="eastAsia" w:ascii="宋体" w:hAnsi="宋体" w:eastAsia="宋体" w:cs="宋体"/>
                <w:sz w:val="18"/>
                <w:szCs w:val="18"/>
              </w:rPr>
            </w:pPr>
            <w:r>
              <w:rPr>
                <w:rFonts w:hint="eastAsia" w:ascii="宋体" w:hAnsi="宋体" w:eastAsia="宋体" w:cs="宋体"/>
                <w:sz w:val="18"/>
                <w:szCs w:val="18"/>
              </w:rPr>
              <w:t>制定机关：</w:t>
            </w:r>
          </w:p>
        </w:tc>
        <w:tc>
          <w:tcPr>
            <w:tcW w:w="2248"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pacing w:line="200" w:lineRule="exact"/>
              <w:ind w:left="21" w:leftChars="10" w:right="21" w:rightChars="10"/>
              <w:jc w:val="distribute"/>
              <w:textAlignment w:val="auto"/>
              <w:rPr>
                <w:rFonts w:hint="eastAsia" w:ascii="宋体" w:hAnsi="宋体" w:eastAsia="宋体" w:cs="宋体"/>
                <w:sz w:val="18"/>
                <w:szCs w:val="18"/>
              </w:rPr>
            </w:pPr>
            <w:r>
              <w:rPr>
                <w:rFonts w:hint="eastAsia" w:ascii="宋体" w:hAnsi="宋体" w:eastAsia="宋体" w:cs="宋体"/>
                <w:sz w:val="18"/>
                <w:szCs w:val="18"/>
              </w:rPr>
              <w:t>国家统计局</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5775" w:type="dxa"/>
            <w:gridSpan w:val="3"/>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left="105" w:leftChars="50"/>
              <w:textAlignment w:val="auto"/>
              <w:rPr>
                <w:rFonts w:hint="eastAsia" w:ascii="宋体" w:hAnsi="宋体" w:eastAsia="宋体" w:cs="宋体"/>
                <w:sz w:val="18"/>
                <w:szCs w:val="18"/>
              </w:rPr>
            </w:pPr>
            <w:r>
              <w:rPr>
                <w:rFonts w:hint="eastAsia" w:ascii="宋体" w:hAnsi="宋体" w:eastAsia="宋体" w:cs="宋体"/>
                <w:kern w:val="0"/>
                <w:sz w:val="18"/>
                <w:szCs w:val="18"/>
              </w:rPr>
              <w:t>统一社会信用代码□□□□□□□□□□□□□□□□□□</w:t>
            </w:r>
          </w:p>
        </w:tc>
        <w:tc>
          <w:tcPr>
            <w:tcW w:w="159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63" w:rightChars="-30"/>
              <w:jc w:val="right"/>
              <w:textAlignment w:val="auto"/>
              <w:rPr>
                <w:rFonts w:hint="eastAsia" w:ascii="宋体" w:hAnsi="宋体" w:eastAsia="宋体" w:cs="宋体"/>
                <w:sz w:val="18"/>
                <w:szCs w:val="18"/>
              </w:rPr>
            </w:pPr>
            <w:r>
              <w:rPr>
                <w:rFonts w:hint="eastAsia" w:ascii="宋体" w:hAnsi="宋体" w:eastAsia="宋体" w:cs="宋体"/>
                <w:sz w:val="18"/>
                <w:szCs w:val="18"/>
              </w:rPr>
              <w:t>文    号：</w:t>
            </w:r>
          </w:p>
        </w:tc>
        <w:tc>
          <w:tcPr>
            <w:tcW w:w="2248"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21" w:leftChars="10" w:right="21" w:rightChars="10"/>
              <w:jc w:val="distribute"/>
              <w:textAlignment w:val="auto"/>
              <w:rPr>
                <w:rFonts w:hint="eastAsia" w:ascii="宋体" w:hAnsi="宋体" w:eastAsia="宋体" w:cs="宋体"/>
                <w:sz w:val="18"/>
                <w:szCs w:val="18"/>
              </w:rPr>
            </w:pPr>
            <w:r>
              <w:rPr>
                <w:rFonts w:ascii="宋体" w:hAnsi="宋体"/>
                <w:sz w:val="18"/>
                <w:szCs w:val="18"/>
              </w:rPr>
              <w:t>国统字</w:t>
            </w:r>
            <w:r>
              <w:rPr>
                <w:rFonts w:hint="eastAsia" w:ascii="宋体" w:hAnsi="宋体"/>
                <w:sz w:val="18"/>
                <w:szCs w:val="18"/>
              </w:rPr>
              <w:t>〔</w:t>
            </w:r>
            <w:r>
              <w:rPr>
                <w:rFonts w:hint="eastAsia" w:ascii="宋体" w:hAnsi="宋体"/>
                <w:sz w:val="18"/>
                <w:szCs w:val="18"/>
                <w:lang w:eastAsia="zh-CN"/>
              </w:rPr>
              <w:t>２０２４</w:t>
            </w:r>
            <w:r>
              <w:rPr>
                <w:rFonts w:hint="eastAsia" w:ascii="宋体" w:hAnsi="宋体"/>
                <w:sz w:val="18"/>
                <w:szCs w:val="18"/>
              </w:rPr>
              <w:t>〕</w:t>
            </w:r>
            <w:r>
              <w:rPr>
                <w:rFonts w:hint="eastAsia" w:ascii="宋体" w:hAnsi="宋体"/>
                <w:sz w:val="18"/>
                <w:szCs w:val="18"/>
                <w:lang w:val="en-US" w:eastAsia="zh-CN"/>
              </w:rPr>
              <w:t xml:space="preserve"> 77 </w:t>
            </w:r>
            <w:r>
              <w:rPr>
                <w:rFonts w:ascii="宋体" w:hAnsi="宋体"/>
                <w:sz w:val="18"/>
                <w:szCs w:val="18"/>
              </w:rPr>
              <w:t>号</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5775" w:type="dxa"/>
            <w:gridSpan w:val="3"/>
            <w:tcBorders>
              <w:top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left="105" w:leftChars="50"/>
              <w:textAlignment w:val="auto"/>
              <w:rPr>
                <w:rFonts w:hint="eastAsia" w:ascii="宋体" w:hAnsi="宋体" w:eastAsia="宋体" w:cs="宋体"/>
                <w:sz w:val="18"/>
                <w:szCs w:val="18"/>
              </w:rPr>
            </w:pPr>
            <w:r>
              <w:rPr>
                <w:rFonts w:hint="eastAsia" w:ascii="宋体" w:hAnsi="宋体" w:eastAsia="宋体" w:cs="宋体"/>
                <w:sz w:val="18"/>
                <w:szCs w:val="18"/>
              </w:rPr>
              <w:t xml:space="preserve">单位详细名称：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pacing w:val="90"/>
                <w:kern w:val="0"/>
                <w:sz w:val="18"/>
                <w:szCs w:val="18"/>
                <w:fitText w:val="450" w:id="-1074282596"/>
                <w:lang w:val="en-US" w:eastAsia="zh-CN"/>
              </w:rPr>
              <w:t>20</w:t>
            </w:r>
            <w:r>
              <w:rPr>
                <w:rFonts w:hint="eastAsia" w:ascii="宋体" w:hAnsi="宋体" w:cs="宋体"/>
                <w:spacing w:val="0"/>
                <w:kern w:val="0"/>
                <w:sz w:val="18"/>
                <w:szCs w:val="18"/>
                <w:fitText w:val="450" w:id="-1074282596"/>
                <w:lang w:val="en-US" w:eastAsia="zh-CN"/>
              </w:rPr>
              <w:t xml:space="preserve"> </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sz w:val="18"/>
                <w:szCs w:val="18"/>
              </w:rPr>
              <w:t>年</w:t>
            </w:r>
          </w:p>
        </w:tc>
        <w:tc>
          <w:tcPr>
            <w:tcW w:w="1591" w:type="dxa"/>
            <w:tcBorders>
              <w:top w:val="nil"/>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63" w:rightChars="-30"/>
              <w:jc w:val="right"/>
              <w:textAlignment w:val="auto"/>
              <w:rPr>
                <w:rFonts w:hint="eastAsia" w:ascii="宋体" w:hAnsi="宋体" w:eastAsia="宋体" w:cs="宋体"/>
                <w:sz w:val="18"/>
                <w:szCs w:val="18"/>
              </w:rPr>
            </w:pPr>
            <w:r>
              <w:rPr>
                <w:rFonts w:hint="eastAsia" w:ascii="宋体" w:hAnsi="宋体" w:eastAsia="宋体" w:cs="宋体"/>
                <w:sz w:val="18"/>
                <w:szCs w:val="18"/>
              </w:rPr>
              <w:t>有效期至：</w:t>
            </w:r>
          </w:p>
        </w:tc>
        <w:tc>
          <w:tcPr>
            <w:tcW w:w="2248"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21" w:leftChars="10" w:right="21" w:rightChars="10"/>
              <w:jc w:val="distribute"/>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202</w:t>
            </w:r>
            <w:r>
              <w:rPr>
                <w:rFonts w:hint="eastAsia" w:ascii="宋体" w:hAnsi="宋体" w:cs="宋体"/>
                <w:sz w:val="18"/>
                <w:szCs w:val="18"/>
                <w:lang w:val="en-US" w:eastAsia="zh-CN"/>
              </w:rPr>
              <w:t>5</w:t>
            </w:r>
            <w:r>
              <w:rPr>
                <w:rFonts w:hint="eastAsia" w:ascii="宋体" w:hAnsi="宋体" w:eastAsia="宋体" w:cs="宋体"/>
                <w:sz w:val="18"/>
                <w:szCs w:val="18"/>
              </w:rPr>
              <w:t>年</w:t>
            </w:r>
            <w:r>
              <w:rPr>
                <w:rFonts w:hint="eastAsia" w:ascii="宋体" w:hAnsi="宋体" w:cs="宋体"/>
                <w:sz w:val="18"/>
                <w:szCs w:val="18"/>
                <w:lang w:val="en-US" w:eastAsia="zh-CN"/>
              </w:rPr>
              <w:t>6</w:t>
            </w:r>
            <w:r>
              <w:rPr>
                <w:rFonts w:hint="eastAsia" w:ascii="宋体" w:hAnsi="宋体" w:eastAsia="宋体" w:cs="宋体"/>
                <w:sz w:val="18"/>
                <w:szCs w:val="18"/>
              </w:rPr>
              <w:t>月</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48" w:hRule="atLeast"/>
          <w:jc w:val="center"/>
        </w:trPr>
        <w:tc>
          <w:tcPr>
            <w:tcW w:w="402" w:type="dxa"/>
            <w:tcBorders>
              <w:top w:val="single" w:color="auto" w:sz="8" w:space="0"/>
            </w:tcBorders>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01</w:t>
            </w:r>
          </w:p>
        </w:tc>
        <w:tc>
          <w:tcPr>
            <w:tcW w:w="9212" w:type="dxa"/>
            <w:gridSpan w:val="4"/>
            <w:tcBorders>
              <w:top w:val="single" w:color="auto" w:sz="8" w:space="0"/>
            </w:tcBorders>
            <w:noWrap w:val="0"/>
            <w:vAlign w:val="center"/>
          </w:tcPr>
          <w:p>
            <w:pPr>
              <w:snapToGrid w:val="0"/>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lang w:eastAsia="zh-CN"/>
              </w:rPr>
              <w:t>年末</w:t>
            </w:r>
            <w:r>
              <w:rPr>
                <w:rFonts w:hint="eastAsia" w:ascii="宋体" w:hAnsi="宋体" w:eastAsia="宋体" w:cs="宋体"/>
                <w:sz w:val="18"/>
                <w:szCs w:val="18"/>
              </w:rPr>
              <w:t>贵企业使用的计算机</w:t>
            </w:r>
            <w:r>
              <w:rPr>
                <w:rFonts w:hint="default" w:ascii="宋体" w:hAnsi="宋体" w:eastAsia="宋体" w:cs="宋体"/>
                <w:sz w:val="18"/>
                <w:szCs w:val="18"/>
                <w:u w:val="single"/>
                <w:lang w:val="en"/>
              </w:rPr>
              <w:t xml:space="preserve">            </w:t>
            </w:r>
            <w:r>
              <w:rPr>
                <w:rFonts w:hint="eastAsia" w:ascii="宋体" w:hAnsi="宋体" w:eastAsia="宋体" w:cs="宋体"/>
                <w:sz w:val="18"/>
                <w:szCs w:val="18"/>
              </w:rPr>
              <w:t>台。</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19"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02</w:t>
            </w:r>
          </w:p>
        </w:tc>
        <w:tc>
          <w:tcPr>
            <w:tcW w:w="9212" w:type="dxa"/>
            <w:gridSpan w:val="4"/>
            <w:noWrap w:val="0"/>
            <w:vAlign w:val="center"/>
          </w:tcPr>
          <w:p>
            <w:pPr>
              <w:snapToGrid w:val="0"/>
              <w:spacing w:line="240" w:lineRule="exact"/>
              <w:ind w:firstLine="90" w:firstLineChars="50"/>
              <w:rPr>
                <w:rFonts w:hint="eastAsia" w:ascii="宋体" w:hAnsi="宋体" w:eastAsia="宋体" w:cs="宋体"/>
                <w:color w:val="000000"/>
                <w:sz w:val="18"/>
                <w:szCs w:val="18"/>
                <w:highlight w:val="none"/>
                <w:lang w:val="en-US" w:eastAsia="zh-CN"/>
              </w:rPr>
            </w:pPr>
            <w:r>
              <w:rPr>
                <w:rFonts w:hint="eastAsia" w:ascii="宋体" w:hAnsi="宋体" w:eastAsia="宋体" w:cs="宋体"/>
                <w:sz w:val="18"/>
                <w:szCs w:val="18"/>
                <w:highlight w:val="none"/>
              </w:rPr>
              <w:t>贵企业信息技术</w:t>
            </w:r>
            <w:r>
              <w:rPr>
                <w:rFonts w:hint="eastAsia" w:ascii="宋体" w:hAnsi="宋体" w:eastAsia="宋体" w:cs="宋体"/>
                <w:sz w:val="18"/>
                <w:szCs w:val="18"/>
                <w:highlight w:val="none"/>
                <w:lang w:eastAsia="zh-CN"/>
              </w:rPr>
              <w:t>人员平均人数</w:t>
            </w:r>
            <w:r>
              <w:rPr>
                <w:rFonts w:hint="default" w:ascii="宋体" w:hAnsi="宋体" w:eastAsia="宋体" w:cs="宋体"/>
                <w:sz w:val="18"/>
                <w:szCs w:val="18"/>
                <w:highlight w:val="none"/>
                <w:u w:val="single"/>
                <w:lang w:val="en"/>
              </w:rPr>
              <w:t xml:space="preserve">            </w:t>
            </w:r>
            <w:r>
              <w:rPr>
                <w:rFonts w:hint="eastAsia" w:ascii="宋体" w:hAnsi="宋体" w:eastAsia="宋体" w:cs="宋体"/>
                <w:sz w:val="18"/>
                <w:szCs w:val="18"/>
                <w:highlight w:val="none"/>
              </w:rPr>
              <w:t>人，上年</w:t>
            </w:r>
            <w:r>
              <w:rPr>
                <w:rFonts w:hint="default" w:ascii="宋体" w:hAnsi="宋体" w:eastAsia="宋体" w:cs="宋体"/>
                <w:sz w:val="18"/>
                <w:szCs w:val="18"/>
                <w:highlight w:val="none"/>
                <w:u w:val="single"/>
                <w:lang w:val="en"/>
              </w:rPr>
              <w:t xml:space="preserve">            </w:t>
            </w:r>
            <w:r>
              <w:rPr>
                <w:rFonts w:hint="eastAsia" w:ascii="宋体" w:hAnsi="宋体" w:eastAsia="宋体" w:cs="宋体"/>
                <w:sz w:val="18"/>
                <w:szCs w:val="18"/>
                <w:highlight w:val="none"/>
              </w:rPr>
              <w:t>人</w:t>
            </w:r>
            <w:r>
              <w:rPr>
                <w:rFonts w:hint="eastAsia" w:ascii="宋体" w:hAnsi="宋体" w:cs="宋体"/>
                <w:sz w:val="18"/>
                <w:szCs w:val="18"/>
                <w:highlight w:val="none"/>
                <w:lang w:eastAsia="zh-CN"/>
              </w:rPr>
              <w:t>。</w:t>
            </w:r>
            <w:r>
              <w:rPr>
                <w:rFonts w:hint="eastAsia" w:ascii="宋体" w:hAnsi="宋体" w:eastAsia="宋体" w:cs="宋体"/>
                <w:sz w:val="18"/>
                <w:szCs w:val="18"/>
                <w:highlight w:val="none"/>
                <w:lang w:eastAsia="zh-CN"/>
              </w:rPr>
              <w:t>其中，</w:t>
            </w:r>
            <w:r>
              <w:rPr>
                <w:rFonts w:hint="eastAsia" w:ascii="宋体" w:hAnsi="宋体" w:cs="宋体"/>
                <w:color w:val="000000"/>
                <w:sz w:val="18"/>
                <w:szCs w:val="18"/>
                <w:highlight w:val="none"/>
                <w:lang w:val="en-US" w:eastAsia="zh-CN"/>
              </w:rPr>
              <w:t>从事</w:t>
            </w:r>
            <w:r>
              <w:rPr>
                <w:rFonts w:hint="eastAsia" w:ascii="宋体" w:hAnsi="宋体" w:eastAsia="宋体" w:cs="宋体"/>
                <w:color w:val="000000"/>
                <w:sz w:val="18"/>
                <w:szCs w:val="18"/>
                <w:highlight w:val="none"/>
                <w:lang w:val="en-US" w:eastAsia="zh-CN"/>
              </w:rPr>
              <w:t>数据</w:t>
            </w:r>
            <w:r>
              <w:rPr>
                <w:rFonts w:hint="eastAsia" w:ascii="宋体" w:hAnsi="宋体" w:cs="宋体"/>
                <w:color w:val="000000"/>
                <w:sz w:val="18"/>
                <w:szCs w:val="18"/>
                <w:highlight w:val="none"/>
                <w:lang w:val="en-US" w:eastAsia="zh-CN"/>
              </w:rPr>
              <w:t>相关业务</w:t>
            </w:r>
            <w:r>
              <w:rPr>
                <w:rFonts w:hint="eastAsia" w:ascii="宋体" w:hAnsi="宋体" w:eastAsia="宋体" w:cs="宋体"/>
                <w:color w:val="000000"/>
                <w:sz w:val="18"/>
                <w:szCs w:val="18"/>
                <w:highlight w:val="none"/>
                <w:lang w:val="en-US" w:eastAsia="zh-CN"/>
              </w:rPr>
              <w:t>的人员</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lang w:val="en-US" w:eastAsia="zh-CN"/>
              </w:rPr>
              <w:t>人，</w:t>
            </w:r>
          </w:p>
          <w:p>
            <w:pPr>
              <w:snapToGrid w:val="0"/>
              <w:spacing w:line="240" w:lineRule="exact"/>
              <w:ind w:firstLine="90" w:firstLineChars="50"/>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上年同期</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lang w:val="en-US" w:eastAsia="zh-CN"/>
              </w:rPr>
              <w:t>人</w:t>
            </w:r>
            <w:r>
              <w:rPr>
                <w:rFonts w:hint="eastAsia" w:ascii="宋体" w:hAnsi="宋体" w:eastAsia="宋体" w:cs="宋体"/>
                <w:sz w:val="18"/>
                <w:szCs w:val="18"/>
                <w:highlight w:val="none"/>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57"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lang w:val="en"/>
              </w:rPr>
            </w:pPr>
            <w:r>
              <w:rPr>
                <w:rFonts w:hint="eastAsia" w:ascii="宋体" w:hAnsi="宋体" w:eastAsia="宋体" w:cs="宋体"/>
                <w:b/>
                <w:bCs/>
                <w:sz w:val="18"/>
                <w:szCs w:val="18"/>
              </w:rPr>
              <w:t>03</w:t>
            </w:r>
          </w:p>
        </w:tc>
        <w:tc>
          <w:tcPr>
            <w:tcW w:w="9212" w:type="dxa"/>
            <w:gridSpan w:val="4"/>
            <w:noWrap w:val="0"/>
            <w:vAlign w:val="center"/>
          </w:tcPr>
          <w:p>
            <w:pPr>
              <w:tabs>
                <w:tab w:val="left" w:pos="720"/>
              </w:tabs>
              <w:autoSpaceDE w:val="0"/>
              <w:autoSpaceDN w:val="0"/>
              <w:adjustRightInd w:val="0"/>
              <w:snapToGrid w:val="0"/>
              <w:spacing w:line="240" w:lineRule="exact"/>
              <w:ind w:firstLine="90" w:firstLineChars="50"/>
              <w:rPr>
                <w:rFonts w:hint="eastAsia" w:ascii="宋体" w:hAnsi="宋体" w:eastAsia="宋体" w:cs="宋体"/>
                <w:color w:val="000000"/>
                <w:sz w:val="18"/>
                <w:szCs w:val="18"/>
                <w:highlight w:val="none"/>
                <w:lang w:val="en-US" w:eastAsia="zh-CN"/>
              </w:rPr>
            </w:pPr>
            <w:r>
              <w:rPr>
                <w:rFonts w:hint="eastAsia" w:ascii="宋体" w:hAnsi="宋体" w:eastAsia="宋体" w:cs="宋体"/>
                <w:sz w:val="18"/>
                <w:szCs w:val="18"/>
                <w:highlight w:val="none"/>
              </w:rPr>
              <w:t>贵企业全年信息化投入</w:t>
            </w:r>
            <w:r>
              <w:rPr>
                <w:rFonts w:hint="default" w:ascii="宋体" w:hAnsi="宋体" w:eastAsia="宋体" w:cs="宋体"/>
                <w:sz w:val="18"/>
                <w:szCs w:val="18"/>
                <w:highlight w:val="none"/>
                <w:u w:val="single"/>
                <w:lang w:val="en"/>
              </w:rPr>
              <w:t xml:space="preserve">            </w:t>
            </w:r>
            <w:r>
              <w:rPr>
                <w:rFonts w:hint="eastAsia" w:ascii="宋体" w:hAnsi="宋体" w:eastAsia="宋体" w:cs="宋体"/>
                <w:sz w:val="18"/>
                <w:szCs w:val="18"/>
                <w:highlight w:val="none"/>
              </w:rPr>
              <w:t>千元，上年</w:t>
            </w:r>
            <w:r>
              <w:rPr>
                <w:rFonts w:hint="default" w:ascii="宋体" w:hAnsi="宋体" w:eastAsia="宋体" w:cs="宋体"/>
                <w:sz w:val="18"/>
                <w:szCs w:val="18"/>
                <w:highlight w:val="none"/>
                <w:u w:val="single"/>
                <w:lang w:val="en"/>
              </w:rPr>
              <w:t xml:space="preserve">            </w:t>
            </w:r>
            <w:r>
              <w:rPr>
                <w:rFonts w:hint="eastAsia" w:ascii="宋体" w:hAnsi="宋体" w:eastAsia="宋体" w:cs="宋体"/>
                <w:sz w:val="18"/>
                <w:szCs w:val="18"/>
                <w:highlight w:val="none"/>
              </w:rPr>
              <w:t>千元。</w:t>
            </w:r>
            <w:r>
              <w:rPr>
                <w:rFonts w:hint="eastAsia" w:ascii="宋体" w:hAnsi="宋体" w:eastAsia="宋体" w:cs="宋体"/>
                <w:sz w:val="18"/>
                <w:szCs w:val="18"/>
                <w:highlight w:val="none"/>
                <w:lang w:eastAsia="zh-CN"/>
              </w:rPr>
              <w:t>其中，</w:t>
            </w:r>
            <w:r>
              <w:rPr>
                <w:rFonts w:hint="eastAsia" w:ascii="宋体" w:hAnsi="宋体" w:eastAsia="宋体" w:cs="宋体"/>
                <w:color w:val="000000"/>
                <w:sz w:val="18"/>
                <w:szCs w:val="18"/>
                <w:highlight w:val="none"/>
                <w:lang w:val="en-US" w:eastAsia="zh-CN"/>
              </w:rPr>
              <w:t>用于数据库运营和维护的</w:t>
            </w:r>
            <w:r>
              <w:rPr>
                <w:rFonts w:hint="eastAsia" w:ascii="宋体" w:hAnsi="宋体" w:cs="宋体"/>
                <w:color w:val="000000"/>
                <w:sz w:val="18"/>
                <w:szCs w:val="18"/>
                <w:highlight w:val="none"/>
                <w:lang w:val="en-US" w:eastAsia="zh-CN"/>
              </w:rPr>
              <w:t>费用</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u w:val="none"/>
                <w:lang w:eastAsia="zh-CN"/>
              </w:rPr>
              <w:t>千</w:t>
            </w:r>
            <w:r>
              <w:rPr>
                <w:rFonts w:hint="eastAsia" w:ascii="宋体" w:hAnsi="宋体" w:cs="宋体"/>
                <w:color w:val="000000"/>
                <w:sz w:val="18"/>
                <w:szCs w:val="18"/>
                <w:highlight w:val="none"/>
                <w:u w:val="none"/>
                <w:lang w:eastAsia="zh-CN"/>
              </w:rPr>
              <w:t>元</w:t>
            </w:r>
            <w:r>
              <w:rPr>
                <w:rFonts w:hint="eastAsia" w:ascii="宋体" w:hAnsi="宋体" w:eastAsia="宋体" w:cs="宋体"/>
                <w:color w:val="000000"/>
                <w:sz w:val="18"/>
                <w:szCs w:val="18"/>
                <w:highlight w:val="none"/>
                <w:lang w:val="en-US" w:eastAsia="zh-CN"/>
              </w:rPr>
              <w:t xml:space="preserve">， </w:t>
            </w:r>
          </w:p>
          <w:p>
            <w:pPr>
              <w:tabs>
                <w:tab w:val="left" w:pos="720"/>
              </w:tabs>
              <w:autoSpaceDE w:val="0"/>
              <w:autoSpaceDN w:val="0"/>
              <w:adjustRightInd w:val="0"/>
              <w:snapToGrid w:val="0"/>
              <w:spacing w:line="240" w:lineRule="exact"/>
              <w:ind w:firstLine="90" w:firstLineChars="50"/>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上年同期</w:t>
            </w:r>
            <w:r>
              <w:rPr>
                <w:rFonts w:hint="eastAsia" w:ascii="宋体" w:hAnsi="宋体" w:eastAsia="宋体" w:cs="宋体"/>
                <w:color w:val="000000"/>
                <w:sz w:val="18"/>
                <w:szCs w:val="18"/>
                <w:highlight w:val="none"/>
                <w:u w:val="single"/>
              </w:rPr>
              <w:t xml:space="preserve">     </w:t>
            </w:r>
            <w:r>
              <w:rPr>
                <w:rFonts w:hint="eastAsia" w:ascii="宋体" w:hAnsi="宋体" w:eastAsia="宋体" w:cs="宋体"/>
                <w:color w:val="000000"/>
                <w:sz w:val="18"/>
                <w:szCs w:val="18"/>
                <w:highlight w:val="none"/>
                <w:u w:val="none"/>
              </w:rPr>
              <w:t>千</w:t>
            </w:r>
            <w:r>
              <w:rPr>
                <w:rFonts w:hint="eastAsia" w:ascii="宋体" w:hAnsi="宋体" w:eastAsia="宋体" w:cs="宋体"/>
                <w:color w:val="000000"/>
                <w:sz w:val="18"/>
                <w:szCs w:val="18"/>
                <w:highlight w:val="none"/>
                <w:lang w:val="en-US" w:eastAsia="zh-CN"/>
              </w:rPr>
              <w:t>元</w:t>
            </w:r>
            <w:r>
              <w:rPr>
                <w:rFonts w:hint="eastAsia" w:ascii="宋体" w:hAnsi="宋体" w:cs="宋体"/>
                <w:color w:val="000000"/>
                <w:sz w:val="18"/>
                <w:szCs w:val="18"/>
                <w:highlight w:val="none"/>
                <w:lang w:val="en-US" w:eastAsia="zh-CN"/>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749"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lang w:val="en"/>
              </w:rPr>
            </w:pPr>
            <w:r>
              <w:rPr>
                <w:rFonts w:hint="eastAsia" w:ascii="宋体" w:hAnsi="宋体" w:eastAsia="宋体" w:cs="宋体"/>
                <w:b/>
                <w:bCs/>
                <w:sz w:val="18"/>
                <w:szCs w:val="18"/>
              </w:rPr>
              <w:t>04</w:t>
            </w:r>
          </w:p>
        </w:tc>
        <w:tc>
          <w:tcPr>
            <w:tcW w:w="9212" w:type="dxa"/>
            <w:gridSpan w:val="4"/>
            <w:noWrap w:val="0"/>
            <w:vAlign w:val="center"/>
          </w:tcPr>
          <w:p>
            <w:pPr>
              <w:tabs>
                <w:tab w:val="left" w:pos="720"/>
              </w:tabs>
              <w:autoSpaceDE w:val="0"/>
              <w:autoSpaceDN w:val="0"/>
              <w:adjustRightInd w:val="0"/>
              <w:snapToGrid w:val="0"/>
              <w:spacing w:line="240" w:lineRule="exact"/>
              <w:ind w:right="18" w:firstLine="90" w:firstLineChars="50"/>
              <w:jc w:val="left"/>
              <w:rPr>
                <w:rFonts w:hint="eastAsia" w:ascii="宋体" w:hAnsi="宋体" w:eastAsia="宋体" w:cs="宋体"/>
                <w:sz w:val="18"/>
                <w:szCs w:val="18"/>
                <w:lang w:eastAsia="zh-CN"/>
              </w:rPr>
            </w:pPr>
            <w:r>
              <w:rPr>
                <w:rFonts w:hint="eastAsia" w:ascii="宋体" w:hAnsi="宋体" w:eastAsia="宋体" w:cs="宋体"/>
                <w:sz w:val="18"/>
                <w:szCs w:val="18"/>
              </w:rPr>
              <w:t>贵企业在以下哪些方面采用了信息化管理</w:t>
            </w:r>
            <w:r>
              <w:rPr>
                <w:rFonts w:hint="eastAsia" w:ascii="宋体" w:hAnsi="宋体" w:eastAsia="宋体" w:cs="宋体"/>
                <w:sz w:val="18"/>
                <w:szCs w:val="18"/>
                <w:lang w:eastAsia="zh-CN"/>
              </w:rPr>
              <w:t>（可多选）？</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1 财务管理      □   2 购销存管理    □   3 生产制造管理 □      4 物流配送管理     </w:t>
            </w:r>
            <w:r>
              <w:rPr>
                <w:rFonts w:hint="eastAsia" w:ascii="宋体" w:hAnsi="宋体" w:eastAsia="宋体" w:cs="宋体"/>
                <w:w w:val="80"/>
                <w:sz w:val="18"/>
                <w:szCs w:val="18"/>
              </w:rPr>
              <w:t xml:space="preserve">  </w:t>
            </w:r>
            <w:r>
              <w:rPr>
                <w:rFonts w:hint="eastAsia" w:ascii="宋体" w:hAnsi="宋体" w:eastAsia="宋体" w:cs="宋体"/>
                <w:sz w:val="18"/>
                <w:szCs w:val="18"/>
              </w:rPr>
              <w:t xml:space="preserve"> □ </w:t>
            </w:r>
          </w:p>
          <w:p>
            <w:pPr>
              <w:snapToGrid w:val="0"/>
              <w:spacing w:line="240" w:lineRule="exact"/>
              <w:rPr>
                <w:rFonts w:hint="eastAsia" w:ascii="宋体" w:hAnsi="宋体" w:eastAsia="宋体" w:cs="宋体"/>
                <w:sz w:val="18"/>
                <w:szCs w:val="18"/>
                <w:lang w:val="en"/>
              </w:rPr>
            </w:pPr>
            <w:r>
              <w:rPr>
                <w:rFonts w:hint="eastAsia" w:ascii="宋体" w:hAnsi="宋体" w:eastAsia="宋体" w:cs="宋体"/>
                <w:sz w:val="18"/>
                <w:szCs w:val="18"/>
              </w:rPr>
              <w:t xml:space="preserve">  5 客户关系管理  □   6 人力资源管理  □   7 产品研发管理 □      8 </w:t>
            </w:r>
            <w:r>
              <w:rPr>
                <w:rFonts w:hint="eastAsia" w:ascii="宋体" w:hAnsi="宋体" w:eastAsia="宋体" w:cs="宋体"/>
                <w:sz w:val="18"/>
                <w:szCs w:val="18"/>
                <w:lang w:val="en"/>
              </w:rPr>
              <w:t>企业资源规划（ERP）</w:t>
            </w:r>
            <w:r>
              <w:rPr>
                <w:rFonts w:hint="eastAsia" w:ascii="宋体" w:hAnsi="宋体" w:eastAsia="宋体" w:cs="宋体"/>
                <w:sz w:val="18"/>
                <w:szCs w:val="18"/>
              </w:rPr>
              <w:t>□</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lang w:val="en"/>
              </w:rPr>
              <w:t xml:space="preserve">  9 </w:t>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
              </w:rPr>
              <w:t xml:space="preserve"> </w:t>
            </w:r>
            <w:r>
              <w:rPr>
                <w:rFonts w:hint="eastAsia" w:ascii="宋体" w:hAnsi="宋体" w:eastAsia="宋体" w:cs="宋体"/>
                <w:sz w:val="18"/>
                <w:szCs w:val="18"/>
              </w:rPr>
              <w:t>□</w:t>
            </w:r>
            <w:r>
              <w:rPr>
                <w:rFonts w:hint="eastAsia" w:ascii="宋体" w:hAnsi="宋体" w:eastAsia="宋体" w:cs="宋体"/>
                <w:sz w:val="18"/>
                <w:szCs w:val="18"/>
                <w:lang w:val="en"/>
              </w:rPr>
              <w:t xml:space="preserve">   10</w:t>
            </w:r>
            <w:r>
              <w:rPr>
                <w:rFonts w:hint="eastAsia" w:ascii="宋体" w:hAnsi="宋体" w:eastAsia="宋体" w:cs="宋体"/>
                <w:sz w:val="18"/>
                <w:szCs w:val="18"/>
              </w:rPr>
              <w:t xml:space="preserve">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85"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05</w:t>
            </w:r>
          </w:p>
        </w:tc>
        <w:tc>
          <w:tcPr>
            <w:tcW w:w="9212" w:type="dxa"/>
            <w:gridSpan w:val="4"/>
            <w:noWrap w:val="0"/>
            <w:vAlign w:val="center"/>
          </w:tcPr>
          <w:p>
            <w:pPr>
              <w:snapToGrid w:val="0"/>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贵企业</w:t>
            </w:r>
            <w:r>
              <w:rPr>
                <w:rFonts w:hint="eastAsia" w:ascii="宋体" w:hAnsi="宋体" w:eastAsia="宋体" w:cs="宋体"/>
                <w:sz w:val="18"/>
                <w:szCs w:val="18"/>
                <w:lang w:eastAsia="zh-CN"/>
              </w:rPr>
              <w:t>年末</w:t>
            </w:r>
            <w:r>
              <w:rPr>
                <w:rFonts w:hint="eastAsia" w:ascii="宋体" w:hAnsi="宋体" w:eastAsia="宋体" w:cs="宋体"/>
                <w:sz w:val="18"/>
                <w:szCs w:val="18"/>
              </w:rPr>
              <w:t>拥有的网站数量</w:t>
            </w:r>
            <w:r>
              <w:rPr>
                <w:rFonts w:hint="default" w:ascii="宋体" w:hAnsi="宋体" w:eastAsia="宋体" w:cs="宋体"/>
                <w:sz w:val="18"/>
                <w:szCs w:val="18"/>
                <w:u w:val="single"/>
                <w:lang w:val="en"/>
              </w:rPr>
              <w:t xml:space="preserve">            </w:t>
            </w:r>
            <w:r>
              <w:rPr>
                <w:rFonts w:hint="eastAsia" w:ascii="宋体" w:hAnsi="宋体" w:eastAsia="宋体" w:cs="宋体"/>
                <w:sz w:val="18"/>
                <w:szCs w:val="18"/>
              </w:rPr>
              <w:t>个。</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044"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06</w:t>
            </w:r>
          </w:p>
        </w:tc>
        <w:tc>
          <w:tcPr>
            <w:tcW w:w="9212" w:type="dxa"/>
            <w:gridSpan w:val="4"/>
            <w:noWrap w:val="0"/>
            <w:vAlign w:val="center"/>
          </w:tcPr>
          <w:p>
            <w:pPr>
              <w:snapToGrid w:val="0"/>
              <w:spacing w:line="240" w:lineRule="exact"/>
              <w:ind w:firstLine="90" w:firstLineChars="50"/>
              <w:rPr>
                <w:rFonts w:hint="eastAsia" w:ascii="宋体" w:hAnsi="宋体" w:eastAsia="宋体" w:cs="宋体"/>
                <w:snapToGrid w:val="0"/>
                <w:kern w:val="0"/>
                <w:sz w:val="18"/>
                <w:szCs w:val="18"/>
                <w:lang w:val="en"/>
              </w:rPr>
            </w:pPr>
            <w:r>
              <w:rPr>
                <w:rFonts w:hint="eastAsia" w:ascii="宋体" w:hAnsi="宋体" w:eastAsia="宋体" w:cs="宋体"/>
                <w:snapToGrid w:val="0"/>
                <w:kern w:val="0"/>
                <w:sz w:val="18"/>
                <w:szCs w:val="18"/>
                <w:lang w:val="en"/>
              </w:rPr>
              <w:t>贵企业网站的用途（可多选）？</w:t>
            </w:r>
          </w:p>
          <w:p>
            <w:pPr>
              <w:snapToGrid w:val="0"/>
              <w:spacing w:line="240" w:lineRule="exact"/>
              <w:ind w:firstLine="180" w:firstLineChars="100"/>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1对公司产品和服务进行描述，展示价格信息            □   2</w:t>
            </w:r>
            <w:r>
              <w:rPr>
                <w:rFonts w:hint="eastAsia" w:ascii="宋体" w:hAnsi="宋体" w:eastAsia="宋体" w:cs="宋体"/>
                <w:snapToGrid w:val="0"/>
                <w:kern w:val="0"/>
                <w:sz w:val="18"/>
                <w:szCs w:val="18"/>
                <w:lang w:val="en"/>
              </w:rPr>
              <w:t>在线下单、预</w:t>
            </w:r>
            <w:r>
              <w:rPr>
                <w:rFonts w:hint="eastAsia" w:ascii="宋体" w:hAnsi="宋体" w:eastAsia="宋体" w:cs="宋体"/>
                <w:snapToGrid w:val="0"/>
                <w:kern w:val="0"/>
                <w:sz w:val="18"/>
                <w:szCs w:val="18"/>
                <w:lang w:val="en" w:eastAsia="zh-CN"/>
              </w:rPr>
              <w:t>订</w:t>
            </w:r>
            <w:r>
              <w:rPr>
                <w:rFonts w:hint="eastAsia" w:ascii="宋体" w:hAnsi="宋体" w:eastAsia="宋体" w:cs="宋体"/>
                <w:snapToGrid w:val="0"/>
                <w:kern w:val="0"/>
                <w:sz w:val="18"/>
                <w:szCs w:val="18"/>
                <w:lang w:val="en"/>
              </w:rPr>
              <w:t>、预约，如购物车</w:t>
            </w:r>
            <w:r>
              <w:rPr>
                <w:rFonts w:hint="eastAsia" w:ascii="宋体" w:hAnsi="宋体" w:eastAsia="宋体" w:cs="宋体"/>
                <w:snapToGrid w:val="0"/>
                <w:kern w:val="0"/>
                <w:sz w:val="18"/>
                <w:szCs w:val="18"/>
              </w:rPr>
              <w:t xml:space="preserve">     □</w:t>
            </w:r>
          </w:p>
          <w:p>
            <w:pPr>
              <w:snapToGrid w:val="0"/>
              <w:spacing w:line="240" w:lineRule="exact"/>
              <w:ind w:firstLine="180" w:firstLineChars="100"/>
              <w:rPr>
                <w:rFonts w:hint="eastAsia" w:ascii="宋体" w:hAnsi="宋体" w:eastAsia="宋体" w:cs="宋体"/>
                <w:snapToGrid w:val="0"/>
                <w:kern w:val="0"/>
                <w:sz w:val="18"/>
                <w:szCs w:val="18"/>
                <w:lang w:val="en"/>
              </w:rPr>
            </w:pPr>
            <w:r>
              <w:rPr>
                <w:rFonts w:hint="eastAsia" w:ascii="宋体" w:hAnsi="宋体" w:eastAsia="宋体" w:cs="宋体"/>
                <w:snapToGrid w:val="0"/>
                <w:kern w:val="0"/>
                <w:sz w:val="18"/>
                <w:szCs w:val="18"/>
              </w:rPr>
              <w:t>3</w:t>
            </w:r>
            <w:r>
              <w:rPr>
                <w:rFonts w:hint="eastAsia" w:ascii="宋体" w:hAnsi="宋体" w:eastAsia="宋体" w:cs="宋体"/>
                <w:snapToGrid w:val="0"/>
                <w:kern w:val="0"/>
                <w:sz w:val="18"/>
                <w:szCs w:val="18"/>
                <w:lang w:val="en"/>
              </w:rPr>
              <w:t>网站访问者可以在线进行个性化定制、产品设计等服务</w:t>
            </w:r>
            <w:r>
              <w:rPr>
                <w:rFonts w:hint="eastAsia" w:ascii="宋体" w:hAnsi="宋体" w:eastAsia="宋体" w:cs="宋体"/>
                <w:snapToGrid w:val="0"/>
                <w:kern w:val="0"/>
                <w:sz w:val="18"/>
                <w:szCs w:val="18"/>
              </w:rPr>
              <w:t xml:space="preserve">  □   4</w:t>
            </w:r>
            <w:r>
              <w:rPr>
                <w:rFonts w:hint="eastAsia" w:ascii="宋体" w:hAnsi="宋体" w:eastAsia="宋体" w:cs="宋体"/>
                <w:snapToGrid w:val="0"/>
                <w:kern w:val="0"/>
                <w:sz w:val="18"/>
                <w:szCs w:val="18"/>
                <w:lang w:val="en"/>
              </w:rPr>
              <w:t>查询或显示订单情况</w:t>
            </w:r>
            <w:r>
              <w:rPr>
                <w:rFonts w:hint="eastAsia" w:ascii="宋体" w:hAnsi="宋体" w:eastAsia="宋体" w:cs="宋体"/>
                <w:snapToGrid w:val="0"/>
                <w:kern w:val="0"/>
                <w:sz w:val="18"/>
                <w:szCs w:val="18"/>
              </w:rPr>
              <w:t xml:space="preserve">                 □</w:t>
            </w:r>
          </w:p>
          <w:p>
            <w:pPr>
              <w:snapToGrid w:val="0"/>
              <w:spacing w:line="240" w:lineRule="exact"/>
              <w:ind w:firstLine="180" w:firstLineChars="100"/>
              <w:rPr>
                <w:rFonts w:hint="eastAsia" w:ascii="宋体" w:hAnsi="宋体" w:eastAsia="宋体" w:cs="宋体"/>
                <w:snapToGrid w:val="0"/>
                <w:kern w:val="0"/>
                <w:sz w:val="18"/>
                <w:szCs w:val="18"/>
                <w:lang w:val="en"/>
              </w:rPr>
            </w:pPr>
            <w:r>
              <w:rPr>
                <w:rFonts w:hint="eastAsia" w:ascii="宋体" w:hAnsi="宋体" w:eastAsia="宋体" w:cs="宋体"/>
                <w:snapToGrid w:val="0"/>
                <w:kern w:val="0"/>
                <w:sz w:val="18"/>
                <w:szCs w:val="18"/>
              </w:rPr>
              <w:t>5通过算法对</w:t>
            </w:r>
            <w:r>
              <w:rPr>
                <w:rFonts w:hint="eastAsia" w:ascii="宋体" w:hAnsi="宋体" w:eastAsia="宋体" w:cs="宋体"/>
                <w:snapToGrid w:val="0"/>
                <w:kern w:val="0"/>
                <w:sz w:val="18"/>
                <w:szCs w:val="18"/>
                <w:lang w:val="en"/>
              </w:rPr>
              <w:t>用户</w:t>
            </w:r>
            <w:r>
              <w:rPr>
                <w:rFonts w:hint="eastAsia" w:ascii="宋体" w:hAnsi="宋体" w:eastAsia="宋体" w:cs="宋体"/>
                <w:snapToGrid w:val="0"/>
                <w:kern w:val="0"/>
                <w:sz w:val="18"/>
                <w:szCs w:val="18"/>
              </w:rPr>
              <w:t>精准定位</w:t>
            </w:r>
            <w:r>
              <w:rPr>
                <w:rFonts w:hint="eastAsia" w:ascii="宋体" w:hAnsi="宋体" w:eastAsia="宋体" w:cs="宋体"/>
                <w:snapToGrid w:val="0"/>
                <w:kern w:val="0"/>
                <w:sz w:val="18"/>
                <w:szCs w:val="18"/>
                <w:lang w:val="en"/>
              </w:rPr>
              <w:t>，为其提供特色内容</w:t>
            </w:r>
            <w:r>
              <w:rPr>
                <w:rFonts w:hint="eastAsia" w:ascii="宋体" w:hAnsi="宋体" w:eastAsia="宋体" w:cs="宋体"/>
                <w:snapToGrid w:val="0"/>
                <w:kern w:val="0"/>
                <w:sz w:val="18"/>
                <w:szCs w:val="18"/>
              </w:rPr>
              <w:t xml:space="preserve">          □   6</w:t>
            </w:r>
            <w:r>
              <w:rPr>
                <w:rFonts w:hint="eastAsia" w:ascii="宋体" w:hAnsi="宋体" w:eastAsia="宋体" w:cs="宋体"/>
                <w:snapToGrid w:val="0"/>
                <w:kern w:val="0"/>
                <w:sz w:val="18"/>
                <w:szCs w:val="18"/>
                <w:lang w:val="en"/>
              </w:rPr>
              <w:t>提供企业APP、社交媒体等链接信息</w:t>
            </w:r>
            <w:r>
              <w:rPr>
                <w:rFonts w:hint="eastAsia" w:ascii="宋体" w:hAnsi="宋体" w:eastAsia="宋体" w:cs="宋体"/>
                <w:snapToGrid w:val="0"/>
                <w:w w:val="100"/>
                <w:kern w:val="0"/>
                <w:sz w:val="18"/>
                <w:szCs w:val="18"/>
              </w:rPr>
              <w:t xml:space="preserve">  </w:t>
            </w:r>
            <w:r>
              <w:rPr>
                <w:rFonts w:hint="eastAsia" w:ascii="宋体" w:hAnsi="宋体" w:eastAsia="宋体" w:cs="宋体"/>
                <w:snapToGrid w:val="0"/>
                <w:w w:val="90"/>
                <w:kern w:val="0"/>
                <w:sz w:val="18"/>
                <w:szCs w:val="18"/>
              </w:rPr>
              <w:t xml:space="preserve"> </w:t>
            </w:r>
            <w:r>
              <w:rPr>
                <w:rFonts w:hint="eastAsia" w:ascii="宋体" w:hAnsi="宋体" w:eastAsia="宋体" w:cs="宋体"/>
                <w:snapToGrid w:val="0"/>
                <w:kern w:val="0"/>
                <w:sz w:val="18"/>
                <w:szCs w:val="18"/>
              </w:rPr>
              <w:t>□</w:t>
            </w:r>
            <w:r>
              <w:rPr>
                <w:rFonts w:hint="eastAsia" w:ascii="宋体" w:hAnsi="宋体" w:eastAsia="宋体" w:cs="宋体"/>
                <w:snapToGrid w:val="0"/>
                <w:kern w:val="0"/>
                <w:sz w:val="18"/>
                <w:szCs w:val="18"/>
                <w:lang w:val="en"/>
              </w:rPr>
              <w:t xml:space="preserve">   </w:t>
            </w:r>
          </w:p>
          <w:p>
            <w:pPr>
              <w:snapToGrid w:val="0"/>
              <w:spacing w:line="240" w:lineRule="exact"/>
              <w:ind w:firstLine="180" w:firstLineChars="100"/>
              <w:rPr>
                <w:rFonts w:hint="eastAsia" w:ascii="宋体" w:hAnsi="宋体" w:eastAsia="宋体" w:cs="宋体"/>
                <w:snapToGrid w:val="0"/>
                <w:kern w:val="0"/>
                <w:sz w:val="18"/>
                <w:szCs w:val="18"/>
                <w:lang w:val="en"/>
              </w:rPr>
            </w:pPr>
            <w:r>
              <w:rPr>
                <w:rFonts w:hint="eastAsia" w:ascii="宋体" w:hAnsi="宋体" w:eastAsia="宋体" w:cs="宋体"/>
                <w:snapToGrid w:val="0"/>
                <w:kern w:val="0"/>
                <w:sz w:val="18"/>
                <w:szCs w:val="18"/>
                <w:lang w:val="en"/>
              </w:rPr>
              <w:t xml:space="preserve">7其他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w:t>
            </w:r>
            <w:r>
              <w:rPr>
                <w:rFonts w:hint="eastAsia" w:ascii="宋体" w:hAnsi="宋体" w:eastAsia="宋体" w:cs="宋体"/>
                <w:sz w:val="18"/>
                <w:szCs w:val="18"/>
                <w:lang w:val="en"/>
              </w:rPr>
              <w:t xml:space="preserve">   8</w:t>
            </w:r>
            <w:r>
              <w:rPr>
                <w:rFonts w:hint="eastAsia" w:ascii="宋体" w:hAnsi="宋体" w:eastAsia="宋体" w:cs="宋体"/>
                <w:sz w:val="18"/>
                <w:szCs w:val="18"/>
              </w:rPr>
              <w:t xml:space="preserve">无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044"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07</w:t>
            </w:r>
          </w:p>
        </w:tc>
        <w:tc>
          <w:tcPr>
            <w:tcW w:w="9212" w:type="dxa"/>
            <w:gridSpan w:val="4"/>
            <w:noWrap w:val="0"/>
            <w:vAlign w:val="center"/>
          </w:tcPr>
          <w:p>
            <w:pPr>
              <w:pStyle w:val="9"/>
              <w:snapToGrid/>
              <w:spacing w:line="240" w:lineRule="exact"/>
              <w:ind w:firstLine="180" w:firstLineChars="100"/>
              <w:rPr>
                <w:rFonts w:hint="eastAsia" w:ascii="宋体" w:hAnsi="宋体" w:eastAsia="宋体" w:cs="宋体"/>
                <w:snapToGrid w:val="0"/>
                <w:kern w:val="0"/>
                <w:sz w:val="18"/>
                <w:szCs w:val="18"/>
                <w:highlight w:val="none"/>
                <w:lang w:val="en"/>
              </w:rPr>
            </w:pPr>
            <w:r>
              <w:rPr>
                <w:rFonts w:hint="eastAsia" w:ascii="宋体" w:hAnsi="宋体" w:eastAsia="宋体" w:cs="宋体"/>
                <w:snapToGrid w:val="0"/>
                <w:kern w:val="0"/>
                <w:sz w:val="18"/>
                <w:szCs w:val="18"/>
                <w:highlight w:val="none"/>
                <w:lang w:val="en"/>
              </w:rPr>
              <w:t>贵企业</w:t>
            </w:r>
            <w:r>
              <w:rPr>
                <w:rFonts w:hint="eastAsia" w:ascii="宋体" w:hAnsi="宋体" w:eastAsia="宋体" w:cs="宋体"/>
                <w:snapToGrid w:val="0"/>
                <w:color w:val="000000"/>
                <w:kern w:val="0"/>
                <w:sz w:val="18"/>
                <w:szCs w:val="18"/>
                <w:highlight w:val="none"/>
                <w:lang w:val="en"/>
              </w:rPr>
              <w:t>在生产经营中</w:t>
            </w:r>
            <w:r>
              <w:rPr>
                <w:rFonts w:hint="eastAsia" w:ascii="宋体" w:hAnsi="宋体" w:eastAsia="宋体" w:cs="宋体"/>
                <w:snapToGrid w:val="0"/>
                <w:color w:val="000000"/>
                <w:kern w:val="0"/>
                <w:sz w:val="18"/>
                <w:szCs w:val="18"/>
                <w:highlight w:val="none"/>
                <w:lang w:val="en" w:eastAsia="zh-CN"/>
              </w:rPr>
              <w:t>与数据要素有关的情况：</w:t>
            </w:r>
          </w:p>
          <w:p>
            <w:pPr>
              <w:pStyle w:val="9"/>
              <w:snapToGrid/>
              <w:spacing w:line="240" w:lineRule="exact"/>
              <w:ind w:firstLine="180" w:firstLineChars="100"/>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（1）贵企业</w:t>
            </w:r>
            <w:r>
              <w:rPr>
                <w:rFonts w:hint="eastAsia" w:ascii="宋体" w:hAnsi="宋体" w:eastAsia="宋体" w:cs="宋体"/>
                <w:color w:val="000000"/>
                <w:sz w:val="18"/>
                <w:szCs w:val="18"/>
                <w:highlight w:val="none"/>
              </w:rPr>
              <w:t xml:space="preserve">是否设有专职的数据业务或数字化部门 </w:t>
            </w:r>
            <w:r>
              <w:rPr>
                <w:rFonts w:hint="eastAsia" w:ascii="宋体" w:hAnsi="宋体" w:eastAsia="宋体" w:cs="宋体"/>
                <w:color w:val="000000"/>
                <w:sz w:val="18"/>
                <w:szCs w:val="18"/>
                <w:highlight w:val="none"/>
                <w:lang w:val="en-US" w:eastAsia="zh-CN"/>
              </w:rPr>
              <w:t>A</w:t>
            </w:r>
            <w:r>
              <w:rPr>
                <w:rFonts w:hint="eastAsia" w:ascii="宋体" w:hAnsi="宋体" w:eastAsia="宋体" w:cs="宋体"/>
                <w:color w:val="000000"/>
                <w:sz w:val="18"/>
                <w:szCs w:val="18"/>
                <w:highlight w:val="none"/>
              </w:rPr>
              <w:t xml:space="preserve">是□ </w:t>
            </w:r>
            <w:r>
              <w:rPr>
                <w:rFonts w:hint="eastAsia" w:ascii="宋体" w:hAnsi="宋体" w:eastAsia="宋体" w:cs="宋体"/>
                <w:color w:val="000000"/>
                <w:sz w:val="18"/>
                <w:szCs w:val="18"/>
                <w:highlight w:val="none"/>
                <w:lang w:val="en-US" w:eastAsia="zh-CN"/>
              </w:rPr>
              <w:t xml:space="preserve"> B</w:t>
            </w:r>
            <w:r>
              <w:rPr>
                <w:rFonts w:hint="eastAsia" w:ascii="宋体" w:hAnsi="宋体" w:eastAsia="宋体" w:cs="宋体"/>
                <w:color w:val="000000"/>
                <w:sz w:val="18"/>
                <w:szCs w:val="18"/>
                <w:highlight w:val="none"/>
              </w:rPr>
              <w:t>否□</w:t>
            </w:r>
            <w:r>
              <w:rPr>
                <w:rFonts w:hint="eastAsia" w:ascii="宋体" w:hAnsi="宋体" w:eastAsia="宋体" w:cs="宋体"/>
                <w:color w:val="000000"/>
                <w:sz w:val="18"/>
                <w:szCs w:val="18"/>
                <w:highlight w:val="none"/>
                <w:lang w:eastAsia="zh-CN"/>
              </w:rPr>
              <w:t>，</w:t>
            </w:r>
          </w:p>
          <w:p>
            <w:pPr>
              <w:pStyle w:val="9"/>
              <w:snapToGrid/>
              <w:spacing w:line="240" w:lineRule="exact"/>
              <w:ind w:firstLine="180" w:firstLineChars="1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（2）贵企业</w:t>
            </w:r>
            <w:r>
              <w:rPr>
                <w:rFonts w:hint="eastAsia" w:ascii="宋体" w:hAnsi="宋体" w:eastAsia="宋体" w:cs="宋体"/>
                <w:color w:val="000000"/>
                <w:sz w:val="18"/>
                <w:szCs w:val="18"/>
                <w:highlight w:val="none"/>
              </w:rPr>
              <w:t>是否有数据研发系统</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软件</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或数据管理系统</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平台</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 xml:space="preserve"> </w:t>
            </w:r>
            <w:r>
              <w:rPr>
                <w:rFonts w:hint="eastAsia" w:ascii="宋体" w:hAnsi="宋体" w:eastAsia="宋体" w:cs="宋体"/>
                <w:color w:val="000000"/>
                <w:sz w:val="18"/>
                <w:szCs w:val="18"/>
                <w:highlight w:val="none"/>
                <w:lang w:val="en-US" w:eastAsia="zh-CN"/>
              </w:rPr>
              <w:t>A</w:t>
            </w:r>
            <w:r>
              <w:rPr>
                <w:rFonts w:hint="eastAsia" w:ascii="宋体" w:hAnsi="宋体" w:eastAsia="宋体" w:cs="宋体"/>
                <w:color w:val="000000"/>
                <w:sz w:val="18"/>
                <w:szCs w:val="18"/>
                <w:highlight w:val="none"/>
              </w:rPr>
              <w:t>是 □</w:t>
            </w:r>
            <w:r>
              <w:rPr>
                <w:rFonts w:hint="eastAsia" w:ascii="宋体" w:hAnsi="宋体" w:eastAsia="宋体" w:cs="宋体"/>
                <w:color w:val="000000"/>
                <w:sz w:val="18"/>
                <w:szCs w:val="18"/>
                <w:highlight w:val="none"/>
                <w:lang w:val="en-US" w:eastAsia="zh-CN"/>
              </w:rPr>
              <w:t xml:space="preserve">  B</w:t>
            </w:r>
            <w:r>
              <w:rPr>
                <w:rFonts w:hint="eastAsia" w:ascii="宋体" w:hAnsi="宋体" w:eastAsia="宋体" w:cs="宋体"/>
                <w:color w:val="000000"/>
                <w:sz w:val="18"/>
                <w:szCs w:val="18"/>
                <w:highlight w:val="none"/>
              </w:rPr>
              <w:t>否□</w:t>
            </w:r>
          </w:p>
          <w:p>
            <w:pPr>
              <w:pStyle w:val="9"/>
              <w:snapToGrid/>
              <w:spacing w:line="240" w:lineRule="exact"/>
              <w:ind w:firstLine="180" w:firstLineChars="1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（3）贵企业</w:t>
            </w:r>
            <w:r>
              <w:rPr>
                <w:rFonts w:hint="eastAsia" w:ascii="宋体" w:hAnsi="宋体" w:eastAsia="宋体" w:cs="宋体"/>
                <w:color w:val="000000"/>
                <w:sz w:val="18"/>
                <w:szCs w:val="18"/>
                <w:highlight w:val="none"/>
              </w:rPr>
              <w:t>数据来源（</w:t>
            </w:r>
            <w:r>
              <w:rPr>
                <w:rFonts w:hint="eastAsia" w:ascii="宋体" w:hAnsi="宋体" w:eastAsia="宋体" w:cs="宋体"/>
                <w:color w:val="000000"/>
                <w:sz w:val="18"/>
                <w:szCs w:val="18"/>
                <w:highlight w:val="none"/>
                <w:lang w:eastAsia="zh-CN"/>
              </w:rPr>
              <w:t>可</w:t>
            </w:r>
            <w:r>
              <w:rPr>
                <w:rFonts w:hint="eastAsia" w:ascii="宋体" w:hAnsi="宋体" w:eastAsia="宋体" w:cs="宋体"/>
                <w:color w:val="000000"/>
                <w:sz w:val="18"/>
                <w:szCs w:val="18"/>
                <w:highlight w:val="none"/>
              </w:rPr>
              <w:t>多选)：</w:t>
            </w:r>
          </w:p>
          <w:p>
            <w:pPr>
              <w:pStyle w:val="9"/>
              <w:snapToGrid/>
              <w:spacing w:line="240" w:lineRule="exact"/>
              <w:ind w:firstLine="180" w:firstLineChars="100"/>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 xml:space="preserve"> 1  </w:t>
            </w:r>
            <w:r>
              <w:rPr>
                <w:rFonts w:hint="eastAsia" w:ascii="宋体" w:hAnsi="宋体" w:eastAsia="宋体" w:cs="宋体"/>
                <w:color w:val="000000"/>
                <w:sz w:val="18"/>
                <w:szCs w:val="18"/>
                <w:highlight w:val="none"/>
              </w:rPr>
              <w:t>用户 □</w:t>
            </w:r>
            <w:r>
              <w:rPr>
                <w:rFonts w:hint="eastAsia" w:ascii="宋体" w:hAnsi="宋体" w:eastAsia="宋体" w:cs="宋体"/>
                <w:color w:val="000000"/>
                <w:sz w:val="18"/>
                <w:szCs w:val="18"/>
                <w:highlight w:val="none"/>
                <w:lang w:val="en-US" w:eastAsia="zh-CN"/>
              </w:rPr>
              <w:t xml:space="preserve">   </w:t>
            </w:r>
            <w:r>
              <w:rPr>
                <w:rFonts w:hint="default"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lang w:val="en-US" w:eastAsia="zh-CN"/>
              </w:rPr>
              <w:t xml:space="preserve">  2 </w:t>
            </w:r>
            <w:r>
              <w:rPr>
                <w:rFonts w:hint="eastAsia" w:ascii="宋体" w:hAnsi="宋体" w:eastAsia="宋体" w:cs="宋体"/>
                <w:color w:val="000000"/>
                <w:sz w:val="18"/>
                <w:szCs w:val="18"/>
                <w:highlight w:val="none"/>
              </w:rPr>
              <w:t>开发者 □</w:t>
            </w:r>
            <w:r>
              <w:rPr>
                <w:rFonts w:hint="eastAsia" w:ascii="宋体" w:hAnsi="宋体" w:eastAsia="宋体" w:cs="宋体"/>
                <w:color w:val="000000"/>
                <w:sz w:val="18"/>
                <w:szCs w:val="18"/>
                <w:highlight w:val="none"/>
                <w:lang w:val="en-US" w:eastAsia="zh-CN"/>
              </w:rPr>
              <w:t xml:space="preserve">   </w:t>
            </w:r>
            <w:r>
              <w:rPr>
                <w:rFonts w:hint="default"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lang w:val="en-US" w:eastAsia="zh-CN"/>
              </w:rPr>
              <w:t xml:space="preserve">  3  </w:t>
            </w:r>
            <w:r>
              <w:rPr>
                <w:rFonts w:hint="eastAsia" w:ascii="宋体" w:hAnsi="宋体" w:eastAsia="宋体" w:cs="宋体"/>
                <w:color w:val="000000"/>
                <w:sz w:val="18"/>
                <w:szCs w:val="18"/>
                <w:highlight w:val="none"/>
              </w:rPr>
              <w:t>IoT服务 □</w:t>
            </w:r>
            <w:r>
              <w:rPr>
                <w:rFonts w:hint="eastAsia" w:ascii="宋体" w:hAnsi="宋体" w:eastAsia="宋体" w:cs="宋体"/>
                <w:color w:val="000000"/>
                <w:sz w:val="18"/>
                <w:szCs w:val="18"/>
                <w:highlight w:val="none"/>
                <w:lang w:val="en-US" w:eastAsia="zh-CN"/>
              </w:rPr>
              <w:t xml:space="preserve">     4 </w:t>
            </w:r>
            <w:r>
              <w:rPr>
                <w:rFonts w:hint="eastAsia" w:ascii="宋体" w:hAnsi="宋体" w:eastAsia="宋体" w:cs="宋体"/>
                <w:color w:val="000000"/>
                <w:sz w:val="18"/>
                <w:szCs w:val="18"/>
                <w:highlight w:val="none"/>
              </w:rPr>
              <w:t>产品智能化模块  □</w:t>
            </w:r>
          </w:p>
          <w:p>
            <w:pPr>
              <w:pStyle w:val="9"/>
              <w:snapToGrid/>
              <w:spacing w:line="240" w:lineRule="exact"/>
              <w:ind w:firstLine="180" w:firstLineChars="100"/>
              <w:rPr>
                <w:rFonts w:hint="eastAsia" w:ascii="宋体" w:hAnsi="宋体" w:eastAsia="宋体" w:cs="宋体"/>
                <w:snapToGrid w:val="0"/>
                <w:kern w:val="0"/>
                <w:sz w:val="18"/>
                <w:szCs w:val="18"/>
                <w:highlight w:val="none"/>
                <w:lang w:val="en"/>
              </w:rPr>
            </w:pPr>
            <w:r>
              <w:rPr>
                <w:rFonts w:hint="eastAsia" w:ascii="宋体" w:hAnsi="宋体" w:eastAsia="宋体" w:cs="宋体"/>
                <w:color w:val="000000"/>
                <w:sz w:val="18"/>
                <w:szCs w:val="18"/>
                <w:highlight w:val="none"/>
                <w:lang w:val="en-US" w:eastAsia="zh-CN"/>
              </w:rPr>
              <w:t xml:space="preserve"> 5  </w:t>
            </w:r>
            <w:r>
              <w:rPr>
                <w:rFonts w:hint="eastAsia" w:ascii="宋体" w:hAnsi="宋体" w:eastAsia="宋体" w:cs="宋体"/>
                <w:color w:val="000000"/>
                <w:sz w:val="18"/>
                <w:szCs w:val="18"/>
                <w:highlight w:val="none"/>
              </w:rPr>
              <w:t>外部购买 □</w:t>
            </w:r>
            <w:r>
              <w:rPr>
                <w:rFonts w:hint="eastAsia" w:ascii="宋体" w:hAnsi="宋体" w:eastAsia="宋体" w:cs="宋体"/>
                <w:color w:val="000000"/>
                <w:sz w:val="18"/>
                <w:szCs w:val="18"/>
                <w:highlight w:val="none"/>
                <w:lang w:val="en-US" w:eastAsia="zh-CN"/>
              </w:rPr>
              <w:t xml:space="preserve">    6  </w:t>
            </w:r>
            <w:r>
              <w:rPr>
                <w:rFonts w:hint="eastAsia" w:ascii="宋体" w:hAnsi="宋体" w:eastAsia="宋体" w:cs="宋体"/>
                <w:color w:val="000000"/>
                <w:sz w:val="18"/>
                <w:szCs w:val="18"/>
                <w:highlight w:val="none"/>
              </w:rPr>
              <w:t>其他</w:t>
            </w:r>
            <w:r>
              <w:rPr>
                <w:rFonts w:hint="eastAsia" w:ascii="宋体" w:hAnsi="宋体" w:eastAsia="宋体" w:cs="宋体"/>
                <w:sz w:val="18"/>
                <w:szCs w:val="18"/>
                <w:highlight w:val="none"/>
                <w:u w:val="single"/>
              </w:rPr>
              <w:t xml:space="preserve">         </w:t>
            </w:r>
            <w:r>
              <w:rPr>
                <w:rFonts w:hint="eastAsia" w:ascii="宋体" w:hAnsi="宋体" w:eastAsia="宋体" w:cs="宋体"/>
                <w:sz w:val="18"/>
                <w:szCs w:val="18"/>
                <w:highlight w:val="none"/>
                <w:u w:val="single"/>
                <w:lang w:val="en"/>
              </w:rPr>
              <w:t xml:space="preserve"> </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sz w:val="18"/>
                <w:szCs w:val="18"/>
                <w:highlight w:val="none"/>
                <w:u w:val="none"/>
                <w:lang w:val="en-US" w:eastAsia="zh-CN"/>
              </w:rPr>
              <w:t xml:space="preserve">  </w:t>
            </w:r>
            <w:r>
              <w:rPr>
                <w:rFonts w:hint="eastAsia" w:ascii="宋体" w:hAnsi="宋体" w:eastAsia="宋体" w:cs="宋体"/>
                <w:color w:val="000000"/>
                <w:sz w:val="18"/>
                <w:szCs w:val="18"/>
                <w:highlight w:val="none"/>
                <w:lang w:val="en-US" w:eastAsia="zh-CN"/>
              </w:rPr>
              <w:t xml:space="preserve">7 </w:t>
            </w:r>
            <w:r>
              <w:rPr>
                <w:rFonts w:hint="eastAsia" w:ascii="宋体" w:hAnsi="宋体" w:eastAsia="宋体" w:cs="宋体"/>
                <w:color w:val="000000"/>
                <w:sz w:val="18"/>
                <w:szCs w:val="18"/>
                <w:highlight w:val="none"/>
                <w:lang w:eastAsia="zh-CN"/>
              </w:rPr>
              <w:t>无</w:t>
            </w:r>
            <w:r>
              <w:rPr>
                <w:rFonts w:hint="eastAsia" w:ascii="宋体" w:hAnsi="宋体" w:eastAsia="宋体" w:cs="宋体"/>
                <w:color w:val="000000"/>
                <w:sz w:val="18"/>
                <w:szCs w:val="18"/>
                <w:highlight w:val="none"/>
              </w:rPr>
              <w:t xml:space="preserve">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57" w:hRule="atLeast"/>
          <w:jc w:val="center"/>
        </w:trPr>
        <w:tc>
          <w:tcPr>
            <w:tcW w:w="402" w:type="dxa"/>
            <w:tcBorders>
              <w:bottom w:val="single" w:color="auto" w:sz="2" w:space="0"/>
            </w:tcBorders>
            <w:noWrap w:val="0"/>
            <w:vAlign w:val="center"/>
          </w:tcPr>
          <w:p>
            <w:pPr>
              <w:snapToGrid w:val="0"/>
              <w:spacing w:line="240" w:lineRule="exact"/>
              <w:jc w:val="center"/>
              <w:rPr>
                <w:rFonts w:hint="eastAsia" w:ascii="宋体" w:hAnsi="宋体" w:eastAsia="宋体" w:cs="宋体"/>
                <w:b/>
                <w:bCs/>
                <w:sz w:val="18"/>
                <w:szCs w:val="18"/>
                <w:lang w:val="en"/>
              </w:rPr>
            </w:pPr>
            <w:r>
              <w:rPr>
                <w:rFonts w:hint="eastAsia" w:ascii="宋体" w:hAnsi="宋体" w:eastAsia="宋体" w:cs="宋体"/>
                <w:b/>
                <w:bCs/>
                <w:sz w:val="18"/>
                <w:szCs w:val="18"/>
              </w:rPr>
              <w:t>08</w:t>
            </w:r>
          </w:p>
        </w:tc>
        <w:tc>
          <w:tcPr>
            <w:tcW w:w="9212" w:type="dxa"/>
            <w:gridSpan w:val="4"/>
            <w:tcBorders>
              <w:bottom w:val="single" w:color="auto" w:sz="2" w:space="0"/>
            </w:tcBorders>
            <w:noWrap w:val="0"/>
            <w:vAlign w:val="center"/>
          </w:tcPr>
          <w:p>
            <w:pPr>
              <w:snapToGrid w:val="0"/>
              <w:spacing w:line="240" w:lineRule="exact"/>
              <w:ind w:firstLine="90" w:firstLineChars="50"/>
              <w:rPr>
                <w:rFonts w:hint="eastAsia" w:ascii="宋体" w:hAnsi="宋体" w:eastAsia="宋体" w:cs="宋体"/>
                <w:sz w:val="18"/>
                <w:szCs w:val="18"/>
                <w:lang w:val="en"/>
              </w:rPr>
            </w:pPr>
            <w:r>
              <w:rPr>
                <w:rFonts w:hint="eastAsia" w:ascii="宋体" w:hAnsi="宋体" w:eastAsia="宋体" w:cs="宋体"/>
                <w:sz w:val="18"/>
                <w:szCs w:val="18"/>
              </w:rPr>
              <w:t>贵企业是否通过网站或应用程序（APP）实现商品或服务交易？ A 是   □             B 否   □（跳至10题）</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3" w:hRule="atLeast"/>
          <w:jc w:val="center"/>
        </w:trPr>
        <w:tc>
          <w:tcPr>
            <w:tcW w:w="402" w:type="dxa"/>
            <w:tcBorders>
              <w:top w:val="single" w:color="auto" w:sz="2" w:space="0"/>
              <w:left w:val="nil"/>
              <w:bottom w:val="single" w:color="auto" w:sz="2" w:space="0"/>
              <w:right w:val="single" w:color="auto" w:sz="2" w:space="0"/>
            </w:tcBorders>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09</w:t>
            </w:r>
          </w:p>
        </w:tc>
        <w:tc>
          <w:tcPr>
            <w:tcW w:w="9212" w:type="dxa"/>
            <w:gridSpan w:val="4"/>
            <w:tcBorders>
              <w:top w:val="single" w:color="auto" w:sz="2" w:space="0"/>
              <w:left w:val="single" w:color="auto" w:sz="2" w:space="0"/>
              <w:bottom w:val="single" w:color="auto" w:sz="2" w:space="0"/>
              <w:right w:val="nil"/>
            </w:tcBorders>
            <w:noWrap w:val="0"/>
            <w:vAlign w:val="center"/>
          </w:tcPr>
          <w:tbl>
            <w:tblPr>
              <w:tblStyle w:val="31"/>
              <w:tblW w:w="9241" w:type="dxa"/>
              <w:tblInd w:w="5"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41"/>
              <w:gridCol w:w="634"/>
              <w:gridCol w:w="530"/>
              <w:gridCol w:w="884"/>
              <w:gridCol w:w="884"/>
              <w:gridCol w:w="884"/>
              <w:gridCol w:w="884"/>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vMerge w:val="restart"/>
                  <w:noWrap w:val="0"/>
                  <w:vAlign w:val="center"/>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计量单位</w:t>
                  </w:r>
                </w:p>
              </w:tc>
              <w:tc>
                <w:tcPr>
                  <w:tcW w:w="51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代码</w:t>
                  </w:r>
                </w:p>
              </w:tc>
              <w:tc>
                <w:tcPr>
                  <w:tcW w:w="850" w:type="dxa"/>
                  <w:gridSpan w:val="2"/>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商品</w:t>
                  </w:r>
                </w:p>
              </w:tc>
              <w:tc>
                <w:tcPr>
                  <w:tcW w:w="850" w:type="dxa"/>
                  <w:gridSpan w:val="2"/>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服务</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367" w:type="dxa"/>
                  <w:vMerge w:val="continue"/>
                  <w:noWrap w:val="0"/>
                  <w:vAlign w:val="top"/>
                </w:tcPr>
                <w:p>
                  <w:pPr>
                    <w:snapToGrid w:val="0"/>
                    <w:spacing w:line="240" w:lineRule="exact"/>
                    <w:jc w:val="center"/>
                    <w:rPr>
                      <w:rFonts w:hint="eastAsia" w:ascii="宋体" w:hAnsi="宋体" w:eastAsia="宋体" w:cs="宋体"/>
                      <w:sz w:val="18"/>
                      <w:szCs w:val="18"/>
                    </w:rPr>
                  </w:pPr>
                </w:p>
              </w:tc>
              <w:tc>
                <w:tcPr>
                  <w:tcW w:w="610" w:type="dxa"/>
                  <w:vMerge w:val="continue"/>
                  <w:noWrap w:val="0"/>
                  <w:vAlign w:val="top"/>
                </w:tcPr>
                <w:p>
                  <w:pPr>
                    <w:snapToGrid w:val="0"/>
                    <w:spacing w:line="240" w:lineRule="exact"/>
                    <w:jc w:val="center"/>
                    <w:rPr>
                      <w:rFonts w:hint="eastAsia" w:ascii="宋体" w:hAnsi="宋体" w:eastAsia="宋体" w:cs="宋体"/>
                      <w:sz w:val="18"/>
                      <w:szCs w:val="18"/>
                    </w:rPr>
                  </w:pPr>
                </w:p>
              </w:tc>
              <w:tc>
                <w:tcPr>
                  <w:tcW w:w="510" w:type="dxa"/>
                  <w:vMerge w:val="continue"/>
                  <w:noWrap w:val="0"/>
                  <w:vAlign w:val="top"/>
                </w:tcPr>
                <w:p>
                  <w:pPr>
                    <w:snapToGrid w:val="0"/>
                    <w:spacing w:line="240" w:lineRule="exact"/>
                    <w:jc w:val="center"/>
                    <w:rPr>
                      <w:rFonts w:hint="eastAsia" w:ascii="宋体" w:hAnsi="宋体" w:eastAsia="宋体" w:cs="宋体"/>
                      <w:sz w:val="18"/>
                      <w:szCs w:val="18"/>
                    </w:rPr>
                  </w:pPr>
                </w:p>
              </w:tc>
              <w:tc>
                <w:tcPr>
                  <w:tcW w:w="85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本年</w:t>
                  </w:r>
                </w:p>
              </w:tc>
              <w:tc>
                <w:tcPr>
                  <w:tcW w:w="85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上年</w:t>
                  </w:r>
                </w:p>
              </w:tc>
              <w:tc>
                <w:tcPr>
                  <w:tcW w:w="85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本年</w:t>
                  </w:r>
                </w:p>
              </w:tc>
              <w:tc>
                <w:tcPr>
                  <w:tcW w:w="85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上年</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367"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610" w:type="dxa"/>
                  <w:noWrap w:val="0"/>
                  <w:vAlign w:val="top"/>
                </w:tcPr>
                <w:p>
                  <w:pPr>
                    <w:snapToGrid w:val="0"/>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乙</w:t>
                  </w:r>
                </w:p>
              </w:tc>
              <w:tc>
                <w:tcPr>
                  <w:tcW w:w="510" w:type="dxa"/>
                  <w:noWrap w:val="0"/>
                  <w:vAlign w:val="top"/>
                </w:tcPr>
                <w:p>
                  <w:pPr>
                    <w:snapToGrid w:val="0"/>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丙</w:t>
                  </w:r>
                </w:p>
              </w:tc>
              <w:tc>
                <w:tcPr>
                  <w:tcW w:w="85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85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85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85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4</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367" w:type="dxa"/>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通过网站或APP实现的</w:t>
                  </w:r>
                  <w:r>
                    <w:rPr>
                      <w:rFonts w:hint="eastAsia" w:ascii="宋体" w:hAnsi="宋体" w:eastAsia="宋体" w:cs="宋体"/>
                      <w:sz w:val="18"/>
                      <w:szCs w:val="18"/>
                      <w:lang w:val="en"/>
                    </w:rPr>
                    <w:t>销售</w:t>
                  </w:r>
                  <w:r>
                    <w:rPr>
                      <w:rFonts w:hint="eastAsia" w:ascii="宋体" w:hAnsi="宋体" w:eastAsia="宋体" w:cs="宋体"/>
                      <w:sz w:val="18"/>
                      <w:szCs w:val="18"/>
                    </w:rPr>
                    <w:t>额（包含增值税）</w:t>
                  </w:r>
                </w:p>
              </w:tc>
              <w:tc>
                <w:tcPr>
                  <w:tcW w:w="610" w:type="dxa"/>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千元</w:t>
                  </w:r>
                </w:p>
              </w:tc>
              <w:tc>
                <w:tcPr>
                  <w:tcW w:w="510" w:type="dxa"/>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a</w:t>
                  </w:r>
                </w:p>
              </w:tc>
              <w:tc>
                <w:tcPr>
                  <w:tcW w:w="850" w:type="dxa"/>
                  <w:tcBorders>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367"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其中：B2B</w:t>
                  </w:r>
                </w:p>
              </w:tc>
              <w:tc>
                <w:tcPr>
                  <w:tcW w:w="6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千元</w:t>
                  </w:r>
                </w:p>
              </w:tc>
              <w:tc>
                <w:tcPr>
                  <w:tcW w:w="5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b</w:t>
                  </w:r>
                </w:p>
              </w:tc>
              <w:tc>
                <w:tcPr>
                  <w:tcW w:w="850"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367"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B2C</w:t>
                  </w:r>
                </w:p>
              </w:tc>
              <w:tc>
                <w:tcPr>
                  <w:tcW w:w="6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千元</w:t>
                  </w:r>
                </w:p>
              </w:tc>
              <w:tc>
                <w:tcPr>
                  <w:tcW w:w="5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c</w:t>
                  </w:r>
                </w:p>
              </w:tc>
              <w:tc>
                <w:tcPr>
                  <w:tcW w:w="850"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367"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其中：通过企业自建网站或APP实现的</w:t>
                  </w:r>
                  <w:r>
                    <w:rPr>
                      <w:rFonts w:hint="eastAsia" w:ascii="宋体" w:hAnsi="宋体" w:eastAsia="宋体" w:cs="宋体"/>
                      <w:sz w:val="18"/>
                      <w:szCs w:val="18"/>
                      <w:lang w:val="en"/>
                    </w:rPr>
                    <w:t>销售</w:t>
                  </w:r>
                  <w:r>
                    <w:rPr>
                      <w:rFonts w:hint="eastAsia" w:ascii="宋体" w:hAnsi="宋体" w:eastAsia="宋体" w:cs="宋体"/>
                      <w:sz w:val="18"/>
                      <w:szCs w:val="18"/>
                    </w:rPr>
                    <w:t>额</w:t>
                  </w:r>
                </w:p>
              </w:tc>
              <w:tc>
                <w:tcPr>
                  <w:tcW w:w="6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千元</w:t>
                  </w:r>
                </w:p>
              </w:tc>
              <w:tc>
                <w:tcPr>
                  <w:tcW w:w="5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d</w:t>
                  </w:r>
                </w:p>
              </w:tc>
              <w:tc>
                <w:tcPr>
                  <w:tcW w:w="850"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367"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通过第三方网站或APP实现的</w:t>
                  </w:r>
                  <w:r>
                    <w:rPr>
                      <w:rFonts w:hint="eastAsia" w:ascii="宋体" w:hAnsi="宋体" w:eastAsia="宋体" w:cs="宋体"/>
                      <w:sz w:val="18"/>
                      <w:szCs w:val="18"/>
                      <w:lang w:val="en"/>
                    </w:rPr>
                    <w:t>销售</w:t>
                  </w:r>
                  <w:r>
                    <w:rPr>
                      <w:rFonts w:hint="eastAsia" w:ascii="宋体" w:hAnsi="宋体" w:eastAsia="宋体" w:cs="宋体"/>
                      <w:sz w:val="18"/>
                      <w:szCs w:val="18"/>
                    </w:rPr>
                    <w:t>额</w:t>
                  </w:r>
                </w:p>
              </w:tc>
              <w:tc>
                <w:tcPr>
                  <w:tcW w:w="6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千元</w:t>
                  </w:r>
                </w:p>
              </w:tc>
              <w:tc>
                <w:tcPr>
                  <w:tcW w:w="5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e</w:t>
                  </w:r>
                </w:p>
              </w:tc>
              <w:tc>
                <w:tcPr>
                  <w:tcW w:w="850"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367"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其中：面向境外的电子商务销售额</w:t>
                  </w:r>
                </w:p>
              </w:tc>
              <w:tc>
                <w:tcPr>
                  <w:tcW w:w="6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千元</w:t>
                  </w:r>
                </w:p>
              </w:tc>
              <w:tc>
                <w:tcPr>
                  <w:tcW w:w="5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f</w:t>
                  </w:r>
                </w:p>
              </w:tc>
              <w:tc>
                <w:tcPr>
                  <w:tcW w:w="850"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367"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通过网站或APP实现的采购额（包含增值税）</w:t>
                  </w:r>
                </w:p>
              </w:tc>
              <w:tc>
                <w:tcPr>
                  <w:tcW w:w="6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千元</w:t>
                  </w:r>
                </w:p>
              </w:tc>
              <w:tc>
                <w:tcPr>
                  <w:tcW w:w="51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g</w:t>
                  </w:r>
                </w:p>
              </w:tc>
              <w:tc>
                <w:tcPr>
                  <w:tcW w:w="850"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367"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其中：面向境外的电子商务采购额</w:t>
                  </w:r>
                </w:p>
              </w:tc>
              <w:tc>
                <w:tcPr>
                  <w:tcW w:w="610"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千元</w:t>
                  </w:r>
                </w:p>
              </w:tc>
              <w:tc>
                <w:tcPr>
                  <w:tcW w:w="510"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h</w:t>
                  </w:r>
                </w:p>
              </w:tc>
              <w:tc>
                <w:tcPr>
                  <w:tcW w:w="850" w:type="dxa"/>
                  <w:tcBorders>
                    <w:top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50" w:type="dxa"/>
                  <w:tcBorders>
                    <w:top w:val="nil"/>
                    <w:lef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bl>
          <w:p>
            <w:pPr>
              <w:snapToGrid w:val="0"/>
              <w:spacing w:line="240" w:lineRule="exact"/>
              <w:ind w:firstLine="90" w:firstLineChars="50"/>
              <w:rPr>
                <w:rFonts w:hint="eastAsia" w:ascii="宋体" w:hAnsi="宋体" w:eastAsia="宋体" w:cs="宋体"/>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402" w:type="dxa"/>
            <w:tcBorders>
              <w:top w:val="single" w:color="auto" w:sz="2" w:space="0"/>
              <w:left w:val="nil"/>
              <w:bottom w:val="single" w:color="auto" w:sz="2" w:space="0"/>
              <w:right w:val="single" w:color="auto" w:sz="2" w:space="0"/>
            </w:tcBorders>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10</w:t>
            </w:r>
          </w:p>
        </w:tc>
        <w:tc>
          <w:tcPr>
            <w:tcW w:w="9212" w:type="dxa"/>
            <w:gridSpan w:val="4"/>
            <w:tcBorders>
              <w:top w:val="single" w:color="auto" w:sz="2" w:space="0"/>
              <w:left w:val="single" w:color="auto" w:sz="2" w:space="0"/>
              <w:bottom w:val="single" w:color="auto" w:sz="2" w:space="0"/>
              <w:right w:val="nil"/>
            </w:tcBorders>
            <w:noWrap w:val="0"/>
            <w:vAlign w:val="center"/>
          </w:tcPr>
          <w:p>
            <w:pPr>
              <w:snapToGrid w:val="0"/>
              <w:spacing w:line="240" w:lineRule="exact"/>
              <w:ind w:firstLine="90" w:firstLineChars="50"/>
              <w:rPr>
                <w:rFonts w:hint="eastAsia" w:ascii="宋体" w:hAnsi="宋体" w:eastAsia="宋体" w:cs="宋体"/>
                <w:sz w:val="16"/>
                <w:szCs w:val="16"/>
              </w:rPr>
            </w:pPr>
            <w:r>
              <w:rPr>
                <w:rFonts w:hint="eastAsia" w:ascii="宋体" w:hAnsi="宋体" w:eastAsia="宋体" w:cs="宋体"/>
                <w:sz w:val="18"/>
                <w:szCs w:val="18"/>
              </w:rPr>
              <w:t>贵企业是否有电子数据交换（EDI）类型的商品或服务交易？ A 是   □               B 否</w:t>
            </w:r>
            <w:r>
              <w:rPr>
                <w:rFonts w:hint="eastAsia" w:ascii="宋体" w:hAnsi="宋体" w:eastAsia="宋体" w:cs="宋体"/>
                <w:sz w:val="18"/>
                <w:szCs w:val="18"/>
                <w:lang w:val="en"/>
              </w:rPr>
              <w:t xml:space="preserve">   </w:t>
            </w:r>
            <w:r>
              <w:rPr>
                <w:rFonts w:hint="eastAsia" w:ascii="宋体" w:hAnsi="宋体" w:eastAsia="宋体" w:cs="宋体"/>
                <w:sz w:val="18"/>
                <w:szCs w:val="18"/>
              </w:rPr>
              <w:t>□（跳至12题）</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tcBorders>
              <w:top w:val="single" w:color="auto" w:sz="2" w:space="0"/>
              <w:left w:val="nil"/>
              <w:bottom w:val="single" w:color="auto" w:sz="8" w:space="0"/>
              <w:right w:val="single" w:color="auto" w:sz="2" w:space="0"/>
            </w:tcBorders>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11</w:t>
            </w:r>
          </w:p>
        </w:tc>
        <w:tc>
          <w:tcPr>
            <w:tcW w:w="9212" w:type="dxa"/>
            <w:gridSpan w:val="4"/>
            <w:tcBorders>
              <w:top w:val="single" w:color="auto" w:sz="2" w:space="0"/>
              <w:left w:val="single" w:color="auto" w:sz="2" w:space="0"/>
              <w:bottom w:val="single" w:color="auto" w:sz="8" w:space="0"/>
              <w:right w:val="nil"/>
            </w:tcBorders>
            <w:noWrap w:val="0"/>
            <w:vAlign w:val="center"/>
          </w:tcPr>
          <w:tbl>
            <w:tblPr>
              <w:tblStyle w:val="31"/>
              <w:tblW w:w="9241" w:type="dxa"/>
              <w:tblInd w:w="5"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42"/>
              <w:gridCol w:w="630"/>
              <w:gridCol w:w="540"/>
              <w:gridCol w:w="870"/>
              <w:gridCol w:w="870"/>
              <w:gridCol w:w="915"/>
              <w:gridCol w:w="874"/>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542" w:type="dxa"/>
                  <w:vMerge w:val="restart"/>
                  <w:noWrap w:val="0"/>
                  <w:vAlign w:val="center"/>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6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计量单位</w:t>
                  </w:r>
                </w:p>
              </w:tc>
              <w:tc>
                <w:tcPr>
                  <w:tcW w:w="54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代码</w:t>
                  </w:r>
                </w:p>
              </w:tc>
              <w:tc>
                <w:tcPr>
                  <w:tcW w:w="1740" w:type="dxa"/>
                  <w:gridSpan w:val="2"/>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商品</w:t>
                  </w:r>
                </w:p>
              </w:tc>
              <w:tc>
                <w:tcPr>
                  <w:tcW w:w="1789" w:type="dxa"/>
                  <w:gridSpan w:val="2"/>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服务</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542" w:type="dxa"/>
                  <w:vMerge w:val="continue"/>
                  <w:noWrap w:val="0"/>
                  <w:vAlign w:val="top"/>
                </w:tcPr>
                <w:p>
                  <w:pPr>
                    <w:snapToGrid w:val="0"/>
                    <w:spacing w:line="240" w:lineRule="exact"/>
                    <w:jc w:val="center"/>
                    <w:rPr>
                      <w:rFonts w:hint="eastAsia" w:ascii="宋体" w:hAnsi="宋体" w:eastAsia="宋体" w:cs="宋体"/>
                      <w:sz w:val="18"/>
                      <w:szCs w:val="18"/>
                    </w:rPr>
                  </w:pPr>
                </w:p>
              </w:tc>
              <w:tc>
                <w:tcPr>
                  <w:tcW w:w="630" w:type="dxa"/>
                  <w:vMerge w:val="continue"/>
                  <w:noWrap w:val="0"/>
                  <w:vAlign w:val="top"/>
                </w:tcPr>
                <w:p>
                  <w:pPr>
                    <w:snapToGrid w:val="0"/>
                    <w:spacing w:line="240" w:lineRule="exact"/>
                    <w:jc w:val="center"/>
                    <w:rPr>
                      <w:rFonts w:hint="eastAsia" w:ascii="宋体" w:hAnsi="宋体" w:eastAsia="宋体" w:cs="宋体"/>
                      <w:sz w:val="18"/>
                      <w:szCs w:val="18"/>
                    </w:rPr>
                  </w:pPr>
                </w:p>
              </w:tc>
              <w:tc>
                <w:tcPr>
                  <w:tcW w:w="540" w:type="dxa"/>
                  <w:vMerge w:val="continue"/>
                  <w:noWrap w:val="0"/>
                  <w:vAlign w:val="top"/>
                </w:tcPr>
                <w:p>
                  <w:pPr>
                    <w:snapToGrid w:val="0"/>
                    <w:spacing w:line="240" w:lineRule="exact"/>
                    <w:jc w:val="center"/>
                    <w:rPr>
                      <w:rFonts w:hint="eastAsia" w:ascii="宋体" w:hAnsi="宋体" w:eastAsia="宋体" w:cs="宋体"/>
                      <w:sz w:val="18"/>
                      <w:szCs w:val="18"/>
                    </w:rPr>
                  </w:pPr>
                </w:p>
              </w:tc>
              <w:tc>
                <w:tcPr>
                  <w:tcW w:w="87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本年</w:t>
                  </w:r>
                </w:p>
              </w:tc>
              <w:tc>
                <w:tcPr>
                  <w:tcW w:w="87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上年</w:t>
                  </w:r>
                </w:p>
              </w:tc>
              <w:tc>
                <w:tcPr>
                  <w:tcW w:w="915"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本年</w:t>
                  </w:r>
                </w:p>
              </w:tc>
              <w:tc>
                <w:tcPr>
                  <w:tcW w:w="874"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上年</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542"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630" w:type="dxa"/>
                  <w:noWrap w:val="0"/>
                  <w:vAlign w:val="top"/>
                </w:tcPr>
                <w:p>
                  <w:pPr>
                    <w:snapToGrid w:val="0"/>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rPr>
                    <w:t>乙</w:t>
                  </w:r>
                </w:p>
              </w:tc>
              <w:tc>
                <w:tcPr>
                  <w:tcW w:w="54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丙</w:t>
                  </w:r>
                </w:p>
              </w:tc>
              <w:tc>
                <w:tcPr>
                  <w:tcW w:w="87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870"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915"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874" w:type="dxa"/>
                  <w:noWrap w:val="0"/>
                  <w:vAlign w:val="top"/>
                </w:tcPr>
                <w:p>
                  <w:pPr>
                    <w:snapToGrid w:val="0"/>
                    <w:spacing w:line="240" w:lineRule="exact"/>
                    <w:jc w:val="center"/>
                    <w:rPr>
                      <w:rFonts w:hint="eastAsia" w:ascii="宋体" w:hAnsi="宋体" w:eastAsia="宋体" w:cs="宋体"/>
                      <w:sz w:val="18"/>
                      <w:szCs w:val="18"/>
                    </w:rPr>
                  </w:pPr>
                  <w:r>
                    <w:rPr>
                      <w:rFonts w:hint="eastAsia" w:ascii="宋体" w:hAnsi="宋体" w:eastAsia="宋体" w:cs="宋体"/>
                      <w:sz w:val="18"/>
                      <w:szCs w:val="18"/>
                    </w:rPr>
                    <w:t>4</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542" w:type="dxa"/>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EDI类型的商品或服务销售额（包含增值税）</w:t>
                  </w:r>
                </w:p>
              </w:tc>
              <w:tc>
                <w:tcPr>
                  <w:tcW w:w="630" w:type="dxa"/>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千元</w:t>
                  </w:r>
                </w:p>
              </w:tc>
              <w:tc>
                <w:tcPr>
                  <w:tcW w:w="540" w:type="dxa"/>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a</w:t>
                  </w:r>
                </w:p>
              </w:tc>
              <w:tc>
                <w:tcPr>
                  <w:tcW w:w="870" w:type="dxa"/>
                  <w:tcBorders>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70" w:type="dxa"/>
                  <w:tcBorders>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915" w:type="dxa"/>
                  <w:tcBorders>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74" w:type="dxa"/>
                  <w:tcBorders>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542"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其中：EDI类型的面向境外商品或服务销售额</w:t>
                  </w:r>
                </w:p>
              </w:tc>
              <w:tc>
                <w:tcPr>
                  <w:tcW w:w="63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千元</w:t>
                  </w:r>
                </w:p>
              </w:tc>
              <w:tc>
                <w:tcPr>
                  <w:tcW w:w="54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b</w:t>
                  </w:r>
                </w:p>
              </w:tc>
              <w:tc>
                <w:tcPr>
                  <w:tcW w:w="870"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91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74" w:type="dxa"/>
                  <w:tcBorders>
                    <w:top w:val="nil"/>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542"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EDI类型的商品或服务采购额（包含增值税）</w:t>
                  </w:r>
                </w:p>
              </w:tc>
              <w:tc>
                <w:tcPr>
                  <w:tcW w:w="63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千元</w:t>
                  </w:r>
                </w:p>
              </w:tc>
              <w:tc>
                <w:tcPr>
                  <w:tcW w:w="54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c</w:t>
                  </w:r>
                </w:p>
              </w:tc>
              <w:tc>
                <w:tcPr>
                  <w:tcW w:w="870"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7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91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74" w:type="dxa"/>
                  <w:tcBorders>
                    <w:top w:val="nil"/>
                    <w:left w:val="nil"/>
                    <w:bottom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4542"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其中：EDI类型的面向境外商品或服务采购额</w:t>
                  </w:r>
                </w:p>
              </w:tc>
              <w:tc>
                <w:tcPr>
                  <w:tcW w:w="630"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千元</w:t>
                  </w:r>
                </w:p>
              </w:tc>
              <w:tc>
                <w:tcPr>
                  <w:tcW w:w="540"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d</w:t>
                  </w:r>
                </w:p>
              </w:tc>
              <w:tc>
                <w:tcPr>
                  <w:tcW w:w="870" w:type="dxa"/>
                  <w:tcBorders>
                    <w:top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70" w:type="dxa"/>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915" w:type="dxa"/>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c>
                <w:tcPr>
                  <w:tcW w:w="874" w:type="dxa"/>
                  <w:tcBorders>
                    <w:top w:val="nil"/>
                    <w:lef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sz w:val="18"/>
                      <w:szCs w:val="18"/>
                    </w:rPr>
                  </w:pPr>
                </w:p>
              </w:tc>
            </w:tr>
          </w:tbl>
          <w:p>
            <w:pPr>
              <w:snapToGrid w:val="0"/>
              <w:spacing w:line="240" w:lineRule="exact"/>
              <w:ind w:firstLine="90" w:firstLineChars="50"/>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exact"/>
        <w:ind w:left="63" w:leftChars="30"/>
        <w:textAlignment w:val="auto"/>
        <w:rPr>
          <w:rFonts w:hint="eastAsia" w:ascii="宋体" w:hAnsi="宋体" w:eastAsia="宋体" w:cs="宋体"/>
        </w:rPr>
      </w:pPr>
      <w:r>
        <w:rPr>
          <w:rFonts w:hint="eastAsia" w:ascii="宋体" w:hAnsi="宋体" w:eastAsia="宋体" w:cs="宋体"/>
          <w:sz w:val="18"/>
          <w:szCs w:val="21"/>
          <w:lang w:eastAsia="zh-CN"/>
        </w:rPr>
        <w:br w:type="page"/>
      </w:r>
      <w:r>
        <w:rPr>
          <w:rFonts w:hint="eastAsia" w:ascii="宋体" w:hAnsi="宋体" w:eastAsia="宋体" w:cs="宋体"/>
          <w:sz w:val="18"/>
          <w:szCs w:val="21"/>
          <w:lang w:eastAsia="zh-CN"/>
        </w:rPr>
        <w:t>续表</w:t>
      </w:r>
    </w:p>
    <w:tbl>
      <w:tblPr>
        <w:tblStyle w:val="31"/>
        <w:tblW w:w="9614"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02"/>
        <w:gridCol w:w="9212"/>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775" w:hRule="atLeast"/>
          <w:jc w:val="center"/>
        </w:trPr>
        <w:tc>
          <w:tcPr>
            <w:tcW w:w="402" w:type="dxa"/>
            <w:tcBorders>
              <w:top w:val="single" w:color="auto" w:sz="8" w:space="0"/>
            </w:tcBorders>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12</w:t>
            </w:r>
          </w:p>
        </w:tc>
        <w:tc>
          <w:tcPr>
            <w:tcW w:w="9212" w:type="dxa"/>
            <w:tcBorders>
              <w:top w:val="single" w:color="auto" w:sz="8" w:space="0"/>
            </w:tcBorders>
            <w:noWrap w:val="0"/>
            <w:vAlign w:val="center"/>
          </w:tcPr>
          <w:p>
            <w:pPr>
              <w:snapToGrid w:val="0"/>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贵企业使用以下哪些云计算服务（不包括免费服务）（可多选）？</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 xml:space="preserve">1 电子邮件   □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2 办公软件   □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3</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金融或财务软件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企业资源规划（ERP）软件 </w:t>
            </w:r>
            <w:r>
              <w:rPr>
                <w:rFonts w:hint="eastAsia" w:ascii="宋体" w:hAnsi="宋体" w:eastAsia="宋体" w:cs="宋体"/>
                <w:sz w:val="18"/>
                <w:szCs w:val="18"/>
                <w:lang w:val="en"/>
              </w:rPr>
              <w:t xml:space="preserve">      </w:t>
            </w:r>
            <w:r>
              <w:rPr>
                <w:rFonts w:hint="eastAsia" w:ascii="宋体" w:hAnsi="宋体" w:eastAsia="宋体" w:cs="宋体"/>
                <w:w w:val="105"/>
                <w:sz w:val="18"/>
                <w:szCs w:val="18"/>
                <w:lang w:val="en"/>
              </w:rPr>
              <w:t xml:space="preserve">    </w:t>
            </w:r>
            <w:r>
              <w:rPr>
                <w:rFonts w:hint="eastAsia" w:ascii="宋体" w:hAnsi="宋体" w:eastAsia="宋体" w:cs="宋体"/>
                <w:sz w:val="18"/>
                <w:szCs w:val="18"/>
                <w:lang w:val="en"/>
              </w:rPr>
              <w:t xml:space="preserve">       </w:t>
            </w:r>
            <w:r>
              <w:rPr>
                <w:rFonts w:hint="eastAsia" w:ascii="宋体" w:hAnsi="宋体" w:eastAsia="宋体" w:cs="宋体"/>
                <w:w w:val="110"/>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5 客户关系管理软件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 xml:space="preserve">6 安全软件，如：防病毒软件、网络访问控制软件   □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7 数据库服务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 xml:space="preserve">8 文件云存储服务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9 借助网络算力运行公司自有软件</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p>
          <w:p>
            <w:pPr>
              <w:snapToGrid w:val="0"/>
              <w:spacing w:line="240" w:lineRule="exact"/>
              <w:ind w:firstLine="90" w:firstLineChars="50"/>
              <w:jc w:val="distribute"/>
              <w:rPr>
                <w:rFonts w:hint="eastAsia" w:ascii="宋体" w:hAnsi="宋体" w:eastAsia="宋体" w:cs="宋体"/>
                <w:sz w:val="18"/>
                <w:szCs w:val="18"/>
              </w:rPr>
            </w:pPr>
            <w:r>
              <w:rPr>
                <w:rFonts w:hint="eastAsia" w:ascii="宋体" w:hAnsi="宋体" w:eastAsia="宋体" w:cs="宋体"/>
                <w:sz w:val="18"/>
                <w:szCs w:val="18"/>
              </w:rPr>
              <w:t xml:space="preserve"> 10 为应用程序开发、测试和部署提供托管环境，如：可复用软件模块、应用程序编程接口                □ </w:t>
            </w:r>
          </w:p>
          <w:p>
            <w:pPr>
              <w:snapToGrid w:val="0"/>
              <w:spacing w:line="240" w:lineRule="exact"/>
              <w:ind w:firstLine="90" w:firstLineChars="50"/>
              <w:jc w:val="distribute"/>
              <w:rPr>
                <w:rFonts w:hint="eastAsia" w:ascii="宋体" w:hAnsi="宋体" w:eastAsia="宋体" w:cs="宋体"/>
                <w:sz w:val="16"/>
                <w:szCs w:val="16"/>
              </w:rPr>
            </w:pPr>
            <w:r>
              <w:rPr>
                <w:rFonts w:hint="eastAsia" w:ascii="宋体" w:hAnsi="宋体" w:eastAsia="宋体" w:cs="宋体"/>
                <w:sz w:val="18"/>
                <w:szCs w:val="18"/>
              </w:rPr>
              <w:t xml:space="preserve"> 11 其他</w:t>
            </w:r>
            <w:r>
              <w:rPr>
                <w:rFonts w:hint="eastAsia" w:ascii="宋体" w:hAnsi="宋体" w:eastAsia="宋体" w:cs="宋体"/>
                <w:sz w:val="18"/>
                <w:szCs w:val="18"/>
                <w:u w:val="single"/>
              </w:rPr>
              <w:t xml:space="preserve"> </w:t>
            </w:r>
            <w:r>
              <w:rPr>
                <w:rFonts w:hint="eastAsia" w:ascii="宋体" w:hAnsi="宋体" w:eastAsia="宋体" w:cs="宋体"/>
                <w:b/>
                <w:bCs/>
                <w:sz w:val="18"/>
                <w:szCs w:val="18"/>
                <w:u w:val="single"/>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12 无        </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     </w:t>
            </w:r>
            <w:r>
              <w:rPr>
                <w:rFonts w:hint="eastAsia" w:ascii="宋体" w:hAnsi="宋体" w:eastAsia="宋体" w:cs="宋体"/>
                <w:sz w:val="18"/>
                <w:szCs w:val="18"/>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05" w:hRule="atLeast"/>
          <w:jc w:val="center"/>
        </w:trPr>
        <w:tc>
          <w:tcPr>
            <w:tcW w:w="402" w:type="dxa"/>
            <w:noWrap w:val="0"/>
            <w:vAlign w:val="center"/>
          </w:tcPr>
          <w:p>
            <w:pPr>
              <w:snapToGrid w:val="0"/>
              <w:jc w:val="center"/>
              <w:rPr>
                <w:rFonts w:hint="eastAsia" w:ascii="宋体" w:hAnsi="宋体" w:eastAsia="宋体" w:cs="宋体"/>
                <w:b/>
                <w:bCs/>
              </w:rPr>
            </w:pPr>
            <w:r>
              <w:rPr>
                <w:rFonts w:hint="eastAsia" w:ascii="宋体" w:hAnsi="宋体" w:eastAsia="宋体" w:cs="宋体"/>
                <w:b/>
                <w:bCs/>
                <w:sz w:val="18"/>
                <w:szCs w:val="18"/>
              </w:rPr>
              <w:t>13</w:t>
            </w:r>
          </w:p>
        </w:tc>
        <w:tc>
          <w:tcPr>
            <w:tcW w:w="9212" w:type="dxa"/>
            <w:noWrap w:val="0"/>
            <w:vAlign w:val="center"/>
          </w:tcPr>
          <w:p>
            <w:pPr>
              <w:snapToGrid w:val="0"/>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贵企业在以下哪些方面使用物联网（通过互联网进行监控或者遥控的互联设备或者系统）（可多选）？</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1 能源消耗管理，如：使用智能计量器、智能温度计、智能路灯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 xml:space="preserve">2 营业场所的安全监控，如：使用智能报警系统、智能烟雾探测器、智能门锁、智能摄像头               □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3 生产管理，如：通过互联网传递信息的各类传感器、</w:t>
            </w:r>
            <w:r>
              <w:rPr>
                <w:rFonts w:hint="eastAsia" w:ascii="宋体" w:hAnsi="宋体" w:eastAsia="宋体" w:cs="宋体"/>
                <w:sz w:val="18"/>
                <w:szCs w:val="18"/>
                <w:lang w:val="en"/>
              </w:rPr>
              <w:t>RFID</w:t>
            </w:r>
            <w:r>
              <w:rPr>
                <w:rFonts w:hint="eastAsia" w:ascii="宋体" w:hAnsi="宋体" w:eastAsia="宋体" w:cs="宋体"/>
                <w:sz w:val="18"/>
                <w:szCs w:val="18"/>
              </w:rPr>
              <w:t>标签，用于监测生产流程或者促进生产自动化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4 物流管理，如：库房管理中使用的各类传感器、</w:t>
            </w:r>
            <w:r>
              <w:rPr>
                <w:rFonts w:hint="eastAsia" w:ascii="宋体" w:hAnsi="宋体" w:eastAsia="宋体" w:cs="宋体"/>
                <w:sz w:val="18"/>
                <w:szCs w:val="18"/>
                <w:lang w:val="en"/>
              </w:rPr>
              <w:t>RFID</w:t>
            </w:r>
            <w:r>
              <w:rPr>
                <w:rFonts w:hint="eastAsia" w:ascii="宋体" w:hAnsi="宋体" w:eastAsia="宋体" w:cs="宋体"/>
                <w:sz w:val="18"/>
                <w:szCs w:val="18"/>
              </w:rPr>
              <w:t xml:space="preserve">标签，用以跟踪产品以及运输车辆                □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5 设备运转维护，如：通过互联网传递信息的各类传感器，用以监测机器或者车辆的运转情况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6 客户服务，如：使用智慧摄像头或者传感器，用以记录消费者行为以及提供个性化购物体验             □</w:t>
            </w:r>
          </w:p>
          <w:p>
            <w:pPr>
              <w:widowControl/>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7</w:t>
            </w:r>
            <w:r>
              <w:rPr>
                <w:rFonts w:hint="eastAsia" w:ascii="宋体" w:hAnsi="宋体" w:eastAsia="宋体" w:cs="宋体"/>
                <w:w w:val="80"/>
                <w:sz w:val="18"/>
                <w:szCs w:val="18"/>
              </w:rPr>
              <w:t xml:space="preserve"> </w:t>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8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282"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14</w:t>
            </w:r>
          </w:p>
        </w:tc>
        <w:tc>
          <w:tcPr>
            <w:tcW w:w="9212" w:type="dxa"/>
            <w:noWrap w:val="0"/>
            <w:vAlign w:val="center"/>
          </w:tcPr>
          <w:p>
            <w:pPr>
              <w:snapToGrid w:val="0"/>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贵企业使用以下哪些人工智能技术（可多选）？</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1文本分析和挖掘         □    2 语音识别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             3 文字或者语音生成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4图像识别               □    5 利用人工智能机器人开展的业务流程优化或者决策辅助技术              □</w:t>
            </w:r>
          </w:p>
          <w:p>
            <w:pPr>
              <w:snapToGrid w:val="0"/>
              <w:spacing w:line="240" w:lineRule="exact"/>
              <w:rPr>
                <w:rFonts w:hint="eastAsia" w:ascii="宋体" w:hAnsi="宋体" w:eastAsia="宋体" w:cs="宋体"/>
                <w:sz w:val="16"/>
                <w:szCs w:val="16"/>
              </w:rPr>
            </w:pPr>
            <w:r>
              <w:rPr>
                <w:rFonts w:hint="eastAsia" w:ascii="宋体" w:hAnsi="宋体" w:eastAsia="宋体" w:cs="宋体"/>
                <w:sz w:val="18"/>
                <w:szCs w:val="18"/>
              </w:rPr>
              <w:t xml:space="preserve">  6机器学习与数据挖掘  </w:t>
            </w:r>
            <w:r>
              <w:rPr>
                <w:rFonts w:hint="eastAsia" w:ascii="宋体" w:hAnsi="宋体" w:eastAsia="宋体" w:cs="宋体"/>
                <w:w w:val="90"/>
                <w:sz w:val="18"/>
                <w:szCs w:val="18"/>
              </w:rPr>
              <w:t xml:space="preserve">  </w:t>
            </w:r>
            <w:r>
              <w:rPr>
                <w:rFonts w:hint="eastAsia" w:ascii="宋体" w:hAnsi="宋体" w:eastAsia="宋体" w:cs="宋体"/>
                <w:sz w:val="18"/>
                <w:szCs w:val="18"/>
              </w:rPr>
              <w:t xml:space="preserve"> □    7 无人驾驶技术，如智能机器人、自动驾驶、无人飞机                    □</w:t>
            </w:r>
            <w:r>
              <w:rPr>
                <w:rFonts w:hint="eastAsia" w:ascii="宋体" w:hAnsi="宋体" w:eastAsia="宋体" w:cs="宋体"/>
                <w:sz w:val="16"/>
                <w:szCs w:val="16"/>
              </w:rPr>
              <w:t xml:space="preserve"> </w:t>
            </w:r>
          </w:p>
          <w:p>
            <w:pPr>
              <w:widowControl/>
              <w:snapToGrid w:val="0"/>
              <w:spacing w:line="240" w:lineRule="exact"/>
              <w:jc w:val="left"/>
              <w:rPr>
                <w:rFonts w:hint="eastAsia" w:ascii="宋体" w:hAnsi="宋体" w:eastAsia="宋体" w:cs="宋体"/>
                <w:sz w:val="18"/>
                <w:szCs w:val="18"/>
              </w:rPr>
            </w:pPr>
            <w:r>
              <w:rPr>
                <w:rFonts w:hint="eastAsia" w:ascii="宋体" w:hAnsi="宋体" w:eastAsia="宋体" w:cs="宋体"/>
                <w:sz w:val="18"/>
                <w:szCs w:val="18"/>
              </w:rPr>
              <w:t xml:space="preserve">  8其他</w:t>
            </w:r>
            <w:r>
              <w:rPr>
                <w:rFonts w:hint="eastAsia" w:ascii="宋体" w:hAnsi="宋体" w:eastAsia="宋体" w:cs="宋体"/>
                <w:sz w:val="18"/>
                <w:szCs w:val="18"/>
                <w:u w:val="single"/>
              </w:rPr>
              <w:t xml:space="preserve">                 </w:t>
            </w:r>
            <w:r>
              <w:rPr>
                <w:rFonts w:hint="eastAsia" w:ascii="宋体" w:hAnsi="宋体" w:eastAsia="宋体" w:cs="宋体"/>
                <w:w w:val="90"/>
                <w:sz w:val="18"/>
                <w:szCs w:val="18"/>
              </w:rPr>
              <w:t xml:space="preserve"> </w:t>
            </w:r>
            <w:r>
              <w:rPr>
                <w:rFonts w:hint="eastAsia" w:ascii="宋体" w:hAnsi="宋体" w:eastAsia="宋体" w:cs="宋体"/>
                <w:w w:val="90"/>
                <w:sz w:val="18"/>
                <w:szCs w:val="18"/>
                <w:lang w:val="en-US" w:eastAsia="zh-CN"/>
              </w:rPr>
              <w:t xml:space="preserve"> </w:t>
            </w:r>
            <w:r>
              <w:rPr>
                <w:rFonts w:hint="eastAsia" w:ascii="宋体" w:hAnsi="宋体" w:eastAsia="宋体" w:cs="宋体"/>
                <w:sz w:val="18"/>
                <w:szCs w:val="18"/>
              </w:rPr>
              <w:t xml:space="preserve">□    9 无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22"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15</w:t>
            </w:r>
          </w:p>
        </w:tc>
        <w:tc>
          <w:tcPr>
            <w:tcW w:w="9212" w:type="dxa"/>
            <w:noWrap w:val="0"/>
            <w:vAlign w:val="center"/>
          </w:tcPr>
          <w:p>
            <w:pPr>
              <w:snapToGrid w:val="0"/>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贵企业使用人工智能软件或者系统开展了以下哪些业务（可多选）？</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1 市场营销或者产品销售，如：智能客服、客户画像、最优定价、个性化推广、市场分析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 xml:space="preserve">2 生产流程管理，如：残次品自动筛选、自动化生产线、使用智能无人机进行生产监管和安全监测         □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3 企业办公管理，如：商业虚拟助手、用语音文本转换起草文件、机器翻译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4 企业决策管理，如：数据分析以及投资决策辅助、销售或者商业预测、风险管理                       □</w:t>
            </w:r>
          </w:p>
          <w:p>
            <w:pPr>
              <w:snapToGrid w:val="0"/>
              <w:spacing w:line="240" w:lineRule="exact"/>
              <w:jc w:val="distribute"/>
              <w:rPr>
                <w:rFonts w:hint="eastAsia" w:ascii="宋体" w:hAnsi="宋体" w:eastAsia="宋体" w:cs="宋体"/>
                <w:sz w:val="18"/>
                <w:szCs w:val="18"/>
              </w:rPr>
            </w:pPr>
            <w:r>
              <w:rPr>
                <w:rFonts w:hint="eastAsia" w:ascii="宋体" w:hAnsi="宋体" w:eastAsia="宋体" w:cs="宋体"/>
                <w:sz w:val="18"/>
                <w:szCs w:val="18"/>
              </w:rPr>
              <w:t xml:space="preserve">  5 物流管理，如：最优路线规划，机器人挑选打包服务，对包裹进行跟踪、分类，智能无人机投递         □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6 信息网络安全防护，如：用户面部识别和授权、网络攻击识别和预防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 xml:space="preserve">7人力资源管理，如：应聘者识别挑选、自动化聘用、员工分类和表现分析、用于人员管理的聊天机器人   □ </w:t>
            </w:r>
          </w:p>
          <w:p>
            <w:pPr>
              <w:snapToGrid w:val="0"/>
              <w:spacing w:line="240" w:lineRule="exact"/>
              <w:ind w:firstLine="180" w:firstLineChars="100"/>
              <w:jc w:val="distribute"/>
              <w:rPr>
                <w:rFonts w:hint="eastAsia" w:ascii="宋体" w:hAnsi="宋体" w:eastAsia="宋体" w:cs="宋体"/>
                <w:sz w:val="18"/>
                <w:szCs w:val="18"/>
              </w:rPr>
            </w:pPr>
            <w:r>
              <w:rPr>
                <w:rFonts w:hint="eastAsia" w:ascii="宋体" w:hAnsi="宋体" w:eastAsia="宋体" w:cs="宋体"/>
                <w:sz w:val="18"/>
                <w:szCs w:val="18"/>
              </w:rPr>
              <w:t>8 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w w:val="90"/>
                <w:sz w:val="18"/>
                <w:szCs w:val="18"/>
                <w:lang w:val="en-US" w:eastAsia="zh-CN"/>
              </w:rPr>
              <w:t xml:space="preserve">  </w:t>
            </w:r>
            <w:r>
              <w:rPr>
                <w:rFonts w:hint="eastAsia" w:ascii="宋体" w:hAnsi="宋体" w:eastAsia="宋体" w:cs="宋体"/>
                <w:sz w:val="18"/>
                <w:szCs w:val="18"/>
              </w:rPr>
              <w:t xml:space="preserve">□             9 无                           □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242" w:hRule="atLeast"/>
          <w:jc w:val="center"/>
        </w:trPr>
        <w:tc>
          <w:tcPr>
            <w:tcW w:w="402" w:type="dxa"/>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16</w:t>
            </w:r>
          </w:p>
        </w:tc>
        <w:tc>
          <w:tcPr>
            <w:tcW w:w="9212" w:type="dxa"/>
            <w:noWrap w:val="0"/>
            <w:vAlign w:val="center"/>
          </w:tcPr>
          <w:p>
            <w:pPr>
              <w:snapToGrid w:val="0"/>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贵企业使用的人工智能软件或者系统是如何获取的（可多选）？</w:t>
            </w:r>
          </w:p>
          <w:p>
            <w:pPr>
              <w:snapToGrid w:val="0"/>
              <w:spacing w:line="240" w:lineRule="exact"/>
              <w:jc w:val="distribute"/>
              <w:rPr>
                <w:rFonts w:hint="eastAsia" w:ascii="宋体" w:hAnsi="宋体" w:eastAsia="宋体" w:cs="宋体"/>
                <w:sz w:val="18"/>
                <w:szCs w:val="18"/>
              </w:rPr>
            </w:pPr>
            <w:r>
              <w:rPr>
                <w:rFonts w:hint="eastAsia" w:ascii="宋体" w:hAnsi="宋体" w:eastAsia="宋体" w:cs="宋体"/>
                <w:sz w:val="18"/>
                <w:szCs w:val="18"/>
              </w:rPr>
              <w:t xml:space="preserve">  1 员工开发，包括母公司或者产业活动单位的员工    □  2 经过员工修改过的商业软件或者系统          □</w:t>
            </w:r>
          </w:p>
          <w:p>
            <w:pPr>
              <w:snapToGrid w:val="0"/>
              <w:spacing w:line="240" w:lineRule="exact"/>
              <w:jc w:val="distribute"/>
              <w:rPr>
                <w:rFonts w:hint="eastAsia" w:ascii="宋体" w:hAnsi="宋体" w:eastAsia="宋体" w:cs="宋体"/>
                <w:sz w:val="18"/>
                <w:szCs w:val="18"/>
              </w:rPr>
            </w:pPr>
            <w:r>
              <w:rPr>
                <w:rFonts w:hint="eastAsia" w:ascii="宋体" w:hAnsi="宋体" w:eastAsia="宋体" w:cs="宋体"/>
                <w:sz w:val="18"/>
                <w:szCs w:val="18"/>
              </w:rPr>
              <w:t xml:space="preserve">  3 经过员工开发过的开源软件                   </w:t>
            </w:r>
            <w:r>
              <w:rPr>
                <w:rFonts w:hint="eastAsia" w:ascii="宋体" w:hAnsi="宋体" w:eastAsia="宋体" w:cs="宋体"/>
                <w:w w:val="66"/>
                <w:sz w:val="18"/>
                <w:szCs w:val="18"/>
              </w:rPr>
              <w:t xml:space="preserve">  </w:t>
            </w:r>
            <w:r>
              <w:rPr>
                <w:rFonts w:hint="eastAsia" w:ascii="宋体" w:hAnsi="宋体" w:eastAsia="宋体" w:cs="宋体"/>
                <w:sz w:val="18"/>
                <w:szCs w:val="18"/>
              </w:rPr>
              <w:t xml:space="preserve"> □  4 购买后直接使用的商业软件或者系统          □</w:t>
            </w:r>
          </w:p>
          <w:p>
            <w:pPr>
              <w:snapToGrid w:val="0"/>
              <w:spacing w:line="240" w:lineRule="exact"/>
              <w:jc w:val="distribute"/>
              <w:rPr>
                <w:rFonts w:hint="eastAsia" w:ascii="宋体" w:hAnsi="宋体" w:eastAsia="宋体" w:cs="宋体"/>
                <w:sz w:val="18"/>
                <w:szCs w:val="18"/>
              </w:rPr>
            </w:pPr>
            <w:r>
              <w:rPr>
                <w:rFonts w:hint="eastAsia" w:ascii="宋体" w:hAnsi="宋体" w:eastAsia="宋体" w:cs="宋体"/>
                <w:sz w:val="18"/>
                <w:szCs w:val="18"/>
              </w:rPr>
              <w:t xml:space="preserve">  5 从外部采购的相关服务                          □  6 其他</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7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795" w:hRule="atLeast"/>
          <w:jc w:val="center"/>
        </w:trPr>
        <w:tc>
          <w:tcPr>
            <w:tcW w:w="402" w:type="dxa"/>
            <w:tcBorders>
              <w:bottom w:val="single" w:color="auto" w:sz="8" w:space="0"/>
            </w:tcBorders>
            <w:noWrap w:val="0"/>
            <w:vAlign w:val="center"/>
          </w:tcPr>
          <w:p>
            <w:pPr>
              <w:snapToGrid w:val="0"/>
              <w:spacing w:line="240" w:lineRule="exact"/>
              <w:jc w:val="center"/>
              <w:rPr>
                <w:rFonts w:hint="eastAsia" w:ascii="宋体" w:hAnsi="宋体" w:eastAsia="宋体" w:cs="宋体"/>
                <w:b/>
                <w:bCs/>
                <w:sz w:val="18"/>
                <w:szCs w:val="18"/>
              </w:rPr>
            </w:pPr>
            <w:r>
              <w:rPr>
                <w:rFonts w:hint="eastAsia" w:ascii="宋体" w:hAnsi="宋体" w:eastAsia="宋体" w:cs="宋体"/>
                <w:b/>
                <w:bCs/>
                <w:sz w:val="18"/>
                <w:szCs w:val="18"/>
              </w:rPr>
              <w:t>17</w:t>
            </w:r>
          </w:p>
        </w:tc>
        <w:tc>
          <w:tcPr>
            <w:tcW w:w="9212" w:type="dxa"/>
            <w:tcBorders>
              <w:bottom w:val="single" w:color="auto" w:sz="8" w:space="0"/>
            </w:tcBorders>
            <w:noWrap w:val="0"/>
            <w:vAlign w:val="center"/>
          </w:tcPr>
          <w:p>
            <w:pPr>
              <w:snapToGrid w:val="0"/>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贵企业在生产经营中应用了哪些工业互联网模式（可多选）？</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1智能化制造  □        2网络化协同   □         3服务化延伸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4个性化定制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5数字化管理  □        6平台化设计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         7无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r>
    </w:tbl>
    <w:p>
      <w:pPr>
        <w:keepNext w:val="0"/>
        <w:keepLines w:val="0"/>
        <w:pageBreakBefore w:val="0"/>
        <w:widowControl w:val="0"/>
        <w:kinsoku/>
        <w:wordWrap/>
        <w:overflowPunct/>
        <w:topLinePunct w:val="0"/>
        <w:autoSpaceDE/>
        <w:autoSpaceDN/>
        <w:bidi w:val="0"/>
        <w:adjustRightInd/>
        <w:snapToGrid/>
        <w:spacing w:before="32" w:beforeLines="10" w:line="240" w:lineRule="exact"/>
        <w:ind w:left="21" w:leftChars="10"/>
        <w:textAlignment w:val="auto"/>
        <w:rPr>
          <w:rFonts w:hint="eastAsia" w:ascii="宋体" w:hAnsi="宋体" w:eastAsia="宋体" w:cs="宋体"/>
          <w:spacing w:val="-2"/>
          <w:sz w:val="18"/>
          <w:szCs w:val="18"/>
        </w:rPr>
      </w:pPr>
      <w:r>
        <w:rPr>
          <w:rFonts w:hint="eastAsia" w:ascii="宋体" w:hAnsi="宋体" w:eastAsia="宋体" w:cs="宋体"/>
          <w:sz w:val="18"/>
          <w:szCs w:val="18"/>
        </w:rPr>
        <w:t xml:space="preserve">单位负责人：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统计负责人：</w:t>
      </w:r>
      <w:r>
        <w:rPr>
          <w:rFonts w:hint="eastAsia" w:ascii="宋体" w:hAnsi="宋体" w:eastAsia="宋体" w:cs="宋体"/>
          <w:spacing w:val="-2"/>
          <w:sz w:val="18"/>
          <w:szCs w:val="18"/>
        </w:rPr>
        <w:t xml:space="preserve"> 　</w:t>
      </w:r>
      <w:r>
        <w:rPr>
          <w:rFonts w:hint="eastAsia" w:ascii="宋体" w:hAnsi="宋体" w:eastAsia="宋体" w:cs="宋体"/>
          <w:spacing w:val="-2"/>
          <w:sz w:val="18"/>
          <w:szCs w:val="18"/>
          <w:lang w:val="en-US" w:eastAsia="zh-CN"/>
        </w:rPr>
        <w:t xml:space="preserve">  </w:t>
      </w:r>
      <w:r>
        <w:rPr>
          <w:rFonts w:hint="eastAsia" w:ascii="宋体" w:hAnsi="宋体" w:eastAsia="宋体" w:cs="宋体"/>
          <w:spacing w:val="-2"/>
          <w:sz w:val="18"/>
          <w:szCs w:val="18"/>
        </w:rPr>
        <w:t>　填表人：</w:t>
      </w:r>
      <w:r>
        <w:rPr>
          <w:rFonts w:hint="eastAsia" w:ascii="宋体" w:hAnsi="宋体" w:eastAsia="宋体" w:cs="宋体"/>
          <w:spacing w:val="-2"/>
          <w:sz w:val="18"/>
          <w:szCs w:val="18"/>
          <w:lang w:val="en-US" w:eastAsia="zh-CN"/>
        </w:rPr>
        <w:t xml:space="preserve">  </w:t>
      </w:r>
      <w:r>
        <w:rPr>
          <w:rFonts w:hint="eastAsia" w:ascii="宋体" w:hAnsi="宋体" w:eastAsia="宋体" w:cs="宋体"/>
          <w:spacing w:val="-2"/>
          <w:sz w:val="18"/>
          <w:szCs w:val="18"/>
        </w:rPr>
        <w:t>　 　联系电话：　</w:t>
      </w:r>
      <w:r>
        <w:rPr>
          <w:rFonts w:hint="eastAsia" w:ascii="宋体" w:hAnsi="宋体" w:eastAsia="宋体" w:cs="宋体"/>
          <w:spacing w:val="-2"/>
          <w:sz w:val="18"/>
          <w:szCs w:val="18"/>
          <w:lang w:val="en-US" w:eastAsia="zh-CN"/>
        </w:rPr>
        <w:t xml:space="preserve">    </w:t>
      </w:r>
      <w:r>
        <w:rPr>
          <w:rFonts w:hint="eastAsia" w:ascii="宋体" w:hAnsi="宋体" w:eastAsia="宋体" w:cs="宋体"/>
          <w:spacing w:val="-2"/>
          <w:sz w:val="18"/>
          <w:szCs w:val="18"/>
        </w:rPr>
        <w:t>报出日期：</w:t>
      </w:r>
      <w:r>
        <w:rPr>
          <w:rFonts w:hint="eastAsia" w:ascii="宋体" w:hAnsi="宋体" w:eastAsia="宋体" w:cs="宋体"/>
          <w:spacing w:val="-2"/>
          <w:sz w:val="18"/>
          <w:szCs w:val="18"/>
          <w:lang w:val="en-US" w:eastAsia="zh-CN"/>
        </w:rPr>
        <w:t>2 0</w:t>
      </w:r>
      <w:r>
        <w:rPr>
          <w:rFonts w:hint="eastAsia" w:ascii="宋体" w:hAnsi="宋体" w:eastAsia="宋体" w:cs="宋体"/>
          <w:spacing w:val="-2"/>
          <w:sz w:val="18"/>
          <w:szCs w:val="18"/>
        </w:rPr>
        <w:t>　　年　月　日</w:t>
      </w:r>
    </w:p>
    <w:p>
      <w:pPr>
        <w:keepNext w:val="0"/>
        <w:keepLines w:val="0"/>
        <w:pageBreakBefore w:val="0"/>
        <w:widowControl w:val="0"/>
        <w:kinsoku/>
        <w:wordWrap/>
        <w:overflowPunct/>
        <w:topLinePunct w:val="0"/>
        <w:autoSpaceDE/>
        <w:autoSpaceDN/>
        <w:bidi w:val="0"/>
        <w:adjustRightInd/>
        <w:snapToGrid/>
        <w:spacing w:line="240" w:lineRule="exact"/>
        <w:ind w:left="1559" w:hanging="1559" w:hangingChars="886"/>
        <w:textAlignment w:val="auto"/>
        <w:rPr>
          <w:rFonts w:hint="eastAsia" w:ascii="宋体" w:hAnsi="宋体" w:eastAsia="宋体" w:cs="宋体"/>
          <w:spacing w:val="-2"/>
          <w:sz w:val="18"/>
          <w:szCs w:val="18"/>
        </w:rPr>
      </w:pPr>
    </w:p>
    <w:p/>
    <w:p>
      <w:pPr>
        <w:ind w:left="1559" w:hanging="1559" w:hangingChars="886"/>
        <w:rPr>
          <w:rFonts w:hint="eastAsia" w:ascii="Calibri Light" w:cs="Calibri Light"/>
          <w:color w:val="000000"/>
          <w:spacing w:val="-2"/>
          <w:sz w:val="18"/>
          <w:szCs w:val="18"/>
        </w:rPr>
      </w:pPr>
    </w:p>
    <w:p>
      <w:pPr>
        <w:ind w:left="1559" w:hanging="1559" w:hangingChars="886"/>
        <w:rPr>
          <w:rFonts w:ascii="宋体" w:hAnsi="宋体"/>
          <w:color w:val="000000"/>
          <w:sz w:val="18"/>
          <w:szCs w:val="18"/>
        </w:rPr>
      </w:pPr>
      <w:r>
        <w:rPr>
          <w:rFonts w:hint="eastAsia" w:ascii="Calibri Light" w:cs="Calibri Light"/>
          <w:color w:val="000000"/>
          <w:spacing w:val="-2"/>
          <w:sz w:val="18"/>
          <w:szCs w:val="18"/>
        </w:rPr>
        <w:t>说明：</w:t>
      </w:r>
      <w:r>
        <w:rPr>
          <w:rFonts w:hint="eastAsia" w:ascii="宋体" w:hAnsi="宋体" w:cs="Calibri Light"/>
          <w:color w:val="000000"/>
          <w:spacing w:val="-2"/>
          <w:sz w:val="18"/>
          <w:szCs w:val="18"/>
        </w:rPr>
        <w:t>1.统</w:t>
      </w:r>
      <w:r>
        <w:rPr>
          <w:rFonts w:hint="eastAsia" w:ascii="Calibri Light" w:cs="Calibri Light"/>
          <w:color w:val="000000"/>
          <w:spacing w:val="-2"/>
          <w:sz w:val="18"/>
          <w:szCs w:val="18"/>
        </w:rPr>
        <w:t>计范围：辖区内</w:t>
      </w:r>
      <w:r>
        <w:rPr>
          <w:rFonts w:hint="eastAsia" w:ascii="Calibri Light" w:cs="Calibri Light"/>
          <w:color w:val="000000"/>
          <w:spacing w:val="-2"/>
          <w:sz w:val="18"/>
          <w:szCs w:val="18"/>
          <w:lang w:eastAsia="zh-CN"/>
        </w:rPr>
        <w:t>规模以上服务业</w:t>
      </w:r>
      <w:r>
        <w:rPr>
          <w:rFonts w:hint="eastAsia" w:ascii="Calibri Light" w:cs="Calibri Light"/>
          <w:color w:val="000000"/>
          <w:spacing w:val="-2"/>
          <w:sz w:val="18"/>
          <w:szCs w:val="18"/>
        </w:rPr>
        <w:t>法人单位。</w:t>
      </w:r>
    </w:p>
    <w:p>
      <w:pPr>
        <w:ind w:left="2086" w:hanging="2085" w:hangingChars="1185"/>
        <w:rPr>
          <w:rFonts w:hint="eastAsia" w:ascii="宋体" w:hAnsi="宋体" w:cs="Calibri Light"/>
          <w:color w:val="000000"/>
          <w:spacing w:val="-2"/>
          <w:sz w:val="18"/>
          <w:szCs w:val="18"/>
        </w:rPr>
      </w:pPr>
      <w:r>
        <w:rPr>
          <w:rFonts w:hint="eastAsia" w:ascii="宋体" w:hAnsi="宋体" w:cs="Calibri Light"/>
          <w:color w:val="000000"/>
          <w:spacing w:val="-2"/>
          <w:sz w:val="18"/>
          <w:szCs w:val="18"/>
        </w:rPr>
        <w:t xml:space="preserve">      2.报送日期及方式：调查单位次年3月10日24时前独立自行网上填报；</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cs="宋体"/>
          <w:sz w:val="18"/>
          <w:szCs w:val="18"/>
        </w:rPr>
        <w:t>。</w:t>
      </w:r>
    </w:p>
    <w:p>
      <w:pPr>
        <w:pStyle w:val="9"/>
        <w:ind w:firstLine="0" w:firstLineChars="0"/>
        <w:jc w:val="center"/>
        <w:rPr>
          <w:rFonts w:hint="eastAsia" w:ascii="宋体" w:hAnsi="宋体" w:cs="宋体"/>
          <w:kern w:val="0"/>
          <w:sz w:val="18"/>
          <w:szCs w:val="18"/>
        </w:rPr>
      </w:pPr>
      <w:bookmarkStart w:id="275" w:name="_Toc59093491"/>
    </w:p>
    <w:p>
      <w:pPr>
        <w:autoSpaceDE w:val="0"/>
        <w:autoSpaceDN w:val="0"/>
        <w:adjustRightInd w:val="0"/>
        <w:ind w:left="1033" w:leftChars="492"/>
        <w:jc w:val="left"/>
        <w:rPr>
          <w:rFonts w:hint="eastAsia" w:ascii="宋体" w:hAnsi="宋体" w:cs="宋体"/>
          <w:kern w:val="0"/>
          <w:sz w:val="18"/>
          <w:szCs w:val="18"/>
        </w:rPr>
      </w:pPr>
    </w:p>
    <w:bookmarkEnd w:id="275"/>
    <w:p>
      <w:pPr>
        <w:tabs>
          <w:tab w:val="center" w:pos="4706"/>
          <w:tab w:val="left" w:pos="5165"/>
        </w:tabs>
        <w:snapToGrid w:val="0"/>
        <w:spacing w:before="120" w:beforeLines="50" w:after="240" w:afterLines="100"/>
        <w:jc w:val="center"/>
        <w:outlineLvl w:val="2"/>
        <w:rPr>
          <w:rFonts w:hint="eastAsia" w:ascii="宋体" w:hAnsi="宋体" w:cs="宋体"/>
          <w:kern w:val="0"/>
          <w:sz w:val="18"/>
          <w:szCs w:val="18"/>
        </w:rPr>
      </w:pPr>
    </w:p>
    <w:p>
      <w:pPr>
        <w:snapToGrid w:val="0"/>
        <w:spacing w:before="240" w:beforeLines="100" w:after="240" w:afterLines="100"/>
        <w:jc w:val="center"/>
        <w:outlineLvl w:val="2"/>
        <w:rPr>
          <w:rFonts w:hint="eastAsia" w:ascii="宋体" w:hAnsi="宋体"/>
          <w:sz w:val="32"/>
          <w:szCs w:val="32"/>
        </w:rPr>
      </w:pPr>
      <w:r>
        <w:rPr>
          <w:rFonts w:ascii="宋体" w:hAnsi="宋体" w:cs="宋体"/>
          <w:sz w:val="32"/>
          <w:szCs w:val="32"/>
        </w:rPr>
        <w:br w:type="page"/>
      </w:r>
      <w:bookmarkStart w:id="276" w:name="_Toc468451964"/>
      <w:bookmarkStart w:id="277" w:name="_Toc59093495"/>
      <w:bookmarkStart w:id="278" w:name="_Toc468450960"/>
      <w:bookmarkStart w:id="279" w:name="_Toc438535643"/>
      <w:r>
        <w:rPr>
          <w:rFonts w:hint="eastAsia" w:ascii="黑体" w:hAnsi="黑体" w:eastAsia="黑体" w:cs="黑体"/>
          <w:color w:val="000000"/>
          <w:sz w:val="28"/>
          <w:szCs w:val="28"/>
        </w:rPr>
        <w:t>（</w:t>
      </w:r>
      <w:r>
        <w:rPr>
          <w:rFonts w:hint="eastAsia" w:ascii="黑体" w:hAnsi="黑体" w:eastAsia="黑体" w:cs="黑体"/>
          <w:color w:val="000000"/>
          <w:sz w:val="28"/>
          <w:szCs w:val="28"/>
          <w:lang w:val="en-US" w:eastAsia="zh-CN"/>
        </w:rPr>
        <w:t>二</w:t>
      </w:r>
      <w:r>
        <w:rPr>
          <w:rFonts w:hint="eastAsia" w:ascii="黑体" w:hAnsi="黑体" w:eastAsia="黑体" w:cs="黑体"/>
          <w:color w:val="000000"/>
          <w:sz w:val="28"/>
          <w:szCs w:val="28"/>
        </w:rPr>
        <w:t>）</w:t>
      </w:r>
      <w:r>
        <w:rPr>
          <w:rFonts w:hint="eastAsia" w:ascii="黑体" w:hAnsi="宋体" w:eastAsia="黑体"/>
          <w:sz w:val="28"/>
          <w:szCs w:val="28"/>
        </w:rPr>
        <w:t>基层定报表式</w:t>
      </w:r>
      <w:bookmarkEnd w:id="276"/>
      <w:bookmarkEnd w:id="277"/>
      <w:bookmarkEnd w:id="278"/>
      <w:bookmarkEnd w:id="279"/>
      <w:bookmarkStart w:id="280" w:name="_Toc468451972"/>
      <w:bookmarkStart w:id="281" w:name="_Toc468450968"/>
      <w:bookmarkStart w:id="282" w:name="_Toc438535649"/>
    </w:p>
    <w:p>
      <w:pPr>
        <w:widowControl/>
        <w:jc w:val="center"/>
        <w:outlineLvl w:val="3"/>
        <w:rPr>
          <w:rFonts w:ascii="Nimbus Roman No9 L" w:hAnsi="Nimbus Roman No9 L" w:cs="Nimbus Roman No9 L"/>
          <w:sz w:val="32"/>
          <w:szCs w:val="32"/>
        </w:rPr>
      </w:pPr>
      <w:r>
        <w:rPr>
          <w:rFonts w:hint="eastAsia" w:ascii="Nimbus Roman No9 L" w:hAnsi="Nimbus Roman No9 L" w:cs="Nimbus Roman No9 L"/>
          <w:sz w:val="32"/>
          <w:szCs w:val="32"/>
        </w:rPr>
        <w:t>一套表</w:t>
      </w:r>
      <w:r>
        <w:rPr>
          <w:rFonts w:ascii="Nimbus Roman No9 L" w:hAnsi="Nimbus Roman No9 L" w:cs="Nimbus Roman No9 L"/>
          <w:sz w:val="32"/>
          <w:szCs w:val="32"/>
        </w:rPr>
        <w:t>调查单位基本情况</w:t>
      </w:r>
    </w:p>
    <w:tbl>
      <w:tblPr>
        <w:tblStyle w:val="31"/>
        <w:tblW w:w="9526" w:type="dxa"/>
        <w:jc w:val="center"/>
        <w:tblLayout w:type="fixed"/>
        <w:tblCellMar>
          <w:top w:w="0" w:type="dxa"/>
          <w:left w:w="108" w:type="dxa"/>
          <w:bottom w:w="0" w:type="dxa"/>
          <w:right w:w="108" w:type="dxa"/>
        </w:tblCellMar>
      </w:tblPr>
      <w:tblGrid>
        <w:gridCol w:w="620"/>
        <w:gridCol w:w="2630"/>
        <w:gridCol w:w="1627"/>
        <w:gridCol w:w="132"/>
        <w:gridCol w:w="1116"/>
        <w:gridCol w:w="1303"/>
        <w:gridCol w:w="2098"/>
      </w:tblGrid>
      <w:tr>
        <w:tblPrEx>
          <w:tblCellMar>
            <w:top w:w="0" w:type="dxa"/>
            <w:left w:w="108" w:type="dxa"/>
            <w:bottom w:w="0" w:type="dxa"/>
            <w:right w:w="108" w:type="dxa"/>
          </w:tblCellMar>
        </w:tblPrEx>
        <w:trPr>
          <w:trHeight w:val="255" w:hRule="exact"/>
          <w:jc w:val="center"/>
        </w:trPr>
        <w:tc>
          <w:tcPr>
            <w:tcW w:w="3250" w:type="dxa"/>
            <w:gridSpan w:val="2"/>
            <w:vMerge w:val="restart"/>
            <w:noWrap w:val="0"/>
            <w:tcMar>
              <w:left w:w="0" w:type="dxa"/>
              <w:right w:w="0" w:type="dxa"/>
            </w:tcMar>
            <w:vAlign w:val="top"/>
          </w:tcPr>
          <w:p>
            <w:pPr>
              <w:spacing w:line="240" w:lineRule="exact"/>
              <w:jc w:val="left"/>
              <w:rPr>
                <w:rFonts w:ascii="Nimbus Roman No9 L" w:hAnsi="Nimbus Roman No9 L" w:cs="Nimbus Roman No9 L"/>
                <w:sz w:val="32"/>
                <w:szCs w:val="32"/>
              </w:rPr>
            </w:pPr>
          </w:p>
        </w:tc>
        <w:tc>
          <w:tcPr>
            <w:tcW w:w="1627" w:type="dxa"/>
            <w:noWrap w:val="0"/>
            <w:vAlign w:val="top"/>
          </w:tcPr>
          <w:p>
            <w:pPr>
              <w:spacing w:line="240" w:lineRule="exact"/>
              <w:jc w:val="center"/>
              <w:rPr>
                <w:rFonts w:ascii="Nimbus Roman No9 L" w:hAnsi="Nimbus Roman No9 L" w:cs="Nimbus Roman No9 L"/>
                <w:sz w:val="32"/>
                <w:szCs w:val="32"/>
              </w:rPr>
            </w:pPr>
          </w:p>
        </w:tc>
        <w:tc>
          <w:tcPr>
            <w:tcW w:w="1248" w:type="dxa"/>
            <w:gridSpan w:val="2"/>
            <w:noWrap w:val="0"/>
            <w:vAlign w:val="top"/>
          </w:tcPr>
          <w:p>
            <w:pPr>
              <w:spacing w:line="240" w:lineRule="exact"/>
              <w:jc w:val="center"/>
              <w:rPr>
                <w:rFonts w:ascii="Nimbus Roman No9 L" w:hAnsi="Nimbus Roman No9 L" w:cs="Nimbus Roman No9 L"/>
                <w:sz w:val="32"/>
                <w:szCs w:val="32"/>
              </w:rPr>
            </w:pPr>
          </w:p>
        </w:tc>
        <w:tc>
          <w:tcPr>
            <w:tcW w:w="1303" w:type="dxa"/>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表    号：</w:t>
            </w:r>
          </w:p>
        </w:tc>
        <w:tc>
          <w:tcPr>
            <w:tcW w:w="2098" w:type="dxa"/>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sz w:val="18"/>
                <w:szCs w:val="18"/>
              </w:rPr>
              <w:t>２０</w:t>
            </w:r>
            <w:r>
              <w:rPr>
                <w:rFonts w:ascii="宋体" w:hAnsi="宋体"/>
                <w:sz w:val="18"/>
                <w:szCs w:val="18"/>
              </w:rPr>
              <w:t>１－１</w:t>
            </w:r>
            <w:r>
              <w:rPr>
                <w:rFonts w:hint="eastAsia" w:ascii="宋体" w:hAnsi="宋体" w:cs="宋体"/>
                <w:sz w:val="18"/>
                <w:szCs w:val="18"/>
              </w:rPr>
              <w:t>表</w:t>
            </w:r>
          </w:p>
        </w:tc>
      </w:tr>
      <w:tr>
        <w:tblPrEx>
          <w:tblCellMar>
            <w:top w:w="0" w:type="dxa"/>
            <w:left w:w="108" w:type="dxa"/>
            <w:bottom w:w="0" w:type="dxa"/>
            <w:right w:w="108" w:type="dxa"/>
          </w:tblCellMar>
        </w:tblPrEx>
        <w:trPr>
          <w:trHeight w:val="244" w:hRule="exact"/>
          <w:jc w:val="center"/>
        </w:trPr>
        <w:tc>
          <w:tcPr>
            <w:tcW w:w="3250" w:type="dxa"/>
            <w:gridSpan w:val="2"/>
            <w:vMerge w:val="continue"/>
            <w:noWrap w:val="0"/>
            <w:tcMar>
              <w:left w:w="0" w:type="dxa"/>
              <w:right w:w="0" w:type="dxa"/>
            </w:tcMar>
            <w:vAlign w:val="top"/>
          </w:tcPr>
          <w:p>
            <w:pPr>
              <w:spacing w:line="240" w:lineRule="exact"/>
              <w:jc w:val="center"/>
              <w:rPr>
                <w:rFonts w:ascii="Nimbus Roman No9 L" w:hAnsi="Nimbus Roman No9 L" w:cs="Nimbus Roman No9 L"/>
                <w:sz w:val="32"/>
                <w:szCs w:val="32"/>
              </w:rPr>
            </w:pPr>
          </w:p>
        </w:tc>
        <w:tc>
          <w:tcPr>
            <w:tcW w:w="1627" w:type="dxa"/>
            <w:noWrap w:val="0"/>
            <w:vAlign w:val="top"/>
          </w:tcPr>
          <w:p>
            <w:pPr>
              <w:spacing w:line="240" w:lineRule="exact"/>
              <w:jc w:val="center"/>
              <w:rPr>
                <w:rFonts w:ascii="Nimbus Roman No9 L" w:hAnsi="Nimbus Roman No9 L" w:cs="Nimbus Roman No9 L"/>
                <w:sz w:val="32"/>
                <w:szCs w:val="32"/>
              </w:rPr>
            </w:pPr>
          </w:p>
        </w:tc>
        <w:tc>
          <w:tcPr>
            <w:tcW w:w="1248" w:type="dxa"/>
            <w:gridSpan w:val="2"/>
            <w:noWrap w:val="0"/>
            <w:vAlign w:val="top"/>
          </w:tcPr>
          <w:p>
            <w:pPr>
              <w:spacing w:line="240" w:lineRule="exact"/>
              <w:jc w:val="center"/>
              <w:rPr>
                <w:rFonts w:ascii="Nimbus Roman No9 L" w:hAnsi="Nimbus Roman No9 L" w:cs="Nimbus Roman No9 L"/>
                <w:sz w:val="32"/>
                <w:szCs w:val="32"/>
              </w:rPr>
            </w:pPr>
          </w:p>
        </w:tc>
        <w:tc>
          <w:tcPr>
            <w:tcW w:w="1303" w:type="dxa"/>
            <w:noWrap w:val="0"/>
            <w:vAlign w:val="top"/>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制定机关：</w:t>
            </w:r>
          </w:p>
        </w:tc>
        <w:tc>
          <w:tcPr>
            <w:tcW w:w="2098" w:type="dxa"/>
            <w:noWrap w:val="0"/>
            <w:vAlign w:val="center"/>
          </w:tcPr>
          <w:p>
            <w:pPr>
              <w:spacing w:line="20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rPr>
          <w:trHeight w:val="255" w:hRule="exact"/>
          <w:jc w:val="center"/>
        </w:trPr>
        <w:tc>
          <w:tcPr>
            <w:tcW w:w="3250" w:type="dxa"/>
            <w:gridSpan w:val="2"/>
            <w:vMerge w:val="continue"/>
            <w:noWrap w:val="0"/>
            <w:tcMar>
              <w:left w:w="0" w:type="dxa"/>
              <w:right w:w="0" w:type="dxa"/>
            </w:tcMar>
            <w:vAlign w:val="top"/>
          </w:tcPr>
          <w:p>
            <w:pPr>
              <w:spacing w:line="240" w:lineRule="exact"/>
              <w:rPr>
                <w:rFonts w:ascii="Nimbus Roman No9 L" w:hAnsi="Nimbus Roman No9 L" w:cs="Nimbus Roman No9 L"/>
                <w:sz w:val="32"/>
                <w:szCs w:val="32"/>
              </w:rPr>
            </w:pPr>
          </w:p>
        </w:tc>
        <w:tc>
          <w:tcPr>
            <w:tcW w:w="1627" w:type="dxa"/>
            <w:noWrap w:val="0"/>
            <w:vAlign w:val="top"/>
          </w:tcPr>
          <w:p>
            <w:pPr>
              <w:spacing w:line="240" w:lineRule="exact"/>
              <w:jc w:val="center"/>
              <w:rPr>
                <w:rFonts w:ascii="Nimbus Roman No9 L" w:hAnsi="Nimbus Roman No9 L" w:cs="Nimbus Roman No9 L"/>
                <w:sz w:val="32"/>
                <w:szCs w:val="32"/>
              </w:rPr>
            </w:pPr>
          </w:p>
        </w:tc>
        <w:tc>
          <w:tcPr>
            <w:tcW w:w="1248" w:type="dxa"/>
            <w:gridSpan w:val="2"/>
            <w:noWrap w:val="0"/>
            <w:vAlign w:val="top"/>
          </w:tcPr>
          <w:p>
            <w:pPr>
              <w:spacing w:line="240" w:lineRule="exact"/>
              <w:jc w:val="center"/>
              <w:rPr>
                <w:rFonts w:ascii="Nimbus Roman No9 L" w:hAnsi="Nimbus Roman No9 L" w:cs="Nimbus Roman No9 L"/>
                <w:sz w:val="32"/>
                <w:szCs w:val="32"/>
              </w:rPr>
            </w:pPr>
          </w:p>
        </w:tc>
        <w:tc>
          <w:tcPr>
            <w:tcW w:w="1303" w:type="dxa"/>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文    号：</w:t>
            </w:r>
          </w:p>
        </w:tc>
        <w:tc>
          <w:tcPr>
            <w:tcW w:w="2098" w:type="dxa"/>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国统字〔２０２</w:t>
            </w:r>
            <w:r>
              <w:rPr>
                <w:rFonts w:hint="eastAsia" w:ascii="宋体" w:hAnsi="宋体" w:cs="宋体"/>
                <w:sz w:val="18"/>
                <w:szCs w:val="18"/>
                <w:lang w:val="en-US" w:eastAsia="zh-CN"/>
              </w:rPr>
              <w:t>4</w:t>
            </w:r>
            <w:r>
              <w:rPr>
                <w:rFonts w:hint="eastAsia" w:ascii="宋体" w:hAnsi="宋体" w:cs="宋体"/>
                <w:sz w:val="18"/>
                <w:szCs w:val="18"/>
              </w:rPr>
              <w:t>〕</w:t>
            </w:r>
            <w:r>
              <w:rPr>
                <w:rFonts w:hint="eastAsia" w:ascii="宋体" w:hAnsi="宋体" w:cs="宋体"/>
                <w:sz w:val="18"/>
                <w:szCs w:val="18"/>
                <w:lang w:val="en-US" w:eastAsia="zh-CN"/>
              </w:rPr>
              <w:t>77</w:t>
            </w:r>
            <w:r>
              <w:rPr>
                <w:rFonts w:hint="eastAsia" w:ascii="宋体" w:hAnsi="宋体" w:cs="宋体"/>
                <w:sz w:val="18"/>
                <w:szCs w:val="18"/>
              </w:rPr>
              <w:t>号</w:t>
            </w:r>
          </w:p>
        </w:tc>
      </w:tr>
      <w:tr>
        <w:tblPrEx>
          <w:tblCellMar>
            <w:top w:w="0" w:type="dxa"/>
            <w:left w:w="108" w:type="dxa"/>
            <w:bottom w:w="0" w:type="dxa"/>
            <w:right w:w="108" w:type="dxa"/>
          </w:tblCellMar>
        </w:tblPrEx>
        <w:trPr>
          <w:trHeight w:val="255" w:hRule="exact"/>
          <w:jc w:val="center"/>
        </w:trPr>
        <w:tc>
          <w:tcPr>
            <w:tcW w:w="3250" w:type="dxa"/>
            <w:gridSpan w:val="2"/>
            <w:vMerge w:val="continue"/>
            <w:tcBorders>
              <w:bottom w:val="single" w:color="auto" w:sz="8" w:space="0"/>
            </w:tcBorders>
            <w:noWrap w:val="0"/>
            <w:tcMar>
              <w:left w:w="0" w:type="dxa"/>
              <w:right w:w="0" w:type="dxa"/>
            </w:tcMar>
            <w:vAlign w:val="top"/>
          </w:tcPr>
          <w:p>
            <w:pPr>
              <w:spacing w:line="240" w:lineRule="exact"/>
              <w:rPr>
                <w:rFonts w:ascii="Nimbus Roman No9 L" w:hAnsi="Nimbus Roman No9 L" w:cs="Nimbus Roman No9 L"/>
                <w:sz w:val="32"/>
                <w:szCs w:val="32"/>
              </w:rPr>
            </w:pPr>
          </w:p>
        </w:tc>
        <w:tc>
          <w:tcPr>
            <w:tcW w:w="2875" w:type="dxa"/>
            <w:gridSpan w:val="3"/>
            <w:tcBorders>
              <w:bottom w:val="single" w:color="auto" w:sz="8" w:space="0"/>
            </w:tcBorders>
            <w:noWrap w:val="0"/>
            <w:vAlign w:val="top"/>
          </w:tcPr>
          <w:p>
            <w:pPr>
              <w:spacing w:line="240" w:lineRule="exact"/>
              <w:ind w:firstLine="333" w:firstLineChars="185"/>
              <w:jc w:val="center"/>
              <w:rPr>
                <w:rFonts w:hint="default" w:ascii="Nimbus Roman No9 L" w:hAnsi="Nimbus Roman No9 L" w:eastAsia="宋体" w:cs="Nimbus Roman No9 L"/>
                <w:sz w:val="32"/>
                <w:szCs w:val="32"/>
                <w:lang w:val="en-US" w:eastAsia="zh-CN"/>
              </w:rPr>
            </w:pPr>
            <w:r>
              <w:rPr>
                <w:rFonts w:ascii="Nimbus Roman No9 L" w:hAnsi="Nimbus Roman No9 L" w:cs="Nimbus Roman No9 L"/>
                <w:kern w:val="0"/>
                <w:sz w:val="18"/>
                <w:szCs w:val="18"/>
              </w:rPr>
              <w:t>２０</w:t>
            </w:r>
            <w:r>
              <w:rPr>
                <w:rFonts w:hint="eastAsia" w:ascii="Nimbus Roman No9 L" w:hAnsi="Nimbus Roman No9 L" w:cs="Nimbus Roman No9 L"/>
                <w:kern w:val="0"/>
                <w:sz w:val="18"/>
                <w:szCs w:val="18"/>
                <w:lang w:val="en-US" w:eastAsia="zh-CN"/>
              </w:rPr>
              <w:t xml:space="preserve">  </w:t>
            </w:r>
            <w:r>
              <w:rPr>
                <w:rFonts w:ascii="Nimbus Roman No9 L" w:hAnsi="Nimbus Roman No9 L" w:cs="Nimbus Roman No9 L"/>
                <w:sz w:val="18"/>
                <w:szCs w:val="18"/>
              </w:rPr>
              <w:t>年</w:t>
            </w:r>
            <w:r>
              <w:rPr>
                <w:rFonts w:hint="eastAsia" w:ascii="Nimbus Roman No9 L" w:hAnsi="Nimbus Roman No9 L" w:cs="Nimbus Roman No9 L"/>
                <w:sz w:val="18"/>
                <w:szCs w:val="18"/>
                <w:lang w:val="en-US" w:eastAsia="zh-CN"/>
              </w:rPr>
              <w:t xml:space="preserve">  月</w:t>
            </w:r>
          </w:p>
        </w:tc>
        <w:tc>
          <w:tcPr>
            <w:tcW w:w="1303" w:type="dxa"/>
            <w:tcBorders>
              <w:bottom w:val="single" w:color="auto" w:sz="8" w:space="0"/>
            </w:tcBorders>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有效期至：</w:t>
            </w:r>
          </w:p>
        </w:tc>
        <w:tc>
          <w:tcPr>
            <w:tcW w:w="2098" w:type="dxa"/>
            <w:tcBorders>
              <w:bottom w:val="single" w:color="auto" w:sz="8" w:space="0"/>
            </w:tcBorders>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202</w:t>
            </w:r>
            <w:r>
              <w:rPr>
                <w:rFonts w:hint="eastAsia" w:ascii="宋体" w:hAnsi="宋体" w:cs="宋体"/>
                <w:sz w:val="18"/>
                <w:szCs w:val="18"/>
                <w:lang w:val="en-US" w:eastAsia="zh-CN"/>
              </w:rPr>
              <w:t>6</w:t>
            </w:r>
            <w:r>
              <w:rPr>
                <w:rFonts w:hint="eastAsia" w:ascii="宋体" w:hAnsi="宋体" w:cs="宋体"/>
                <w:sz w:val="18"/>
                <w:szCs w:val="18"/>
              </w:rPr>
              <w:t>年</w:t>
            </w:r>
            <w:r>
              <w:rPr>
                <w:rFonts w:hint="eastAsia" w:ascii="宋体" w:hAnsi="宋体" w:cs="宋体"/>
                <w:sz w:val="18"/>
                <w:szCs w:val="18"/>
                <w:lang w:val="en-US" w:eastAsia="zh-CN"/>
              </w:rPr>
              <w:t>1</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0" w:hRule="atLeast"/>
          <w:jc w:val="center"/>
        </w:trPr>
        <w:tc>
          <w:tcPr>
            <w:tcW w:w="620" w:type="dxa"/>
            <w:tcBorders>
              <w:top w:val="single" w:color="auto" w:sz="8"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sz w:val="18"/>
                <w:shd w:val="clear" w:color="auto" w:fill="D7D7D7"/>
                <w:lang w:val="en-US" w:eastAsia="zh-CN"/>
              </w:rPr>
            </w:pPr>
            <w:r>
              <w:rPr>
                <w:rFonts w:hint="eastAsia" w:ascii="宋体" w:hAnsi="宋体" w:eastAsia="宋体" w:cs="宋体"/>
                <w:b/>
                <w:sz w:val="18"/>
                <w:shd w:val="clear" w:color="auto" w:fill="D7D7D7"/>
                <w:lang w:val="en-US" w:eastAsia="zh-CN"/>
              </w:rPr>
              <w:t>110</w:t>
            </w:r>
          </w:p>
        </w:tc>
        <w:tc>
          <w:tcPr>
            <w:tcW w:w="8906" w:type="dxa"/>
            <w:gridSpan w:val="6"/>
            <w:tcBorders>
              <w:top w:val="single" w:color="auto" w:sz="8" w:space="0"/>
              <w:left w:val="single" w:color="auto" w:sz="4" w:space="0"/>
              <w:bottom w:val="single" w:color="auto" w:sz="4" w:space="0"/>
              <w:right w:val="nil"/>
            </w:tcBorders>
            <w:shd w:val="clear" w:color="auto" w:fill="D7D7D7"/>
            <w:noWrap w:val="0"/>
            <w:vAlign w:val="center"/>
          </w:tcPr>
          <w:p>
            <w:pPr>
              <w:snapToGrid w:val="0"/>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单位类型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w:t>
            </w:r>
            <w:r>
              <w:rPr>
                <w:rFonts w:hint="eastAsia" w:ascii="宋体" w:hAnsi="宋体" w:eastAsia="宋体" w:cs="宋体"/>
                <w:sz w:val="18"/>
                <w:szCs w:val="18"/>
                <w:lang w:eastAsia="zh-CN"/>
              </w:rPr>
              <w:t>已</w:t>
            </w:r>
            <w:r>
              <w:rPr>
                <w:rFonts w:hint="eastAsia" w:ascii="宋体" w:hAnsi="宋体" w:eastAsia="宋体" w:cs="宋体"/>
                <w:sz w:val="18"/>
                <w:szCs w:val="18"/>
              </w:rPr>
              <w:t>视同法人单位的分支机构，请填写</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rPr>
              <w:t>）</w:t>
            </w:r>
          </w:p>
          <w:p>
            <w:pPr>
              <w:shd w:val="clear" w:color="auto" w:fill="auto"/>
              <w:snapToGrid w:val="0"/>
              <w:spacing w:line="240" w:lineRule="auto"/>
              <w:ind w:firstLine="180" w:firstLineChars="100"/>
              <w:rPr>
                <w:rFonts w:hint="eastAsia" w:ascii="宋体" w:hAnsi="宋体" w:eastAsia="宋体" w:cs="宋体"/>
                <w:sz w:val="18"/>
                <w:szCs w:val="18"/>
                <w:shd w:val="clear" w:color="auto" w:fill="D7D7D7"/>
              </w:rPr>
            </w:pPr>
            <w:r>
              <w:rPr>
                <w:rFonts w:hint="eastAsia" w:ascii="宋体" w:hAnsi="宋体" w:eastAsia="宋体" w:cs="宋体"/>
                <w:sz w:val="18"/>
                <w:szCs w:val="18"/>
              </w:rPr>
              <w:t>1法人单位</w:t>
            </w:r>
            <w:r>
              <w:rPr>
                <w:rFonts w:hint="eastAsia" w:ascii="宋体" w:hAnsi="宋体" w:eastAsia="宋体" w:cs="宋体"/>
                <w:sz w:val="18"/>
                <w:szCs w:val="18"/>
                <w:lang w:val="en-US" w:eastAsia="zh-CN"/>
              </w:rPr>
              <w:t xml:space="preserve">    3个体经营户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sz w:val="18"/>
                <w:szCs w:val="18"/>
              </w:rPr>
            </w:pPr>
            <w:r>
              <w:rPr>
                <w:rFonts w:hint="eastAsia" w:ascii="宋体" w:hAnsi="宋体" w:eastAsia="宋体" w:cs="宋体"/>
                <w:b/>
                <w:bCs/>
                <w:sz w:val="16"/>
                <w:szCs w:val="18"/>
              </w:rPr>
              <w:t>100</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是否为“视同法人单位”？如是，请勾选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0" w:hRule="atLeas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shd w:val="clear" w:color="auto" w:fill="D7D7D7"/>
              </w:rPr>
            </w:pPr>
            <w:r>
              <w:rPr>
                <w:rFonts w:hint="eastAsia" w:ascii="宋体" w:hAnsi="宋体" w:eastAsia="宋体" w:cs="宋体"/>
                <w:b/>
                <w:sz w:val="18"/>
                <w:shd w:val="clear" w:color="auto" w:fill="D7D7D7"/>
              </w:rPr>
              <w:t>109</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hd w:val="clear" w:color="auto" w:fill="D0CECE"/>
              <w:spacing w:line="240" w:lineRule="exact"/>
              <w:rPr>
                <w:rFonts w:hint="eastAsia" w:ascii="宋体" w:hAnsi="宋体" w:eastAsia="宋体" w:cs="宋体"/>
                <w:sz w:val="18"/>
                <w:szCs w:val="18"/>
                <w:shd w:val="clear" w:color="auto" w:fill="D7D7D7"/>
              </w:rPr>
            </w:pPr>
            <w:r>
              <w:rPr>
                <w:rFonts w:hint="eastAsia" w:ascii="宋体" w:hAnsi="宋体" w:eastAsia="宋体" w:cs="宋体"/>
                <w:sz w:val="18"/>
                <w:szCs w:val="18"/>
                <w:shd w:val="clear" w:color="auto" w:fill="D7D7D7"/>
              </w:rPr>
              <w:t xml:space="preserve">统一社会信用代码□□□□□□□□□□□□□□□□□□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40"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shd w:val="clear" w:color="auto" w:fill="D7D7D7"/>
              </w:rPr>
            </w:pPr>
            <w:r>
              <w:rPr>
                <w:rFonts w:hint="eastAsia" w:ascii="宋体" w:hAnsi="宋体" w:eastAsia="宋体" w:cs="宋体"/>
                <w:b/>
                <w:bCs/>
                <w:sz w:val="18"/>
                <w:szCs w:val="18"/>
                <w:shd w:val="clear" w:color="auto" w:fill="D7D7D7"/>
              </w:rPr>
              <w:t>102</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00" w:lineRule="exact"/>
              <w:rPr>
                <w:rFonts w:hint="eastAsia" w:ascii="宋体" w:hAnsi="宋体" w:eastAsia="宋体" w:cs="宋体"/>
                <w:sz w:val="18"/>
                <w:szCs w:val="18"/>
                <w:shd w:val="clear" w:color="auto" w:fill="D7D7D7"/>
              </w:rPr>
            </w:pPr>
            <w:r>
              <w:rPr>
                <w:rFonts w:hint="eastAsia" w:ascii="宋体" w:hAnsi="宋体" w:eastAsia="宋体" w:cs="宋体"/>
                <w:sz w:val="18"/>
                <w:szCs w:val="18"/>
                <w:shd w:val="clear" w:color="auto" w:fill="D7D7D7"/>
              </w:rPr>
              <w:t xml:space="preserve">单位详细名称  </w:t>
            </w:r>
            <w:r>
              <w:rPr>
                <w:rFonts w:hint="eastAsia" w:ascii="宋体" w:hAnsi="宋体" w:eastAsia="宋体" w:cs="宋体"/>
                <w:sz w:val="18"/>
                <w:szCs w:val="18"/>
                <w:u w:val="single"/>
                <w:shd w:val="clear" w:color="auto" w:fill="D7D7D7"/>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201</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法定代表人(单位负责人)</w:t>
            </w:r>
            <w:r>
              <w:rPr>
                <w:rFonts w:hint="eastAsia" w:ascii="宋体" w:hAnsi="宋体" w:eastAsia="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202</w:t>
            </w:r>
          </w:p>
        </w:tc>
        <w:tc>
          <w:tcPr>
            <w:tcW w:w="4389" w:type="dxa"/>
            <w:gridSpan w:val="3"/>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1成立时间（所有单位填报）</w:t>
            </w: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tc>
        <w:tc>
          <w:tcPr>
            <w:tcW w:w="4517" w:type="dxa"/>
            <w:gridSpan w:val="3"/>
            <w:tcBorders>
              <w:top w:val="single" w:color="auto" w:sz="4" w:space="0"/>
              <w:left w:val="single" w:color="auto" w:sz="4" w:space="0"/>
              <w:bottom w:val="single" w:color="auto" w:sz="4" w:space="0"/>
              <w:right w:val="nil"/>
            </w:tcBorders>
            <w:shd w:val="clear" w:color="auto" w:fill="D7D7D7"/>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2开业时间（仅限企业填报）</w:t>
            </w: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54"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203</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before="0" w:beforeLines="0" w:line="200" w:lineRule="exact"/>
              <w:ind w:firstLine="0" w:firstLineChars="0"/>
              <w:rPr>
                <w:rFonts w:hint="eastAsia" w:ascii="宋体" w:hAnsi="宋体" w:eastAsia="宋体" w:cs="宋体"/>
                <w:sz w:val="18"/>
                <w:szCs w:val="18"/>
              </w:rPr>
            </w:pPr>
            <w:r>
              <w:rPr>
                <w:rFonts w:hint="eastAsia" w:ascii="宋体" w:hAnsi="宋体" w:eastAsia="宋体" w:cs="宋体"/>
                <w:sz w:val="18"/>
                <w:szCs w:val="18"/>
              </w:rPr>
              <w:t>联系方式</w:t>
            </w:r>
          </w:p>
          <w:p>
            <w:pPr>
              <w:spacing w:line="2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长途区号    □□□□□</w:t>
            </w:r>
          </w:p>
          <w:p>
            <w:pPr>
              <w:spacing w:line="2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固定电话    □□□□□□□□-□□□□□□</w:t>
            </w:r>
          </w:p>
          <w:p>
            <w:pPr>
              <w:spacing w:line="2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移动电话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86" w:hRule="atLeast"/>
          <w:jc w:val="center"/>
        </w:trPr>
        <w:tc>
          <w:tcPr>
            <w:tcW w:w="620" w:type="dxa"/>
            <w:vMerge w:val="restart"/>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105</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00" w:lineRule="exact"/>
              <w:rPr>
                <w:rFonts w:hint="eastAsia" w:ascii="宋体" w:hAnsi="宋体" w:eastAsia="宋体" w:cs="宋体"/>
                <w:sz w:val="18"/>
                <w:szCs w:val="18"/>
              </w:rPr>
            </w:pPr>
            <w:r>
              <w:rPr>
                <w:rFonts w:hint="eastAsia" w:ascii="宋体" w:hAnsi="宋体" w:eastAsia="宋体" w:cs="宋体"/>
                <w:sz w:val="18"/>
                <w:szCs w:val="18"/>
              </w:rPr>
              <w:t xml:space="preserve">单位所在地区划及详细地址               </w:t>
            </w:r>
          </w:p>
          <w:p>
            <w:pPr>
              <w:snapToGrid w:val="0"/>
              <w:ind w:left="210" w:leftChars="100"/>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省(自治区、直辖市)</w:t>
            </w:r>
            <w:r>
              <w:rPr>
                <w:rFonts w:hint="eastAsia" w:ascii="宋体" w:hAnsi="宋体" w:eastAsia="宋体" w:cs="宋体"/>
                <w:sz w:val="18"/>
                <w:szCs w:val="18"/>
                <w:u w:val="single"/>
              </w:rPr>
              <w:t xml:space="preserve">              </w:t>
            </w:r>
            <w:r>
              <w:rPr>
                <w:rFonts w:hint="eastAsia" w:ascii="宋体" w:hAnsi="宋体" w:eastAsia="宋体" w:cs="宋体"/>
                <w:sz w:val="18"/>
                <w:szCs w:val="18"/>
                <w:lang w:eastAsia="zh-CN"/>
              </w:rPr>
              <w:t>地</w:t>
            </w:r>
            <w:r>
              <w:rPr>
                <w:rFonts w:hint="eastAsia" w:ascii="宋体" w:hAnsi="宋体" w:eastAsia="宋体" w:cs="宋体"/>
                <w:sz w:val="18"/>
                <w:szCs w:val="18"/>
              </w:rPr>
              <w:t>(</w:t>
            </w:r>
            <w:r>
              <w:rPr>
                <w:rFonts w:hint="eastAsia" w:ascii="宋体" w:hAnsi="宋体" w:eastAsia="宋体" w:cs="宋体"/>
                <w:sz w:val="18"/>
                <w:szCs w:val="18"/>
                <w:lang w:eastAsia="zh-CN"/>
              </w:rPr>
              <w:t>市</w:t>
            </w:r>
            <w:r>
              <w:rPr>
                <w:rFonts w:hint="eastAsia" w:ascii="宋体" w:hAnsi="宋体" w:eastAsia="宋体" w:cs="宋体"/>
                <w:sz w:val="18"/>
                <w:szCs w:val="18"/>
              </w:rPr>
              <w:t>、州、盟)</w:t>
            </w:r>
            <w:r>
              <w:rPr>
                <w:rFonts w:hint="eastAsia" w:ascii="宋体" w:hAnsi="宋体" w:eastAsia="宋体" w:cs="宋体"/>
                <w:sz w:val="18"/>
                <w:szCs w:val="18"/>
                <w:u w:val="single"/>
              </w:rPr>
              <w:t xml:space="preserve">                  </w:t>
            </w:r>
            <w:r>
              <w:rPr>
                <w:rFonts w:hint="eastAsia" w:ascii="宋体" w:hAnsi="宋体" w:eastAsia="宋体" w:cs="宋体"/>
                <w:sz w:val="18"/>
                <w:szCs w:val="18"/>
              </w:rPr>
              <w:t>县(市、区、旗)</w:t>
            </w:r>
          </w:p>
          <w:p>
            <w:pPr>
              <w:snapToGrid w:val="0"/>
              <w:ind w:left="210" w:leftChars="100"/>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乡(镇、街道)</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村（居）委会 </w:t>
            </w:r>
            <w:r>
              <w:rPr>
                <w:rFonts w:hint="eastAsia" w:ascii="宋体" w:hAnsi="宋体" w:eastAsia="宋体" w:cs="宋体"/>
                <w:sz w:val="18"/>
                <w:szCs w:val="18"/>
                <w:u w:val="single"/>
              </w:rPr>
              <w:t xml:space="preserve">      　    　　　</w:t>
            </w:r>
            <w:r>
              <w:rPr>
                <w:rFonts w:hint="eastAsia" w:ascii="宋体" w:hAnsi="宋体" w:eastAsia="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620" w:type="dxa"/>
            <w:vMerge w:val="continue"/>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区划代码    □□□□□□□□□□□□       </w:t>
            </w:r>
            <w:r>
              <w:rPr>
                <w:rFonts w:hint="eastAsia" w:ascii="宋体" w:hAnsi="宋体" w:eastAsia="宋体" w:cs="宋体"/>
                <w:w w:val="110"/>
                <w:sz w:val="18"/>
                <w:szCs w:val="18"/>
              </w:rPr>
              <w:t xml:space="preserve">  </w:t>
            </w:r>
            <w:r>
              <w:rPr>
                <w:rFonts w:hint="eastAsia" w:ascii="宋体" w:hAnsi="宋体" w:eastAsia="宋体" w:cs="宋体"/>
                <w:sz w:val="18"/>
                <w:szCs w:val="18"/>
              </w:rPr>
              <w:t>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21" w:hRule="atLeast"/>
          <w:jc w:val="center"/>
        </w:trPr>
        <w:tc>
          <w:tcPr>
            <w:tcW w:w="620" w:type="dxa"/>
            <w:vMerge w:val="restart"/>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106</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 xml:space="preserve">单位注册地区划及详细地址             </w:t>
            </w:r>
          </w:p>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是否与单位所在地详细地址一致：   □ 1是，2否</w:t>
            </w:r>
          </w:p>
          <w:p>
            <w:pPr>
              <w:snapToGrid w:val="0"/>
              <w:ind w:left="210" w:leftChars="100"/>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省(自治区、直辖市)</w:t>
            </w:r>
            <w:r>
              <w:rPr>
                <w:rFonts w:hint="eastAsia" w:ascii="宋体" w:hAnsi="宋体" w:eastAsia="宋体" w:cs="宋体"/>
                <w:sz w:val="18"/>
                <w:szCs w:val="18"/>
                <w:u w:val="single"/>
              </w:rPr>
              <w:t xml:space="preserve">              </w:t>
            </w:r>
            <w:r>
              <w:rPr>
                <w:rFonts w:hint="eastAsia" w:ascii="宋体" w:hAnsi="宋体" w:eastAsia="宋体" w:cs="宋体"/>
                <w:sz w:val="18"/>
                <w:szCs w:val="18"/>
              </w:rPr>
              <w:t>地(市、州、盟)</w:t>
            </w:r>
            <w:r>
              <w:rPr>
                <w:rFonts w:hint="eastAsia" w:ascii="宋体" w:hAnsi="宋体" w:eastAsia="宋体" w:cs="宋体"/>
                <w:sz w:val="18"/>
                <w:szCs w:val="18"/>
                <w:u w:val="single"/>
              </w:rPr>
              <w:t xml:space="preserve">                  </w:t>
            </w:r>
            <w:r>
              <w:rPr>
                <w:rFonts w:hint="eastAsia" w:ascii="宋体" w:hAnsi="宋体" w:eastAsia="宋体" w:cs="宋体"/>
                <w:sz w:val="18"/>
                <w:szCs w:val="18"/>
              </w:rPr>
              <w:t>县(市、区、旗)</w:t>
            </w:r>
          </w:p>
          <w:p>
            <w:pPr>
              <w:snapToGrid w:val="0"/>
              <w:ind w:left="210" w:leftChars="100"/>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乡(镇、街道)</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村（居）委会 </w:t>
            </w:r>
            <w:r>
              <w:rPr>
                <w:rFonts w:hint="eastAsia" w:ascii="宋体" w:hAnsi="宋体" w:eastAsia="宋体" w:cs="宋体"/>
                <w:sz w:val="18"/>
                <w:szCs w:val="18"/>
                <w:u w:val="single"/>
              </w:rPr>
              <w:t xml:space="preserve">      　    　　　</w:t>
            </w:r>
            <w:r>
              <w:rPr>
                <w:rFonts w:hint="eastAsia" w:ascii="宋体" w:hAnsi="宋体" w:eastAsia="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620" w:type="dxa"/>
            <w:vMerge w:val="continue"/>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区划代码    □□□□□□□□□□□□       </w:t>
            </w:r>
            <w:r>
              <w:rPr>
                <w:rFonts w:hint="eastAsia" w:ascii="宋体" w:hAnsi="宋体" w:eastAsia="宋体" w:cs="宋体"/>
                <w:w w:val="110"/>
                <w:sz w:val="18"/>
                <w:szCs w:val="18"/>
              </w:rPr>
              <w:t xml:space="preserve">  </w:t>
            </w:r>
            <w:r>
              <w:rPr>
                <w:rFonts w:hint="eastAsia" w:ascii="宋体" w:hAnsi="宋体" w:eastAsia="宋体" w:cs="宋体"/>
                <w:sz w:val="18"/>
                <w:szCs w:val="18"/>
              </w:rPr>
              <w:t xml:space="preserve">城乡代码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208</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运营状态□  1正常运营 2停业(歇业) 3筹建 4当年关闭  5当年破产 6当年注销 7当年撤（吊）销 9其他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47" w:hRule="atLeast"/>
          <w:jc w:val="center"/>
        </w:trPr>
        <w:tc>
          <w:tcPr>
            <w:tcW w:w="620" w:type="dxa"/>
            <w:vMerge w:val="restart"/>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103</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 xml:space="preserve">行业类别                                                    </w:t>
            </w:r>
          </w:p>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主要业务活动</w:t>
            </w:r>
          </w:p>
          <w:p>
            <w:pPr>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2</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3</w:t>
            </w:r>
            <w:r>
              <w:rPr>
                <w:rFonts w:hint="eastAsia" w:ascii="宋体" w:hAnsi="宋体" w:eastAsia="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09" w:hRule="atLeast"/>
          <w:jc w:val="center"/>
        </w:trPr>
        <w:tc>
          <w:tcPr>
            <w:tcW w:w="620"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220" w:lineRule="exact"/>
              <w:jc w:val="center"/>
              <w:rPr>
                <w:rFonts w:hint="eastAsia" w:ascii="宋体" w:hAnsi="宋体" w:eastAsia="宋体" w:cs="宋体"/>
                <w:b/>
                <w:bCs/>
                <w:sz w:val="18"/>
                <w:szCs w:val="18"/>
              </w:rPr>
            </w:pP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行业代码(GB/T 4754-2017)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0" w:hRule="atLeas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104</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报表类别    □</w:t>
            </w:r>
          </w:p>
          <w:p>
            <w:pPr>
              <w:snapToGrid w:val="0"/>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A 农业     　　　B 规模以上工业       B1规模以下工业         C 建筑业          E 批发和零售业 </w:t>
            </w:r>
          </w:p>
          <w:p>
            <w:pPr>
              <w:tabs>
                <w:tab w:val="left" w:pos="5237"/>
              </w:tabs>
              <w:spacing w:line="22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S 住宿和餐饮业 </w:t>
            </w:r>
            <w:r>
              <w:rPr>
                <w:rFonts w:hint="eastAsia" w:ascii="宋体" w:hAnsi="宋体" w:eastAsia="宋体" w:cs="宋体"/>
                <w:w w:val="110"/>
                <w:sz w:val="18"/>
                <w:szCs w:val="18"/>
              </w:rPr>
              <w:t xml:space="preserve">  </w:t>
            </w:r>
            <w:r>
              <w:rPr>
                <w:rFonts w:hint="eastAsia" w:ascii="宋体" w:hAnsi="宋体" w:eastAsia="宋体" w:cs="宋体"/>
                <w:sz w:val="18"/>
                <w:szCs w:val="18"/>
              </w:rPr>
              <w:t>X 房地产开发经营业   F 规模以上服务业　　</w:t>
            </w:r>
            <w:r>
              <w:rPr>
                <w:rFonts w:hint="eastAsia" w:ascii="宋体" w:hAnsi="宋体" w:eastAsia="宋体" w:cs="宋体"/>
                <w:w w:val="80"/>
                <w:sz w:val="18"/>
                <w:szCs w:val="18"/>
              </w:rPr>
              <w:t>　</w:t>
            </w:r>
            <w:r>
              <w:rPr>
                <w:rFonts w:hint="eastAsia" w:ascii="宋体" w:hAnsi="宋体" w:eastAsia="宋体" w:cs="宋体"/>
                <w:sz w:val="18"/>
                <w:szCs w:val="18"/>
              </w:rPr>
              <w:t>　H 投资    　　</w:t>
            </w:r>
            <w:r>
              <w:rPr>
                <w:rFonts w:hint="eastAsia" w:ascii="宋体" w:hAnsi="宋体" w:eastAsia="宋体" w:cs="宋体"/>
                <w:w w:val="80"/>
                <w:sz w:val="18"/>
                <w:szCs w:val="18"/>
              </w:rPr>
              <w:t>　</w:t>
            </w:r>
            <w:r>
              <w:rPr>
                <w:rFonts w:hint="eastAsia" w:ascii="宋体" w:hAnsi="宋体" w:eastAsia="宋体" w:cs="宋体"/>
                <w:sz w:val="18"/>
                <w:szCs w:val="18"/>
              </w:rPr>
              <w:t xml:space="preserve">　U 其他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00" w:lineRule="exact"/>
              <w:jc w:val="center"/>
              <w:rPr>
                <w:rFonts w:hint="eastAsia" w:ascii="宋体" w:hAnsi="宋体" w:eastAsia="宋体" w:cs="宋体"/>
                <w:b/>
                <w:bCs/>
                <w:sz w:val="18"/>
                <w:szCs w:val="18"/>
              </w:rPr>
            </w:pPr>
            <w:r>
              <w:rPr>
                <w:rFonts w:hint="eastAsia" w:ascii="宋体" w:hAnsi="宋体" w:eastAsia="宋体" w:cs="宋体"/>
                <w:b/>
                <w:bCs/>
                <w:sz w:val="18"/>
                <w:szCs w:val="18"/>
              </w:rPr>
              <w:t>191</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00" w:lineRule="exact"/>
              <w:ind w:right="57" w:rightChars="27"/>
              <w:rPr>
                <w:rFonts w:hint="eastAsia" w:ascii="宋体" w:hAnsi="宋体" w:eastAsia="宋体" w:cs="宋体"/>
                <w:sz w:val="18"/>
                <w:szCs w:val="18"/>
              </w:rPr>
            </w:pPr>
            <w:r>
              <w:rPr>
                <w:rFonts w:hint="eastAsia" w:ascii="宋体" w:hAnsi="宋体" w:eastAsia="宋体" w:cs="宋体"/>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9"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00" w:lineRule="exact"/>
              <w:jc w:val="center"/>
              <w:rPr>
                <w:rFonts w:hint="eastAsia" w:ascii="宋体" w:hAnsi="宋体" w:eastAsia="宋体" w:cs="宋体"/>
                <w:b/>
                <w:bCs/>
                <w:sz w:val="18"/>
                <w:szCs w:val="18"/>
              </w:rPr>
            </w:pPr>
            <w:r>
              <w:rPr>
                <w:rFonts w:hint="eastAsia" w:ascii="宋体" w:hAnsi="宋体" w:eastAsia="宋体" w:cs="宋体"/>
                <w:b/>
                <w:bCs/>
                <w:sz w:val="18"/>
                <w:szCs w:val="18"/>
              </w:rPr>
              <w:t>192</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20" w:lineRule="exact"/>
              <w:rPr>
                <w:rFonts w:hint="eastAsia" w:ascii="宋体" w:hAnsi="宋体" w:eastAsia="宋体" w:cs="宋体"/>
                <w:sz w:val="18"/>
                <w:szCs w:val="18"/>
              </w:rPr>
            </w:pPr>
            <w:r>
              <w:rPr>
                <w:rFonts w:hint="eastAsia" w:ascii="宋体" w:hAnsi="宋体" w:eastAsia="宋体" w:cs="宋体"/>
                <w:sz w:val="18"/>
                <w:szCs w:val="18"/>
              </w:rPr>
              <w:t>从业人员    从业人员期末人数</w:t>
            </w:r>
            <w:r>
              <w:rPr>
                <w:rFonts w:hint="eastAsia" w:ascii="宋体" w:hAnsi="宋体" w:eastAsia="宋体" w:cs="宋体"/>
                <w:sz w:val="18"/>
                <w:szCs w:val="18"/>
                <w:u w:val="single"/>
              </w:rPr>
              <w:t xml:space="preserve">               </w:t>
            </w:r>
            <w:r>
              <w:rPr>
                <w:rFonts w:hint="eastAsia" w:ascii="宋体" w:hAnsi="宋体" w:eastAsia="宋体" w:cs="宋体"/>
                <w:sz w:val="18"/>
                <w:szCs w:val="18"/>
              </w:rPr>
              <w:t>人         其中：女性</w:t>
            </w:r>
            <w:r>
              <w:rPr>
                <w:rFonts w:hint="eastAsia" w:ascii="宋体" w:hAnsi="宋体" w:eastAsia="宋体" w:cs="宋体"/>
                <w:sz w:val="18"/>
                <w:szCs w:val="18"/>
                <w:u w:val="single"/>
              </w:rPr>
              <w:t xml:space="preserve">              </w:t>
            </w:r>
            <w:r>
              <w:rPr>
                <w:rFonts w:hint="eastAsia" w:ascii="宋体" w:hAnsi="宋体" w:eastAsia="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exac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193</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企业主要经济指标</w:t>
            </w:r>
          </w:p>
          <w:p>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营业收入</w:t>
            </w:r>
            <w:r>
              <w:rPr>
                <w:rFonts w:hint="eastAsia" w:ascii="宋体" w:hAnsi="宋体" w:eastAsia="宋体" w:cs="宋体"/>
                <w:sz w:val="18"/>
                <w:szCs w:val="18"/>
                <w:u w:val="single"/>
              </w:rPr>
              <w:t xml:space="preserve">             </w:t>
            </w:r>
            <w:r>
              <w:rPr>
                <w:rFonts w:hint="eastAsia" w:ascii="宋体" w:hAnsi="宋体" w:eastAsia="宋体" w:cs="宋体"/>
                <w:sz w:val="18"/>
                <w:szCs w:val="18"/>
              </w:rPr>
              <w:t>千元     其中：主营业务收入</w:t>
            </w:r>
            <w:r>
              <w:rPr>
                <w:rFonts w:hint="eastAsia" w:ascii="宋体" w:hAnsi="宋体" w:eastAsia="宋体" w:cs="宋体"/>
                <w:sz w:val="18"/>
                <w:szCs w:val="18"/>
                <w:u w:val="single"/>
              </w:rPr>
              <w:t xml:space="preserve">            </w:t>
            </w:r>
            <w:r>
              <w:rPr>
                <w:rFonts w:hint="eastAsia" w:ascii="宋体" w:hAnsi="宋体" w:eastAsia="宋体" w:cs="宋体"/>
                <w:sz w:val="18"/>
                <w:szCs w:val="18"/>
              </w:rPr>
              <w:t>千元    资产总计</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千元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营业利润             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50" w:hRule="atLeast"/>
          <w:jc w:val="center"/>
        </w:trPr>
        <w:tc>
          <w:tcPr>
            <w:tcW w:w="620" w:type="dxa"/>
            <w:tcBorders>
              <w:top w:val="single" w:color="auto" w:sz="4" w:space="0"/>
              <w:left w:val="nil"/>
              <w:bottom w:val="single" w:color="auto" w:sz="4" w:space="0"/>
              <w:right w:val="single" w:color="auto" w:sz="4" w:space="0"/>
            </w:tcBorders>
            <w:shd w:val="clear" w:color="auto" w:fill="D7D7D7"/>
            <w:noWrap w:val="0"/>
            <w:vAlign w:val="center"/>
          </w:tcPr>
          <w:p>
            <w:pPr>
              <w:spacing w:line="220" w:lineRule="exact"/>
              <w:jc w:val="center"/>
              <w:rPr>
                <w:rFonts w:hint="eastAsia" w:ascii="宋体" w:hAnsi="宋体" w:eastAsia="宋体" w:cs="宋体"/>
                <w:b/>
                <w:bCs/>
                <w:sz w:val="18"/>
                <w:szCs w:val="18"/>
              </w:rPr>
            </w:pPr>
            <w:r>
              <w:rPr>
                <w:rFonts w:hint="eastAsia" w:ascii="宋体" w:hAnsi="宋体" w:eastAsia="宋体" w:cs="宋体"/>
                <w:b/>
                <w:bCs/>
                <w:sz w:val="18"/>
                <w:szCs w:val="18"/>
              </w:rPr>
              <w:t>211</w:t>
            </w:r>
          </w:p>
        </w:tc>
        <w:tc>
          <w:tcPr>
            <w:tcW w:w="8906" w:type="dxa"/>
            <w:gridSpan w:val="6"/>
            <w:tcBorders>
              <w:top w:val="single" w:color="auto" w:sz="4" w:space="0"/>
              <w:left w:val="single" w:color="auto" w:sz="4" w:space="0"/>
              <w:bottom w:val="single" w:color="auto" w:sz="4" w:space="0"/>
              <w:right w:val="nil"/>
            </w:tcBorders>
            <w:shd w:val="clear" w:color="auto" w:fill="D7D7D7"/>
            <w:noWrap w:val="0"/>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机构类型    □□</w:t>
            </w:r>
          </w:p>
          <w:p>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10 企业          20 事业单位        30 机关          40 社会团体            51 民办非企业单位</w:t>
            </w:r>
          </w:p>
          <w:p>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52 基金会        53 居委会          54 村委会        55 农民专业合作社    56 农村集体经济组织</w:t>
            </w:r>
          </w:p>
          <w:p>
            <w:pPr>
              <w:widowControl/>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110" w:hRule="atLeast"/>
          <w:jc w:val="center"/>
        </w:trPr>
        <w:tc>
          <w:tcPr>
            <w:tcW w:w="620" w:type="dxa"/>
            <w:tcBorders>
              <w:top w:val="single" w:color="auto" w:sz="4" w:space="0"/>
              <w:left w:val="nil"/>
            </w:tcBorders>
            <w:shd w:val="clear" w:color="auto" w:fill="D7D7D7"/>
            <w:noWrap w:val="0"/>
            <w:tcMar>
              <w:top w:w="0" w:type="dxa"/>
              <w:left w:w="57" w:type="dxa"/>
              <w:bottom w:w="0" w:type="dxa"/>
              <w:right w:w="57" w:type="dxa"/>
            </w:tcMar>
            <w:vAlign w:val="center"/>
          </w:tcPr>
          <w:p>
            <w:pPr>
              <w:spacing w:line="240" w:lineRule="auto"/>
              <w:jc w:val="left"/>
              <w:rPr>
                <w:rFonts w:hint="eastAsia" w:ascii="宋体" w:hAnsi="宋体" w:eastAsia="宋体" w:cs="宋体"/>
                <w:b/>
                <w:bCs/>
                <w:sz w:val="18"/>
                <w:szCs w:val="18"/>
              </w:rPr>
            </w:pPr>
            <w:r>
              <w:rPr>
                <w:rFonts w:hint="eastAsia" w:ascii="宋体" w:hAnsi="宋体" w:eastAsia="宋体" w:cs="宋体"/>
                <w:b/>
                <w:bCs/>
                <w:sz w:val="18"/>
                <w:szCs w:val="18"/>
              </w:rPr>
              <w:t>205</w:t>
            </w:r>
          </w:p>
        </w:tc>
        <w:tc>
          <w:tcPr>
            <w:tcW w:w="8906" w:type="dxa"/>
            <w:gridSpan w:val="6"/>
            <w:tcBorders>
              <w:top w:val="single" w:color="auto" w:sz="4" w:space="0"/>
              <w:right w:val="nil"/>
            </w:tcBorders>
            <w:shd w:val="clear" w:color="auto" w:fill="D7D7D7"/>
            <w:noWrap w:val="0"/>
            <w:vAlign w:val="center"/>
          </w:tcPr>
          <w:p>
            <w:pPr>
              <w:spacing w:line="240" w:lineRule="auto"/>
              <w:rPr>
                <w:rFonts w:hint="eastAsia" w:ascii="宋体" w:hAnsi="宋体" w:eastAsia="宋体" w:cs="宋体"/>
              </w:rPr>
            </w:pPr>
            <w:r>
              <w:rPr>
                <w:rFonts w:hint="eastAsia" w:ascii="宋体" w:hAnsi="宋体" w:eastAsia="宋体" w:cs="宋体"/>
                <w:sz w:val="18"/>
                <w:szCs w:val="18"/>
              </w:rPr>
              <w:t xml:space="preserve">登记注册统计类别  □□□  </w:t>
            </w:r>
          </w:p>
          <w:p>
            <w:pPr>
              <w:tabs>
                <w:tab w:val="left" w:pos="630"/>
              </w:tabs>
              <w:spacing w:line="240" w:lineRule="auto"/>
              <w:rPr>
                <w:rFonts w:hint="eastAsia" w:ascii="宋体" w:hAnsi="宋体" w:eastAsia="宋体" w:cs="宋体"/>
                <w:sz w:val="18"/>
                <w:szCs w:val="18"/>
              </w:rPr>
            </w:pPr>
            <w:r>
              <w:rPr>
                <w:rFonts w:hint="eastAsia" w:ascii="宋体" w:hAnsi="宋体" w:eastAsia="宋体" w:cs="宋体"/>
                <w:b/>
                <w:bCs/>
                <w:sz w:val="18"/>
                <w:szCs w:val="18"/>
              </w:rPr>
              <w:t>内资企业</w:t>
            </w:r>
          </w:p>
          <w:p>
            <w:pPr>
              <w:tabs>
                <w:tab w:val="left" w:pos="630"/>
              </w:tabs>
              <w:spacing w:line="240" w:lineRule="auto"/>
              <w:ind w:firstLine="0" w:firstLineChars="0"/>
              <w:rPr>
                <w:rFonts w:hint="eastAsia" w:ascii="宋体" w:hAnsi="宋体" w:eastAsia="宋体" w:cs="宋体"/>
                <w:sz w:val="18"/>
                <w:szCs w:val="18"/>
                <w:lang w:val="en"/>
              </w:rPr>
            </w:pPr>
            <w:r>
              <w:rPr>
                <w:rFonts w:hint="eastAsia" w:ascii="宋体" w:hAnsi="宋体" w:eastAsia="宋体" w:cs="宋体"/>
                <w:sz w:val="18"/>
                <w:szCs w:val="18"/>
                <w:lang w:val="en"/>
              </w:rPr>
              <w:t xml:space="preserve">111 国有独资公司 </w:t>
            </w:r>
            <w:r>
              <w:rPr>
                <w:rFonts w:hint="eastAsia" w:ascii="宋体" w:hAnsi="宋体" w:eastAsia="宋体" w:cs="宋体"/>
                <w:sz w:val="18"/>
                <w:szCs w:val="18"/>
              </w:rPr>
              <w:t xml:space="preserve">    </w:t>
            </w:r>
            <w:r>
              <w:rPr>
                <w:rFonts w:hint="eastAsia" w:ascii="宋体" w:hAnsi="宋体" w:eastAsia="宋体" w:cs="宋体"/>
                <w:sz w:val="18"/>
                <w:szCs w:val="18"/>
                <w:lang w:val="en"/>
              </w:rPr>
              <w:t xml:space="preserve">112 私营有限责任公司 </w:t>
            </w:r>
            <w:r>
              <w:rPr>
                <w:rFonts w:hint="eastAsia" w:ascii="宋体" w:hAnsi="宋体" w:eastAsia="宋体" w:cs="宋体"/>
                <w:sz w:val="18"/>
                <w:szCs w:val="18"/>
              </w:rPr>
              <w:t xml:space="preserve">    </w:t>
            </w:r>
            <w:r>
              <w:rPr>
                <w:rFonts w:hint="eastAsia" w:ascii="宋体" w:hAnsi="宋体" w:eastAsia="宋体" w:cs="宋体"/>
                <w:sz w:val="18"/>
                <w:szCs w:val="18"/>
                <w:lang w:val="en"/>
              </w:rPr>
              <w:t>119 其他有限责任公司</w:t>
            </w:r>
          </w:p>
          <w:p>
            <w:pPr>
              <w:tabs>
                <w:tab w:val="left" w:pos="630"/>
              </w:tabs>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121 私营股份有限公司 129 其他股份有限公司</w:t>
            </w:r>
          </w:p>
          <w:p>
            <w:pPr>
              <w:tabs>
                <w:tab w:val="left" w:pos="630"/>
              </w:tabs>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131 全民所有制企业（国有企业）     132 集体所有制企业（集体企业） 133 股份合作企业 134 联营企业</w:t>
            </w:r>
          </w:p>
          <w:p>
            <w:pPr>
              <w:tabs>
                <w:tab w:val="left" w:pos="630"/>
              </w:tabs>
              <w:spacing w:line="240" w:lineRule="auto"/>
              <w:ind w:firstLine="0" w:firstLineChars="0"/>
              <w:rPr>
                <w:rFonts w:hint="eastAsia" w:ascii="宋体" w:hAnsi="宋体" w:eastAsia="宋体" w:cs="宋体"/>
                <w:sz w:val="18"/>
                <w:szCs w:val="18"/>
                <w:lang w:val="en"/>
              </w:rPr>
            </w:pPr>
            <w:r>
              <w:rPr>
                <w:rFonts w:hint="eastAsia" w:ascii="宋体" w:hAnsi="宋体" w:eastAsia="宋体" w:cs="宋体"/>
                <w:sz w:val="18"/>
                <w:szCs w:val="18"/>
              </w:rPr>
              <w:t>140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个人独资企业    </w:t>
            </w:r>
            <w:r>
              <w:rPr>
                <w:rFonts w:hint="eastAsia" w:ascii="宋体" w:hAnsi="宋体" w:eastAsia="宋体" w:cs="宋体"/>
                <w:sz w:val="18"/>
                <w:szCs w:val="18"/>
                <w:lang w:val="en"/>
              </w:rPr>
              <w:t xml:space="preserve"> </w:t>
            </w:r>
            <w:r>
              <w:rPr>
                <w:rFonts w:hint="eastAsia" w:ascii="宋体" w:hAnsi="宋体" w:eastAsia="宋体" w:cs="宋体"/>
                <w:sz w:val="18"/>
                <w:szCs w:val="18"/>
              </w:rPr>
              <w:t>150</w:t>
            </w:r>
            <w:r>
              <w:rPr>
                <w:rFonts w:hint="eastAsia" w:ascii="宋体" w:hAnsi="宋体" w:eastAsia="宋体" w:cs="宋体"/>
                <w:sz w:val="18"/>
                <w:szCs w:val="18"/>
                <w:lang w:val="en"/>
              </w:rPr>
              <w:t xml:space="preserve"> </w:t>
            </w:r>
            <w:r>
              <w:rPr>
                <w:rFonts w:hint="eastAsia" w:ascii="宋体" w:hAnsi="宋体" w:eastAsia="宋体" w:cs="宋体"/>
                <w:sz w:val="18"/>
                <w:szCs w:val="18"/>
              </w:rPr>
              <w:t>合伙企业</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190</w:t>
            </w:r>
            <w:r>
              <w:rPr>
                <w:rFonts w:hint="eastAsia" w:ascii="宋体" w:hAnsi="宋体" w:eastAsia="宋体" w:cs="宋体"/>
                <w:sz w:val="18"/>
                <w:szCs w:val="18"/>
                <w:lang w:val="en"/>
              </w:rPr>
              <w:t xml:space="preserve"> </w:t>
            </w:r>
            <w:r>
              <w:rPr>
                <w:rFonts w:hint="eastAsia" w:ascii="宋体" w:hAnsi="宋体" w:eastAsia="宋体" w:cs="宋体"/>
                <w:sz w:val="18"/>
                <w:szCs w:val="18"/>
              </w:rPr>
              <w:t>其他内资企业</w:t>
            </w:r>
          </w:p>
          <w:p>
            <w:pPr>
              <w:tabs>
                <w:tab w:val="left" w:pos="630"/>
              </w:tabs>
              <w:spacing w:line="240" w:lineRule="auto"/>
              <w:rPr>
                <w:rFonts w:hint="eastAsia" w:ascii="宋体" w:hAnsi="宋体" w:eastAsia="宋体" w:cs="宋体"/>
                <w:sz w:val="18"/>
                <w:szCs w:val="18"/>
                <w:lang w:val="en"/>
              </w:rPr>
            </w:pPr>
            <w:r>
              <w:rPr>
                <w:rFonts w:hint="eastAsia" w:ascii="宋体" w:hAnsi="宋体" w:eastAsia="宋体" w:cs="宋体"/>
                <w:b/>
                <w:bCs/>
                <w:sz w:val="18"/>
                <w:szCs w:val="18"/>
              </w:rPr>
              <w:t>港澳台投资企业</w:t>
            </w:r>
          </w:p>
          <w:p>
            <w:pPr>
              <w:tabs>
                <w:tab w:val="left" w:pos="630"/>
              </w:tabs>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210</w:t>
            </w:r>
            <w:r>
              <w:rPr>
                <w:rFonts w:hint="eastAsia" w:ascii="宋体" w:hAnsi="宋体" w:eastAsia="宋体" w:cs="宋体"/>
                <w:sz w:val="18"/>
                <w:szCs w:val="18"/>
                <w:lang w:val="en"/>
              </w:rPr>
              <w:t xml:space="preserve"> </w:t>
            </w:r>
            <w:r>
              <w:rPr>
                <w:rFonts w:hint="eastAsia" w:ascii="宋体" w:hAnsi="宋体" w:eastAsia="宋体" w:cs="宋体"/>
                <w:sz w:val="18"/>
                <w:szCs w:val="18"/>
              </w:rPr>
              <w:t>港澳台投资有限责任公司 220</w:t>
            </w:r>
            <w:r>
              <w:rPr>
                <w:rFonts w:hint="eastAsia" w:ascii="宋体" w:hAnsi="宋体" w:eastAsia="宋体" w:cs="宋体"/>
                <w:sz w:val="18"/>
                <w:szCs w:val="18"/>
                <w:lang w:val="en"/>
              </w:rPr>
              <w:t xml:space="preserve"> </w:t>
            </w:r>
            <w:r>
              <w:rPr>
                <w:rFonts w:hint="eastAsia" w:ascii="宋体" w:hAnsi="宋体" w:eastAsia="宋体" w:cs="宋体"/>
                <w:sz w:val="18"/>
                <w:szCs w:val="18"/>
              </w:rPr>
              <w:t>港澳台投资股份有限公司 230</w:t>
            </w:r>
            <w:r>
              <w:rPr>
                <w:rFonts w:hint="eastAsia" w:ascii="宋体" w:hAnsi="宋体" w:eastAsia="宋体" w:cs="宋体"/>
                <w:sz w:val="18"/>
                <w:szCs w:val="18"/>
                <w:lang w:val="en"/>
              </w:rPr>
              <w:t xml:space="preserve"> </w:t>
            </w:r>
            <w:r>
              <w:rPr>
                <w:rFonts w:hint="eastAsia" w:ascii="宋体" w:hAnsi="宋体" w:eastAsia="宋体" w:cs="宋体"/>
                <w:sz w:val="18"/>
                <w:szCs w:val="18"/>
              </w:rPr>
              <w:t>港澳台投资合伙企业 290</w:t>
            </w:r>
            <w:r>
              <w:rPr>
                <w:rFonts w:hint="eastAsia" w:ascii="宋体" w:hAnsi="宋体" w:eastAsia="宋体" w:cs="宋体"/>
                <w:sz w:val="18"/>
                <w:szCs w:val="18"/>
                <w:lang w:val="en"/>
              </w:rPr>
              <w:t xml:space="preserve"> </w:t>
            </w:r>
            <w:r>
              <w:rPr>
                <w:rFonts w:hint="eastAsia" w:ascii="宋体" w:hAnsi="宋体" w:eastAsia="宋体" w:cs="宋体"/>
                <w:sz w:val="18"/>
                <w:szCs w:val="18"/>
              </w:rPr>
              <w:t>其他港澳台投资企业</w:t>
            </w:r>
          </w:p>
          <w:p>
            <w:pPr>
              <w:tabs>
                <w:tab w:val="left" w:pos="630"/>
              </w:tabs>
              <w:spacing w:line="240" w:lineRule="auto"/>
              <w:rPr>
                <w:rFonts w:hint="eastAsia" w:ascii="宋体" w:hAnsi="宋体" w:eastAsia="宋体" w:cs="宋体"/>
                <w:sz w:val="18"/>
                <w:szCs w:val="18"/>
              </w:rPr>
            </w:pPr>
            <w:r>
              <w:rPr>
                <w:rFonts w:hint="eastAsia" w:ascii="宋体" w:hAnsi="宋体" w:eastAsia="宋体" w:cs="宋体"/>
                <w:b/>
                <w:bCs/>
                <w:sz w:val="18"/>
                <w:szCs w:val="18"/>
              </w:rPr>
              <w:t>外商投资企业</w:t>
            </w:r>
          </w:p>
          <w:p>
            <w:pPr>
              <w:tabs>
                <w:tab w:val="left" w:pos="630"/>
              </w:tabs>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310</w:t>
            </w:r>
            <w:r>
              <w:rPr>
                <w:rFonts w:hint="eastAsia" w:ascii="宋体" w:hAnsi="宋体" w:eastAsia="宋体" w:cs="宋体"/>
                <w:sz w:val="18"/>
                <w:szCs w:val="18"/>
                <w:lang w:val="en"/>
              </w:rPr>
              <w:t xml:space="preserve"> </w:t>
            </w:r>
            <w:r>
              <w:rPr>
                <w:rFonts w:hint="eastAsia" w:ascii="宋体" w:hAnsi="宋体" w:eastAsia="宋体" w:cs="宋体"/>
                <w:sz w:val="18"/>
                <w:szCs w:val="18"/>
              </w:rPr>
              <w:t>外商投资有限责任公司</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320</w:t>
            </w:r>
            <w:r>
              <w:rPr>
                <w:rFonts w:hint="eastAsia" w:ascii="宋体" w:hAnsi="宋体" w:eastAsia="宋体" w:cs="宋体"/>
                <w:sz w:val="18"/>
                <w:szCs w:val="18"/>
                <w:lang w:val="en"/>
              </w:rPr>
              <w:t xml:space="preserve"> </w:t>
            </w:r>
            <w:r>
              <w:rPr>
                <w:rFonts w:hint="eastAsia" w:ascii="宋体" w:hAnsi="宋体" w:eastAsia="宋体" w:cs="宋体"/>
                <w:sz w:val="18"/>
                <w:szCs w:val="18"/>
              </w:rPr>
              <w:t>外商投资股份有限公司  330</w:t>
            </w:r>
            <w:r>
              <w:rPr>
                <w:rFonts w:hint="eastAsia" w:ascii="宋体" w:hAnsi="宋体" w:eastAsia="宋体" w:cs="宋体"/>
                <w:sz w:val="18"/>
                <w:szCs w:val="18"/>
                <w:lang w:val="en"/>
              </w:rPr>
              <w:t xml:space="preserve"> </w:t>
            </w:r>
            <w:r>
              <w:rPr>
                <w:rFonts w:hint="eastAsia" w:ascii="宋体" w:hAnsi="宋体" w:eastAsia="宋体" w:cs="宋体"/>
                <w:sz w:val="18"/>
                <w:szCs w:val="18"/>
              </w:rPr>
              <w:t>外商投资合伙企业</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 390</w:t>
            </w:r>
            <w:r>
              <w:rPr>
                <w:rFonts w:hint="eastAsia" w:ascii="宋体" w:hAnsi="宋体" w:eastAsia="宋体" w:cs="宋体"/>
                <w:sz w:val="18"/>
                <w:szCs w:val="18"/>
                <w:lang w:val="en"/>
              </w:rPr>
              <w:t xml:space="preserve"> </w:t>
            </w:r>
            <w:r>
              <w:rPr>
                <w:rFonts w:hint="eastAsia" w:ascii="宋体" w:hAnsi="宋体" w:eastAsia="宋体" w:cs="宋体"/>
                <w:sz w:val="18"/>
                <w:szCs w:val="18"/>
              </w:rPr>
              <w:t>其他外商投资企业</w:t>
            </w:r>
          </w:p>
          <w:p>
            <w:pPr>
              <w:spacing w:line="24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400</w:t>
            </w:r>
            <w:r>
              <w:rPr>
                <w:rFonts w:hint="eastAsia" w:ascii="宋体" w:hAnsi="宋体" w:eastAsia="宋体" w:cs="宋体"/>
                <w:sz w:val="18"/>
                <w:szCs w:val="18"/>
                <w:lang w:val="en"/>
              </w:rPr>
              <w:t xml:space="preserve"> </w:t>
            </w:r>
            <w:r>
              <w:rPr>
                <w:rFonts w:hint="eastAsia" w:ascii="宋体" w:hAnsi="宋体" w:eastAsia="宋体" w:cs="宋体"/>
                <w:b/>
                <w:bCs/>
                <w:sz w:val="18"/>
                <w:szCs w:val="18"/>
              </w:rPr>
              <w:t>农民专业合作社（联合社）</w:t>
            </w:r>
            <w:r>
              <w:rPr>
                <w:rFonts w:hint="eastAsia" w:ascii="宋体" w:hAnsi="宋体" w:eastAsia="宋体" w:cs="宋体"/>
                <w:sz w:val="18"/>
                <w:szCs w:val="18"/>
              </w:rPr>
              <w:t xml:space="preserve"> 500</w:t>
            </w:r>
            <w:r>
              <w:rPr>
                <w:rFonts w:hint="eastAsia" w:ascii="宋体" w:hAnsi="宋体" w:eastAsia="宋体" w:cs="宋体"/>
                <w:sz w:val="18"/>
                <w:szCs w:val="18"/>
                <w:lang w:val="en"/>
              </w:rPr>
              <w:t xml:space="preserve"> </w:t>
            </w:r>
            <w:r>
              <w:rPr>
                <w:rFonts w:hint="eastAsia" w:ascii="宋体" w:hAnsi="宋体" w:eastAsia="宋体" w:cs="宋体"/>
                <w:b/>
                <w:bCs/>
                <w:sz w:val="18"/>
                <w:szCs w:val="18"/>
              </w:rPr>
              <w:t xml:space="preserve">个体工商户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216</w:t>
            </w:r>
          </w:p>
        </w:tc>
        <w:tc>
          <w:tcPr>
            <w:tcW w:w="8906" w:type="dxa"/>
            <w:gridSpan w:val="6"/>
            <w:tcBorders>
              <w:right w:val="nil"/>
            </w:tcBorders>
            <w:shd w:val="clear" w:color="auto" w:fill="D7D7D7"/>
            <w:noWrap w:val="0"/>
            <w:vAlign w:val="center"/>
          </w:tcPr>
          <w:p>
            <w:pPr>
              <w:snapToGrid w:val="0"/>
              <w:spacing w:line="240" w:lineRule="exact"/>
              <w:ind w:firstLine="12" w:firstLineChars="7"/>
              <w:rPr>
                <w:rFonts w:hint="eastAsia" w:ascii="宋体" w:hAnsi="宋体" w:eastAsia="宋体" w:cs="宋体"/>
                <w:sz w:val="18"/>
                <w:szCs w:val="18"/>
              </w:rPr>
            </w:pPr>
            <w:r>
              <w:rPr>
                <w:rFonts w:hint="eastAsia" w:ascii="宋体" w:hAnsi="宋体" w:eastAsia="宋体" w:cs="宋体"/>
                <w:sz w:val="18"/>
                <w:szCs w:val="18"/>
              </w:rPr>
              <w:t>港澳台商投资情况（限港澳台商投资企业填报）（可多选）</w:t>
            </w:r>
          </w:p>
          <w:p>
            <w:pPr>
              <w:snapToGrid w:val="0"/>
              <w:spacing w:line="240" w:lineRule="exact"/>
              <w:ind w:firstLine="12" w:firstLineChars="7"/>
              <w:rPr>
                <w:rFonts w:hint="eastAsia" w:ascii="宋体" w:hAnsi="宋体" w:eastAsia="宋体" w:cs="宋体"/>
                <w:sz w:val="18"/>
                <w:szCs w:val="18"/>
              </w:rPr>
            </w:pPr>
            <w:r>
              <w:rPr>
                <w:rFonts w:hint="eastAsia" w:ascii="宋体" w:hAnsi="宋体" w:eastAsia="宋体" w:cs="宋体"/>
                <w:sz w:val="18"/>
                <w:szCs w:val="18"/>
              </w:rPr>
              <w:t xml:space="preserve"> 1 港商投资□   2澳商投资□   3台商投资□   </w:t>
            </w:r>
            <w:r>
              <w:rPr>
                <w:rFonts w:hint="eastAsia" w:ascii="宋体" w:hAnsi="宋体" w:eastAsia="宋体" w:cs="宋体"/>
                <w:sz w:val="18"/>
                <w:szCs w:val="18"/>
                <w:lang w:val="en"/>
              </w:rPr>
              <w:t>4暂未</w:t>
            </w:r>
            <w:r>
              <w:rPr>
                <w:rFonts w:hint="eastAsia" w:ascii="宋体" w:hAnsi="宋体" w:eastAsia="宋体" w:cs="宋体"/>
                <w:sz w:val="18"/>
                <w:szCs w:val="18"/>
              </w:rPr>
              <w:t>投资□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206</w:t>
            </w:r>
          </w:p>
        </w:tc>
        <w:tc>
          <w:tcPr>
            <w:tcW w:w="8906" w:type="dxa"/>
            <w:gridSpan w:val="6"/>
            <w:tcBorders>
              <w:right w:val="nil"/>
            </w:tcBorders>
            <w:shd w:val="clear" w:color="auto" w:fill="D7D7D7"/>
            <w:noWrap w:val="0"/>
            <w:vAlign w:val="center"/>
          </w:tcPr>
          <w:p>
            <w:pPr>
              <w:snapToGrid w:val="0"/>
              <w:spacing w:line="240" w:lineRule="exact"/>
              <w:ind w:firstLine="12" w:firstLineChars="7"/>
              <w:rPr>
                <w:rFonts w:hint="eastAsia" w:ascii="宋体" w:hAnsi="宋体" w:eastAsia="宋体" w:cs="宋体"/>
                <w:sz w:val="18"/>
                <w:szCs w:val="18"/>
              </w:rPr>
            </w:pPr>
            <w:r>
              <w:rPr>
                <w:rFonts w:hint="eastAsia" w:ascii="宋体" w:hAnsi="宋体" w:eastAsia="宋体" w:cs="宋体"/>
                <w:sz w:val="18"/>
                <w:szCs w:val="18"/>
              </w:rPr>
              <w:t>企业控股情况  □   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207</w:t>
            </w:r>
          </w:p>
        </w:tc>
        <w:tc>
          <w:tcPr>
            <w:tcW w:w="8906" w:type="dxa"/>
            <w:gridSpan w:val="6"/>
            <w:tcBorders>
              <w:right w:val="nil"/>
            </w:tcBorders>
            <w:shd w:val="clear" w:color="auto" w:fill="D7D7D7"/>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隶属关系（限国有控股企业填报）  □□   10 中央    11 地方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209</w:t>
            </w:r>
          </w:p>
        </w:tc>
        <w:tc>
          <w:tcPr>
            <w:tcW w:w="8906" w:type="dxa"/>
            <w:gridSpan w:val="6"/>
            <w:tcBorders>
              <w:right w:val="nil"/>
            </w:tcBorders>
            <w:shd w:val="clear" w:color="auto" w:fill="D7D7D7"/>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执行会计标准类别    □</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1 企业会计准则制度          2 政府会计准则制度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210</w:t>
            </w:r>
          </w:p>
        </w:tc>
        <w:tc>
          <w:tcPr>
            <w:tcW w:w="8906" w:type="dxa"/>
            <w:gridSpan w:val="6"/>
            <w:tcBorders>
              <w:right w:val="nil"/>
            </w:tcBorders>
            <w:shd w:val="clear" w:color="auto" w:fill="D7D7D7"/>
            <w:noWrap w:val="0"/>
            <w:vAlign w:val="center"/>
          </w:tcPr>
          <w:p>
            <w:pPr>
              <w:snapToGrid w:val="0"/>
              <w:spacing w:line="240" w:lineRule="exact"/>
              <w:ind w:left="2700" w:hanging="2700" w:hangingChars="1500"/>
              <w:jc w:val="left"/>
              <w:rPr>
                <w:rFonts w:hint="eastAsia" w:ascii="宋体" w:hAnsi="宋体" w:eastAsia="宋体" w:cs="宋体"/>
                <w:sz w:val="18"/>
                <w:szCs w:val="18"/>
              </w:rPr>
            </w:pPr>
            <w:r>
              <w:rPr>
                <w:rFonts w:hint="eastAsia" w:ascii="宋体" w:hAnsi="宋体" w:eastAsia="宋体" w:cs="宋体"/>
                <w:sz w:val="18"/>
                <w:szCs w:val="18"/>
              </w:rPr>
              <w:t xml:space="preserve">执行企业会计准则制度情况   □                                                                           </w:t>
            </w:r>
          </w:p>
          <w:p>
            <w:pPr>
              <w:snapToGrid w:val="0"/>
              <w:spacing w:line="240" w:lineRule="exact"/>
              <w:ind w:left="2698" w:leftChars="85" w:hanging="2520" w:hangingChars="1400"/>
              <w:jc w:val="left"/>
              <w:rPr>
                <w:rFonts w:hint="eastAsia" w:ascii="宋体" w:hAnsi="宋体" w:eastAsia="宋体" w:cs="宋体"/>
                <w:sz w:val="18"/>
                <w:szCs w:val="18"/>
              </w:rPr>
            </w:pPr>
            <w:r>
              <w:rPr>
                <w:rFonts w:hint="eastAsia" w:ascii="宋体" w:hAnsi="宋体" w:eastAsia="宋体" w:cs="宋体"/>
                <w:sz w:val="18"/>
                <w:szCs w:val="18"/>
              </w:rPr>
              <w:t>1 执行《企业会计准则》      2 执行《小企业会计准则》       3 执行《企业会计制度》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02"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212</w:t>
            </w:r>
          </w:p>
        </w:tc>
        <w:tc>
          <w:tcPr>
            <w:tcW w:w="8906" w:type="dxa"/>
            <w:gridSpan w:val="6"/>
            <w:tcBorders>
              <w:right w:val="nil"/>
            </w:tcBorders>
            <w:shd w:val="clear" w:color="auto" w:fill="D7D7D7"/>
            <w:noWrap w:val="0"/>
            <w:vAlign w:val="center"/>
          </w:tcPr>
          <w:p>
            <w:pPr>
              <w:snapToGrid w:val="0"/>
              <w:spacing w:line="240" w:lineRule="exact"/>
              <w:ind w:left="0" w:leftChars="0" w:firstLine="0" w:firstLineChars="0"/>
              <w:jc w:val="left"/>
              <w:rPr>
                <w:rFonts w:hint="eastAsia" w:ascii="宋体" w:hAnsi="宋体" w:eastAsia="宋体" w:cs="宋体"/>
                <w:sz w:val="18"/>
                <w:szCs w:val="18"/>
                <w:lang w:eastAsia="zh-CN"/>
              </w:rPr>
            </w:pPr>
            <w:r>
              <w:rPr>
                <w:rFonts w:hint="eastAsia" w:ascii="宋体" w:hAnsi="宋体" w:eastAsia="宋体" w:cs="宋体"/>
                <w:sz w:val="18"/>
                <w:szCs w:val="18"/>
              </w:rPr>
              <w:t>产业活动单位数</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个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213</w:t>
            </w:r>
          </w:p>
        </w:tc>
        <w:tc>
          <w:tcPr>
            <w:tcW w:w="8906" w:type="dxa"/>
            <w:gridSpan w:val="6"/>
            <w:tcBorders>
              <w:right w:val="nil"/>
            </w:tcBorders>
            <w:shd w:val="clear" w:color="auto" w:fill="D7D7D7"/>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企业集团情况(限企业集团母公司及成员企业填写)  本企业是 </w:t>
            </w:r>
            <w:r>
              <w:rPr>
                <w:rFonts w:hint="eastAsia" w:ascii="宋体" w:hAnsi="宋体" w:eastAsia="宋体" w:cs="宋体"/>
                <w:kern w:val="0"/>
                <w:sz w:val="18"/>
                <w:szCs w:val="18"/>
              </w:rPr>
              <w:t xml:space="preserve">□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kern w:val="0"/>
                <w:sz w:val="18"/>
                <w:szCs w:val="18"/>
              </w:rPr>
              <w:t xml:space="preserve"> 1 集团母公司</w:t>
            </w:r>
            <w:r>
              <w:rPr>
                <w:rFonts w:hint="eastAsia" w:ascii="宋体" w:hAnsi="宋体" w:eastAsia="宋体" w:cs="宋体"/>
                <w:sz w:val="18"/>
                <w:szCs w:val="18"/>
              </w:rPr>
              <w:t xml:space="preserve">(核心企业或集团总部) </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  2 成员企业——请填直接上级法人统一社会信用代码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C01</w:t>
            </w:r>
          </w:p>
        </w:tc>
        <w:tc>
          <w:tcPr>
            <w:tcW w:w="8906" w:type="dxa"/>
            <w:gridSpan w:val="6"/>
            <w:tcBorders>
              <w:right w:val="nil"/>
            </w:tcBorders>
            <w:shd w:val="clear" w:color="auto" w:fill="D7D7D7"/>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建筑业企业资质等级编码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rPr>
                <w:rFonts w:hint="eastAsia" w:ascii="宋体" w:hAnsi="宋体" w:eastAsia="宋体" w:cs="宋体"/>
              </w:rPr>
            </w:pPr>
          </w:p>
        </w:tc>
        <w:tc>
          <w:tcPr>
            <w:tcW w:w="8906" w:type="dxa"/>
            <w:gridSpan w:val="6"/>
            <w:tcBorders>
              <w:right w:val="nil"/>
            </w:tcBorders>
            <w:shd w:val="clear" w:color="auto" w:fill="D7D7D7"/>
            <w:noWrap w:val="0"/>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22"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X01</w:t>
            </w:r>
          </w:p>
        </w:tc>
        <w:tc>
          <w:tcPr>
            <w:tcW w:w="8906" w:type="dxa"/>
            <w:gridSpan w:val="6"/>
            <w:tcBorders>
              <w:right w:val="nil"/>
            </w:tcBorders>
            <w:shd w:val="clear" w:color="auto" w:fill="D7D7D7"/>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ES1</w:t>
            </w:r>
          </w:p>
        </w:tc>
        <w:tc>
          <w:tcPr>
            <w:tcW w:w="8906" w:type="dxa"/>
            <w:gridSpan w:val="6"/>
            <w:tcBorders>
              <w:right w:val="nil"/>
            </w:tcBorders>
            <w:shd w:val="clear" w:color="auto" w:fill="D7D7D7"/>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 xml:space="preserve">批发和零售业、住宿和餐饮业单位经营形式□  </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1 独立门店      2 连锁总店（总部）     3 连锁直营店     4 连锁加盟店     9 其他  </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连锁品牌（商标或商号名称）：</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705" w:hRule="atLeas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E02</w:t>
            </w:r>
          </w:p>
        </w:tc>
        <w:tc>
          <w:tcPr>
            <w:tcW w:w="8906" w:type="dxa"/>
            <w:gridSpan w:val="6"/>
            <w:tcBorders>
              <w:right w:val="nil"/>
            </w:tcBorders>
            <w:shd w:val="clear" w:color="auto" w:fill="D7D7D7"/>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零售业态（可多选，不超过3个）    □□□□    □□□□     □□□□</w:t>
            </w:r>
          </w:p>
          <w:p>
            <w:pPr>
              <w:snapToGrid w:val="0"/>
              <w:spacing w:line="240" w:lineRule="exact"/>
              <w:rPr>
                <w:rFonts w:hint="eastAsia" w:ascii="宋体" w:hAnsi="宋体" w:eastAsia="宋体" w:cs="宋体"/>
                <w:b/>
                <w:bCs/>
                <w:sz w:val="18"/>
                <w:szCs w:val="18"/>
              </w:rPr>
            </w:pPr>
            <w:r>
              <w:rPr>
                <w:rFonts w:hint="eastAsia" w:ascii="宋体" w:hAnsi="宋体" w:eastAsia="宋体" w:cs="宋体"/>
                <w:b/>
                <w:bCs/>
                <w:sz w:val="18"/>
                <w:szCs w:val="18"/>
              </w:rPr>
              <w:t>有店铺零售</w:t>
            </w:r>
          </w:p>
          <w:p>
            <w:pPr>
              <w:snapToGrid w:val="0"/>
              <w:spacing w:line="240" w:lineRule="exact"/>
              <w:ind w:left="181" w:leftChars="86"/>
              <w:rPr>
                <w:rFonts w:hint="eastAsia" w:ascii="宋体" w:hAnsi="宋体" w:eastAsia="宋体" w:cs="宋体"/>
                <w:sz w:val="18"/>
                <w:szCs w:val="18"/>
              </w:rPr>
            </w:pPr>
            <w:r>
              <w:rPr>
                <w:rFonts w:hint="eastAsia" w:ascii="宋体" w:hAnsi="宋体" w:eastAsia="宋体" w:cs="宋体"/>
                <w:sz w:val="18"/>
                <w:szCs w:val="18"/>
              </w:rPr>
              <w:t>1010</w:t>
            </w:r>
            <w:r>
              <w:rPr>
                <w:rFonts w:hint="eastAsia" w:ascii="宋体" w:hAnsi="宋体" w:eastAsia="宋体" w:cs="宋体"/>
                <w:sz w:val="18"/>
                <w:szCs w:val="18"/>
                <w:lang w:val="en"/>
              </w:rPr>
              <w:t xml:space="preserve">  </w:t>
            </w:r>
            <w:r>
              <w:rPr>
                <w:rFonts w:hint="eastAsia" w:ascii="宋体" w:hAnsi="宋体" w:eastAsia="宋体" w:cs="宋体"/>
                <w:sz w:val="18"/>
                <w:szCs w:val="18"/>
              </w:rPr>
              <w:t>便利店    1020</w:t>
            </w:r>
            <w:r>
              <w:rPr>
                <w:rFonts w:hint="eastAsia" w:ascii="宋体" w:hAnsi="宋体" w:eastAsia="宋体" w:cs="宋体"/>
                <w:sz w:val="18"/>
                <w:szCs w:val="18"/>
                <w:lang w:val="en"/>
              </w:rPr>
              <w:t xml:space="preserve">  </w:t>
            </w:r>
            <w:r>
              <w:rPr>
                <w:rFonts w:hint="eastAsia" w:ascii="宋体" w:hAnsi="宋体" w:eastAsia="宋体" w:cs="宋体"/>
                <w:sz w:val="18"/>
                <w:szCs w:val="18"/>
              </w:rPr>
              <w:t>超市    1030</w:t>
            </w:r>
            <w:r>
              <w:rPr>
                <w:rFonts w:hint="eastAsia" w:ascii="宋体" w:hAnsi="宋体" w:eastAsia="宋体" w:cs="宋体"/>
                <w:sz w:val="18"/>
                <w:szCs w:val="18"/>
                <w:lang w:val="en"/>
              </w:rPr>
              <w:t xml:space="preserve">  </w:t>
            </w:r>
            <w:r>
              <w:rPr>
                <w:rFonts w:hint="eastAsia" w:ascii="宋体" w:hAnsi="宋体" w:eastAsia="宋体" w:cs="宋体"/>
                <w:sz w:val="18"/>
                <w:szCs w:val="18"/>
              </w:rPr>
              <w:t>折扣店    1040</w:t>
            </w:r>
            <w:r>
              <w:rPr>
                <w:rFonts w:hint="eastAsia" w:ascii="宋体" w:hAnsi="宋体" w:eastAsia="宋体" w:cs="宋体"/>
                <w:sz w:val="18"/>
                <w:szCs w:val="18"/>
                <w:lang w:val="en"/>
              </w:rPr>
              <w:t xml:space="preserve">  </w:t>
            </w:r>
            <w:r>
              <w:rPr>
                <w:rFonts w:hint="eastAsia" w:ascii="宋体" w:hAnsi="宋体" w:eastAsia="宋体" w:cs="宋体"/>
                <w:sz w:val="18"/>
                <w:szCs w:val="18"/>
              </w:rPr>
              <w:t>仓储会员店    1050</w:t>
            </w:r>
            <w:r>
              <w:rPr>
                <w:rFonts w:hint="eastAsia" w:ascii="宋体" w:hAnsi="宋体" w:eastAsia="宋体" w:cs="宋体"/>
                <w:sz w:val="18"/>
                <w:szCs w:val="18"/>
                <w:lang w:val="en"/>
              </w:rPr>
              <w:t xml:space="preserve">  </w:t>
            </w:r>
            <w:r>
              <w:rPr>
                <w:rFonts w:hint="eastAsia" w:ascii="宋体" w:hAnsi="宋体" w:eastAsia="宋体" w:cs="宋体"/>
                <w:sz w:val="18"/>
                <w:szCs w:val="18"/>
              </w:rPr>
              <w:t>百货店</w:t>
            </w:r>
          </w:p>
          <w:p>
            <w:pPr>
              <w:snapToGrid w:val="0"/>
              <w:spacing w:line="240" w:lineRule="exact"/>
              <w:ind w:left="181" w:leftChars="86"/>
              <w:rPr>
                <w:rFonts w:hint="eastAsia" w:ascii="宋体" w:hAnsi="宋体" w:eastAsia="宋体" w:cs="宋体"/>
                <w:sz w:val="18"/>
                <w:szCs w:val="18"/>
              </w:rPr>
            </w:pPr>
            <w:r>
              <w:rPr>
                <w:rFonts w:hint="eastAsia" w:ascii="宋体" w:hAnsi="宋体" w:eastAsia="宋体" w:cs="宋体"/>
                <w:sz w:val="18"/>
                <w:szCs w:val="18"/>
              </w:rPr>
              <w:t>1060</w:t>
            </w:r>
            <w:r>
              <w:rPr>
                <w:rFonts w:hint="eastAsia" w:ascii="宋体" w:hAnsi="宋体" w:eastAsia="宋体" w:cs="宋体"/>
                <w:sz w:val="18"/>
                <w:szCs w:val="18"/>
                <w:lang w:val="en"/>
              </w:rPr>
              <w:t xml:space="preserve">  </w:t>
            </w:r>
            <w:r>
              <w:rPr>
                <w:rFonts w:hint="eastAsia" w:ascii="宋体" w:hAnsi="宋体" w:eastAsia="宋体" w:cs="宋体"/>
                <w:sz w:val="18"/>
                <w:szCs w:val="18"/>
              </w:rPr>
              <w:t>购物中心  1070</w:t>
            </w:r>
            <w:r>
              <w:rPr>
                <w:rFonts w:hint="eastAsia" w:ascii="宋体" w:hAnsi="宋体" w:eastAsia="宋体" w:cs="宋体"/>
                <w:sz w:val="18"/>
                <w:szCs w:val="18"/>
                <w:lang w:val="en"/>
              </w:rPr>
              <w:t xml:space="preserve">  </w:t>
            </w:r>
            <w:r>
              <w:rPr>
                <w:rFonts w:hint="eastAsia" w:ascii="宋体" w:hAnsi="宋体" w:eastAsia="宋体" w:cs="宋体"/>
                <w:sz w:val="18"/>
                <w:szCs w:val="18"/>
              </w:rPr>
              <w:t>专业店  1080</w:t>
            </w:r>
            <w:r>
              <w:rPr>
                <w:rFonts w:hint="eastAsia" w:ascii="宋体" w:hAnsi="宋体" w:eastAsia="宋体" w:cs="宋体"/>
                <w:sz w:val="18"/>
                <w:szCs w:val="18"/>
                <w:lang w:val="en"/>
              </w:rPr>
              <w:t xml:space="preserve">  </w:t>
            </w:r>
            <w:r>
              <w:rPr>
                <w:rFonts w:hint="eastAsia" w:ascii="宋体" w:hAnsi="宋体" w:eastAsia="宋体" w:cs="宋体"/>
                <w:sz w:val="18"/>
                <w:szCs w:val="18"/>
              </w:rPr>
              <w:t>品牌专卖店    1090</w:t>
            </w:r>
            <w:r>
              <w:rPr>
                <w:rFonts w:hint="eastAsia" w:ascii="宋体" w:hAnsi="宋体" w:eastAsia="宋体" w:cs="宋体"/>
                <w:sz w:val="18"/>
                <w:szCs w:val="18"/>
                <w:lang w:val="en"/>
              </w:rPr>
              <w:t xml:space="preserve">  </w:t>
            </w:r>
            <w:r>
              <w:rPr>
                <w:rFonts w:hint="eastAsia" w:ascii="宋体" w:hAnsi="宋体" w:eastAsia="宋体" w:cs="宋体"/>
                <w:sz w:val="18"/>
                <w:szCs w:val="18"/>
              </w:rPr>
              <w:t>集合店    1100</w:t>
            </w:r>
            <w:r>
              <w:rPr>
                <w:rFonts w:hint="eastAsia" w:ascii="宋体" w:hAnsi="宋体" w:eastAsia="宋体" w:cs="宋体"/>
                <w:sz w:val="18"/>
                <w:szCs w:val="18"/>
                <w:lang w:val="en"/>
              </w:rPr>
              <w:t xml:space="preserve">  </w:t>
            </w:r>
            <w:r>
              <w:rPr>
                <w:rFonts w:hint="eastAsia" w:ascii="宋体" w:hAnsi="宋体" w:eastAsia="宋体" w:cs="宋体"/>
                <w:sz w:val="18"/>
                <w:szCs w:val="18"/>
              </w:rPr>
              <w:t>无人值守商店</w:t>
            </w:r>
          </w:p>
          <w:p>
            <w:pPr>
              <w:snapToGrid w:val="0"/>
              <w:spacing w:line="240" w:lineRule="exact"/>
              <w:rPr>
                <w:rFonts w:hint="eastAsia" w:ascii="宋体" w:hAnsi="宋体" w:eastAsia="宋体" w:cs="宋体"/>
                <w:b/>
                <w:bCs/>
                <w:sz w:val="18"/>
                <w:szCs w:val="18"/>
              </w:rPr>
            </w:pPr>
            <w:r>
              <w:rPr>
                <w:rFonts w:hint="eastAsia" w:ascii="宋体" w:hAnsi="宋体" w:eastAsia="宋体" w:cs="宋体"/>
                <w:b/>
                <w:bCs/>
                <w:sz w:val="18"/>
                <w:szCs w:val="18"/>
              </w:rPr>
              <w:t>无店铺零售</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2010</w:t>
            </w:r>
            <w:r>
              <w:rPr>
                <w:rFonts w:hint="eastAsia" w:ascii="宋体" w:hAnsi="宋体" w:eastAsia="宋体" w:cs="宋体"/>
                <w:sz w:val="18"/>
                <w:szCs w:val="18"/>
                <w:lang w:val="en"/>
              </w:rPr>
              <w:t xml:space="preserve">  </w:t>
            </w:r>
            <w:r>
              <w:rPr>
                <w:rFonts w:hint="eastAsia" w:ascii="宋体" w:hAnsi="宋体" w:eastAsia="宋体" w:cs="宋体"/>
                <w:sz w:val="18"/>
                <w:szCs w:val="18"/>
              </w:rPr>
              <w:t>网络零售    2020</w:t>
            </w:r>
            <w:r>
              <w:rPr>
                <w:rFonts w:hint="eastAsia" w:ascii="宋体" w:hAnsi="宋体" w:eastAsia="宋体" w:cs="宋体"/>
                <w:sz w:val="18"/>
                <w:szCs w:val="18"/>
                <w:lang w:val="en"/>
              </w:rPr>
              <w:t xml:space="preserve">  </w:t>
            </w:r>
            <w:r>
              <w:rPr>
                <w:rFonts w:hint="eastAsia" w:ascii="宋体" w:hAnsi="宋体" w:eastAsia="宋体" w:cs="宋体"/>
                <w:sz w:val="18"/>
                <w:szCs w:val="18"/>
              </w:rPr>
              <w:t>电视/广播零售    2030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邮寄零售  </w:t>
            </w:r>
            <w:r>
              <w:rPr>
                <w:rFonts w:hint="eastAsia" w:ascii="宋体" w:hAnsi="宋体" w:eastAsia="宋体" w:cs="宋体"/>
                <w:w w:val="135"/>
                <w:sz w:val="18"/>
                <w:szCs w:val="18"/>
              </w:rPr>
              <w:t xml:space="preserve">   </w:t>
            </w:r>
            <w:r>
              <w:rPr>
                <w:rFonts w:hint="eastAsia" w:ascii="宋体" w:hAnsi="宋体" w:eastAsia="宋体" w:cs="宋体"/>
                <w:sz w:val="18"/>
                <w:szCs w:val="18"/>
              </w:rPr>
              <w:t xml:space="preserve"> 2040</w:t>
            </w:r>
            <w:r>
              <w:rPr>
                <w:rFonts w:hint="eastAsia" w:ascii="宋体" w:hAnsi="宋体" w:eastAsia="宋体" w:cs="宋体"/>
                <w:sz w:val="18"/>
                <w:szCs w:val="18"/>
                <w:lang w:val="en"/>
              </w:rPr>
              <w:t xml:space="preserve">  </w:t>
            </w:r>
            <w:r>
              <w:rPr>
                <w:rFonts w:hint="eastAsia" w:ascii="宋体" w:hAnsi="宋体" w:eastAsia="宋体" w:cs="宋体"/>
                <w:sz w:val="18"/>
                <w:szCs w:val="18"/>
              </w:rPr>
              <w:t>无人售货设备零售</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2050</w:t>
            </w:r>
            <w:r>
              <w:rPr>
                <w:rFonts w:hint="eastAsia" w:ascii="宋体" w:hAnsi="宋体" w:eastAsia="宋体" w:cs="宋体"/>
                <w:sz w:val="18"/>
                <w:szCs w:val="18"/>
                <w:lang w:val="en"/>
              </w:rPr>
              <w:t xml:space="preserve">  </w:t>
            </w:r>
            <w:r>
              <w:rPr>
                <w:rFonts w:hint="eastAsia" w:ascii="宋体" w:hAnsi="宋体" w:eastAsia="宋体" w:cs="宋体"/>
                <w:sz w:val="18"/>
                <w:szCs w:val="18"/>
              </w:rPr>
              <w:t>电话零售    2060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直销       </w:t>
            </w:r>
            <w:r>
              <w:rPr>
                <w:rFonts w:hint="eastAsia" w:ascii="宋体" w:hAnsi="宋体" w:eastAsia="宋体" w:cs="宋体"/>
                <w:w w:val="120"/>
                <w:sz w:val="18"/>
                <w:szCs w:val="18"/>
              </w:rPr>
              <w:t xml:space="preserve">   </w:t>
            </w:r>
            <w:r>
              <w:rPr>
                <w:rFonts w:hint="eastAsia" w:ascii="宋体" w:hAnsi="宋体" w:eastAsia="宋体" w:cs="宋体"/>
                <w:sz w:val="18"/>
                <w:szCs w:val="18"/>
              </w:rPr>
              <w:t xml:space="preserve">  2070</w:t>
            </w:r>
            <w:r>
              <w:rPr>
                <w:rFonts w:hint="eastAsia" w:ascii="宋体" w:hAnsi="宋体" w:eastAsia="宋体" w:cs="宋体"/>
                <w:sz w:val="18"/>
                <w:szCs w:val="18"/>
                <w:lang w:val="en"/>
              </w:rPr>
              <w:t xml:space="preserve">  </w:t>
            </w:r>
            <w:r>
              <w:rPr>
                <w:rFonts w:hint="eastAsia" w:ascii="宋体" w:hAnsi="宋体" w:eastAsia="宋体" w:cs="宋体"/>
                <w:sz w:val="18"/>
                <w:szCs w:val="18"/>
              </w:rPr>
              <w:t>流动货摊零售   2090</w:t>
            </w:r>
            <w:r>
              <w:rPr>
                <w:rFonts w:hint="eastAsia" w:ascii="宋体" w:hAnsi="宋体" w:eastAsia="宋体" w:cs="宋体"/>
                <w:sz w:val="18"/>
                <w:szCs w:val="18"/>
                <w:lang w:val="en"/>
              </w:rPr>
              <w:t xml:space="preserve">  </w:t>
            </w:r>
            <w:r>
              <w:rPr>
                <w:rFonts w:hint="eastAsia" w:ascii="宋体" w:hAnsi="宋体" w:eastAsia="宋体" w:cs="宋体"/>
                <w:sz w:val="18"/>
                <w:szCs w:val="18"/>
              </w:rPr>
              <w:t xml:space="preserve">其他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620" w:type="dxa"/>
            <w:tcBorders>
              <w:left w:val="nil"/>
            </w:tcBorders>
            <w:shd w:val="clear" w:color="auto" w:fill="D7D7D7"/>
            <w:noWrap w:val="0"/>
            <w:tcMar>
              <w:top w:w="0" w:type="dxa"/>
              <w:left w:w="57" w:type="dxa"/>
              <w:bottom w:w="0" w:type="dxa"/>
              <w:right w:w="57" w:type="dxa"/>
            </w:tcMar>
            <w:vAlign w:val="center"/>
          </w:tcPr>
          <w:p>
            <w:pPr>
              <w:snapToGrid w:val="0"/>
              <w:jc w:val="center"/>
              <w:rPr>
                <w:rFonts w:hint="eastAsia" w:ascii="宋体" w:hAnsi="宋体" w:eastAsia="宋体" w:cs="宋体"/>
                <w:b/>
                <w:bCs/>
                <w:sz w:val="18"/>
                <w:szCs w:val="18"/>
              </w:rPr>
            </w:pPr>
            <w:r>
              <w:rPr>
                <w:rFonts w:hint="eastAsia" w:ascii="宋体" w:hAnsi="宋体" w:eastAsia="宋体" w:cs="宋体"/>
                <w:b/>
                <w:bCs/>
                <w:sz w:val="18"/>
                <w:szCs w:val="18"/>
              </w:rPr>
              <w:t>S02</w:t>
            </w:r>
          </w:p>
        </w:tc>
        <w:tc>
          <w:tcPr>
            <w:tcW w:w="8906" w:type="dxa"/>
            <w:gridSpan w:val="6"/>
            <w:tcBorders>
              <w:right w:val="nil"/>
            </w:tcBorders>
            <w:shd w:val="clear" w:color="auto" w:fill="D7D7D7"/>
            <w:noWrap w:val="0"/>
            <w:vAlign w:val="center"/>
          </w:tcPr>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住宿业单位星级评定情况      □      1 一星     2 二星    3 三星    4 四星    5 五星    9 其他</w:t>
            </w:r>
          </w:p>
        </w:tc>
      </w:tr>
    </w:tbl>
    <w:p>
      <w:pPr>
        <w:keepNext w:val="0"/>
        <w:keepLines w:val="0"/>
        <w:pageBreakBefore w:val="0"/>
        <w:widowControl w:val="0"/>
        <w:kinsoku/>
        <w:wordWrap/>
        <w:overflowPunct/>
        <w:topLinePunct w:val="0"/>
        <w:autoSpaceDE/>
        <w:autoSpaceDN/>
        <w:bidi w:val="0"/>
        <w:adjustRightInd/>
        <w:snapToGrid/>
        <w:spacing w:line="240" w:lineRule="exact"/>
        <w:ind w:left="-202" w:leftChars="-390" w:right="-733" w:rightChars="-349" w:hanging="617" w:hangingChars="343"/>
        <w:textAlignment w:val="auto"/>
        <w:rPr>
          <w:rFonts w:ascii="Nimbus Roman No9 L" w:hAnsi="Nimbus Roman No9 L" w:cs="Nimbus Roman No9 L"/>
          <w:sz w:val="18"/>
          <w:szCs w:val="18"/>
        </w:rPr>
      </w:pPr>
      <w:r>
        <w:rPr>
          <w:rFonts w:hint="eastAsia" w:ascii="Nimbus Roman No9 L" w:hAnsi="Nimbus Roman No9 L" w:cs="Nimbus Roman No9 L"/>
          <w:sz w:val="18"/>
          <w:szCs w:val="18"/>
          <w:lang w:val="en-US" w:eastAsia="zh-CN"/>
        </w:rPr>
        <w:t xml:space="preserve">         </w:t>
      </w:r>
      <w:r>
        <w:rPr>
          <w:rFonts w:ascii="Nimbus Roman No9 L" w:hAnsi="Nimbus Roman No9 L" w:cs="Nimbus Roman No9 L"/>
          <w:sz w:val="18"/>
          <w:szCs w:val="18"/>
        </w:rPr>
        <w:t xml:space="preserve">单位负责人：        统计负责人：         填表人：      </w:t>
      </w:r>
      <w:r>
        <w:rPr>
          <w:rFonts w:hint="eastAsia" w:ascii="Nimbus Roman No9 L" w:hAnsi="Nimbus Roman No9 L" w:cs="Nimbus Roman No9 L"/>
          <w:sz w:val="18"/>
          <w:szCs w:val="18"/>
          <w:lang w:eastAsia="zh-CN"/>
        </w:rPr>
        <w:t>填表人</w:t>
      </w:r>
      <w:r>
        <w:rPr>
          <w:rFonts w:ascii="Nimbus Roman No9 L" w:hAnsi="Nimbus Roman No9 L" w:cs="Nimbus Roman No9 L"/>
          <w:sz w:val="18"/>
          <w:szCs w:val="18"/>
        </w:rPr>
        <w:t>联系电话：       报出日期：２０  年   月   日</w:t>
      </w:r>
    </w:p>
    <w:p>
      <w:pPr>
        <w:spacing w:line="240" w:lineRule="exact"/>
        <w:rPr>
          <w:rFonts w:ascii="宋体" w:hAnsi="宋体"/>
          <w:sz w:val="18"/>
          <w:szCs w:val="18"/>
        </w:rPr>
      </w:pPr>
    </w:p>
    <w:p>
      <w:pPr>
        <w:adjustRightInd w:val="0"/>
        <w:spacing w:line="240" w:lineRule="exact"/>
        <w:ind w:left="1620" w:hanging="1620" w:hangingChars="900"/>
        <w:rPr>
          <w:rFonts w:ascii="宋体"/>
          <w:sz w:val="18"/>
        </w:rPr>
      </w:pPr>
      <w:r>
        <w:rPr>
          <w:rFonts w:hint="eastAsia" w:ascii="宋体" w:hAnsi="宋体"/>
          <w:sz w:val="18"/>
          <w:szCs w:val="18"/>
        </w:rPr>
        <w:t>说明：1.统计范围：</w:t>
      </w:r>
      <w:r>
        <w:rPr>
          <w:rFonts w:hint="eastAsia" w:ascii="宋体"/>
          <w:sz w:val="18"/>
          <w:szCs w:val="18"/>
        </w:rPr>
        <w:t>辖区内规模以上服务业法人单位。</w:t>
      </w:r>
    </w:p>
    <w:p>
      <w:pPr>
        <w:spacing w:line="240" w:lineRule="exact"/>
        <w:ind w:left="722" w:leftChars="258" w:hanging="180" w:hangingChars="100"/>
        <w:rPr>
          <w:rFonts w:ascii="宋体" w:hAnsi="宋体"/>
          <w:sz w:val="18"/>
          <w:szCs w:val="18"/>
        </w:rPr>
      </w:pPr>
      <w:r>
        <w:rPr>
          <w:rFonts w:ascii="宋体"/>
          <w:sz w:val="18"/>
        </w:rPr>
        <w:t>2.</w:t>
      </w:r>
      <w:r>
        <w:rPr>
          <w:rFonts w:hint="eastAsia" w:ascii="宋体"/>
          <w:sz w:val="18"/>
        </w:rPr>
        <w:t>除</w:t>
      </w:r>
      <w:r>
        <w:rPr>
          <w:rFonts w:ascii="宋体"/>
          <w:sz w:val="18"/>
        </w:rPr>
        <w:t>需要审核修改的指标外，</w:t>
      </w:r>
      <w:r>
        <w:rPr>
          <w:rFonts w:hint="eastAsia" w:ascii="宋体"/>
          <w:sz w:val="18"/>
        </w:rPr>
        <w:t>其</w:t>
      </w:r>
      <w:r>
        <w:rPr>
          <w:rFonts w:ascii="宋体"/>
          <w:sz w:val="18"/>
        </w:rPr>
        <w:t>他指标如需变更，</w:t>
      </w:r>
      <w:r>
        <w:rPr>
          <w:rFonts w:hint="eastAsia" w:ascii="宋体" w:hAnsi="宋体"/>
          <w:sz w:val="18"/>
          <w:szCs w:val="18"/>
        </w:rPr>
        <w:t>省级名录库管理部门对表中变更内容在名录库中进行更新；国家统计局普查中心负责对比整理后推送联网直报平台；调查单位免报。</w:t>
      </w:r>
    </w:p>
    <w:p>
      <w:pPr>
        <w:spacing w:line="240" w:lineRule="exact"/>
        <w:ind w:left="722" w:leftChars="258" w:hanging="180" w:hangingChars="100"/>
        <w:rPr>
          <w:rFonts w:ascii="宋体" w:hAnsi="宋体"/>
          <w:sz w:val="18"/>
          <w:szCs w:val="18"/>
        </w:rPr>
      </w:pPr>
    </w:p>
    <w:p>
      <w:pPr>
        <w:spacing w:line="400" w:lineRule="exact"/>
        <w:jc w:val="center"/>
        <w:rPr>
          <w:rFonts w:ascii="黑体" w:hAnsi="宋体" w:eastAsia="黑体"/>
          <w:sz w:val="28"/>
          <w:szCs w:val="28"/>
        </w:rPr>
        <w:sectPr>
          <w:headerReference r:id="rId5" w:type="default"/>
          <w:footerReference r:id="rId7" w:type="default"/>
          <w:headerReference r:id="rId6" w:type="even"/>
          <w:footerReference r:id="rId8" w:type="even"/>
          <w:pgSz w:w="11906" w:h="16838"/>
          <w:pgMar w:top="1440" w:right="1247" w:bottom="1247" w:left="1247" w:header="851" w:footer="851" w:gutter="0"/>
          <w:pgBorders>
            <w:top w:val="none" w:sz="0" w:space="0"/>
            <w:left w:val="none" w:sz="0" w:space="0"/>
            <w:bottom w:val="none" w:sz="0" w:space="0"/>
            <w:right w:val="none" w:sz="0" w:space="0"/>
          </w:pgBorders>
          <w:pgNumType w:fmt="numberInDash"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jc w:val="center"/>
        <w:textAlignment w:val="auto"/>
        <w:outlineLvl w:val="1"/>
        <w:rPr>
          <w:rFonts w:hint="eastAsia" w:ascii="宋体" w:hAnsi="宋体"/>
          <w:color w:val="000000"/>
          <w:sz w:val="32"/>
          <w:szCs w:val="32"/>
        </w:rPr>
      </w:pPr>
      <w:r>
        <w:rPr>
          <w:rFonts w:hint="eastAsia" w:ascii="宋体" w:hAnsi="宋体"/>
          <w:color w:val="000000"/>
          <w:sz w:val="32"/>
          <w:szCs w:val="32"/>
        </w:rPr>
        <w:t>从业人员及工资总额</w:t>
      </w:r>
    </w:p>
    <w:tbl>
      <w:tblPr>
        <w:tblStyle w:val="31"/>
        <w:tblW w:w="9414" w:type="dxa"/>
        <w:jc w:val="center"/>
        <w:tblLayout w:type="fixed"/>
        <w:tblCellMar>
          <w:top w:w="0" w:type="dxa"/>
          <w:left w:w="0" w:type="dxa"/>
          <w:bottom w:w="0" w:type="dxa"/>
          <w:right w:w="0" w:type="dxa"/>
        </w:tblCellMar>
      </w:tblPr>
      <w:tblGrid>
        <w:gridCol w:w="253"/>
        <w:gridCol w:w="615"/>
        <w:gridCol w:w="742"/>
        <w:gridCol w:w="666"/>
        <w:gridCol w:w="600"/>
        <w:gridCol w:w="673"/>
        <w:gridCol w:w="645"/>
        <w:gridCol w:w="630"/>
        <w:gridCol w:w="675"/>
        <w:gridCol w:w="660"/>
        <w:gridCol w:w="289"/>
        <w:gridCol w:w="362"/>
        <w:gridCol w:w="714"/>
        <w:gridCol w:w="95"/>
        <w:gridCol w:w="535"/>
        <w:gridCol w:w="630"/>
        <w:gridCol w:w="630"/>
      </w:tblGrid>
      <w:tr>
        <w:tblPrEx>
          <w:tblCellMar>
            <w:top w:w="0" w:type="dxa"/>
            <w:left w:w="0" w:type="dxa"/>
            <w:bottom w:w="0" w:type="dxa"/>
            <w:right w:w="0" w:type="dxa"/>
          </w:tblCellMar>
        </w:tblPrEx>
        <w:trPr>
          <w:gridBefore w:val="1"/>
          <w:wBefore w:w="253" w:type="dxa"/>
          <w:trHeight w:val="90" w:hRule="atLeast"/>
          <w:jc w:val="center"/>
        </w:trPr>
        <w:tc>
          <w:tcPr>
            <w:tcW w:w="6195" w:type="dxa"/>
            <w:gridSpan w:val="10"/>
            <w:noWrap w:val="0"/>
            <w:vAlign w:val="top"/>
          </w:tcPr>
          <w:p>
            <w:pPr>
              <w:spacing w:line="220" w:lineRule="exact"/>
              <w:rPr>
                <w:rFonts w:hint="eastAsia" w:ascii="宋体" w:hAnsi="宋体"/>
                <w:color w:val="000000"/>
                <w:sz w:val="18"/>
                <w:szCs w:val="18"/>
              </w:rPr>
            </w:pPr>
          </w:p>
        </w:tc>
        <w:tc>
          <w:tcPr>
            <w:tcW w:w="1171" w:type="dxa"/>
            <w:gridSpan w:val="3"/>
            <w:noWrap w:val="0"/>
            <w:tcMar>
              <w:left w:w="0" w:type="dxa"/>
              <w:right w:w="0" w:type="dxa"/>
            </w:tcMar>
            <w:vAlign w:val="top"/>
          </w:tcPr>
          <w:p>
            <w:pPr>
              <w:spacing w:line="240" w:lineRule="exact"/>
              <w:ind w:right="-210" w:rightChars="-100"/>
              <w:jc w:val="center"/>
              <w:rPr>
                <w:rFonts w:hint="default" w:ascii="宋体" w:hAnsi="宋体" w:eastAsia="宋体"/>
                <w:color w:val="000000"/>
                <w:sz w:val="18"/>
                <w:szCs w:val="18"/>
                <w:lang w:val="en-US" w:eastAsia="zh-CN"/>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lang w:val="en-US" w:eastAsia="zh-CN"/>
              </w:rPr>
              <w:t>202</w:t>
            </w:r>
            <w:r>
              <w:rPr>
                <w:rFonts w:hint="eastAsia" w:ascii="宋体" w:hAnsi="宋体" w:cs="宋体"/>
                <w:color w:val="000000"/>
                <w:sz w:val="18"/>
                <w:szCs w:val="18"/>
              </w:rPr>
              <w:t>－</w:t>
            </w:r>
            <w:r>
              <w:rPr>
                <w:rFonts w:hint="eastAsia" w:ascii="宋体" w:hAnsi="宋体" w:cs="宋体"/>
                <w:color w:val="000000"/>
                <w:sz w:val="18"/>
                <w:szCs w:val="18"/>
                <w:lang w:val="en-US" w:eastAsia="zh-CN"/>
              </w:rPr>
              <w:t>1</w:t>
            </w:r>
            <w:r>
              <w:rPr>
                <w:rFonts w:hint="eastAsia" w:ascii="宋体" w:hAnsi="宋体" w:cs="宋体"/>
                <w:color w:val="000000"/>
                <w:sz w:val="18"/>
                <w:szCs w:val="18"/>
              </w:rPr>
              <w:t>表</w:t>
            </w:r>
          </w:p>
        </w:tc>
      </w:tr>
      <w:tr>
        <w:tblPrEx>
          <w:tblCellMar>
            <w:top w:w="0" w:type="dxa"/>
            <w:left w:w="0" w:type="dxa"/>
            <w:bottom w:w="0" w:type="dxa"/>
            <w:right w:w="0" w:type="dxa"/>
          </w:tblCellMar>
        </w:tblPrEx>
        <w:trPr>
          <w:gridBefore w:val="1"/>
          <w:wBefore w:w="253" w:type="dxa"/>
          <w:jc w:val="center"/>
        </w:trPr>
        <w:tc>
          <w:tcPr>
            <w:tcW w:w="6195" w:type="dxa"/>
            <w:gridSpan w:val="10"/>
            <w:noWrap w:val="0"/>
            <w:vAlign w:val="top"/>
          </w:tcPr>
          <w:p>
            <w:pPr>
              <w:spacing w:line="220" w:lineRule="exact"/>
              <w:rPr>
                <w:rFonts w:hint="eastAsia" w:ascii="宋体" w:hAnsi="宋体"/>
                <w:color w:val="000000"/>
                <w:sz w:val="18"/>
                <w:szCs w:val="18"/>
              </w:rPr>
            </w:pPr>
          </w:p>
        </w:tc>
        <w:tc>
          <w:tcPr>
            <w:tcW w:w="1171" w:type="dxa"/>
            <w:gridSpan w:val="3"/>
            <w:noWrap w:val="0"/>
            <w:tcMar>
              <w:left w:w="0" w:type="dxa"/>
              <w:right w:w="0" w:type="dxa"/>
            </w:tcMar>
            <w:vAlign w:val="top"/>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95" w:type="dxa"/>
            <w:gridSpan w:val="3"/>
            <w:noWrap w:val="0"/>
            <w:tcMar>
              <w:left w:w="0" w:type="dxa"/>
              <w:right w:w="0" w:type="dxa"/>
            </w:tcMar>
            <w:vAlign w:val="center"/>
          </w:tcPr>
          <w:p>
            <w:pPr>
              <w:spacing w:line="220" w:lineRule="exact"/>
              <w:jc w:val="distribute"/>
              <w:rPr>
                <w:rFonts w:hint="eastAsia"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253" w:type="dxa"/>
          <w:jc w:val="center"/>
        </w:trPr>
        <w:tc>
          <w:tcPr>
            <w:tcW w:w="6195" w:type="dxa"/>
            <w:gridSpan w:val="10"/>
            <w:noWrap w:val="0"/>
            <w:vAlign w:val="top"/>
          </w:tcPr>
          <w:p>
            <w:pPr>
              <w:spacing w:line="220" w:lineRule="exact"/>
              <w:rPr>
                <w:rFonts w:hint="eastAsia" w:ascii="宋体" w:hAnsi="宋体"/>
                <w:color w:val="000000"/>
                <w:sz w:val="18"/>
                <w:szCs w:val="18"/>
              </w:rPr>
            </w:pPr>
            <w:r>
              <w:rPr>
                <w:rFonts w:hint="eastAsia" w:ascii="宋体" w:hAnsi="宋体" w:cs="宋体"/>
                <w:color w:val="000000"/>
                <w:sz w:val="18"/>
                <w:szCs w:val="18"/>
              </w:rPr>
              <w:t>统一社会信用代码□□□□□□□□□□□□□□□□□□</w:t>
            </w:r>
          </w:p>
        </w:tc>
        <w:tc>
          <w:tcPr>
            <w:tcW w:w="1171"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highlight w:val="none"/>
              </w:rPr>
            </w:pPr>
            <w:r>
              <w:rPr>
                <w:rFonts w:hint="eastAsia" w:ascii="宋体" w:hAnsi="宋体" w:cs="宋体"/>
                <w:sz w:val="18"/>
                <w:szCs w:val="18"/>
                <w:highlight w:val="none"/>
              </w:rPr>
              <w:t>国统字〔202</w:t>
            </w:r>
            <w:r>
              <w:rPr>
                <w:rFonts w:hint="eastAsia" w:ascii="宋体" w:hAnsi="宋体" w:cs="宋体"/>
                <w:sz w:val="18"/>
                <w:szCs w:val="18"/>
                <w:highlight w:val="none"/>
                <w:lang w:val="en-US" w:eastAsia="zh-CN"/>
              </w:rPr>
              <w:t>4</w:t>
            </w:r>
            <w:r>
              <w:rPr>
                <w:rFonts w:hint="eastAsia" w:ascii="宋体" w:hAnsi="宋体" w:cs="宋体"/>
                <w:sz w:val="18"/>
                <w:szCs w:val="18"/>
                <w:highlight w:val="none"/>
              </w:rPr>
              <w:t>〕</w:t>
            </w:r>
            <w:r>
              <w:rPr>
                <w:rFonts w:hint="eastAsia" w:ascii="宋体" w:hAnsi="宋体" w:cs="宋体"/>
                <w:sz w:val="18"/>
                <w:szCs w:val="18"/>
                <w:highlight w:val="none"/>
                <w:lang w:val="en-US" w:eastAsia="zh-CN"/>
              </w:rPr>
              <w:t>77</w:t>
            </w:r>
            <w:r>
              <w:rPr>
                <w:rFonts w:hint="eastAsia" w:ascii="宋体" w:hAnsi="宋体" w:cs="宋体"/>
                <w:sz w:val="18"/>
                <w:szCs w:val="18"/>
                <w:highlight w:val="none"/>
              </w:rPr>
              <w:t>号</w:t>
            </w:r>
          </w:p>
        </w:tc>
      </w:tr>
      <w:tr>
        <w:tblPrEx>
          <w:tblCellMar>
            <w:top w:w="0" w:type="dxa"/>
            <w:left w:w="0" w:type="dxa"/>
            <w:bottom w:w="0" w:type="dxa"/>
            <w:right w:w="0" w:type="dxa"/>
          </w:tblCellMar>
        </w:tblPrEx>
        <w:trPr>
          <w:gridBefore w:val="1"/>
          <w:wBefore w:w="253" w:type="dxa"/>
          <w:jc w:val="center"/>
        </w:trPr>
        <w:tc>
          <w:tcPr>
            <w:tcW w:w="6195" w:type="dxa"/>
            <w:gridSpan w:val="10"/>
            <w:noWrap w:val="0"/>
            <w:vAlign w:val="top"/>
          </w:tcPr>
          <w:p>
            <w:pPr>
              <w:spacing w:line="220" w:lineRule="exact"/>
              <w:rPr>
                <w:rFonts w:hint="eastAsia"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1171"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lang w:val="en-US" w:eastAsia="zh-CN"/>
              </w:rPr>
              <w:t>2026</w:t>
            </w:r>
            <w:r>
              <w:rPr>
                <w:rFonts w:hint="eastAsia" w:ascii="宋体" w:hAnsi="宋体" w:cs="宋体"/>
                <w:color w:val="000000"/>
                <w:sz w:val="18"/>
                <w:szCs w:val="18"/>
              </w:rPr>
              <w:t>年</w:t>
            </w:r>
            <w:r>
              <w:rPr>
                <w:rFonts w:hint="eastAsia" w:ascii="宋体" w:hAnsi="宋体" w:cs="宋体"/>
                <w:color w:val="000000"/>
                <w:sz w:val="18"/>
                <w:szCs w:val="18"/>
                <w:lang w:val="en-US" w:eastAsia="zh-CN"/>
              </w:rPr>
              <w:t>1</w:t>
            </w:r>
            <w:r>
              <w:rPr>
                <w:rFonts w:hint="eastAsia" w:ascii="宋体" w:hAnsi="宋体"/>
                <w:color w:val="000000"/>
                <w:sz w:val="18"/>
                <w:szCs w:val="18"/>
              </w:rPr>
              <w:t>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868" w:type="dxa"/>
            <w:gridSpan w:val="2"/>
            <w:vMerge w:val="restart"/>
            <w:tcBorders>
              <w:top w:val="single" w:color="auto" w:sz="8"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人员情况</w:t>
            </w:r>
          </w:p>
        </w:tc>
        <w:tc>
          <w:tcPr>
            <w:tcW w:w="2604" w:type="dxa"/>
            <w:gridSpan w:val="5"/>
            <w:tcBorders>
              <w:top w:val="single" w:color="auto" w:sz="8"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8"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工资情况</w:t>
            </w:r>
          </w:p>
        </w:tc>
        <w:tc>
          <w:tcPr>
            <w:tcW w:w="742"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从业人员期末人数(人)</w:t>
            </w:r>
          </w:p>
        </w:tc>
        <w:tc>
          <w:tcPr>
            <w:tcW w:w="2584"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30"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从业人员平均人数(人)</w:t>
            </w:r>
          </w:p>
        </w:tc>
        <w:tc>
          <w:tcPr>
            <w:tcW w:w="1986"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p>
        </w:tc>
        <w:tc>
          <w:tcPr>
            <w:tcW w:w="714"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从业人员工资总额</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(千元)</w:t>
            </w:r>
          </w:p>
        </w:tc>
        <w:tc>
          <w:tcPr>
            <w:tcW w:w="1890" w:type="dxa"/>
            <w:gridSpan w:val="4"/>
            <w:tcBorders>
              <w:top w:val="single" w:color="auto" w:sz="2" w:space="0"/>
              <w:left w:val="nil"/>
              <w:bottom w:val="single" w:color="auto" w:sz="2" w:space="0"/>
              <w:right w:val="nil"/>
            </w:tcBorders>
            <w:noWrap w:val="0"/>
            <w:vAlign w:val="center"/>
          </w:tcPr>
          <w:p>
            <w:pPr>
              <w:jc w:val="both"/>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68"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其中，女性</w:t>
            </w:r>
          </w:p>
        </w:tc>
        <w:tc>
          <w:tcPr>
            <w:tcW w:w="1918"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630" w:type="dxa"/>
            <w:vMerge w:val="continue"/>
            <w:tcBorders>
              <w:left w:val="single" w:color="auto" w:sz="4" w:space="0"/>
              <w:right w:val="nil"/>
            </w:tcBorders>
            <w:noWrap w:val="0"/>
            <w:vAlign w:val="center"/>
          </w:tcPr>
          <w:p>
            <w:pPr>
              <w:jc w:val="center"/>
              <w:rPr>
                <w:rFonts w:hint="eastAsia" w:ascii="宋体" w:hAnsi="宋体" w:eastAsia="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c>
          <w:tcPr>
            <w:tcW w:w="714" w:type="dxa"/>
            <w:vMerge w:val="continue"/>
            <w:tcBorders>
              <w:left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8"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在岗职工</w:t>
            </w:r>
          </w:p>
        </w:tc>
        <w:tc>
          <w:tcPr>
            <w:tcW w:w="67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其他从业人员</w:t>
            </w:r>
          </w:p>
        </w:tc>
        <w:tc>
          <w:tcPr>
            <w:tcW w:w="63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6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51"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c>
          <w:tcPr>
            <w:tcW w:w="714" w:type="dxa"/>
            <w:vMerge w:val="continue"/>
            <w:tcBorders>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3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30" w:type="dxa"/>
            <w:tcBorders>
              <w:top w:val="single" w:color="auto" w:sz="4" w:space="0"/>
              <w:left w:val="single" w:color="auto" w:sz="2"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single" w:color="auto" w:sz="2" w:space="0"/>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w:t>
            </w:r>
          </w:p>
        </w:tc>
        <w:tc>
          <w:tcPr>
            <w:tcW w:w="600"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04</w:t>
            </w:r>
          </w:p>
        </w:tc>
        <w:tc>
          <w:tcPr>
            <w:tcW w:w="673"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645"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08</w:t>
            </w:r>
          </w:p>
        </w:tc>
        <w:tc>
          <w:tcPr>
            <w:tcW w:w="675"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09</w:t>
            </w:r>
          </w:p>
        </w:tc>
        <w:tc>
          <w:tcPr>
            <w:tcW w:w="660"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714"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w:t>
            </w:r>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18</w:t>
            </w:r>
          </w:p>
        </w:tc>
        <w:tc>
          <w:tcPr>
            <w:tcW w:w="630" w:type="dxa"/>
            <w:tcBorders>
              <w:top w:val="single" w:color="auto" w:sz="4" w:space="0"/>
              <w:left w:val="single" w:color="auto" w:sz="2" w:space="0"/>
              <w:bottom w:val="single" w:color="auto" w:sz="4" w:space="0"/>
              <w:right w:val="nil"/>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3月</w:t>
            </w:r>
          </w:p>
        </w:tc>
        <w:tc>
          <w:tcPr>
            <w:tcW w:w="742"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6月</w:t>
            </w:r>
          </w:p>
        </w:tc>
        <w:tc>
          <w:tcPr>
            <w:tcW w:w="742"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BEBEBE"/>
            <w:noWrap/>
            <w:vAlign w:val="center"/>
          </w:tcPr>
          <w:p>
            <w:pPr>
              <w:jc w:val="center"/>
              <w:rPr>
                <w:rFonts w:hint="eastAsia"/>
                <w:color w:val="auto"/>
                <w:highlight w:val="none"/>
                <w:lang w:val="en-US" w:eastAsia="zh-CN"/>
              </w:rPr>
            </w:pPr>
            <w:r>
              <w:rPr>
                <w:rFonts w:hint="eastAsia" w:ascii="宋体" w:hAnsi="宋体" w:cs="宋体"/>
                <w:color w:val="auto"/>
                <w:sz w:val="18"/>
                <w:szCs w:val="18"/>
                <w:highlight w:val="none"/>
                <w:lang w:val="en-US" w:eastAsia="zh-CN"/>
              </w:rPr>
              <w:t>本季</w:t>
            </w:r>
          </w:p>
        </w:tc>
        <w:tc>
          <w:tcPr>
            <w:tcW w:w="742"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66"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00"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73"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45"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30"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75"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60"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51" w:type="dxa"/>
            <w:gridSpan w:val="2"/>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714"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30" w:type="dxa"/>
            <w:gridSpan w:val="2"/>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30"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30" w:type="dxa"/>
            <w:tcBorders>
              <w:top w:val="nil"/>
              <w:left w:val="single" w:color="auto" w:sz="2" w:space="0"/>
              <w:bottom w:val="nil"/>
              <w:right w:val="nil"/>
            </w:tcBorders>
            <w:shd w:val="clear" w:color="auto" w:fill="BEBEBE"/>
            <w:noWrap/>
            <w:vAlign w:val="center"/>
          </w:tcPr>
          <w:p>
            <w:pPr>
              <w:jc w:val="center"/>
              <w:rPr>
                <w:rFonts w:hint="eastAsia" w:ascii="宋体" w:hAnsi="宋体" w:eastAsia="宋体" w:cs="宋体"/>
                <w:color w:val="auto"/>
                <w:sz w:val="18"/>
                <w:szCs w:val="18"/>
                <w:highlight w:val="none"/>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single" w:color="000000" w:sz="8" w:space="0"/>
              <w:right w:val="single" w:color="auto" w:sz="2" w:space="0"/>
            </w:tcBorders>
            <w:shd w:val="clear" w:color="auto" w:fill="BEBEBE"/>
            <w:noWrap/>
            <w:vAlign w:val="center"/>
          </w:tcPr>
          <w:p>
            <w:pPr>
              <w:jc w:val="center"/>
              <w:rPr>
                <w:rFonts w:hint="eastAsia"/>
                <w:color w:val="auto"/>
                <w:highlight w:val="none"/>
                <w:lang w:val="en-US" w:eastAsia="zh-CN"/>
              </w:rPr>
            </w:pPr>
            <w:r>
              <w:rPr>
                <w:rFonts w:hint="eastAsia" w:ascii="宋体" w:hAnsi="宋体" w:cs="宋体"/>
                <w:color w:val="auto"/>
                <w:sz w:val="18"/>
                <w:szCs w:val="18"/>
                <w:highlight w:val="none"/>
                <w:lang w:val="en-US" w:eastAsia="zh-CN"/>
              </w:rPr>
              <w:t>1-本季</w:t>
            </w:r>
          </w:p>
        </w:tc>
        <w:tc>
          <w:tcPr>
            <w:tcW w:w="742"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66"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00"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73"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45"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30"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75"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60"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51" w:type="dxa"/>
            <w:gridSpan w:val="2"/>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714"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30" w:type="dxa"/>
            <w:gridSpan w:val="2"/>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30"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auto"/>
                <w:sz w:val="18"/>
                <w:szCs w:val="18"/>
                <w:highlight w:val="none"/>
              </w:rPr>
            </w:pPr>
          </w:p>
        </w:tc>
        <w:tc>
          <w:tcPr>
            <w:tcW w:w="630" w:type="dxa"/>
            <w:tcBorders>
              <w:top w:val="nil"/>
              <w:left w:val="single" w:color="auto" w:sz="2" w:space="0"/>
              <w:bottom w:val="single" w:color="000000" w:sz="8" w:space="0"/>
              <w:right w:val="nil"/>
            </w:tcBorders>
            <w:shd w:val="clear" w:color="auto" w:fill="BEBEBE"/>
            <w:noWrap/>
            <w:vAlign w:val="center"/>
          </w:tcPr>
          <w:p>
            <w:pPr>
              <w:jc w:val="center"/>
              <w:rPr>
                <w:rFonts w:hint="eastAsia" w:ascii="宋体" w:hAnsi="宋体" w:eastAsia="宋体" w:cs="宋体"/>
                <w:color w:val="auto"/>
                <w:sz w:val="18"/>
                <w:szCs w:val="18"/>
                <w:highlight w:val="none"/>
                <w:shd w:val="clear" w:color="auto" w:fill="auto"/>
              </w:rPr>
            </w:pPr>
          </w:p>
        </w:tc>
      </w:tr>
    </w:tbl>
    <w:p>
      <w:pPr>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lang w:eastAsia="zh-CN"/>
        </w:rPr>
        <w:t>续表</w:t>
      </w:r>
    </w:p>
    <w:tbl>
      <w:tblPr>
        <w:tblStyle w:val="31"/>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924"/>
        <w:gridCol w:w="924"/>
        <w:gridCol w:w="924"/>
        <w:gridCol w:w="737"/>
        <w:gridCol w:w="213"/>
        <w:gridCol w:w="717"/>
        <w:gridCol w:w="233"/>
        <w:gridCol w:w="950"/>
        <w:gridCol w:w="950"/>
        <w:gridCol w:w="86"/>
        <w:gridCol w:w="864"/>
        <w:gridCol w:w="171"/>
        <w:gridCol w:w="780"/>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exact"/>
        </w:trPr>
        <w:tc>
          <w:tcPr>
            <w:tcW w:w="924"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37"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30"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83"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6"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5"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80"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exact"/>
        </w:trPr>
        <w:tc>
          <w:tcPr>
            <w:tcW w:w="2772"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p>
        </w:tc>
        <w:tc>
          <w:tcPr>
            <w:tcW w:w="924"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从业人员平均工资(元)</w:t>
            </w:r>
          </w:p>
        </w:tc>
        <w:tc>
          <w:tcPr>
            <w:tcW w:w="737"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30" w:type="dxa"/>
            <w:gridSpan w:val="2"/>
            <w:vMerge w:val="restart"/>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83"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6"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5"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80"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2772"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按工资类型分组</w:t>
            </w:r>
          </w:p>
        </w:tc>
        <w:tc>
          <w:tcPr>
            <w:tcW w:w="924"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2850"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2851" w:type="dxa"/>
            <w:gridSpan w:val="5"/>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4" w:type="dxa"/>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正常</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工资</w:t>
            </w:r>
          </w:p>
        </w:tc>
        <w:tc>
          <w:tcPr>
            <w:tcW w:w="924"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不定期</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奖金</w:t>
            </w:r>
          </w:p>
        </w:tc>
        <w:tc>
          <w:tcPr>
            <w:tcW w:w="924"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其他</w:t>
            </w:r>
          </w:p>
        </w:tc>
        <w:tc>
          <w:tcPr>
            <w:tcW w:w="924"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9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val="en-US" w:eastAsia="zh-CN"/>
              </w:rPr>
              <w:t>劳务派遣人员</w:t>
            </w:r>
          </w:p>
        </w:tc>
        <w:tc>
          <w:tcPr>
            <w:tcW w:w="950" w:type="dxa"/>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eastAsia="zh-CN"/>
              </w:rPr>
              <w:t>其他从业人员</w:t>
            </w:r>
          </w:p>
        </w:tc>
        <w:tc>
          <w:tcPr>
            <w:tcW w:w="950" w:type="dxa"/>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950" w:type="dxa"/>
            <w:gridSpan w:val="2"/>
            <w:tcBorders>
              <w:top w:val="single" w:color="auto" w:sz="2"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不定期</w:t>
            </w:r>
          </w:p>
          <w:p>
            <w:pPr>
              <w:jc w:val="center"/>
              <w:rPr>
                <w:color w:val="000000"/>
              </w:rPr>
            </w:pPr>
            <w:r>
              <w:rPr>
                <w:rFonts w:hint="eastAsia" w:ascii="宋体" w:hAnsi="宋体" w:eastAsia="宋体" w:cs="宋体"/>
                <w:color w:val="000000"/>
                <w:sz w:val="18"/>
                <w:szCs w:val="18"/>
                <w:lang w:val="en-US" w:eastAsia="zh-CN"/>
              </w:rPr>
              <w:t>奖金</w:t>
            </w:r>
          </w:p>
        </w:tc>
        <w:tc>
          <w:tcPr>
            <w:tcW w:w="951" w:type="dxa"/>
            <w:gridSpan w:val="2"/>
            <w:tcBorders>
              <w:top w:val="single" w:color="auto" w:sz="2"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924" w:type="dxa"/>
            <w:tcBorders>
              <w:top w:val="single" w:color="auto" w:sz="2" w:space="0"/>
              <w:left w:val="nil"/>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21</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22</w:t>
            </w:r>
          </w:p>
        </w:tc>
        <w:tc>
          <w:tcPr>
            <w:tcW w:w="950"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23</w:t>
            </w:r>
          </w:p>
        </w:tc>
        <w:tc>
          <w:tcPr>
            <w:tcW w:w="950" w:type="dxa"/>
            <w:tcBorders>
              <w:top w:val="single" w:color="auto" w:sz="2" w:space="0"/>
              <w:left w:val="single" w:color="auto" w:sz="2" w:space="0"/>
              <w:bottom w:val="single" w:color="auto" w:sz="2" w:space="0"/>
              <w:right w:val="single" w:color="auto" w:sz="4"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24</w:t>
            </w:r>
          </w:p>
        </w:tc>
        <w:tc>
          <w:tcPr>
            <w:tcW w:w="950" w:type="dxa"/>
            <w:gridSpan w:val="2"/>
            <w:tcBorders>
              <w:top w:val="single" w:color="auto" w:sz="2" w:space="0"/>
              <w:left w:val="single" w:color="auto" w:sz="4" w:space="0"/>
              <w:bottom w:val="single" w:color="auto" w:sz="2" w:space="0"/>
              <w:right w:val="nil"/>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25</w:t>
            </w:r>
          </w:p>
        </w:tc>
        <w:tc>
          <w:tcPr>
            <w:tcW w:w="951" w:type="dxa"/>
            <w:gridSpan w:val="2"/>
            <w:tcBorders>
              <w:top w:val="single" w:color="auto" w:sz="2" w:space="0"/>
              <w:left w:val="single" w:color="auto" w:sz="4" w:space="0"/>
              <w:bottom w:val="single" w:color="auto" w:sz="2" w:space="0"/>
              <w:right w:val="nil"/>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BEBEBE"/>
            <w:noWrap/>
            <w:vAlign w:val="center"/>
          </w:tcPr>
          <w:p>
            <w:pPr>
              <w:jc w:val="center"/>
              <w:rPr>
                <w:rFonts w:hint="eastAsia"/>
              </w:rPr>
            </w:pPr>
          </w:p>
          <w:p>
            <w:pPr>
              <w:pStyle w:val="2"/>
              <w:rPr>
                <w:rFonts w:hint="eastAsia"/>
              </w:rPr>
            </w:pPr>
          </w:p>
        </w:tc>
        <w:tc>
          <w:tcPr>
            <w:tcW w:w="924"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EBEBE"/>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EBEBE"/>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nil"/>
              <w:right w:val="nil"/>
            </w:tcBorders>
            <w:shd w:val="clear" w:color="auto" w:fill="BEBEBE"/>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EBEBE"/>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000000" w:sz="8" w:space="0"/>
              <w:right w:val="single" w:color="auto" w:sz="2" w:space="0"/>
            </w:tcBorders>
            <w:shd w:val="clear" w:color="auto" w:fill="BEBEBE"/>
            <w:noWrap/>
            <w:vAlign w:val="center"/>
          </w:tcPr>
          <w:p>
            <w:pPr>
              <w:pStyle w:val="2"/>
              <w:rPr>
                <w:rFonts w:hint="eastAsia"/>
              </w:rPr>
            </w:pPr>
          </w:p>
        </w:tc>
        <w:tc>
          <w:tcPr>
            <w:tcW w:w="924"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noWrap/>
            <w:vAlign w:val="center"/>
          </w:tcPr>
          <w:p>
            <w:pPr>
              <w:jc w:val="center"/>
              <w:rPr>
                <w:color w:val="000000"/>
              </w:rPr>
            </w:pPr>
          </w:p>
        </w:tc>
        <w:tc>
          <w:tcPr>
            <w:tcW w:w="950" w:type="dxa"/>
            <w:tcBorders>
              <w:top w:val="nil"/>
              <w:left w:val="single" w:color="auto" w:sz="2" w:space="0"/>
              <w:bottom w:val="single" w:color="000000" w:sz="8" w:space="0"/>
              <w:right w:val="single" w:color="auto" w:sz="2" w:space="0"/>
            </w:tcBorders>
            <w:shd w:val="clear" w:color="auto" w:fill="BEBEBE"/>
            <w:noWrap/>
            <w:vAlign w:val="center"/>
          </w:tcPr>
          <w:p>
            <w:pPr>
              <w:jc w:val="center"/>
              <w:rPr>
                <w:color w:val="000000"/>
              </w:rPr>
            </w:pPr>
          </w:p>
        </w:tc>
        <w:tc>
          <w:tcPr>
            <w:tcW w:w="950" w:type="dxa"/>
            <w:tcBorders>
              <w:top w:val="nil"/>
              <w:left w:val="single" w:color="auto" w:sz="2" w:space="0"/>
              <w:bottom w:val="single" w:color="000000" w:sz="8" w:space="0"/>
              <w:right w:val="single" w:color="auto" w:sz="4" w:space="0"/>
            </w:tcBorders>
            <w:shd w:val="clear" w:color="auto" w:fill="BEBEBE"/>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000000" w:sz="8" w:space="0"/>
              <w:right w:val="nil"/>
            </w:tcBorders>
            <w:shd w:val="clear" w:color="auto" w:fill="BEBEBE"/>
            <w:noWrap/>
            <w:vAlign w:val="center"/>
          </w:tcPr>
          <w:p>
            <w:pPr>
              <w:jc w:val="center"/>
              <w:rPr>
                <w:color w:val="000000"/>
              </w:rPr>
            </w:pPr>
          </w:p>
        </w:tc>
        <w:tc>
          <w:tcPr>
            <w:tcW w:w="951" w:type="dxa"/>
            <w:gridSpan w:val="2"/>
            <w:tcBorders>
              <w:top w:val="nil"/>
              <w:left w:val="single" w:color="auto" w:sz="4" w:space="0"/>
              <w:bottom w:val="single" w:color="000000" w:sz="8" w:space="0"/>
              <w:right w:val="nil"/>
            </w:tcBorders>
            <w:shd w:val="clear" w:color="auto" w:fill="BEBEBE"/>
            <w:noWrap/>
            <w:vAlign w:val="center"/>
          </w:tcPr>
          <w:p>
            <w:pPr>
              <w:jc w:val="center"/>
              <w:rPr>
                <w:color w:val="000000"/>
              </w:rPr>
            </w:pPr>
          </w:p>
        </w:tc>
      </w:tr>
    </w:tbl>
    <w:p>
      <w:pPr>
        <w:kinsoku w:val="0"/>
        <w:overflowPunct w:val="0"/>
        <w:adjustRightInd w:val="0"/>
        <w:snapToGrid w:val="0"/>
        <w:spacing w:line="240" w:lineRule="exact"/>
        <w:ind w:left="0" w:leftChars="0" w:firstLine="0" w:firstLineChars="0"/>
        <w:rPr>
          <w:rFonts w:hint="eastAsia" w:ascii="宋体"/>
          <w:color w:val="000000"/>
          <w:sz w:val="18"/>
        </w:rPr>
      </w:pPr>
      <w:r>
        <w:rPr>
          <w:rFonts w:hint="eastAsia" w:ascii="宋体" w:hAnsi="宋体" w:cs="宋体"/>
          <w:bCs/>
          <w:color w:val="000000"/>
          <w:kern w:val="0"/>
          <w:sz w:val="18"/>
          <w:szCs w:val="18"/>
        </w:rPr>
        <w:t>单位负责人：</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统计负责人：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填表人：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line="200" w:lineRule="exact"/>
        <w:ind w:left="1524" w:leftChars="-1" w:hanging="1526" w:hangingChars="848"/>
        <w:rPr>
          <w:rFonts w:hint="eastAsia" w:ascii="宋体"/>
          <w:color w:val="000000"/>
          <w:sz w:val="18"/>
        </w:rPr>
      </w:pPr>
    </w:p>
    <w:p>
      <w:pPr>
        <w:kinsoku w:val="0"/>
        <w:overflowPunct w:val="0"/>
        <w:adjustRightInd w:val="0"/>
        <w:snapToGrid w:val="0"/>
        <w:spacing w:line="240" w:lineRule="exact"/>
        <w:ind w:left="1524" w:leftChars="-1" w:hanging="1526" w:hangingChars="848"/>
        <w:rPr>
          <w:rFonts w:hint="eastAsia" w:ascii="宋体"/>
          <w:color w:val="000000"/>
          <w:sz w:val="18"/>
        </w:rPr>
      </w:pPr>
    </w:p>
    <w:p>
      <w:pPr>
        <w:kinsoku w:val="0"/>
        <w:overflowPunct w:val="0"/>
        <w:adjustRightInd w:val="0"/>
        <w:snapToGrid w:val="0"/>
        <w:spacing w:line="220" w:lineRule="exact"/>
        <w:ind w:left="1619" w:leftChars="-1" w:hanging="1621" w:hangingChars="901"/>
        <w:rPr>
          <w:rFonts w:hint="eastAsia" w:ascii="宋体"/>
          <w:color w:val="000000"/>
          <w:sz w:val="18"/>
        </w:rPr>
      </w:pPr>
      <w:r>
        <w:rPr>
          <w:rFonts w:hint="eastAsia" w:ascii="宋体" w:hAnsi="宋体" w:cs="宋体"/>
          <w:bCs/>
          <w:color w:val="000000"/>
          <w:kern w:val="0"/>
          <w:sz w:val="18"/>
          <w:szCs w:val="18"/>
        </w:rPr>
        <w:t>说明：1.统计范围：</w:t>
      </w:r>
      <w:r>
        <w:rPr>
          <w:rFonts w:hint="eastAsia" w:ascii="宋体" w:hAnsi="宋体"/>
          <w:color w:val="000000"/>
          <w:sz w:val="18"/>
          <w:szCs w:val="18"/>
        </w:rPr>
        <w:t>辖区内规模以上</w:t>
      </w:r>
      <w:r>
        <w:rPr>
          <w:rFonts w:hint="eastAsia" w:ascii="宋体" w:hAnsi="宋体"/>
          <w:color w:val="000000"/>
          <w:sz w:val="18"/>
          <w:szCs w:val="18"/>
          <w:lang w:eastAsia="zh-CN"/>
        </w:rPr>
        <w:t>服务业</w:t>
      </w:r>
      <w:r>
        <w:rPr>
          <w:rFonts w:hint="eastAsia" w:ascii="宋体" w:hAnsi="宋体"/>
          <w:color w:val="000000"/>
          <w:sz w:val="18"/>
          <w:szCs w:val="18"/>
        </w:rPr>
        <w:t>法人单位</w:t>
      </w:r>
      <w:r>
        <w:rPr>
          <w:rFonts w:hint="eastAsia" w:ascii="宋体" w:hAnsi="宋体"/>
          <w:color w:val="000000"/>
          <w:sz w:val="18"/>
          <w:szCs w:val="18"/>
          <w:lang w:eastAsia="zh-CN"/>
        </w:rPr>
        <w:t>中抽中的法人单位</w:t>
      </w:r>
      <w:r>
        <w:rPr>
          <w:rFonts w:hint="eastAsia" w:ascii="宋体" w:hAnsi="宋体"/>
          <w:color w:val="000000"/>
          <w:sz w:val="18"/>
          <w:szCs w:val="18"/>
        </w:rPr>
        <w:t>。</w:t>
      </w:r>
    </w:p>
    <w:p>
      <w:pPr>
        <w:snapToGrid w:val="0"/>
        <w:spacing w:line="230" w:lineRule="exact"/>
        <w:ind w:left="2160" w:leftChars="257" w:hanging="1620" w:hangingChars="900"/>
        <w:jc w:val="left"/>
        <w:rPr>
          <w:rFonts w:hint="eastAsia" w:ascii="宋体" w:hAnsi="Times New Roman" w:eastAsia="宋体" w:cs="Times New Roman"/>
          <w:color w:val="000000"/>
          <w:sz w:val="18"/>
          <w:highlight w:val="none"/>
        </w:rPr>
      </w:pPr>
      <w:r>
        <w:rPr>
          <w:rFonts w:hint="eastAsia" w:ascii="宋体" w:hAnsi="宋体" w:cs="宋体"/>
          <w:bCs/>
          <w:color w:val="000000"/>
          <w:kern w:val="0"/>
          <w:sz w:val="18"/>
          <w:szCs w:val="18"/>
        </w:rPr>
        <w:t>2.报送日期及方式：</w:t>
      </w:r>
      <w:r>
        <w:rPr>
          <w:rFonts w:hint="eastAsia" w:ascii="宋体" w:hAnsi="宋体" w:cs="宋体"/>
          <w:bCs/>
          <w:color w:val="000000"/>
          <w:kern w:val="0"/>
          <w:sz w:val="18"/>
          <w:szCs w:val="18"/>
          <w:lang w:eastAsia="zh-CN"/>
        </w:rPr>
        <w:t>一季度、二季度季后</w:t>
      </w:r>
      <w:r>
        <w:rPr>
          <w:rFonts w:hint="eastAsia" w:ascii="宋体" w:hAnsi="宋体" w:cs="宋体"/>
          <w:bCs/>
          <w:color w:val="000000"/>
          <w:kern w:val="0"/>
          <w:sz w:val="18"/>
          <w:szCs w:val="18"/>
          <w:lang w:val="en-US" w:eastAsia="zh-CN"/>
        </w:rPr>
        <w:t>1日，三季度9月30日</w:t>
      </w:r>
      <w:r>
        <w:rPr>
          <w:rFonts w:hint="eastAsia" w:ascii="宋体" w:hAnsi="宋体" w:cs="宋体"/>
          <w:bCs/>
          <w:color w:val="000000"/>
          <w:kern w:val="0"/>
          <w:sz w:val="18"/>
          <w:szCs w:val="18"/>
          <w:highlight w:val="none"/>
        </w:rPr>
        <w:t>0:00开网；</w:t>
      </w:r>
      <w:r>
        <w:rPr>
          <w:rFonts w:hint="eastAsia" w:ascii="宋体"/>
          <w:color w:val="000000"/>
          <w:sz w:val="18"/>
          <w:highlight w:val="none"/>
        </w:rPr>
        <w:t>调查单位</w:t>
      </w:r>
      <w:r>
        <w:rPr>
          <w:rFonts w:hint="eastAsia" w:ascii="宋体" w:hAnsi="宋体" w:cs="宋体"/>
          <w:bCs/>
          <w:color w:val="000000"/>
          <w:kern w:val="0"/>
          <w:sz w:val="18"/>
          <w:szCs w:val="18"/>
          <w:highlight w:val="none"/>
        </w:rPr>
        <w:t>一季度季后8日，二季度季后</w:t>
      </w:r>
      <w:r>
        <w:rPr>
          <w:rFonts w:hint="eastAsia" w:ascii="宋体" w:hAnsi="宋体" w:cs="宋体"/>
          <w:bCs/>
          <w:color w:val="000000"/>
          <w:kern w:val="0"/>
          <w:sz w:val="18"/>
          <w:szCs w:val="18"/>
          <w:highlight w:val="none"/>
          <w:lang w:val="en-US" w:eastAsia="zh-CN"/>
        </w:rPr>
        <w:t>7</w:t>
      </w:r>
      <w:r>
        <w:rPr>
          <w:rFonts w:hint="eastAsia" w:ascii="宋体" w:hAnsi="宋体" w:cs="宋体"/>
          <w:bCs/>
          <w:color w:val="000000"/>
          <w:kern w:val="0"/>
          <w:sz w:val="18"/>
          <w:szCs w:val="18"/>
          <w:highlight w:val="none"/>
        </w:rPr>
        <w:t>日，三季度季后</w:t>
      </w:r>
      <w:r>
        <w:rPr>
          <w:rFonts w:hint="eastAsia" w:ascii="宋体" w:hAnsi="宋体" w:cs="宋体"/>
          <w:bCs/>
          <w:color w:val="000000"/>
          <w:kern w:val="0"/>
          <w:sz w:val="18"/>
          <w:szCs w:val="18"/>
          <w:highlight w:val="none"/>
          <w:lang w:val="en-US" w:eastAsia="zh-CN"/>
        </w:rPr>
        <w:t>1</w:t>
      </w:r>
      <w:r>
        <w:rPr>
          <w:rFonts w:hint="default" w:ascii="宋体" w:hAnsi="宋体" w:cs="宋体"/>
          <w:bCs/>
          <w:color w:val="000000"/>
          <w:kern w:val="0"/>
          <w:sz w:val="18"/>
          <w:szCs w:val="18"/>
          <w:highlight w:val="none"/>
          <w:lang w:val="en-US" w:eastAsia="zh-CN"/>
        </w:rPr>
        <w:t>4</w:t>
      </w:r>
      <w:r>
        <w:rPr>
          <w:rFonts w:hint="eastAsia" w:ascii="宋体" w:hAnsi="宋体" w:cs="宋体"/>
          <w:bCs/>
          <w:color w:val="000000"/>
          <w:kern w:val="0"/>
          <w:sz w:val="18"/>
          <w:szCs w:val="18"/>
          <w:highlight w:val="none"/>
        </w:rPr>
        <w:t>日</w:t>
      </w:r>
      <w:r>
        <w:rPr>
          <w:rFonts w:hint="eastAsia" w:ascii="宋体"/>
          <w:color w:val="000000"/>
          <w:sz w:val="18"/>
          <w:highlight w:val="none"/>
        </w:rPr>
        <w:t>12:00前独立自行网上填报，四季度免报；</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cs="宋体"/>
          <w:sz w:val="18"/>
          <w:szCs w:val="18"/>
        </w:rPr>
        <w:t>。</w:t>
      </w:r>
    </w:p>
    <w:p>
      <w:pPr>
        <w:snapToGrid w:val="0"/>
        <w:spacing w:line="230" w:lineRule="exact"/>
        <w:ind w:left="723" w:leftChars="257" w:hanging="183" w:hangingChars="102"/>
        <w:jc w:val="left"/>
        <w:rPr>
          <w:rFonts w:hint="eastAsia" w:ascii="宋体" w:hAnsi="Times New Roman" w:eastAsia="宋体" w:cs="Times New Roman"/>
          <w:color w:val="000000"/>
          <w:sz w:val="18"/>
          <w:lang w:eastAsia="zh-CN"/>
        </w:rPr>
      </w:pPr>
      <w:r>
        <w:rPr>
          <w:rFonts w:hint="eastAsia" w:ascii="宋体" w:hAnsi="Times New Roman" w:eastAsia="宋体" w:cs="Times New Roman"/>
          <w:color w:val="000000"/>
          <w:sz w:val="18"/>
        </w:rPr>
        <w:t>3.</w:t>
      </w:r>
      <w:r>
        <w:rPr>
          <w:rFonts w:hint="eastAsia" w:ascii="宋体" w:hAnsi="Times New Roman" w:eastAsia="宋体" w:cs="Times New Roman"/>
          <w:color w:val="000000"/>
          <w:sz w:val="18"/>
          <w:lang w:val="en-US" w:eastAsia="zh-CN"/>
        </w:rPr>
        <w:t>从业人员平均工资由联网直报平台根据调查单位填报数据计算生成，</w:t>
      </w:r>
      <w:r>
        <w:rPr>
          <w:rFonts w:hint="eastAsia" w:ascii="宋体" w:hAnsi="宋体" w:eastAsia="宋体" w:cs="宋体"/>
          <w:color w:val="000000"/>
          <w:sz w:val="18"/>
          <w:szCs w:val="18"/>
          <w:highlight w:val="none"/>
          <w:lang w:val="en-US" w:eastAsia="zh-CN"/>
        </w:rPr>
        <w:t>从业人员期末人数、从业人员平均人数、从业人员工资总额、从业人员平均工资及其分组</w:t>
      </w:r>
      <w:r>
        <w:rPr>
          <w:rFonts w:hint="eastAsia" w:ascii="宋体"/>
          <w:color w:val="000000"/>
          <w:sz w:val="18"/>
          <w:highlight w:val="none"/>
          <w:lang w:eastAsia="zh-CN"/>
        </w:rPr>
        <w:t>的“本季”和“</w:t>
      </w:r>
      <w:r>
        <w:rPr>
          <w:rFonts w:hint="eastAsia" w:ascii="宋体"/>
          <w:color w:val="000000"/>
          <w:sz w:val="18"/>
          <w:highlight w:val="none"/>
          <w:lang w:val="en-US" w:eastAsia="zh-CN"/>
        </w:rPr>
        <w:t>1-本季</w:t>
      </w:r>
      <w:r>
        <w:rPr>
          <w:rFonts w:hint="eastAsia" w:ascii="宋体"/>
          <w:color w:val="000000"/>
          <w:sz w:val="18"/>
          <w:highlight w:val="none"/>
          <w:lang w:eastAsia="zh-CN"/>
        </w:rPr>
        <w:t>”累计数由</w:t>
      </w:r>
      <w:r>
        <w:rPr>
          <w:rFonts w:hint="eastAsia" w:ascii="宋体" w:hAnsi="Times New Roman" w:eastAsia="宋体" w:cs="Times New Roman"/>
          <w:color w:val="000000"/>
          <w:sz w:val="18"/>
          <w:highlight w:val="none"/>
          <w:lang w:val="en-US" w:eastAsia="zh-CN"/>
        </w:rPr>
        <w:t>联网直报平台根据调查单位填报数据计算生成，调查单位无需填写</w:t>
      </w:r>
      <w:r>
        <w:rPr>
          <w:rFonts w:hint="eastAsia" w:ascii="宋体" w:cs="Times New Roman"/>
          <w:color w:val="000000"/>
          <w:sz w:val="18"/>
          <w:highlight w:val="none"/>
          <w:lang w:val="en-US" w:eastAsia="zh-CN"/>
        </w:rPr>
        <w:t>。</w:t>
      </w:r>
    </w:p>
    <w:p>
      <w:pPr>
        <w:snapToGrid w:val="0"/>
        <w:spacing w:line="230" w:lineRule="exact"/>
        <w:ind w:left="2160" w:leftChars="257" w:hanging="1620" w:hangingChars="900"/>
        <w:jc w:val="left"/>
        <w:rPr>
          <w:rFonts w:hint="eastAsia" w:ascii="宋体" w:hAnsi="Times New Roman" w:eastAsia="宋体" w:cs="Times New Roman"/>
          <w:color w:val="000000"/>
          <w:sz w:val="18"/>
          <w:lang w:val="en-US" w:eastAsia="zh-CN"/>
        </w:rPr>
      </w:pPr>
      <w:r>
        <w:rPr>
          <w:rFonts w:hint="eastAsia" w:ascii="宋体" w:hAnsi="Times New Roman" w:eastAsia="宋体" w:cs="Times New Roman"/>
          <w:color w:val="000000"/>
          <w:sz w:val="18"/>
          <w:lang w:val="en-US" w:eastAsia="zh-CN"/>
        </w:rPr>
        <w:t>4.工资总额按实际发放时间填报，但预发工资</w:t>
      </w:r>
      <w:r>
        <w:rPr>
          <w:rFonts w:hint="eastAsia" w:ascii="宋体" w:cs="Times New Roman"/>
          <w:color w:val="000000"/>
          <w:sz w:val="18"/>
          <w:lang w:val="en-US" w:eastAsia="zh-CN"/>
        </w:rPr>
        <w:t>需</w:t>
      </w:r>
      <w:r>
        <w:rPr>
          <w:rFonts w:hint="eastAsia" w:ascii="宋体" w:hAnsi="Times New Roman" w:eastAsia="宋体" w:cs="Times New Roman"/>
          <w:color w:val="000000"/>
          <w:sz w:val="18"/>
          <w:lang w:val="en-US" w:eastAsia="zh-CN"/>
        </w:rPr>
        <w:t>填报在应发月份。</w:t>
      </w:r>
    </w:p>
    <w:p>
      <w:pPr>
        <w:snapToGrid w:val="0"/>
        <w:spacing w:line="230" w:lineRule="exact"/>
        <w:ind w:left="723" w:leftChars="257" w:hanging="183" w:hangingChars="102"/>
        <w:jc w:val="left"/>
        <w:rPr>
          <w:rFonts w:hint="eastAsia"/>
        </w:rPr>
      </w:pPr>
      <w:r>
        <w:rPr>
          <w:rFonts w:hint="eastAsia" w:ascii="宋体"/>
          <w:color w:val="000000"/>
          <w:sz w:val="18"/>
          <w:lang w:val="en-US" w:eastAsia="zh-CN"/>
        </w:rPr>
        <w:t>5</w:t>
      </w:r>
      <w:r>
        <w:rPr>
          <w:rFonts w:hint="eastAsia" w:ascii="宋体"/>
          <w:color w:val="000000"/>
          <w:sz w:val="18"/>
        </w:rPr>
        <w:t>.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snapToGrid w:val="0"/>
        <w:spacing w:line="230" w:lineRule="exact"/>
        <w:ind w:left="723" w:leftChars="257" w:hanging="183" w:hangingChars="102"/>
        <w:jc w:val="left"/>
        <w:rPr>
          <w:rFonts w:hint="eastAsia" w:ascii="宋体"/>
          <w:color w:val="000000"/>
          <w:sz w:val="18"/>
        </w:rPr>
      </w:pPr>
      <w:r>
        <w:rPr>
          <w:rFonts w:hint="default" w:ascii="宋体"/>
          <w:color w:val="000000"/>
          <w:sz w:val="18"/>
          <w:lang w:val="en" w:eastAsia="zh-CN"/>
        </w:rPr>
        <w:t>6</w:t>
      </w:r>
      <w:r>
        <w:rPr>
          <w:rFonts w:hint="eastAsia" w:ascii="宋体"/>
          <w:color w:val="000000"/>
          <w:sz w:val="18"/>
        </w:rPr>
        <w:t>.</w:t>
      </w:r>
      <w:r>
        <w:rPr>
          <w:rFonts w:hint="eastAsia" w:ascii="宋体"/>
          <w:color w:val="000000"/>
          <w:sz w:val="18"/>
          <w:lang w:eastAsia="zh-CN"/>
        </w:rPr>
        <w:t>确定性</w:t>
      </w:r>
      <w:r>
        <w:rPr>
          <w:rFonts w:hint="eastAsia" w:ascii="宋体"/>
          <w:color w:val="000000"/>
          <w:sz w:val="18"/>
        </w:rPr>
        <w:t>审核关系：</w:t>
      </w:r>
    </w:p>
    <w:p>
      <w:pPr>
        <w:snapToGrid w:val="0"/>
        <w:spacing w:line="260" w:lineRule="exact"/>
        <w:ind w:firstLine="720" w:firstLineChars="400"/>
        <w:jc w:val="left"/>
        <w:rPr>
          <w:rFonts w:ascii="宋体" w:hAnsi="宋体" w:cs="宋体"/>
          <w:kern w:val="0"/>
          <w:sz w:val="18"/>
          <w:szCs w:val="18"/>
        </w:rPr>
      </w:pPr>
      <w:r>
        <w:rPr>
          <w:rFonts w:hint="eastAsia" w:ascii="宋体" w:hAnsi="宋体" w:cs="宋体"/>
          <w:color w:val="000000"/>
          <w:kern w:val="0"/>
          <w:sz w:val="18"/>
          <w:szCs w:val="18"/>
        </w:rPr>
        <w:t xml:space="preserve">（1）01≥02 </w:t>
      </w:r>
      <w:r>
        <w:rPr>
          <w:rFonts w:hint="default" w:ascii="宋体" w:hAnsi="宋体" w:cs="宋体"/>
          <w:color w:val="000000"/>
          <w:kern w:val="0"/>
          <w:sz w:val="18"/>
          <w:szCs w:val="18"/>
          <w:lang w:val="en-US"/>
        </w:rPr>
        <w:t xml:space="preserve">  </w:t>
      </w:r>
      <w:r>
        <w:rPr>
          <w:rFonts w:hint="eastAsia" w:ascii="宋体" w:hAnsi="宋体" w:cs="宋体"/>
          <w:color w:val="000000"/>
          <w:kern w:val="0"/>
          <w:sz w:val="18"/>
          <w:szCs w:val="18"/>
        </w:rPr>
        <w:t xml:space="preserve">   （2）01</w:t>
      </w:r>
      <w:r>
        <w:rPr>
          <w:rFonts w:hint="eastAsia" w:ascii="宋体" w:hAnsi="宋体" w:cs="宋体"/>
          <w:color w:val="000000"/>
          <w:kern w:val="0"/>
          <w:sz w:val="18"/>
          <w:szCs w:val="18"/>
          <w:lang w:val="en-US" w:eastAsia="zh-CN"/>
        </w:rPr>
        <w:t>=04+05+06</w:t>
      </w:r>
      <w:r>
        <w:rPr>
          <w:rFonts w:hint="eastAsia" w:ascii="宋体" w:hAnsi="宋体" w:cs="宋体"/>
          <w:color w:val="000000"/>
          <w:kern w:val="0"/>
          <w:sz w:val="18"/>
          <w:szCs w:val="18"/>
        </w:rPr>
        <w:t xml:space="preserve">     （3）08</w:t>
      </w:r>
      <w:r>
        <w:rPr>
          <w:rFonts w:hint="eastAsia" w:ascii="宋体" w:hAnsi="宋体" w:cs="宋体"/>
          <w:color w:val="000000"/>
          <w:kern w:val="0"/>
          <w:sz w:val="18"/>
          <w:szCs w:val="18"/>
          <w:lang w:val="en-US" w:eastAsia="zh-CN"/>
        </w:rPr>
        <w:t>=09+10+11</w:t>
      </w:r>
      <w:r>
        <w:rPr>
          <w:rFonts w:hint="eastAsia" w:ascii="宋体" w:hAnsi="宋体" w:cs="宋体"/>
          <w:color w:val="000000"/>
          <w:kern w:val="0"/>
          <w:sz w:val="18"/>
          <w:szCs w:val="18"/>
        </w:rPr>
        <w:t xml:space="preserve">      （4）12</w:t>
      </w:r>
      <w:r>
        <w:rPr>
          <w:rFonts w:hint="eastAsia" w:ascii="宋体" w:hAnsi="宋体" w:cs="宋体"/>
          <w:color w:val="000000"/>
          <w:kern w:val="0"/>
          <w:sz w:val="18"/>
          <w:szCs w:val="18"/>
          <w:lang w:val="en-US" w:eastAsia="zh-CN"/>
        </w:rPr>
        <w:t xml:space="preserve">=13+18+19   </w:t>
      </w:r>
      <w:r>
        <w:rPr>
          <w:rFonts w:hint="default" w:ascii="宋体" w:hAnsi="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 xml:space="preserve"> （5）12=14+15+16</w:t>
      </w:r>
      <w:r>
        <w:rPr>
          <w:rFonts w:ascii="宋体" w:hAnsi="宋体" w:cs="宋体"/>
          <w:color w:val="000000"/>
          <w:kern w:val="0"/>
          <w:sz w:val="18"/>
          <w:szCs w:val="18"/>
        </w:rPr>
        <w:t xml:space="preserve"> </w:t>
      </w:r>
      <w:r>
        <w:rPr>
          <w:rFonts w:ascii="宋体" w:hAnsi="宋体" w:cs="宋体"/>
          <w:kern w:val="0"/>
          <w:sz w:val="18"/>
          <w:szCs w:val="18"/>
        </w:rPr>
        <w:t xml:space="preserve">  </w:t>
      </w:r>
    </w:p>
    <w:p>
      <w:pPr>
        <w:keepNext w:val="0"/>
        <w:keepLines w:val="0"/>
        <w:pageBreakBefore w:val="0"/>
        <w:widowControl w:val="0"/>
        <w:kinsoku/>
        <w:wordWrap/>
        <w:overflowPunct/>
        <w:topLinePunct w:val="0"/>
        <w:autoSpaceDE/>
        <w:autoSpaceDN/>
        <w:bidi w:val="0"/>
        <w:adjustRightInd/>
        <w:snapToGrid w:val="0"/>
        <w:jc w:val="center"/>
        <w:textAlignment w:val="auto"/>
        <w:outlineLvl w:val="2"/>
        <w:rPr>
          <w:rFonts w:cs="宋体"/>
          <w:sz w:val="32"/>
          <w:szCs w:val="32"/>
        </w:rPr>
      </w:pPr>
      <w:r>
        <w:rPr>
          <w:rFonts w:ascii="宋体" w:hAnsi="宋体"/>
          <w:sz w:val="32"/>
          <w:szCs w:val="32"/>
        </w:rPr>
        <w:br w:type="page"/>
      </w:r>
      <w:r>
        <w:rPr>
          <w:rFonts w:hint="eastAsia" w:cs="宋体"/>
          <w:sz w:val="32"/>
          <w:szCs w:val="32"/>
        </w:rPr>
        <w:t>财 务 状 况</w:t>
      </w:r>
    </w:p>
    <w:tbl>
      <w:tblPr>
        <w:tblStyle w:val="31"/>
        <w:tblW w:w="0" w:type="auto"/>
        <w:jc w:val="center"/>
        <w:tblLayout w:type="fixed"/>
        <w:tblCellMar>
          <w:top w:w="0" w:type="dxa"/>
          <w:left w:w="0" w:type="dxa"/>
          <w:bottom w:w="0" w:type="dxa"/>
          <w:right w:w="0" w:type="dxa"/>
        </w:tblCellMar>
      </w:tblPr>
      <w:tblGrid>
        <w:gridCol w:w="4106"/>
        <w:gridCol w:w="20"/>
        <w:gridCol w:w="2843"/>
        <w:gridCol w:w="901"/>
        <w:gridCol w:w="1699"/>
      </w:tblGrid>
      <w:tr>
        <w:tblPrEx>
          <w:tblCellMar>
            <w:top w:w="0" w:type="dxa"/>
            <w:left w:w="0" w:type="dxa"/>
            <w:bottom w:w="0" w:type="dxa"/>
            <w:right w:w="0" w:type="dxa"/>
          </w:tblCellMar>
        </w:tblPrEx>
        <w:trPr>
          <w:trHeight w:val="98" w:hRule="atLeast"/>
          <w:jc w:val="center"/>
        </w:trPr>
        <w:tc>
          <w:tcPr>
            <w:tcW w:w="4106" w:type="dxa"/>
            <w:noWrap w:val="0"/>
            <w:vAlign w:val="top"/>
          </w:tcPr>
          <w:p>
            <w:pPr>
              <w:spacing w:line="220" w:lineRule="exact"/>
              <w:rPr>
                <w:rFonts w:hint="eastAsia" w:ascii="宋体" w:hAnsi="宋体"/>
                <w:sz w:val="18"/>
                <w:szCs w:val="18"/>
              </w:rPr>
            </w:pPr>
          </w:p>
        </w:tc>
        <w:tc>
          <w:tcPr>
            <w:tcW w:w="20" w:type="dxa"/>
            <w:noWrap w:val="0"/>
            <w:vAlign w:val="top"/>
          </w:tcPr>
          <w:p>
            <w:pPr>
              <w:spacing w:line="220" w:lineRule="exact"/>
              <w:rPr>
                <w:rFonts w:hint="eastAsia" w:ascii="宋体" w:hAnsi="宋体"/>
                <w:sz w:val="18"/>
                <w:szCs w:val="18"/>
              </w:rPr>
            </w:pPr>
          </w:p>
        </w:tc>
        <w:tc>
          <w:tcPr>
            <w:tcW w:w="2843" w:type="dxa"/>
            <w:noWrap w:val="0"/>
            <w:vAlign w:val="top"/>
          </w:tcPr>
          <w:p>
            <w:pPr>
              <w:spacing w:line="220" w:lineRule="exact"/>
              <w:rPr>
                <w:rFonts w:hint="eastAsia" w:ascii="宋体" w:hAnsi="宋体"/>
                <w:sz w:val="18"/>
                <w:szCs w:val="18"/>
              </w:rPr>
            </w:pPr>
          </w:p>
        </w:tc>
        <w:tc>
          <w:tcPr>
            <w:tcW w:w="901" w:type="dxa"/>
            <w:noWrap w:val="0"/>
            <w:tcMar>
              <w:left w:w="0" w:type="dxa"/>
              <w:right w:w="0" w:type="dxa"/>
            </w:tcMar>
            <w:vAlign w:val="top"/>
          </w:tcPr>
          <w:p>
            <w:pPr>
              <w:spacing w:line="220" w:lineRule="exact"/>
              <w:rPr>
                <w:rFonts w:hint="eastAsia" w:ascii="宋体" w:hAnsi="宋体"/>
                <w:sz w:val="18"/>
                <w:szCs w:val="18"/>
              </w:rPr>
            </w:pPr>
            <w:r>
              <w:rPr>
                <w:rFonts w:hint="eastAsia" w:ascii="宋体" w:hAnsi="宋体"/>
                <w:sz w:val="18"/>
                <w:szCs w:val="18"/>
              </w:rPr>
              <w:t>表    号：</w:t>
            </w:r>
          </w:p>
        </w:tc>
        <w:tc>
          <w:tcPr>
            <w:tcW w:w="1699" w:type="dxa"/>
            <w:noWrap w:val="0"/>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Ｆ２０３表</w:t>
            </w:r>
          </w:p>
        </w:tc>
      </w:tr>
      <w:tr>
        <w:tblPrEx>
          <w:tblCellMar>
            <w:top w:w="0" w:type="dxa"/>
            <w:left w:w="0" w:type="dxa"/>
            <w:bottom w:w="0" w:type="dxa"/>
            <w:right w:w="0" w:type="dxa"/>
          </w:tblCellMar>
        </w:tblPrEx>
        <w:trPr>
          <w:jc w:val="center"/>
        </w:trPr>
        <w:tc>
          <w:tcPr>
            <w:tcW w:w="6969" w:type="dxa"/>
            <w:gridSpan w:val="3"/>
            <w:noWrap w:val="0"/>
            <w:vAlign w:val="top"/>
          </w:tcPr>
          <w:p>
            <w:pPr>
              <w:spacing w:line="220" w:lineRule="exact"/>
              <w:rPr>
                <w:rFonts w:hint="eastAsia" w:ascii="宋体" w:hAnsi="宋体"/>
                <w:sz w:val="18"/>
                <w:szCs w:val="18"/>
              </w:rPr>
            </w:pPr>
          </w:p>
        </w:tc>
        <w:tc>
          <w:tcPr>
            <w:tcW w:w="901"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制定机关：</w:t>
            </w:r>
          </w:p>
        </w:tc>
        <w:tc>
          <w:tcPr>
            <w:tcW w:w="1699" w:type="dxa"/>
            <w:noWrap w:val="0"/>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国 家 统 计 局</w:t>
            </w:r>
          </w:p>
        </w:tc>
      </w:tr>
      <w:tr>
        <w:tblPrEx>
          <w:tblCellMar>
            <w:top w:w="0" w:type="dxa"/>
            <w:left w:w="0" w:type="dxa"/>
            <w:bottom w:w="0" w:type="dxa"/>
            <w:right w:w="0" w:type="dxa"/>
          </w:tblCellMar>
        </w:tblPrEx>
        <w:trPr>
          <w:jc w:val="center"/>
        </w:trPr>
        <w:tc>
          <w:tcPr>
            <w:tcW w:w="6969" w:type="dxa"/>
            <w:gridSpan w:val="3"/>
            <w:noWrap w:val="0"/>
            <w:vAlign w:val="top"/>
          </w:tcPr>
          <w:p>
            <w:pPr>
              <w:spacing w:line="220" w:lineRule="exact"/>
              <w:rPr>
                <w:rFonts w:hint="eastAsia" w:ascii="宋体" w:hAnsi="宋体"/>
                <w:sz w:val="18"/>
                <w:szCs w:val="18"/>
              </w:rPr>
            </w:pPr>
            <w:r>
              <w:rPr>
                <w:rFonts w:hint="eastAsia" w:ascii="宋体"/>
                <w:sz w:val="18"/>
              </w:rPr>
              <w:t>统一社会信用代码□□□□□□□□□□□□□□□□□□</w:t>
            </w:r>
          </w:p>
        </w:tc>
        <w:tc>
          <w:tcPr>
            <w:tcW w:w="901"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文    号：</w:t>
            </w:r>
          </w:p>
        </w:tc>
        <w:tc>
          <w:tcPr>
            <w:tcW w:w="1699" w:type="dxa"/>
            <w:noWrap w:val="0"/>
            <w:tcMar>
              <w:left w:w="0" w:type="dxa"/>
              <w:right w:w="0" w:type="dxa"/>
            </w:tcMar>
            <w:vAlign w:val="center"/>
          </w:tcPr>
          <w:p>
            <w:pPr>
              <w:spacing w:line="220" w:lineRule="exact"/>
              <w:jc w:val="distribute"/>
              <w:rPr>
                <w:rFonts w:ascii="宋体" w:hAnsi="宋体"/>
                <w:sz w:val="18"/>
                <w:szCs w:val="18"/>
              </w:rPr>
            </w:pPr>
            <w:r>
              <w:rPr>
                <w:rFonts w:hint="eastAsia" w:ascii="宋体" w:hAnsi="宋体" w:cs="宋体"/>
                <w:sz w:val="18"/>
                <w:szCs w:val="18"/>
              </w:rPr>
              <w:t>国统字</w:t>
            </w:r>
            <w:r>
              <w:rPr>
                <w:rFonts w:hint="eastAsia" w:ascii="宋体" w:hAnsi="宋体"/>
                <w:sz w:val="18"/>
                <w:szCs w:val="18"/>
              </w:rPr>
              <w:t>〔20</w:t>
            </w:r>
            <w:r>
              <w:rPr>
                <w:rFonts w:ascii="宋体" w:hAnsi="宋体"/>
                <w:sz w:val="18"/>
                <w:szCs w:val="18"/>
              </w:rPr>
              <w:t>2</w:t>
            </w:r>
            <w:r>
              <w:rPr>
                <w:rFonts w:hint="eastAsia" w:ascii="宋体" w:hAnsi="宋体"/>
                <w:sz w:val="18"/>
                <w:szCs w:val="18"/>
                <w:lang w:val="en-US" w:eastAsia="zh-CN"/>
              </w:rPr>
              <w:t>4</w:t>
            </w:r>
            <w:r>
              <w:rPr>
                <w:rFonts w:hint="eastAsia" w:ascii="宋体" w:hAnsi="宋体"/>
                <w:sz w:val="18"/>
                <w:szCs w:val="18"/>
              </w:rPr>
              <w:t>〕</w:t>
            </w:r>
            <w:r>
              <w:rPr>
                <w:rFonts w:hint="eastAsia" w:ascii="宋体" w:hAnsi="宋体" w:cs="宋体"/>
                <w:sz w:val="18"/>
                <w:szCs w:val="18"/>
                <w:lang w:val="en-US" w:eastAsia="zh-CN"/>
              </w:rPr>
              <w:t>77</w:t>
            </w:r>
            <w:r>
              <w:rPr>
                <w:rFonts w:hint="eastAsia" w:ascii="宋体" w:hAnsi="宋体" w:cs="宋体"/>
                <w:sz w:val="18"/>
                <w:szCs w:val="18"/>
              </w:rPr>
              <w:t>号</w:t>
            </w:r>
          </w:p>
        </w:tc>
      </w:tr>
      <w:tr>
        <w:tblPrEx>
          <w:tblCellMar>
            <w:top w:w="0" w:type="dxa"/>
            <w:left w:w="0" w:type="dxa"/>
            <w:bottom w:w="0" w:type="dxa"/>
            <w:right w:w="0" w:type="dxa"/>
          </w:tblCellMar>
        </w:tblPrEx>
        <w:trPr>
          <w:jc w:val="center"/>
        </w:trPr>
        <w:tc>
          <w:tcPr>
            <w:tcW w:w="4106" w:type="dxa"/>
            <w:noWrap w:val="0"/>
            <w:vAlign w:val="top"/>
          </w:tcPr>
          <w:p>
            <w:pPr>
              <w:spacing w:line="220" w:lineRule="exact"/>
              <w:rPr>
                <w:rFonts w:hint="eastAsia" w:ascii="宋体" w:hAnsi="宋体"/>
                <w:sz w:val="18"/>
                <w:szCs w:val="18"/>
              </w:rPr>
            </w:pPr>
            <w:r>
              <w:rPr>
                <w:rFonts w:hint="eastAsia" w:ascii="宋体"/>
                <w:sz w:val="18"/>
              </w:rPr>
              <w:t>单位详细名称：</w:t>
            </w:r>
          </w:p>
        </w:tc>
        <w:tc>
          <w:tcPr>
            <w:tcW w:w="20" w:type="dxa"/>
            <w:noWrap w:val="0"/>
            <w:vAlign w:val="top"/>
          </w:tcPr>
          <w:p>
            <w:pPr>
              <w:spacing w:line="220" w:lineRule="exact"/>
              <w:rPr>
                <w:rFonts w:hint="eastAsia" w:ascii="宋体" w:hAnsi="宋体"/>
                <w:sz w:val="18"/>
                <w:szCs w:val="18"/>
              </w:rPr>
            </w:pPr>
          </w:p>
        </w:tc>
        <w:tc>
          <w:tcPr>
            <w:tcW w:w="2843" w:type="dxa"/>
            <w:noWrap w:val="0"/>
            <w:vAlign w:val="top"/>
          </w:tcPr>
          <w:p>
            <w:pPr>
              <w:spacing w:line="220" w:lineRule="exact"/>
              <w:rPr>
                <w:rFonts w:hint="eastAsia" w:ascii="宋体" w:hAnsi="宋体"/>
                <w:sz w:val="18"/>
                <w:szCs w:val="18"/>
              </w:rPr>
            </w:pPr>
            <w:r>
              <w:rPr>
                <w:rFonts w:hint="eastAsia" w:ascii="宋体" w:hAnsi="宋体"/>
                <w:sz w:val="18"/>
                <w:szCs w:val="18"/>
              </w:rPr>
              <w:t>２０  年    月</w:t>
            </w:r>
          </w:p>
        </w:tc>
        <w:tc>
          <w:tcPr>
            <w:tcW w:w="901"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有效期至：</w:t>
            </w:r>
          </w:p>
        </w:tc>
        <w:tc>
          <w:tcPr>
            <w:tcW w:w="1699" w:type="dxa"/>
            <w:noWrap w:val="0"/>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２０２</w:t>
            </w:r>
            <w:r>
              <w:rPr>
                <w:rFonts w:hint="eastAsia" w:ascii="宋体" w:hAnsi="宋体"/>
                <w:sz w:val="18"/>
                <w:szCs w:val="18"/>
                <w:lang w:val="en-US" w:eastAsia="zh-CN"/>
              </w:rPr>
              <w:t>6</w:t>
            </w:r>
            <w:r>
              <w:rPr>
                <w:rFonts w:hint="eastAsia" w:ascii="宋体" w:hAnsi="宋体"/>
                <w:sz w:val="18"/>
                <w:szCs w:val="18"/>
              </w:rPr>
              <w:t>年１月</w:t>
            </w:r>
          </w:p>
        </w:tc>
      </w:tr>
    </w:tbl>
    <w:p>
      <w:pPr>
        <w:spacing w:line="40" w:lineRule="exact"/>
        <w:rPr>
          <w:vanish/>
        </w:rPr>
      </w:pPr>
    </w:p>
    <w:tbl>
      <w:tblPr>
        <w:tblStyle w:val="31"/>
        <w:tblW w:w="955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22"/>
        <w:gridCol w:w="1113"/>
        <w:gridCol w:w="927"/>
        <w:gridCol w:w="1299"/>
        <w:gridCol w:w="17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4422" w:type="dxa"/>
            <w:shd w:val="clear" w:color="auto" w:fill="auto"/>
            <w:noWrap w:val="0"/>
            <w:vAlign w:val="center"/>
          </w:tcPr>
          <w:p>
            <w:pPr>
              <w:spacing w:line="240" w:lineRule="exact"/>
              <w:jc w:val="center"/>
              <w:rPr>
                <w:rFonts w:ascii="宋体" w:hAnsi="宋体"/>
                <w:sz w:val="18"/>
                <w:szCs w:val="18"/>
              </w:rPr>
            </w:pPr>
            <w:r>
              <w:rPr>
                <w:rFonts w:hint="eastAsia" w:ascii="宋体" w:hAnsi="宋体" w:cs="宋体"/>
                <w:sz w:val="18"/>
                <w:szCs w:val="18"/>
              </w:rPr>
              <w:t>指标名称</w:t>
            </w:r>
          </w:p>
        </w:tc>
        <w:tc>
          <w:tcPr>
            <w:tcW w:w="1113" w:type="dxa"/>
            <w:shd w:val="clear" w:color="auto" w:fill="auto"/>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计量单位</w:t>
            </w:r>
          </w:p>
        </w:tc>
        <w:tc>
          <w:tcPr>
            <w:tcW w:w="927" w:type="dxa"/>
            <w:shd w:val="clear" w:color="auto" w:fill="auto"/>
            <w:noWrap w:val="0"/>
            <w:vAlign w:val="center"/>
          </w:tcPr>
          <w:p>
            <w:pPr>
              <w:spacing w:line="240" w:lineRule="exact"/>
              <w:jc w:val="center"/>
              <w:rPr>
                <w:rFonts w:ascii="宋体" w:hAnsi="宋体"/>
                <w:sz w:val="18"/>
                <w:szCs w:val="18"/>
              </w:rPr>
            </w:pPr>
            <w:r>
              <w:rPr>
                <w:rFonts w:hint="eastAsia" w:ascii="宋体" w:hAnsi="宋体" w:cs="宋体"/>
                <w:sz w:val="18"/>
                <w:szCs w:val="18"/>
              </w:rPr>
              <w:t>代码</w:t>
            </w:r>
          </w:p>
        </w:tc>
        <w:tc>
          <w:tcPr>
            <w:tcW w:w="1299" w:type="dxa"/>
            <w:shd w:val="clear" w:color="auto" w:fill="auto"/>
            <w:noWrap w:val="0"/>
            <w:vAlign w:val="center"/>
          </w:tcPr>
          <w:p>
            <w:pPr>
              <w:spacing w:line="240" w:lineRule="exact"/>
              <w:jc w:val="center"/>
              <w:rPr>
                <w:rFonts w:ascii="宋体" w:hAnsi="宋体"/>
                <w:sz w:val="18"/>
                <w:szCs w:val="18"/>
              </w:rPr>
            </w:pPr>
            <w:r>
              <w:rPr>
                <w:rFonts w:hint="eastAsia" w:ascii="宋体" w:hAnsi="宋体"/>
                <w:sz w:val="18"/>
                <w:szCs w:val="18"/>
              </w:rPr>
              <w:t>1－本月</w:t>
            </w:r>
          </w:p>
        </w:tc>
        <w:tc>
          <w:tcPr>
            <w:tcW w:w="1793" w:type="dxa"/>
            <w:shd w:val="clear" w:color="auto" w:fill="D9D9D9"/>
            <w:noWrap w:val="0"/>
            <w:vAlign w:val="center"/>
          </w:tcPr>
          <w:p>
            <w:pPr>
              <w:spacing w:line="240" w:lineRule="exact"/>
              <w:jc w:val="center"/>
              <w:rPr>
                <w:rFonts w:hint="eastAsia" w:ascii="宋体" w:hAnsi="宋体"/>
                <w:sz w:val="18"/>
                <w:szCs w:val="18"/>
              </w:rPr>
            </w:pPr>
            <w:r>
              <w:rPr>
                <w:rFonts w:hint="eastAsia" w:ascii="宋体" w:hAnsi="宋体"/>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exact"/>
          <w:jc w:val="center"/>
        </w:trPr>
        <w:tc>
          <w:tcPr>
            <w:tcW w:w="4422" w:type="dxa"/>
            <w:shd w:val="clear" w:color="auto" w:fill="auto"/>
            <w:noWrap w:val="0"/>
            <w:vAlign w:val="top"/>
          </w:tcPr>
          <w:p>
            <w:pPr>
              <w:spacing w:line="240" w:lineRule="exact"/>
              <w:jc w:val="center"/>
              <w:rPr>
                <w:rFonts w:ascii="宋体" w:hAnsi="宋体"/>
                <w:sz w:val="18"/>
                <w:szCs w:val="18"/>
              </w:rPr>
            </w:pPr>
            <w:r>
              <w:rPr>
                <w:rFonts w:hint="eastAsia" w:ascii="宋体" w:hAnsi="宋体" w:cs="宋体"/>
                <w:sz w:val="18"/>
                <w:szCs w:val="18"/>
              </w:rPr>
              <w:t>甲</w:t>
            </w:r>
          </w:p>
        </w:tc>
        <w:tc>
          <w:tcPr>
            <w:tcW w:w="1113" w:type="dxa"/>
            <w:shd w:val="clear" w:color="auto" w:fill="auto"/>
            <w:noWrap w:val="0"/>
            <w:vAlign w:val="top"/>
          </w:tcPr>
          <w:p>
            <w:pPr>
              <w:spacing w:line="240" w:lineRule="exact"/>
              <w:jc w:val="center"/>
              <w:rPr>
                <w:rFonts w:hint="eastAsia" w:ascii="宋体" w:hAnsi="宋体" w:cs="宋体"/>
                <w:sz w:val="18"/>
                <w:szCs w:val="18"/>
              </w:rPr>
            </w:pPr>
            <w:r>
              <w:rPr>
                <w:rFonts w:hint="eastAsia" w:ascii="宋体" w:hAnsi="宋体" w:cs="宋体"/>
                <w:sz w:val="18"/>
                <w:szCs w:val="18"/>
              </w:rPr>
              <w:t>乙</w:t>
            </w:r>
          </w:p>
        </w:tc>
        <w:tc>
          <w:tcPr>
            <w:tcW w:w="927" w:type="dxa"/>
            <w:shd w:val="clear" w:color="auto" w:fill="auto"/>
            <w:noWrap w:val="0"/>
            <w:vAlign w:val="top"/>
          </w:tcPr>
          <w:p>
            <w:pPr>
              <w:spacing w:line="240" w:lineRule="exact"/>
              <w:jc w:val="center"/>
              <w:rPr>
                <w:rFonts w:ascii="宋体" w:hAnsi="宋体"/>
                <w:sz w:val="18"/>
                <w:szCs w:val="18"/>
              </w:rPr>
            </w:pPr>
            <w:r>
              <w:rPr>
                <w:rFonts w:hint="eastAsia" w:ascii="宋体" w:hAnsi="宋体"/>
                <w:sz w:val="18"/>
                <w:szCs w:val="18"/>
              </w:rPr>
              <w:t>丙</w:t>
            </w:r>
          </w:p>
        </w:tc>
        <w:tc>
          <w:tcPr>
            <w:tcW w:w="1299" w:type="dxa"/>
            <w:tcBorders>
              <w:bottom w:val="single" w:color="auto" w:sz="2" w:space="0"/>
            </w:tcBorders>
            <w:shd w:val="clear" w:color="auto" w:fill="auto"/>
            <w:noWrap w:val="0"/>
            <w:vAlign w:val="top"/>
          </w:tcPr>
          <w:p>
            <w:pPr>
              <w:spacing w:line="240" w:lineRule="exact"/>
              <w:jc w:val="center"/>
              <w:rPr>
                <w:rFonts w:hint="eastAsia" w:ascii="宋体" w:hAnsi="宋体"/>
                <w:sz w:val="18"/>
                <w:szCs w:val="18"/>
              </w:rPr>
            </w:pPr>
            <w:r>
              <w:rPr>
                <w:rFonts w:hint="eastAsia" w:ascii="宋体" w:hAnsi="宋体"/>
                <w:sz w:val="18"/>
                <w:szCs w:val="18"/>
              </w:rPr>
              <w:t>1</w:t>
            </w:r>
          </w:p>
        </w:tc>
        <w:tc>
          <w:tcPr>
            <w:tcW w:w="1793" w:type="dxa"/>
            <w:tcBorders>
              <w:bottom w:val="single" w:color="auto" w:sz="2" w:space="0"/>
            </w:tcBorders>
            <w:shd w:val="clear" w:color="auto" w:fill="D9D9D9"/>
            <w:noWrap w:val="0"/>
            <w:vAlign w:val="top"/>
          </w:tcPr>
          <w:p>
            <w:pPr>
              <w:spacing w:line="240" w:lineRule="exact"/>
              <w:jc w:val="center"/>
              <w:rPr>
                <w:rFonts w:hint="eastAsia" w:ascii="宋体" w:hAnsi="宋体"/>
                <w:sz w:val="18"/>
                <w:szCs w:val="18"/>
              </w:rPr>
            </w:pPr>
            <w:r>
              <w:rPr>
                <w:rFonts w:hint="eastAsia" w:ascii="宋体" w:hAnsi="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422" w:type="dxa"/>
            <w:noWrap w:val="0"/>
            <w:vAlign w:val="top"/>
          </w:tcPr>
          <w:p>
            <w:pPr>
              <w:snapToGrid w:val="0"/>
              <w:spacing w:line="300" w:lineRule="exact"/>
              <w:rPr>
                <w:rFonts w:ascii="宋体" w:hAnsi="宋体"/>
                <w:sz w:val="18"/>
                <w:szCs w:val="18"/>
              </w:rPr>
            </w:pPr>
            <w:r>
              <w:rPr>
                <w:rFonts w:hint="eastAsia" w:ascii="宋体" w:hAnsi="宋体"/>
                <w:sz w:val="18"/>
                <w:szCs w:val="18"/>
              </w:rPr>
              <w:t>一</w:t>
            </w:r>
            <w:r>
              <w:rPr>
                <w:rFonts w:ascii="宋体" w:hAnsi="宋体"/>
                <w:sz w:val="18"/>
                <w:szCs w:val="18"/>
              </w:rPr>
              <w:t>、期末资产负债</w:t>
            </w:r>
          </w:p>
          <w:p>
            <w:pPr>
              <w:snapToGrid w:val="0"/>
              <w:spacing w:line="300" w:lineRule="exact"/>
              <w:ind w:firstLine="360"/>
              <w:rPr>
                <w:rFonts w:ascii="宋体" w:hAnsi="宋体"/>
                <w:sz w:val="18"/>
                <w:szCs w:val="18"/>
              </w:rPr>
            </w:pPr>
            <w:r>
              <w:rPr>
                <w:rFonts w:hint="eastAsia" w:ascii="宋体" w:hAnsi="宋体"/>
                <w:sz w:val="18"/>
                <w:szCs w:val="18"/>
              </w:rPr>
              <w:t>固定资产</w:t>
            </w:r>
            <w:r>
              <w:rPr>
                <w:rFonts w:ascii="宋体" w:hAnsi="宋体"/>
                <w:sz w:val="18"/>
                <w:szCs w:val="18"/>
              </w:rPr>
              <w:t>原价</w:t>
            </w:r>
          </w:p>
          <w:p>
            <w:pPr>
              <w:snapToGrid w:val="0"/>
              <w:spacing w:line="300" w:lineRule="exact"/>
              <w:ind w:firstLine="360"/>
              <w:rPr>
                <w:rFonts w:hint="eastAsia" w:ascii="宋体" w:hAnsi="宋体"/>
                <w:sz w:val="18"/>
                <w:szCs w:val="18"/>
              </w:rPr>
            </w:pPr>
            <w:r>
              <w:rPr>
                <w:rFonts w:hint="eastAsia" w:ascii="宋体" w:hAnsi="宋体"/>
                <w:sz w:val="18"/>
                <w:szCs w:val="18"/>
              </w:rPr>
              <w:t>应收账款</w:t>
            </w:r>
          </w:p>
          <w:p>
            <w:pPr>
              <w:snapToGrid w:val="0"/>
              <w:spacing w:line="300" w:lineRule="exact"/>
              <w:ind w:firstLine="360" w:firstLineChars="200"/>
              <w:rPr>
                <w:rFonts w:ascii="宋体" w:hAnsi="宋体"/>
                <w:sz w:val="18"/>
                <w:szCs w:val="18"/>
              </w:rPr>
            </w:pPr>
            <w:r>
              <w:rPr>
                <w:rFonts w:hint="eastAsia" w:ascii="宋体" w:hAnsi="宋体"/>
                <w:sz w:val="18"/>
                <w:szCs w:val="18"/>
              </w:rPr>
              <w:t>资产总计</w:t>
            </w:r>
          </w:p>
          <w:p>
            <w:pPr>
              <w:snapToGrid w:val="0"/>
              <w:spacing w:line="300" w:lineRule="exact"/>
              <w:ind w:firstLine="360" w:firstLineChars="200"/>
              <w:rPr>
                <w:rFonts w:ascii="宋体" w:hAnsi="宋体"/>
                <w:sz w:val="18"/>
                <w:szCs w:val="18"/>
              </w:rPr>
            </w:pPr>
            <w:r>
              <w:rPr>
                <w:rFonts w:hint="eastAsia" w:ascii="宋体" w:hAnsi="宋体"/>
                <w:sz w:val="18"/>
                <w:szCs w:val="18"/>
              </w:rPr>
              <w:t>负债合计</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所有者权益合计</w:t>
            </w:r>
          </w:p>
          <w:p>
            <w:pPr>
              <w:snapToGrid w:val="0"/>
              <w:spacing w:line="300" w:lineRule="exact"/>
              <w:rPr>
                <w:rFonts w:ascii="宋体" w:hAnsi="宋体"/>
                <w:sz w:val="18"/>
                <w:szCs w:val="18"/>
              </w:rPr>
            </w:pPr>
            <w:r>
              <w:rPr>
                <w:rFonts w:hint="eastAsia" w:ascii="宋体" w:hAnsi="宋体"/>
                <w:sz w:val="18"/>
                <w:szCs w:val="18"/>
              </w:rPr>
              <w:t>二、损益</w:t>
            </w:r>
          </w:p>
          <w:p>
            <w:pPr>
              <w:snapToGrid w:val="0"/>
              <w:spacing w:line="300" w:lineRule="exact"/>
              <w:ind w:firstLine="360" w:firstLineChars="200"/>
              <w:rPr>
                <w:rFonts w:ascii="宋体" w:hAnsi="宋体"/>
                <w:sz w:val="18"/>
                <w:szCs w:val="18"/>
              </w:rPr>
            </w:pPr>
            <w:r>
              <w:rPr>
                <w:rFonts w:hint="eastAsia" w:ascii="宋体" w:hAnsi="宋体"/>
                <w:sz w:val="18"/>
                <w:szCs w:val="18"/>
              </w:rPr>
              <w:t>营业收入</w:t>
            </w:r>
          </w:p>
          <w:p>
            <w:pPr>
              <w:snapToGrid w:val="0"/>
              <w:spacing w:line="300" w:lineRule="exact"/>
              <w:ind w:firstLine="540" w:firstLineChars="300"/>
              <w:rPr>
                <w:rFonts w:hint="eastAsia" w:ascii="宋体" w:hAnsi="宋体"/>
                <w:sz w:val="18"/>
                <w:szCs w:val="18"/>
              </w:rPr>
            </w:pPr>
            <w:r>
              <w:rPr>
                <w:rFonts w:hint="eastAsia" w:ascii="宋体" w:hAnsi="宋体"/>
                <w:sz w:val="18"/>
                <w:szCs w:val="18"/>
              </w:rPr>
              <w:t>其中：净服务</w:t>
            </w:r>
            <w:r>
              <w:rPr>
                <w:rFonts w:ascii="宋体" w:hAnsi="宋体"/>
                <w:sz w:val="18"/>
                <w:szCs w:val="18"/>
              </w:rPr>
              <w:t>收入</w:t>
            </w:r>
          </w:p>
          <w:p>
            <w:pPr>
              <w:snapToGrid w:val="0"/>
              <w:spacing w:line="300" w:lineRule="exact"/>
              <w:ind w:firstLine="360" w:firstLineChars="200"/>
              <w:rPr>
                <w:rFonts w:ascii="宋体" w:hAnsi="宋体"/>
                <w:sz w:val="18"/>
                <w:szCs w:val="18"/>
              </w:rPr>
            </w:pPr>
            <w:r>
              <w:rPr>
                <w:rFonts w:hint="eastAsia" w:ascii="宋体" w:hAnsi="宋体"/>
                <w:sz w:val="18"/>
                <w:szCs w:val="18"/>
              </w:rPr>
              <w:t>营业成本</w:t>
            </w:r>
          </w:p>
          <w:p>
            <w:pPr>
              <w:snapToGrid w:val="0"/>
              <w:spacing w:line="300" w:lineRule="exact"/>
              <w:ind w:firstLine="360" w:firstLineChars="200"/>
              <w:rPr>
                <w:rFonts w:ascii="宋体" w:hAnsi="宋体"/>
                <w:sz w:val="18"/>
                <w:szCs w:val="18"/>
              </w:rPr>
            </w:pPr>
            <w:r>
              <w:rPr>
                <w:rFonts w:hint="eastAsia" w:ascii="宋体" w:hAnsi="宋体"/>
                <w:sz w:val="18"/>
                <w:szCs w:val="18"/>
              </w:rPr>
              <w:t>税金及附加</w:t>
            </w:r>
          </w:p>
          <w:p>
            <w:pPr>
              <w:snapToGrid w:val="0"/>
              <w:spacing w:line="300" w:lineRule="exact"/>
              <w:ind w:firstLine="360" w:firstLineChars="200"/>
              <w:rPr>
                <w:rFonts w:ascii="宋体" w:hAnsi="宋体"/>
                <w:sz w:val="18"/>
                <w:szCs w:val="18"/>
              </w:rPr>
            </w:pPr>
            <w:r>
              <w:rPr>
                <w:rFonts w:hint="eastAsia" w:ascii="宋体" w:hAnsi="宋体"/>
                <w:sz w:val="18"/>
                <w:szCs w:val="18"/>
              </w:rPr>
              <w:t>销售费用</w:t>
            </w:r>
          </w:p>
          <w:p>
            <w:pPr>
              <w:snapToGrid w:val="0"/>
              <w:spacing w:line="300" w:lineRule="exact"/>
              <w:ind w:firstLine="360" w:firstLineChars="200"/>
              <w:rPr>
                <w:rFonts w:ascii="宋体" w:hAnsi="宋体"/>
                <w:sz w:val="18"/>
                <w:szCs w:val="18"/>
              </w:rPr>
            </w:pPr>
            <w:r>
              <w:rPr>
                <w:rFonts w:hint="eastAsia" w:ascii="宋体" w:hAnsi="宋体"/>
                <w:sz w:val="18"/>
                <w:szCs w:val="18"/>
              </w:rPr>
              <w:t>管理费用</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研发费用</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财务费用</w:t>
            </w:r>
          </w:p>
          <w:p>
            <w:pPr>
              <w:snapToGrid w:val="0"/>
              <w:spacing w:line="300" w:lineRule="exact"/>
              <w:ind w:firstLine="360" w:firstLineChars="200"/>
              <w:rPr>
                <w:rFonts w:ascii="宋体" w:hAnsi="宋体"/>
                <w:sz w:val="18"/>
                <w:szCs w:val="18"/>
              </w:rPr>
            </w:pPr>
            <w:r>
              <w:rPr>
                <w:rFonts w:hint="eastAsia" w:ascii="宋体" w:hAnsi="宋体"/>
                <w:sz w:val="18"/>
                <w:szCs w:val="18"/>
              </w:rPr>
              <w:t>资产减值损失</w:t>
            </w:r>
            <w:r>
              <w:rPr>
                <w:rFonts w:ascii="宋体" w:hAnsi="宋体"/>
                <w:sz w:val="18"/>
                <w:szCs w:val="18"/>
              </w:rPr>
              <w:t>(</w:t>
            </w:r>
            <w:r>
              <w:rPr>
                <w:rFonts w:hint="eastAsia" w:ascii="宋体" w:hAnsi="宋体"/>
                <w:sz w:val="18"/>
                <w:szCs w:val="18"/>
              </w:rPr>
              <w:t>损失以“</w:t>
            </w:r>
            <w:r>
              <w:rPr>
                <w:rFonts w:ascii="宋体" w:hAnsi="宋体"/>
                <w:sz w:val="18"/>
                <w:szCs w:val="18"/>
              </w:rPr>
              <w:t>-</w:t>
            </w:r>
            <w:r>
              <w:rPr>
                <w:rFonts w:hint="eastAsia" w:ascii="宋体" w:hAnsi="宋体"/>
                <w:sz w:val="18"/>
                <w:szCs w:val="18"/>
              </w:rPr>
              <w:t>”号记</w:t>
            </w:r>
            <w:r>
              <w:rPr>
                <w:rFonts w:ascii="宋体" w:hAnsi="宋体"/>
                <w:sz w:val="18"/>
                <w:szCs w:val="18"/>
              </w:rPr>
              <w:t>)</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信用减值损失</w:t>
            </w:r>
            <w:r>
              <w:rPr>
                <w:rFonts w:ascii="宋体" w:hAnsi="宋体"/>
                <w:sz w:val="18"/>
                <w:szCs w:val="18"/>
              </w:rPr>
              <w:t>(</w:t>
            </w:r>
            <w:r>
              <w:rPr>
                <w:rFonts w:hint="eastAsia" w:ascii="宋体" w:hAnsi="宋体"/>
                <w:sz w:val="18"/>
                <w:szCs w:val="18"/>
              </w:rPr>
              <w:t>损失以“</w:t>
            </w:r>
            <w:r>
              <w:rPr>
                <w:rFonts w:ascii="宋体" w:hAnsi="宋体"/>
                <w:sz w:val="18"/>
                <w:szCs w:val="18"/>
              </w:rPr>
              <w:t>-</w:t>
            </w:r>
            <w:r>
              <w:rPr>
                <w:rFonts w:hint="eastAsia" w:ascii="宋体" w:hAnsi="宋体"/>
                <w:sz w:val="18"/>
                <w:szCs w:val="18"/>
              </w:rPr>
              <w:t>”号记</w:t>
            </w:r>
            <w:r>
              <w:rPr>
                <w:rFonts w:ascii="宋体" w:hAnsi="宋体"/>
                <w:sz w:val="18"/>
                <w:szCs w:val="18"/>
              </w:rPr>
              <w:t>)</w:t>
            </w:r>
          </w:p>
          <w:p>
            <w:pPr>
              <w:snapToGrid w:val="0"/>
              <w:spacing w:line="300" w:lineRule="exact"/>
              <w:ind w:firstLine="360" w:firstLineChars="200"/>
              <w:rPr>
                <w:rFonts w:ascii="宋体" w:hAnsi="宋体"/>
                <w:sz w:val="18"/>
                <w:szCs w:val="18"/>
              </w:rPr>
            </w:pPr>
            <w:r>
              <w:rPr>
                <w:rFonts w:hint="eastAsia" w:ascii="宋体" w:hAnsi="宋体"/>
                <w:sz w:val="18"/>
                <w:szCs w:val="18"/>
              </w:rPr>
              <w:t>公允价值变动收益</w:t>
            </w:r>
            <w:r>
              <w:rPr>
                <w:rFonts w:ascii="宋体" w:hAnsi="宋体"/>
                <w:sz w:val="18"/>
                <w:szCs w:val="18"/>
              </w:rPr>
              <w:t>(</w:t>
            </w:r>
            <w:r>
              <w:rPr>
                <w:rFonts w:hint="eastAsia" w:ascii="宋体" w:hAnsi="宋体"/>
                <w:sz w:val="18"/>
                <w:szCs w:val="18"/>
              </w:rPr>
              <w:t>损失以“</w:t>
            </w:r>
            <w:r>
              <w:rPr>
                <w:rFonts w:ascii="宋体" w:hAnsi="宋体"/>
                <w:sz w:val="18"/>
                <w:szCs w:val="18"/>
              </w:rPr>
              <w:t>-</w:t>
            </w:r>
            <w:r>
              <w:rPr>
                <w:rFonts w:hint="eastAsia" w:ascii="宋体" w:hAnsi="宋体"/>
                <w:sz w:val="18"/>
                <w:szCs w:val="18"/>
              </w:rPr>
              <w:t>”号记</w:t>
            </w:r>
            <w:r>
              <w:rPr>
                <w:rFonts w:ascii="宋体" w:hAnsi="宋体"/>
                <w:sz w:val="18"/>
                <w:szCs w:val="18"/>
              </w:rPr>
              <w:t>)</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资产处置收益</w:t>
            </w:r>
            <w:r>
              <w:rPr>
                <w:rFonts w:ascii="宋体" w:hAnsi="宋体"/>
                <w:sz w:val="18"/>
                <w:szCs w:val="18"/>
              </w:rPr>
              <w:t>(</w:t>
            </w:r>
            <w:r>
              <w:rPr>
                <w:rFonts w:hint="eastAsia" w:ascii="宋体" w:hAnsi="宋体"/>
                <w:sz w:val="18"/>
                <w:szCs w:val="18"/>
              </w:rPr>
              <w:t>损失以“</w:t>
            </w:r>
            <w:r>
              <w:rPr>
                <w:rFonts w:ascii="宋体" w:hAnsi="宋体"/>
                <w:sz w:val="18"/>
                <w:szCs w:val="18"/>
              </w:rPr>
              <w:t>-</w:t>
            </w:r>
            <w:r>
              <w:rPr>
                <w:rFonts w:hint="eastAsia" w:ascii="宋体" w:hAnsi="宋体"/>
                <w:sz w:val="18"/>
                <w:szCs w:val="18"/>
              </w:rPr>
              <w:t>”号记</w:t>
            </w:r>
            <w:r>
              <w:rPr>
                <w:rFonts w:ascii="宋体" w:hAnsi="宋体"/>
                <w:sz w:val="18"/>
                <w:szCs w:val="18"/>
              </w:rPr>
              <w:t>)</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投资收益</w:t>
            </w:r>
            <w:r>
              <w:rPr>
                <w:rFonts w:ascii="宋体" w:hAnsi="宋体"/>
                <w:sz w:val="18"/>
                <w:szCs w:val="18"/>
              </w:rPr>
              <w:t>(</w:t>
            </w:r>
            <w:r>
              <w:rPr>
                <w:rFonts w:hint="eastAsia" w:ascii="宋体" w:hAnsi="宋体"/>
                <w:sz w:val="18"/>
                <w:szCs w:val="18"/>
              </w:rPr>
              <w:t>损失以“</w:t>
            </w:r>
            <w:r>
              <w:rPr>
                <w:rFonts w:ascii="宋体" w:hAnsi="宋体"/>
                <w:sz w:val="18"/>
                <w:szCs w:val="18"/>
              </w:rPr>
              <w:t>-</w:t>
            </w:r>
            <w:r>
              <w:rPr>
                <w:rFonts w:hint="eastAsia" w:ascii="宋体" w:hAnsi="宋体"/>
                <w:sz w:val="18"/>
                <w:szCs w:val="18"/>
              </w:rPr>
              <w:t>”号记</w:t>
            </w:r>
            <w:r>
              <w:rPr>
                <w:rFonts w:ascii="宋体" w:hAnsi="宋体"/>
                <w:sz w:val="18"/>
                <w:szCs w:val="18"/>
              </w:rPr>
              <w:t>)</w:t>
            </w:r>
          </w:p>
          <w:p>
            <w:pPr>
              <w:snapToGrid w:val="0"/>
              <w:spacing w:line="300" w:lineRule="exact"/>
              <w:ind w:firstLine="360" w:firstLineChars="200"/>
              <w:rPr>
                <w:rFonts w:ascii="宋体" w:hAnsi="宋体"/>
                <w:sz w:val="18"/>
                <w:szCs w:val="18"/>
              </w:rPr>
            </w:pPr>
            <w:r>
              <w:rPr>
                <w:rFonts w:hint="eastAsia" w:ascii="宋体" w:hAnsi="宋体"/>
                <w:sz w:val="18"/>
                <w:szCs w:val="18"/>
              </w:rPr>
              <w:t>净敞口套期收益</w:t>
            </w:r>
            <w:r>
              <w:rPr>
                <w:rFonts w:ascii="宋体" w:hAnsi="宋体"/>
                <w:sz w:val="18"/>
                <w:szCs w:val="18"/>
              </w:rPr>
              <w:t>(</w:t>
            </w:r>
            <w:r>
              <w:rPr>
                <w:rFonts w:hint="eastAsia" w:ascii="宋体" w:hAnsi="宋体"/>
                <w:sz w:val="18"/>
                <w:szCs w:val="18"/>
              </w:rPr>
              <w:t>损失以“</w:t>
            </w:r>
            <w:r>
              <w:rPr>
                <w:rFonts w:ascii="宋体" w:hAnsi="宋体"/>
                <w:sz w:val="18"/>
                <w:szCs w:val="18"/>
              </w:rPr>
              <w:t>-</w:t>
            </w:r>
            <w:r>
              <w:rPr>
                <w:rFonts w:hint="eastAsia" w:ascii="宋体" w:hAnsi="宋体"/>
                <w:sz w:val="18"/>
                <w:szCs w:val="18"/>
              </w:rPr>
              <w:t>”号记</w:t>
            </w:r>
            <w:r>
              <w:rPr>
                <w:rFonts w:ascii="宋体" w:hAnsi="宋体"/>
                <w:sz w:val="18"/>
                <w:szCs w:val="18"/>
              </w:rPr>
              <w:t>)</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其他收益</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营业利润</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营业外收入</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营业外支出</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利润总额</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所得税费用</w:t>
            </w:r>
          </w:p>
          <w:p>
            <w:pPr>
              <w:snapToGrid w:val="0"/>
              <w:spacing w:line="300" w:lineRule="exact"/>
              <w:rPr>
                <w:rFonts w:hint="eastAsia" w:ascii="宋体" w:hAnsi="宋体"/>
                <w:sz w:val="18"/>
                <w:szCs w:val="18"/>
              </w:rPr>
            </w:pPr>
            <w:r>
              <w:rPr>
                <w:rFonts w:hint="eastAsia" w:ascii="宋体" w:hAnsi="宋体"/>
                <w:sz w:val="18"/>
                <w:szCs w:val="18"/>
              </w:rPr>
              <w:t>三、成本费用及增值税</w:t>
            </w:r>
          </w:p>
          <w:p>
            <w:pPr>
              <w:snapToGrid w:val="0"/>
              <w:spacing w:line="300" w:lineRule="exact"/>
              <w:ind w:firstLine="360" w:firstLineChars="200"/>
              <w:rPr>
                <w:rFonts w:hint="eastAsia" w:ascii="宋体" w:hAnsi="宋体"/>
                <w:sz w:val="18"/>
                <w:szCs w:val="18"/>
              </w:rPr>
            </w:pPr>
            <w:r>
              <w:rPr>
                <w:rFonts w:hint="eastAsia" w:ascii="宋体" w:hAnsi="宋体"/>
                <w:sz w:val="18"/>
                <w:szCs w:val="18"/>
              </w:rPr>
              <w:t>应付职工薪酬</w:t>
            </w:r>
            <w:r>
              <w:rPr>
                <w:rFonts w:ascii="宋体" w:hAnsi="宋体"/>
                <w:sz w:val="18"/>
                <w:szCs w:val="18"/>
              </w:rPr>
              <w:t>(</w:t>
            </w:r>
            <w:r>
              <w:rPr>
                <w:rFonts w:hint="eastAsia" w:ascii="宋体" w:hAnsi="宋体"/>
                <w:sz w:val="18"/>
                <w:szCs w:val="18"/>
              </w:rPr>
              <w:t>本</w:t>
            </w:r>
            <w:r>
              <w:rPr>
                <w:rFonts w:hint="eastAsia" w:ascii="宋体" w:hAnsi="宋体"/>
                <w:sz w:val="18"/>
                <w:szCs w:val="18"/>
                <w:lang w:eastAsia="zh-CN"/>
              </w:rPr>
              <w:t>年</w:t>
            </w:r>
            <w:r>
              <w:rPr>
                <w:rFonts w:hint="eastAsia" w:ascii="宋体" w:hAnsi="宋体"/>
                <w:sz w:val="18"/>
                <w:szCs w:val="18"/>
              </w:rPr>
              <w:t>贷方累计发生额</w:t>
            </w:r>
            <w:r>
              <w:rPr>
                <w:rFonts w:ascii="宋体" w:hAnsi="宋体"/>
                <w:sz w:val="18"/>
                <w:szCs w:val="18"/>
              </w:rPr>
              <w:t>)</w:t>
            </w:r>
          </w:p>
          <w:p>
            <w:pPr>
              <w:snapToGrid w:val="0"/>
              <w:spacing w:line="300" w:lineRule="exact"/>
              <w:ind w:firstLine="360" w:firstLineChars="200"/>
              <w:rPr>
                <w:rFonts w:ascii="宋体" w:hAnsi="宋体"/>
                <w:sz w:val="18"/>
                <w:szCs w:val="18"/>
                <w:lang w:val="en"/>
              </w:rPr>
            </w:pPr>
            <w:r>
              <w:rPr>
                <w:rFonts w:hint="eastAsia" w:ascii="宋体" w:hAnsi="宋体"/>
                <w:sz w:val="18"/>
                <w:szCs w:val="18"/>
              </w:rPr>
              <w:t>应交增值税</w:t>
            </w:r>
            <w:r>
              <w:rPr>
                <w:rFonts w:ascii="宋体" w:hAnsi="宋体"/>
                <w:sz w:val="18"/>
                <w:szCs w:val="18"/>
                <w:lang w:val="en"/>
              </w:rPr>
              <w:t>(</w:t>
            </w:r>
            <w:r>
              <w:rPr>
                <w:rFonts w:hint="eastAsia" w:ascii="宋体" w:hAnsi="宋体"/>
                <w:sz w:val="18"/>
                <w:szCs w:val="18"/>
              </w:rPr>
              <w:t>本年累计发生额</w:t>
            </w:r>
            <w:r>
              <w:rPr>
                <w:rFonts w:ascii="宋体" w:hAnsi="宋体"/>
                <w:sz w:val="18"/>
                <w:szCs w:val="18"/>
                <w:lang w:val="en"/>
              </w:rPr>
              <w:t>)</w:t>
            </w:r>
          </w:p>
          <w:p>
            <w:pPr>
              <w:snapToGrid w:val="0"/>
              <w:spacing w:line="300" w:lineRule="exact"/>
              <w:rPr>
                <w:rFonts w:hint="eastAsia" w:ascii="宋体" w:hAnsi="宋体" w:eastAsia="宋体"/>
                <w:sz w:val="18"/>
                <w:szCs w:val="18"/>
                <w:lang w:eastAsia="zh-CN"/>
              </w:rPr>
            </w:pPr>
            <w:r>
              <w:rPr>
                <w:rFonts w:hint="eastAsia"/>
                <w:sz w:val="18"/>
                <w:szCs w:val="18"/>
              </w:rPr>
              <w:t>四、</w:t>
            </w:r>
            <w:r>
              <w:rPr>
                <w:rFonts w:hint="eastAsia"/>
                <w:sz w:val="18"/>
                <w:szCs w:val="18"/>
                <w:lang w:eastAsia="zh-CN"/>
              </w:rPr>
              <w:t>平均用工人数</w:t>
            </w:r>
          </w:p>
        </w:tc>
        <w:tc>
          <w:tcPr>
            <w:tcW w:w="1113" w:type="dxa"/>
            <w:noWrap w:val="0"/>
            <w:vAlign w:val="top"/>
          </w:tcPr>
          <w:p>
            <w:pPr>
              <w:snapToGrid w:val="0"/>
              <w:spacing w:line="300" w:lineRule="exact"/>
              <w:jc w:val="center"/>
              <w:rPr>
                <w:rFonts w:hint="eastAsia" w:ascii="宋体" w:hAnsi="宋体"/>
                <w:sz w:val="18"/>
                <w:szCs w:val="18"/>
              </w:rPr>
            </w:pPr>
            <w:r>
              <w:rPr>
                <w:rFonts w:hint="eastAsia" w:ascii="宋体" w:hAnsi="宋体"/>
                <w:sz w:val="18"/>
                <w:szCs w:val="18"/>
              </w:rPr>
              <w:t>－</w:t>
            </w:r>
          </w:p>
          <w:p>
            <w:pPr>
              <w:snapToGrid w:val="0"/>
              <w:spacing w:line="300" w:lineRule="exact"/>
              <w:jc w:val="center"/>
              <w:rPr>
                <w:rFonts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ascii="宋体" w:hAnsi="宋体"/>
                <w:sz w:val="18"/>
                <w:szCs w:val="18"/>
              </w:rPr>
            </w:pPr>
            <w:r>
              <w:rPr>
                <w:rFonts w:hint="eastAsia" w:ascii="宋体" w:hAnsi="宋体"/>
                <w:sz w:val="18"/>
                <w:szCs w:val="18"/>
              </w:rPr>
              <w:t>千元</w:t>
            </w:r>
          </w:p>
          <w:p>
            <w:pPr>
              <w:snapToGrid w:val="0"/>
              <w:spacing w:line="300" w:lineRule="exact"/>
              <w:jc w:val="center"/>
              <w:rPr>
                <w:rFonts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hint="eastAsia" w:ascii="宋体" w:hAnsi="宋体"/>
                <w:sz w:val="18"/>
                <w:szCs w:val="18"/>
              </w:rPr>
            </w:pPr>
            <w:r>
              <w:rPr>
                <w:rFonts w:hint="eastAsia" w:ascii="宋体" w:hAnsi="宋体"/>
                <w:sz w:val="18"/>
                <w:szCs w:val="18"/>
              </w:rPr>
              <w:t>千元</w:t>
            </w:r>
          </w:p>
          <w:p>
            <w:pPr>
              <w:snapToGrid w:val="0"/>
              <w:spacing w:line="300" w:lineRule="exact"/>
              <w:jc w:val="center"/>
              <w:rPr>
                <w:rFonts w:ascii="宋体" w:hAnsi="宋体"/>
                <w:sz w:val="18"/>
                <w:szCs w:val="18"/>
              </w:rPr>
            </w:pPr>
            <w:r>
              <w:rPr>
                <w:rFonts w:hint="eastAsia" w:ascii="宋体" w:hAnsi="宋体"/>
                <w:sz w:val="18"/>
                <w:szCs w:val="18"/>
              </w:rPr>
              <w:t>人</w:t>
            </w:r>
          </w:p>
        </w:tc>
        <w:tc>
          <w:tcPr>
            <w:tcW w:w="927" w:type="dxa"/>
            <w:noWrap w:val="0"/>
            <w:vAlign w:val="top"/>
          </w:tcPr>
          <w:p>
            <w:pPr>
              <w:snapToGrid w:val="0"/>
              <w:spacing w:line="300" w:lineRule="exact"/>
              <w:jc w:val="center"/>
              <w:rPr>
                <w:rFonts w:hint="eastAsia" w:ascii="宋体" w:hAnsi="宋体"/>
                <w:sz w:val="18"/>
                <w:szCs w:val="18"/>
              </w:rPr>
            </w:pPr>
            <w:r>
              <w:rPr>
                <w:rFonts w:hint="eastAsia" w:ascii="宋体" w:hAnsi="宋体"/>
                <w:sz w:val="18"/>
                <w:szCs w:val="18"/>
              </w:rPr>
              <w:t>－</w:t>
            </w:r>
          </w:p>
          <w:p>
            <w:pPr>
              <w:snapToGrid w:val="0"/>
              <w:spacing w:line="300" w:lineRule="exact"/>
              <w:jc w:val="center"/>
              <w:rPr>
                <w:rFonts w:hint="eastAsia" w:ascii="宋体" w:hAnsi="宋体"/>
                <w:sz w:val="18"/>
                <w:szCs w:val="18"/>
              </w:rPr>
            </w:pPr>
            <w:r>
              <w:rPr>
                <w:rFonts w:hint="eastAsia" w:ascii="宋体" w:hAnsi="宋体"/>
                <w:sz w:val="18"/>
                <w:szCs w:val="18"/>
              </w:rPr>
              <w:t>209</w:t>
            </w:r>
          </w:p>
          <w:p>
            <w:pPr>
              <w:snapToGrid w:val="0"/>
              <w:spacing w:line="300" w:lineRule="exact"/>
              <w:jc w:val="center"/>
              <w:rPr>
                <w:rFonts w:ascii="宋体" w:hAnsi="宋体"/>
                <w:sz w:val="18"/>
                <w:szCs w:val="18"/>
              </w:rPr>
            </w:pPr>
            <w:r>
              <w:rPr>
                <w:rFonts w:hint="eastAsia" w:ascii="宋体" w:hAnsi="宋体"/>
                <w:sz w:val="18"/>
                <w:szCs w:val="18"/>
              </w:rPr>
              <w:t>202</w:t>
            </w:r>
          </w:p>
          <w:p>
            <w:pPr>
              <w:snapToGrid w:val="0"/>
              <w:spacing w:line="300" w:lineRule="exact"/>
              <w:jc w:val="center"/>
              <w:rPr>
                <w:rFonts w:ascii="宋体" w:hAnsi="宋体"/>
                <w:sz w:val="18"/>
                <w:szCs w:val="18"/>
              </w:rPr>
            </w:pPr>
            <w:r>
              <w:rPr>
                <w:rFonts w:hint="eastAsia" w:ascii="宋体" w:hAnsi="宋体"/>
                <w:sz w:val="18"/>
                <w:szCs w:val="18"/>
              </w:rPr>
              <w:t>213</w:t>
            </w:r>
          </w:p>
          <w:p>
            <w:pPr>
              <w:snapToGrid w:val="0"/>
              <w:spacing w:line="300" w:lineRule="exact"/>
              <w:jc w:val="center"/>
              <w:rPr>
                <w:rFonts w:ascii="宋体" w:hAnsi="宋体"/>
                <w:sz w:val="18"/>
                <w:szCs w:val="18"/>
              </w:rPr>
            </w:pPr>
            <w:r>
              <w:rPr>
                <w:rFonts w:hint="eastAsia" w:ascii="宋体" w:hAnsi="宋体"/>
                <w:sz w:val="18"/>
                <w:szCs w:val="18"/>
              </w:rPr>
              <w:t>217</w:t>
            </w:r>
          </w:p>
          <w:p>
            <w:pPr>
              <w:snapToGrid w:val="0"/>
              <w:spacing w:line="300" w:lineRule="exact"/>
              <w:jc w:val="center"/>
              <w:rPr>
                <w:rFonts w:ascii="宋体" w:hAnsi="宋体"/>
                <w:sz w:val="18"/>
                <w:szCs w:val="18"/>
              </w:rPr>
            </w:pPr>
            <w:r>
              <w:rPr>
                <w:rFonts w:ascii="宋体" w:hAnsi="宋体"/>
                <w:sz w:val="18"/>
                <w:szCs w:val="18"/>
              </w:rPr>
              <w:t>218</w:t>
            </w:r>
          </w:p>
          <w:p>
            <w:pPr>
              <w:snapToGrid w:val="0"/>
              <w:spacing w:line="300" w:lineRule="exact"/>
              <w:jc w:val="center"/>
              <w:rPr>
                <w:rFonts w:ascii="宋体" w:hAnsi="宋体"/>
                <w:sz w:val="18"/>
                <w:szCs w:val="18"/>
              </w:rPr>
            </w:pPr>
            <w:r>
              <w:rPr>
                <w:rFonts w:ascii="宋体" w:hAnsi="宋体"/>
                <w:sz w:val="18"/>
                <w:szCs w:val="18"/>
              </w:rPr>
              <w:t>—</w:t>
            </w:r>
          </w:p>
          <w:p>
            <w:pPr>
              <w:snapToGrid w:val="0"/>
              <w:spacing w:line="300" w:lineRule="exact"/>
              <w:jc w:val="center"/>
              <w:rPr>
                <w:rFonts w:ascii="宋体" w:hAnsi="宋体"/>
                <w:sz w:val="18"/>
                <w:szCs w:val="18"/>
              </w:rPr>
            </w:pPr>
            <w:r>
              <w:rPr>
                <w:rFonts w:ascii="宋体" w:hAnsi="宋体"/>
                <w:sz w:val="18"/>
                <w:szCs w:val="18"/>
              </w:rPr>
              <w:t>301</w:t>
            </w:r>
          </w:p>
          <w:p>
            <w:pPr>
              <w:snapToGrid w:val="0"/>
              <w:spacing w:line="300" w:lineRule="exact"/>
              <w:jc w:val="center"/>
              <w:rPr>
                <w:rFonts w:ascii="宋体" w:hAnsi="宋体"/>
                <w:sz w:val="18"/>
                <w:szCs w:val="18"/>
              </w:rPr>
            </w:pPr>
            <w:r>
              <w:rPr>
                <w:rFonts w:hint="eastAsia" w:ascii="宋体" w:hAnsi="宋体"/>
                <w:sz w:val="18"/>
                <w:szCs w:val="18"/>
              </w:rPr>
              <w:t>340</w:t>
            </w:r>
          </w:p>
          <w:p>
            <w:pPr>
              <w:snapToGrid w:val="0"/>
              <w:spacing w:line="300" w:lineRule="exact"/>
              <w:jc w:val="center"/>
              <w:rPr>
                <w:rFonts w:ascii="宋体" w:hAnsi="宋体"/>
                <w:sz w:val="18"/>
                <w:szCs w:val="18"/>
              </w:rPr>
            </w:pPr>
            <w:r>
              <w:rPr>
                <w:rFonts w:ascii="宋体" w:hAnsi="宋体"/>
                <w:sz w:val="18"/>
                <w:szCs w:val="18"/>
              </w:rPr>
              <w:t>307</w:t>
            </w:r>
          </w:p>
          <w:p>
            <w:pPr>
              <w:snapToGrid w:val="0"/>
              <w:spacing w:line="300" w:lineRule="exact"/>
              <w:jc w:val="center"/>
              <w:rPr>
                <w:rFonts w:ascii="宋体" w:hAnsi="宋体"/>
                <w:sz w:val="18"/>
                <w:szCs w:val="18"/>
              </w:rPr>
            </w:pPr>
            <w:r>
              <w:rPr>
                <w:rFonts w:ascii="宋体" w:hAnsi="宋体"/>
                <w:sz w:val="18"/>
                <w:szCs w:val="18"/>
              </w:rPr>
              <w:t>309</w:t>
            </w:r>
          </w:p>
          <w:p>
            <w:pPr>
              <w:snapToGrid w:val="0"/>
              <w:spacing w:line="300" w:lineRule="exact"/>
              <w:jc w:val="center"/>
              <w:rPr>
                <w:rFonts w:ascii="宋体" w:hAnsi="宋体"/>
                <w:sz w:val="18"/>
                <w:szCs w:val="18"/>
              </w:rPr>
            </w:pPr>
            <w:r>
              <w:rPr>
                <w:rFonts w:ascii="宋体" w:hAnsi="宋体"/>
                <w:sz w:val="18"/>
                <w:szCs w:val="18"/>
              </w:rPr>
              <w:t>312</w:t>
            </w:r>
          </w:p>
          <w:p>
            <w:pPr>
              <w:snapToGrid w:val="0"/>
              <w:spacing w:line="300" w:lineRule="exact"/>
              <w:jc w:val="center"/>
              <w:rPr>
                <w:rFonts w:ascii="宋体" w:hAnsi="宋体"/>
                <w:sz w:val="18"/>
                <w:szCs w:val="18"/>
              </w:rPr>
            </w:pPr>
            <w:r>
              <w:rPr>
                <w:rFonts w:ascii="宋体" w:hAnsi="宋体"/>
                <w:sz w:val="18"/>
                <w:szCs w:val="18"/>
              </w:rPr>
              <w:t>313</w:t>
            </w:r>
          </w:p>
          <w:p>
            <w:pPr>
              <w:snapToGrid w:val="0"/>
              <w:spacing w:line="300" w:lineRule="exact"/>
              <w:jc w:val="center"/>
              <w:rPr>
                <w:rFonts w:ascii="宋体" w:hAnsi="宋体"/>
                <w:sz w:val="18"/>
                <w:szCs w:val="18"/>
              </w:rPr>
            </w:pPr>
            <w:r>
              <w:rPr>
                <w:rFonts w:hint="eastAsia" w:ascii="宋体" w:hAnsi="宋体"/>
                <w:sz w:val="18"/>
                <w:szCs w:val="18"/>
              </w:rPr>
              <w:t>331</w:t>
            </w:r>
          </w:p>
          <w:p>
            <w:pPr>
              <w:snapToGrid w:val="0"/>
              <w:spacing w:line="300" w:lineRule="exact"/>
              <w:jc w:val="center"/>
              <w:rPr>
                <w:rFonts w:hint="eastAsia" w:ascii="宋体" w:hAnsi="宋体"/>
                <w:sz w:val="18"/>
                <w:szCs w:val="18"/>
              </w:rPr>
            </w:pPr>
            <w:r>
              <w:rPr>
                <w:rFonts w:ascii="宋体" w:hAnsi="宋体"/>
                <w:sz w:val="18"/>
                <w:szCs w:val="18"/>
              </w:rPr>
              <w:t>317</w:t>
            </w:r>
          </w:p>
          <w:p>
            <w:pPr>
              <w:snapToGrid w:val="0"/>
              <w:spacing w:line="300" w:lineRule="exact"/>
              <w:jc w:val="center"/>
              <w:rPr>
                <w:rFonts w:hint="eastAsia" w:ascii="宋体" w:hAnsi="宋体"/>
                <w:sz w:val="18"/>
                <w:szCs w:val="18"/>
              </w:rPr>
            </w:pPr>
            <w:r>
              <w:rPr>
                <w:rFonts w:hint="eastAsia" w:ascii="宋体" w:hAnsi="宋体"/>
                <w:sz w:val="18"/>
                <w:szCs w:val="18"/>
              </w:rPr>
              <w:t>320</w:t>
            </w:r>
          </w:p>
          <w:p>
            <w:pPr>
              <w:snapToGrid w:val="0"/>
              <w:spacing w:line="300" w:lineRule="exact"/>
              <w:jc w:val="center"/>
              <w:rPr>
                <w:rFonts w:ascii="宋体" w:hAnsi="宋体"/>
                <w:sz w:val="18"/>
                <w:szCs w:val="18"/>
              </w:rPr>
            </w:pPr>
            <w:r>
              <w:rPr>
                <w:rFonts w:hint="eastAsia" w:ascii="宋体" w:hAnsi="宋体"/>
                <w:sz w:val="18"/>
                <w:szCs w:val="18"/>
              </w:rPr>
              <w:t>333</w:t>
            </w:r>
          </w:p>
          <w:p>
            <w:pPr>
              <w:snapToGrid w:val="0"/>
              <w:spacing w:line="300" w:lineRule="exact"/>
              <w:jc w:val="center"/>
              <w:rPr>
                <w:rFonts w:ascii="宋体" w:hAnsi="宋体"/>
                <w:sz w:val="18"/>
                <w:szCs w:val="18"/>
              </w:rPr>
            </w:pPr>
            <w:r>
              <w:rPr>
                <w:rFonts w:hint="eastAsia" w:ascii="宋体" w:hAnsi="宋体"/>
                <w:sz w:val="18"/>
                <w:szCs w:val="18"/>
              </w:rPr>
              <w:t>321</w:t>
            </w:r>
          </w:p>
          <w:p>
            <w:pPr>
              <w:snapToGrid w:val="0"/>
              <w:spacing w:line="300" w:lineRule="exact"/>
              <w:jc w:val="center"/>
              <w:rPr>
                <w:rFonts w:hint="eastAsia" w:ascii="宋体" w:hAnsi="宋体"/>
                <w:sz w:val="18"/>
                <w:szCs w:val="18"/>
              </w:rPr>
            </w:pPr>
            <w:r>
              <w:rPr>
                <w:rFonts w:ascii="宋体" w:hAnsi="宋体"/>
                <w:sz w:val="18"/>
                <w:szCs w:val="18"/>
              </w:rPr>
              <w:t>335</w:t>
            </w:r>
          </w:p>
          <w:p>
            <w:pPr>
              <w:snapToGrid w:val="0"/>
              <w:spacing w:line="300" w:lineRule="exact"/>
              <w:jc w:val="center"/>
              <w:rPr>
                <w:rFonts w:hint="eastAsia" w:ascii="宋体" w:hAnsi="宋体"/>
                <w:sz w:val="18"/>
                <w:szCs w:val="18"/>
              </w:rPr>
            </w:pPr>
            <w:r>
              <w:rPr>
                <w:rFonts w:ascii="宋体" w:hAnsi="宋体"/>
                <w:sz w:val="18"/>
                <w:szCs w:val="18"/>
              </w:rPr>
              <w:t>322</w:t>
            </w:r>
          </w:p>
          <w:p>
            <w:pPr>
              <w:snapToGrid w:val="0"/>
              <w:spacing w:line="300" w:lineRule="exact"/>
              <w:jc w:val="center"/>
              <w:rPr>
                <w:rFonts w:ascii="宋体" w:hAnsi="宋体"/>
                <w:sz w:val="18"/>
                <w:szCs w:val="18"/>
              </w:rPr>
            </w:pPr>
            <w:r>
              <w:rPr>
                <w:rFonts w:hint="eastAsia" w:ascii="宋体" w:hAnsi="宋体"/>
                <w:sz w:val="18"/>
                <w:szCs w:val="18"/>
              </w:rPr>
              <w:t>334</w:t>
            </w:r>
          </w:p>
          <w:p>
            <w:pPr>
              <w:snapToGrid w:val="0"/>
              <w:spacing w:line="300" w:lineRule="exact"/>
              <w:jc w:val="center"/>
              <w:rPr>
                <w:rFonts w:hint="eastAsia" w:ascii="宋体" w:hAnsi="宋体"/>
                <w:sz w:val="18"/>
                <w:szCs w:val="18"/>
              </w:rPr>
            </w:pPr>
            <w:r>
              <w:rPr>
                <w:rFonts w:hint="eastAsia" w:ascii="宋体" w:hAnsi="宋体"/>
                <w:sz w:val="18"/>
                <w:szCs w:val="18"/>
              </w:rPr>
              <w:t>330</w:t>
            </w:r>
          </w:p>
          <w:p>
            <w:pPr>
              <w:snapToGrid w:val="0"/>
              <w:spacing w:line="300" w:lineRule="exact"/>
              <w:jc w:val="center"/>
              <w:rPr>
                <w:rFonts w:hint="eastAsia" w:ascii="宋体" w:hAnsi="宋体"/>
                <w:sz w:val="18"/>
                <w:szCs w:val="18"/>
              </w:rPr>
            </w:pPr>
            <w:r>
              <w:rPr>
                <w:rFonts w:ascii="宋体" w:hAnsi="宋体"/>
                <w:sz w:val="18"/>
                <w:szCs w:val="18"/>
              </w:rPr>
              <w:t>323</w:t>
            </w:r>
          </w:p>
          <w:p>
            <w:pPr>
              <w:snapToGrid w:val="0"/>
              <w:spacing w:line="300" w:lineRule="exact"/>
              <w:jc w:val="center"/>
              <w:rPr>
                <w:rFonts w:hint="eastAsia" w:ascii="宋体" w:hAnsi="宋体"/>
                <w:sz w:val="18"/>
                <w:szCs w:val="18"/>
              </w:rPr>
            </w:pPr>
            <w:r>
              <w:rPr>
                <w:rFonts w:hint="eastAsia" w:ascii="宋体" w:hAnsi="宋体"/>
                <w:sz w:val="18"/>
                <w:szCs w:val="18"/>
              </w:rPr>
              <w:t>325</w:t>
            </w:r>
          </w:p>
          <w:p>
            <w:pPr>
              <w:snapToGrid w:val="0"/>
              <w:spacing w:line="300" w:lineRule="exact"/>
              <w:jc w:val="center"/>
              <w:rPr>
                <w:rFonts w:hint="eastAsia" w:ascii="宋体" w:hAnsi="宋体"/>
                <w:sz w:val="18"/>
                <w:szCs w:val="18"/>
              </w:rPr>
            </w:pPr>
            <w:r>
              <w:rPr>
                <w:rFonts w:hint="eastAsia" w:ascii="宋体" w:hAnsi="宋体"/>
                <w:sz w:val="18"/>
                <w:szCs w:val="18"/>
              </w:rPr>
              <w:t>326</w:t>
            </w:r>
          </w:p>
          <w:p>
            <w:pPr>
              <w:snapToGrid w:val="0"/>
              <w:spacing w:line="300" w:lineRule="exact"/>
              <w:jc w:val="center"/>
              <w:rPr>
                <w:rFonts w:hint="eastAsia" w:ascii="宋体" w:hAnsi="宋体"/>
                <w:sz w:val="18"/>
                <w:szCs w:val="18"/>
              </w:rPr>
            </w:pPr>
            <w:r>
              <w:rPr>
                <w:rFonts w:ascii="宋体" w:hAnsi="宋体"/>
                <w:sz w:val="18"/>
                <w:szCs w:val="18"/>
              </w:rPr>
              <w:t>327</w:t>
            </w:r>
          </w:p>
          <w:p>
            <w:pPr>
              <w:snapToGrid w:val="0"/>
              <w:spacing w:line="300" w:lineRule="exact"/>
              <w:jc w:val="center"/>
              <w:rPr>
                <w:rFonts w:hint="eastAsia" w:ascii="宋体" w:hAnsi="宋体"/>
                <w:sz w:val="18"/>
                <w:szCs w:val="18"/>
              </w:rPr>
            </w:pPr>
            <w:r>
              <w:rPr>
                <w:rFonts w:hint="eastAsia" w:ascii="宋体" w:hAnsi="宋体"/>
                <w:sz w:val="18"/>
                <w:szCs w:val="18"/>
              </w:rPr>
              <w:t>328</w:t>
            </w:r>
          </w:p>
          <w:p>
            <w:pPr>
              <w:snapToGrid w:val="0"/>
              <w:spacing w:line="300" w:lineRule="exact"/>
              <w:jc w:val="center"/>
              <w:rPr>
                <w:rFonts w:ascii="宋体" w:hAnsi="宋体"/>
                <w:sz w:val="18"/>
                <w:szCs w:val="18"/>
              </w:rPr>
            </w:pPr>
            <w:r>
              <w:rPr>
                <w:rFonts w:ascii="宋体" w:hAnsi="宋体"/>
                <w:sz w:val="18"/>
                <w:szCs w:val="18"/>
              </w:rPr>
              <w:t>—</w:t>
            </w:r>
          </w:p>
          <w:p>
            <w:pPr>
              <w:snapToGrid w:val="0"/>
              <w:spacing w:line="300" w:lineRule="exact"/>
              <w:jc w:val="center"/>
              <w:rPr>
                <w:rFonts w:hint="eastAsia" w:ascii="宋体" w:hAnsi="宋体"/>
                <w:sz w:val="18"/>
                <w:szCs w:val="18"/>
              </w:rPr>
            </w:pPr>
            <w:r>
              <w:rPr>
                <w:rFonts w:ascii="宋体" w:hAnsi="宋体"/>
                <w:sz w:val="18"/>
                <w:szCs w:val="18"/>
              </w:rPr>
              <w:t>401</w:t>
            </w:r>
          </w:p>
          <w:p>
            <w:pPr>
              <w:snapToGrid w:val="0"/>
              <w:spacing w:line="300" w:lineRule="exact"/>
              <w:jc w:val="center"/>
              <w:rPr>
                <w:rFonts w:hint="eastAsia" w:ascii="宋体" w:hAnsi="宋体"/>
                <w:sz w:val="18"/>
                <w:szCs w:val="18"/>
              </w:rPr>
            </w:pPr>
            <w:r>
              <w:rPr>
                <w:rFonts w:ascii="宋体" w:hAnsi="宋体"/>
                <w:sz w:val="18"/>
                <w:szCs w:val="18"/>
              </w:rPr>
              <w:t>402</w:t>
            </w:r>
          </w:p>
          <w:p>
            <w:pPr>
              <w:snapToGrid w:val="0"/>
              <w:spacing w:line="300" w:lineRule="exact"/>
              <w:jc w:val="center"/>
              <w:rPr>
                <w:rFonts w:hint="eastAsia" w:ascii="宋体" w:hAnsi="宋体"/>
                <w:sz w:val="18"/>
                <w:szCs w:val="18"/>
              </w:rPr>
            </w:pPr>
            <w:r>
              <w:rPr>
                <w:rFonts w:hint="eastAsia" w:ascii="宋体" w:hAnsi="宋体"/>
                <w:sz w:val="18"/>
                <w:szCs w:val="18"/>
              </w:rPr>
              <w:t>609</w:t>
            </w:r>
          </w:p>
        </w:tc>
        <w:tc>
          <w:tcPr>
            <w:tcW w:w="1299" w:type="dxa"/>
            <w:tcBorders>
              <w:top w:val="single" w:color="auto" w:sz="2" w:space="0"/>
              <w:bottom w:val="single" w:color="auto" w:sz="8" w:space="0"/>
              <w:right w:val="nil"/>
            </w:tcBorders>
            <w:noWrap w:val="0"/>
            <w:vAlign w:val="top"/>
          </w:tcPr>
          <w:p>
            <w:pPr>
              <w:snapToGrid w:val="0"/>
              <w:spacing w:line="300" w:lineRule="exact"/>
              <w:rPr>
                <w:rFonts w:hint="eastAsia" w:ascii="宋体" w:hAnsi="宋体"/>
                <w:sz w:val="18"/>
                <w:szCs w:val="18"/>
              </w:rPr>
            </w:pPr>
          </w:p>
        </w:tc>
        <w:tc>
          <w:tcPr>
            <w:tcW w:w="1793" w:type="dxa"/>
            <w:tcBorders>
              <w:top w:val="single" w:color="auto" w:sz="2" w:space="0"/>
              <w:left w:val="nil"/>
              <w:bottom w:val="single" w:color="auto" w:sz="8" w:space="0"/>
            </w:tcBorders>
            <w:noWrap w:val="0"/>
            <w:vAlign w:val="top"/>
          </w:tcPr>
          <w:p>
            <w:pPr>
              <w:snapToGrid w:val="0"/>
              <w:spacing w:line="300" w:lineRule="exact"/>
              <w:rPr>
                <w:rFonts w:hint="eastAsia" w:ascii="宋体" w:hAnsi="宋体"/>
                <w:sz w:val="18"/>
                <w:szCs w:val="18"/>
              </w:rPr>
            </w:pPr>
          </w:p>
        </w:tc>
      </w:tr>
    </w:tbl>
    <w:p>
      <w:pPr>
        <w:spacing w:line="240" w:lineRule="exact"/>
        <w:rPr>
          <w:rFonts w:ascii="宋体" w:hAnsi="宋体"/>
          <w:sz w:val="18"/>
          <w:szCs w:val="18"/>
        </w:rPr>
      </w:pPr>
      <w:r>
        <w:rPr>
          <w:rFonts w:hint="eastAsia" w:ascii="宋体" w:hAnsi="宋体"/>
          <w:sz w:val="18"/>
          <w:szCs w:val="18"/>
        </w:rPr>
        <w:t xml:space="preserve">单位负责人：     </w:t>
      </w:r>
      <w:r>
        <w:rPr>
          <w:rFonts w:ascii="宋体" w:hAnsi="宋体"/>
          <w:sz w:val="18"/>
          <w:szCs w:val="18"/>
        </w:rPr>
        <w:t xml:space="preserve">  </w:t>
      </w:r>
      <w:r>
        <w:rPr>
          <w:rFonts w:hint="eastAsia" w:ascii="宋体" w:hAnsi="宋体"/>
          <w:sz w:val="18"/>
          <w:szCs w:val="18"/>
        </w:rPr>
        <w:t xml:space="preserve"> 统计负责人：       填表人：        联系电话：             报出日期：２０  年   月   日</w:t>
      </w:r>
    </w:p>
    <w:p>
      <w:pPr>
        <w:spacing w:line="320" w:lineRule="exact"/>
        <w:ind w:left="1618" w:leftChars="1" w:hanging="1616" w:hangingChars="898"/>
        <w:rPr>
          <w:rFonts w:hint="eastAsia" w:ascii="宋体" w:hAnsi="宋体" w:cs="宋体"/>
          <w:sz w:val="18"/>
          <w:szCs w:val="18"/>
        </w:rPr>
      </w:pPr>
    </w:p>
    <w:p>
      <w:pPr>
        <w:keepNext w:val="0"/>
        <w:keepLines w:val="0"/>
        <w:pageBreakBefore w:val="0"/>
        <w:widowControl w:val="0"/>
        <w:kinsoku/>
        <w:wordWrap/>
        <w:overflowPunct/>
        <w:topLinePunct w:val="0"/>
        <w:autoSpaceDE/>
        <w:autoSpaceDN/>
        <w:bidi w:val="0"/>
        <w:spacing w:line="240" w:lineRule="exact"/>
        <w:ind w:left="1624" w:hanging="1623" w:hangingChars="902"/>
        <w:rPr>
          <w:rFonts w:hint="eastAsia" w:ascii="宋体" w:hAnsi="宋体"/>
          <w:kern w:val="0"/>
          <w:sz w:val="18"/>
          <w:szCs w:val="18"/>
        </w:rPr>
      </w:pPr>
      <w:r>
        <w:rPr>
          <w:rFonts w:hint="eastAsia" w:ascii="宋体" w:hAnsi="宋体" w:cs="宋体"/>
          <w:kern w:val="0"/>
          <w:sz w:val="18"/>
          <w:szCs w:val="18"/>
        </w:rPr>
        <w:t>说明：</w:t>
      </w:r>
      <w:r>
        <w:rPr>
          <w:rFonts w:hint="eastAsia" w:ascii="宋体" w:hAnsi="宋体"/>
          <w:kern w:val="0"/>
          <w:sz w:val="18"/>
          <w:szCs w:val="18"/>
        </w:rPr>
        <w:t>1.统计范围：辖区内规模以上服务业法人单位。</w:t>
      </w:r>
    </w:p>
    <w:p>
      <w:pPr>
        <w:keepNext w:val="0"/>
        <w:keepLines w:val="0"/>
        <w:pageBreakBefore w:val="0"/>
        <w:widowControl w:val="0"/>
        <w:kinsoku/>
        <w:wordWrap/>
        <w:overflowPunct/>
        <w:topLinePunct w:val="0"/>
        <w:autoSpaceDE/>
        <w:autoSpaceDN/>
        <w:bidi w:val="0"/>
        <w:spacing w:line="240" w:lineRule="exact"/>
        <w:ind w:left="2158" w:leftChars="259" w:hanging="1614" w:hangingChars="897"/>
        <w:rPr>
          <w:rFonts w:ascii="宋体" w:hAnsi="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报送日期及方式：一套表平台每月1日0时开网，调查单位</w:t>
      </w:r>
      <w:r>
        <w:rPr>
          <w:rFonts w:hint="eastAsia" w:ascii="宋体" w:hAnsi="宋体"/>
          <w:kern w:val="0"/>
          <w:sz w:val="18"/>
          <w:szCs w:val="18"/>
        </w:rPr>
        <w:t>月后18日18</w:t>
      </w:r>
      <w:r>
        <w:rPr>
          <w:rFonts w:hint="eastAsia" w:ascii="宋体" w:hAnsi="宋体"/>
          <w:kern w:val="0"/>
          <w:sz w:val="18"/>
          <w:szCs w:val="18"/>
          <w:lang w:val="en"/>
        </w:rPr>
        <w:t>:</w:t>
      </w:r>
      <w:r>
        <w:rPr>
          <w:rFonts w:hint="eastAsia" w:ascii="宋体" w:hAnsi="宋体"/>
          <w:kern w:val="0"/>
          <w:sz w:val="18"/>
          <w:szCs w:val="18"/>
        </w:rPr>
        <w:t>00前</w:t>
      </w:r>
      <w:r>
        <w:rPr>
          <w:rFonts w:hint="eastAsia" w:ascii="宋体"/>
          <w:kern w:val="0"/>
          <w:sz w:val="18"/>
          <w:szCs w:val="18"/>
        </w:rPr>
        <w:t>独立自行</w:t>
      </w:r>
      <w:r>
        <w:rPr>
          <w:rFonts w:hint="eastAsia" w:ascii="宋体" w:hAnsi="宋体" w:cs="宋体"/>
          <w:kern w:val="0"/>
          <w:sz w:val="18"/>
          <w:szCs w:val="18"/>
        </w:rPr>
        <w:t>网上填报</w:t>
      </w:r>
      <w:r>
        <w:rPr>
          <w:rFonts w:hint="eastAsia" w:ascii="宋体" w:hAnsi="宋体"/>
          <w:kern w:val="0"/>
          <w:sz w:val="18"/>
          <w:szCs w:val="18"/>
        </w:rPr>
        <w:t>；</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kern w:val="0"/>
          <w:sz w:val="18"/>
          <w:szCs w:val="18"/>
        </w:rPr>
        <w:t>（1月免报）。</w:t>
      </w:r>
    </w:p>
    <w:p>
      <w:pPr>
        <w:keepNext w:val="0"/>
        <w:keepLines w:val="0"/>
        <w:pageBreakBefore w:val="0"/>
        <w:widowControl w:val="0"/>
        <w:kinsoku/>
        <w:wordWrap/>
        <w:overflowPunct/>
        <w:topLinePunct w:val="0"/>
        <w:autoSpaceDE/>
        <w:autoSpaceDN/>
        <w:bidi w:val="0"/>
        <w:spacing w:line="240" w:lineRule="exact"/>
        <w:ind w:left="718" w:leftChars="259" w:hanging="174" w:hangingChars="97"/>
        <w:rPr>
          <w:rFonts w:hint="eastAsia"/>
        </w:rPr>
      </w:pPr>
      <w:r>
        <w:rPr>
          <w:rFonts w:hint="eastAsia" w:ascii="宋体" w:hAnsi="宋体"/>
          <w:kern w:val="0"/>
          <w:sz w:val="18"/>
          <w:szCs w:val="18"/>
        </w:rPr>
        <w:t>3.本表</w:t>
      </w:r>
      <w:r>
        <w:rPr>
          <w:rFonts w:hint="eastAsia" w:ascii="宋体" w:hAnsi="宋体" w:cs="宋体"/>
          <w:bCs/>
          <w:kern w:val="0"/>
          <w:sz w:val="18"/>
          <w:szCs w:val="18"/>
        </w:rPr>
        <w:t>“</w:t>
      </w:r>
      <w:r>
        <w:rPr>
          <w:rFonts w:hint="eastAsia" w:ascii="宋体" w:hAnsi="宋体"/>
          <w:kern w:val="0"/>
          <w:sz w:val="18"/>
          <w:szCs w:val="18"/>
        </w:rPr>
        <w:t>上年同期”数据统一由国家统计局在数据处理软件中复制，调查单位和各级统计机构原则上不得修改；本年新增的调查单位自行填报“上年同期”数据；涉及拆分、兼并、重组等情况的企业，经国家统计局批准后，调查单位可调整上年同期数；本年新增指标的上年同期数由调查单位自行填报。</w:t>
      </w:r>
    </w:p>
    <w:p>
      <w:pPr>
        <w:keepNext w:val="0"/>
        <w:keepLines w:val="0"/>
        <w:pageBreakBefore w:val="0"/>
        <w:widowControl w:val="0"/>
        <w:kinsoku/>
        <w:wordWrap/>
        <w:overflowPunct/>
        <w:topLinePunct w:val="0"/>
        <w:autoSpaceDE/>
        <w:autoSpaceDN/>
        <w:bidi w:val="0"/>
        <w:spacing w:line="240" w:lineRule="exact"/>
        <w:ind w:left="718" w:leftChars="259" w:hanging="174" w:hangingChars="97"/>
        <w:rPr>
          <w:rFonts w:hint="default" w:ascii="Times New Roman" w:hAnsi="Times New Roman" w:cs="Times New Roman"/>
          <w:kern w:val="0"/>
          <w:sz w:val="18"/>
          <w:szCs w:val="18"/>
        </w:rPr>
      </w:pPr>
      <w:r>
        <w:rPr>
          <w:rFonts w:hint="eastAsia" w:ascii="宋体" w:hAnsi="宋体"/>
          <w:kern w:val="0"/>
          <w:sz w:val="18"/>
          <w:szCs w:val="18"/>
        </w:rPr>
        <w:t>4</w:t>
      </w:r>
      <w:r>
        <w:rPr>
          <w:rFonts w:ascii="宋体" w:hAnsi="宋体"/>
          <w:kern w:val="0"/>
          <w:sz w:val="18"/>
          <w:szCs w:val="18"/>
        </w:rPr>
        <w:t>.</w:t>
      </w:r>
      <w:r>
        <w:rPr>
          <w:rFonts w:hint="eastAsia" w:ascii="宋体" w:hAnsi="宋体"/>
          <w:kern w:val="0"/>
          <w:sz w:val="18"/>
          <w:szCs w:val="18"/>
        </w:rPr>
        <w:t>审</w:t>
      </w:r>
      <w:r>
        <w:rPr>
          <w:rFonts w:hint="default" w:ascii="Times New Roman" w:hAnsi="Times New Roman" w:cs="Times New Roman"/>
          <w:kern w:val="0"/>
          <w:sz w:val="18"/>
          <w:szCs w:val="18"/>
        </w:rPr>
        <w:t>核关系：</w:t>
      </w:r>
    </w:p>
    <w:p>
      <w:pPr>
        <w:keepNext w:val="0"/>
        <w:keepLines w:val="0"/>
        <w:pageBreakBefore w:val="0"/>
        <w:widowControl w:val="0"/>
        <w:kinsoku/>
        <w:wordWrap/>
        <w:overflowPunct/>
        <w:topLinePunct w:val="0"/>
        <w:autoSpaceDE/>
        <w:autoSpaceDN/>
        <w:bidi w:val="0"/>
        <w:adjustRightInd/>
        <w:snapToGrid w:val="0"/>
        <w:spacing w:line="240" w:lineRule="exact"/>
        <w:ind w:left="1017" w:leftChars="350" w:hanging="282" w:hangingChars="157"/>
        <w:textAlignment w:val="auto"/>
        <w:rPr>
          <w:rFonts w:hint="default" w:ascii="Times New Roman" w:hAnsi="Times New Roman" w:cs="Times New Roman"/>
          <w:sz w:val="18"/>
          <w:szCs w:val="18"/>
        </w:rPr>
      </w:pPr>
      <w:r>
        <w:rPr>
          <w:rFonts w:hint="default" w:ascii="Times New Roman" w:hAnsi="Times New Roman" w:cs="Times New Roman"/>
          <w:sz w:val="18"/>
          <w:szCs w:val="18"/>
        </w:rPr>
        <w:t>(1)所有者权益合计（218）=资产总计（213）-负债合计（217）。</w:t>
      </w:r>
    </w:p>
    <w:p>
      <w:pPr>
        <w:keepNext w:val="0"/>
        <w:keepLines w:val="0"/>
        <w:pageBreakBefore w:val="0"/>
        <w:widowControl w:val="0"/>
        <w:kinsoku/>
        <w:wordWrap/>
        <w:overflowPunct/>
        <w:topLinePunct w:val="0"/>
        <w:autoSpaceDE/>
        <w:autoSpaceDN/>
        <w:bidi w:val="0"/>
        <w:adjustRightInd/>
        <w:snapToGrid w:val="0"/>
        <w:spacing w:line="240" w:lineRule="exact"/>
        <w:ind w:left="1017" w:leftChars="350" w:hanging="282" w:hangingChars="157"/>
        <w:textAlignment w:val="auto"/>
        <w:rPr>
          <w:rFonts w:hint="default" w:ascii="Times New Roman" w:hAnsi="Times New Roman" w:cs="Times New Roman"/>
          <w:sz w:val="18"/>
          <w:szCs w:val="18"/>
        </w:rPr>
      </w:pPr>
      <w:r>
        <w:rPr>
          <w:rFonts w:hint="default" w:ascii="Times New Roman" w:hAnsi="Times New Roman" w:cs="Times New Roman"/>
          <w:sz w:val="18"/>
          <w:szCs w:val="18"/>
        </w:rPr>
        <w:t>(2)当利润总额(327)＞0时，利润总额(327)＞所得税费用(328)。</w:t>
      </w:r>
    </w:p>
    <w:p>
      <w:pPr>
        <w:keepNext w:val="0"/>
        <w:keepLines w:val="0"/>
        <w:pageBreakBefore w:val="0"/>
        <w:widowControl w:val="0"/>
        <w:kinsoku/>
        <w:wordWrap/>
        <w:overflowPunct/>
        <w:topLinePunct w:val="0"/>
        <w:autoSpaceDE/>
        <w:autoSpaceDN/>
        <w:bidi w:val="0"/>
        <w:adjustRightInd/>
        <w:snapToGrid w:val="0"/>
        <w:spacing w:line="240" w:lineRule="exact"/>
        <w:ind w:left="927" w:leftChars="350" w:hanging="192" w:hangingChars="107"/>
        <w:textAlignment w:val="auto"/>
        <w:rPr>
          <w:rFonts w:hint="default" w:ascii="Times New Roman" w:hAnsi="Times New Roman" w:eastAsia="宋体" w:cs="Times New Roman"/>
          <w:sz w:val="18"/>
          <w:szCs w:val="18"/>
        </w:rPr>
      </w:pPr>
      <w:r>
        <w:rPr>
          <w:rFonts w:hint="default" w:ascii="Times New Roman" w:hAnsi="Times New Roman" w:cs="Times New Roman"/>
          <w:color w:val="auto"/>
          <w:sz w:val="18"/>
          <w:szCs w:val="18"/>
        </w:rPr>
        <w:t>(3)</w:t>
      </w:r>
      <w:r>
        <w:rPr>
          <w:rFonts w:hint="default" w:ascii="Times New Roman" w:hAnsi="Times New Roman" w:eastAsia="宋体" w:cs="Times New Roman"/>
          <w:sz w:val="18"/>
          <w:szCs w:val="18"/>
        </w:rPr>
        <w:t>执行《企业会计准则》的企业：营业利润(323)＝营业收入(301)－营业成本(307)－税金及附加(309)－销售费用(312)－管理费用(313)－财务费用(317)－研发费用(331)＋资产减值损失(320)＋信用减值损失(333)＋公允价值变动收益(321)＋投资收益(322)＋净敞口套期收益(334)＋资产处置收益(335)＋其他收益(330)；</w:t>
      </w:r>
    </w:p>
    <w:p>
      <w:pPr>
        <w:keepNext w:val="0"/>
        <w:keepLines w:val="0"/>
        <w:pageBreakBefore w:val="0"/>
        <w:widowControl w:val="0"/>
        <w:kinsoku/>
        <w:wordWrap/>
        <w:overflowPunct/>
        <w:topLinePunct w:val="0"/>
        <w:autoSpaceDE/>
        <w:autoSpaceDN/>
        <w:bidi w:val="0"/>
        <w:adjustRightInd/>
        <w:snapToGrid w:val="0"/>
        <w:spacing w:line="240" w:lineRule="exact"/>
        <w:ind w:left="945" w:leftChars="450" w:firstLine="0" w:firstLineChars="0"/>
        <w:textAlignment w:val="auto"/>
        <w:rPr>
          <w:rFonts w:hint="default" w:ascii="Times New Roman" w:hAnsi="Times New Roman" w:cs="Times New Roman"/>
          <w:kern w:val="0"/>
          <w:sz w:val="18"/>
          <w:szCs w:val="18"/>
        </w:rPr>
      </w:pPr>
      <w:r>
        <w:rPr>
          <w:rFonts w:hint="default" w:ascii="Times New Roman" w:hAnsi="Times New Roman" w:eastAsia="宋体" w:cs="Times New Roman"/>
          <w:sz w:val="18"/>
          <w:szCs w:val="18"/>
        </w:rPr>
        <w:t>执行《小企业会计准则》</w:t>
      </w:r>
      <w:r>
        <w:rPr>
          <w:rFonts w:hint="default" w:ascii="Times New Roman" w:hAnsi="Times New Roman" w:cs="Times New Roman"/>
          <w:sz w:val="18"/>
          <w:szCs w:val="18"/>
          <w:lang w:eastAsia="zh-CN"/>
        </w:rPr>
        <w:t>或</w:t>
      </w:r>
      <w:r>
        <w:rPr>
          <w:rFonts w:hint="default" w:ascii="Times New Roman" w:hAnsi="Times New Roman" w:eastAsia="宋体" w:cs="Times New Roman"/>
          <w:sz w:val="18"/>
          <w:szCs w:val="18"/>
        </w:rPr>
        <w:t>《企业会计制度》的企业：营业利润(323)</w:t>
      </w:r>
      <w:r>
        <w:rPr>
          <w:rFonts w:hint="default" w:ascii="Times New Roman" w:hAnsi="Times New Roman" w:eastAsia="宋体" w:cs="Times New Roman"/>
          <w:sz w:val="18"/>
          <w:szCs w:val="18"/>
          <w:lang w:val="en"/>
        </w:rPr>
        <w:t>＝</w:t>
      </w:r>
      <w:r>
        <w:rPr>
          <w:rFonts w:hint="default" w:ascii="Times New Roman" w:hAnsi="Times New Roman" w:eastAsia="宋体" w:cs="Times New Roman"/>
          <w:sz w:val="18"/>
          <w:szCs w:val="18"/>
        </w:rPr>
        <w:t>营业收入(301)－营业成本(307)－税金及附加(309</w:t>
      </w:r>
      <w:r>
        <w:rPr>
          <w:rFonts w:hint="default" w:ascii="Times New Roman" w:hAnsi="Times New Roman" w:eastAsia="宋体" w:cs="Times New Roman"/>
          <w:sz w:val="18"/>
          <w:szCs w:val="18"/>
          <w:lang w:val="en"/>
        </w:rPr>
        <w:t>)</w:t>
      </w:r>
      <w:r>
        <w:rPr>
          <w:rFonts w:hint="default" w:ascii="Times New Roman" w:hAnsi="Times New Roman" w:eastAsia="宋体" w:cs="Times New Roman"/>
          <w:sz w:val="18"/>
          <w:szCs w:val="18"/>
        </w:rPr>
        <w:t>－销售费用(312)－管理费用(313)－财务费用(317)－</w:t>
      </w:r>
      <w:r>
        <w:rPr>
          <w:rFonts w:hint="default" w:ascii="Times New Roman" w:hAnsi="Times New Roman" w:cs="Times New Roman"/>
          <w:kern w:val="0"/>
          <w:sz w:val="18"/>
          <w:szCs w:val="18"/>
        </w:rPr>
        <w:t>研发费用（331）</w:t>
      </w:r>
      <w:r>
        <w:rPr>
          <w:rFonts w:hint="default" w:ascii="Times New Roman" w:hAnsi="Times New Roman" w:eastAsia="宋体" w:cs="Times New Roman"/>
          <w:sz w:val="18"/>
          <w:szCs w:val="18"/>
        </w:rPr>
        <w:t>＋投资收益(322)</w:t>
      </w:r>
    </w:p>
    <w:p>
      <w:pPr>
        <w:keepNext w:val="0"/>
        <w:keepLines w:val="0"/>
        <w:pageBreakBefore w:val="0"/>
        <w:widowControl w:val="0"/>
        <w:kinsoku/>
        <w:wordWrap/>
        <w:overflowPunct/>
        <w:topLinePunct w:val="0"/>
        <w:autoSpaceDE/>
        <w:autoSpaceDN/>
        <w:bidi w:val="0"/>
        <w:adjustRightInd/>
        <w:snapToGrid w:val="0"/>
        <w:spacing w:line="240" w:lineRule="exact"/>
        <w:ind w:left="735" w:leftChars="350" w:firstLine="12" w:firstLineChars="7"/>
        <w:jc w:val="left"/>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(4)</w:t>
      </w:r>
      <w:r>
        <w:rPr>
          <w:rFonts w:hint="default" w:ascii="Times New Roman" w:hAnsi="Times New Roman" w:cs="Times New Roman"/>
          <w:kern w:val="0"/>
          <w:sz w:val="18"/>
          <w:szCs w:val="18"/>
        </w:rPr>
        <w:t>利润总额(327)=营业利润(323)+营业外收入(325)-营业外支出(326)。</w:t>
      </w:r>
      <w:bookmarkStart w:id="283" w:name="_Toc59093498"/>
    </w:p>
    <w:p>
      <w:pPr>
        <w:autoSpaceDE w:val="0"/>
        <w:autoSpaceDN w:val="0"/>
        <w:adjustRightInd w:val="0"/>
        <w:ind w:left="1320" w:leftChars="622" w:hanging="14" w:hangingChars="8"/>
        <w:jc w:val="left"/>
        <w:rPr>
          <w:rFonts w:hint="default" w:ascii="Times New Roman" w:hAnsi="Times New Roman" w:cs="Times New Roman"/>
          <w:kern w:val="0"/>
          <w:sz w:val="18"/>
          <w:szCs w:val="18"/>
        </w:rPr>
      </w:pPr>
    </w:p>
    <w:bookmarkEnd w:id="283"/>
    <w:p>
      <w:pPr>
        <w:snapToGrid w:val="0"/>
        <w:spacing w:before="480" w:beforeLines="200" w:after="240" w:afterLines="100"/>
        <w:jc w:val="center"/>
        <w:outlineLvl w:val="2"/>
        <w:rPr>
          <w:rFonts w:hint="default" w:ascii="Times New Roman" w:hAnsi="Times New Roman" w:cs="Times New Roman"/>
          <w:kern w:val="0"/>
          <w:sz w:val="18"/>
          <w:szCs w:val="18"/>
        </w:rPr>
      </w:pPr>
    </w:p>
    <w:p>
      <w:pPr>
        <w:snapToGrid w:val="0"/>
        <w:spacing w:line="220" w:lineRule="exact"/>
        <w:ind w:left="1275" w:leftChars="473" w:hanging="282" w:hangingChars="157"/>
        <w:rPr>
          <w:rFonts w:hint="default" w:ascii="Times New Roman" w:hAnsi="Times New Roman" w:cs="Times New Roman"/>
          <w:sz w:val="18"/>
          <w:szCs w:val="18"/>
        </w:rPr>
      </w:pPr>
    </w:p>
    <w:p>
      <w:pPr>
        <w:keepNext w:val="0"/>
        <w:keepLines w:val="0"/>
        <w:pageBreakBefore w:val="0"/>
        <w:widowControl w:val="0"/>
        <w:kinsoku/>
        <w:wordWrap/>
        <w:overflowPunct/>
        <w:topLinePunct w:val="0"/>
        <w:autoSpaceDE/>
        <w:autoSpaceDN/>
        <w:bidi w:val="0"/>
        <w:adjustRightInd/>
        <w:snapToGrid w:val="0"/>
        <w:jc w:val="center"/>
        <w:textAlignment w:val="auto"/>
        <w:outlineLvl w:val="2"/>
        <w:rPr>
          <w:rFonts w:hint="default" w:ascii="Times New Roman" w:hAnsi="Times New Roman" w:cs="Times New Roman"/>
          <w:sz w:val="32"/>
        </w:rPr>
      </w:pPr>
      <w:r>
        <w:rPr>
          <w:rFonts w:hint="default" w:ascii="Times New Roman" w:hAnsi="Times New Roman" w:eastAsia="黑体" w:cs="Times New Roman"/>
          <w:sz w:val="28"/>
          <w:szCs w:val="28"/>
        </w:rPr>
        <w:br w:type="page"/>
      </w:r>
      <w:r>
        <w:rPr>
          <w:rFonts w:hint="default" w:ascii="Times New Roman" w:hAnsi="Times New Roman" w:cs="Times New Roman"/>
          <w:sz w:val="32"/>
        </w:rPr>
        <w:t>非工业重点耗能单位能源消费情况</w:t>
      </w:r>
    </w:p>
    <w:tbl>
      <w:tblPr>
        <w:tblStyle w:val="31"/>
        <w:tblW w:w="9402" w:type="dxa"/>
        <w:jc w:val="center"/>
        <w:tblLayout w:type="autofit"/>
        <w:tblCellMar>
          <w:top w:w="0" w:type="dxa"/>
          <w:left w:w="0" w:type="dxa"/>
          <w:bottom w:w="0" w:type="dxa"/>
          <w:right w:w="0" w:type="dxa"/>
        </w:tblCellMar>
      </w:tblPr>
      <w:tblGrid>
        <w:gridCol w:w="3181"/>
        <w:gridCol w:w="909"/>
        <w:gridCol w:w="2563"/>
        <w:gridCol w:w="850"/>
        <w:gridCol w:w="1899"/>
      </w:tblGrid>
      <w:tr>
        <w:tblPrEx>
          <w:tblCellMar>
            <w:top w:w="0" w:type="dxa"/>
            <w:left w:w="0" w:type="dxa"/>
            <w:bottom w:w="0" w:type="dxa"/>
            <w:right w:w="0" w:type="dxa"/>
          </w:tblCellMar>
        </w:tblPrEx>
        <w:trPr>
          <w:jc w:val="center"/>
        </w:trPr>
        <w:tc>
          <w:tcPr>
            <w:tcW w:w="3181" w:type="dxa"/>
            <w:noWrap w:val="0"/>
            <w:vAlign w:val="top"/>
          </w:tcPr>
          <w:p>
            <w:pPr>
              <w:spacing w:line="260" w:lineRule="exact"/>
              <w:rPr>
                <w:rFonts w:hint="default" w:ascii="Times New Roman" w:hAnsi="Times New Roman" w:cs="Times New Roman"/>
                <w:sz w:val="18"/>
                <w:szCs w:val="18"/>
              </w:rPr>
            </w:pPr>
          </w:p>
        </w:tc>
        <w:tc>
          <w:tcPr>
            <w:tcW w:w="909" w:type="dxa"/>
            <w:noWrap w:val="0"/>
            <w:vAlign w:val="top"/>
          </w:tcPr>
          <w:p>
            <w:pPr>
              <w:spacing w:line="260" w:lineRule="exact"/>
              <w:rPr>
                <w:rFonts w:hint="default" w:ascii="Times New Roman" w:hAnsi="Times New Roman" w:cs="Times New Roman"/>
                <w:sz w:val="18"/>
                <w:szCs w:val="18"/>
              </w:rPr>
            </w:pPr>
          </w:p>
        </w:tc>
        <w:tc>
          <w:tcPr>
            <w:tcW w:w="2563" w:type="dxa"/>
            <w:noWrap w:val="0"/>
            <w:vAlign w:val="top"/>
          </w:tcPr>
          <w:p>
            <w:pPr>
              <w:spacing w:line="260" w:lineRule="exact"/>
              <w:rPr>
                <w:rFonts w:hint="default" w:ascii="Times New Roman" w:hAnsi="Times New Roman" w:cs="Times New Roman"/>
                <w:sz w:val="18"/>
                <w:szCs w:val="18"/>
              </w:rPr>
            </w:pPr>
          </w:p>
        </w:tc>
        <w:tc>
          <w:tcPr>
            <w:tcW w:w="850" w:type="dxa"/>
            <w:noWrap w:val="0"/>
            <w:tcMar>
              <w:left w:w="0" w:type="dxa"/>
              <w:right w:w="0" w:type="dxa"/>
            </w:tcMar>
            <w:vAlign w:val="top"/>
          </w:tcPr>
          <w:p>
            <w:pPr>
              <w:spacing w:line="260" w:lineRule="exact"/>
              <w:rPr>
                <w:rFonts w:hint="default" w:ascii="Times New Roman" w:hAnsi="Times New Roman" w:cs="Times New Roman"/>
                <w:sz w:val="18"/>
                <w:szCs w:val="18"/>
              </w:rPr>
            </w:pPr>
            <w:r>
              <w:rPr>
                <w:rFonts w:hint="default" w:ascii="Times New Roman" w:hAnsi="Times New Roman" w:cs="Times New Roman"/>
                <w:sz w:val="18"/>
                <w:szCs w:val="18"/>
              </w:rPr>
              <w:t>表    号：</w:t>
            </w:r>
          </w:p>
        </w:tc>
        <w:tc>
          <w:tcPr>
            <w:tcW w:w="1899" w:type="dxa"/>
            <w:noWrap w:val="0"/>
            <w:vAlign w:val="center"/>
          </w:tcPr>
          <w:p>
            <w:pPr>
              <w:spacing w:line="260" w:lineRule="exact"/>
              <w:jc w:val="distribute"/>
              <w:rPr>
                <w:rFonts w:hint="default" w:ascii="Times New Roman" w:hAnsi="Times New Roman" w:cs="Times New Roman"/>
                <w:sz w:val="18"/>
                <w:szCs w:val="18"/>
              </w:rPr>
            </w:pPr>
            <w:r>
              <w:rPr>
                <w:rFonts w:hint="default" w:ascii="Times New Roman" w:hAnsi="Times New Roman" w:cs="Times New Roman"/>
                <w:sz w:val="18"/>
                <w:szCs w:val="18"/>
              </w:rPr>
              <w:t>２０５－５表</w:t>
            </w:r>
          </w:p>
        </w:tc>
      </w:tr>
      <w:tr>
        <w:tblPrEx>
          <w:tblCellMar>
            <w:top w:w="0" w:type="dxa"/>
            <w:left w:w="0" w:type="dxa"/>
            <w:bottom w:w="0" w:type="dxa"/>
            <w:right w:w="0" w:type="dxa"/>
          </w:tblCellMar>
        </w:tblPrEx>
        <w:trPr>
          <w:jc w:val="center"/>
        </w:trPr>
        <w:tc>
          <w:tcPr>
            <w:tcW w:w="6653" w:type="dxa"/>
            <w:gridSpan w:val="3"/>
            <w:noWrap w:val="0"/>
            <w:vAlign w:val="top"/>
          </w:tcPr>
          <w:p>
            <w:pPr>
              <w:spacing w:line="260" w:lineRule="exact"/>
              <w:rPr>
                <w:rFonts w:hint="default" w:ascii="Times New Roman" w:hAnsi="Times New Roman" w:cs="Times New Roman"/>
                <w:sz w:val="18"/>
                <w:szCs w:val="18"/>
              </w:rPr>
            </w:pPr>
          </w:p>
        </w:tc>
        <w:tc>
          <w:tcPr>
            <w:tcW w:w="850" w:type="dxa"/>
            <w:noWrap w:val="0"/>
            <w:tcMar>
              <w:left w:w="0" w:type="dxa"/>
              <w:right w:w="0" w:type="dxa"/>
            </w:tcMar>
            <w:vAlign w:val="center"/>
          </w:tcPr>
          <w:p>
            <w:pPr>
              <w:spacing w:line="260" w:lineRule="exact"/>
              <w:rPr>
                <w:rFonts w:hint="default" w:ascii="Times New Roman" w:hAnsi="Times New Roman" w:cs="Times New Roman"/>
                <w:sz w:val="18"/>
                <w:szCs w:val="18"/>
              </w:rPr>
            </w:pPr>
            <w:r>
              <w:rPr>
                <w:rFonts w:hint="default" w:ascii="Times New Roman" w:hAnsi="Times New Roman" w:cs="Times New Roman"/>
                <w:sz w:val="18"/>
                <w:szCs w:val="18"/>
              </w:rPr>
              <w:t>制定机关：</w:t>
            </w:r>
          </w:p>
        </w:tc>
        <w:tc>
          <w:tcPr>
            <w:tcW w:w="1899" w:type="dxa"/>
            <w:noWrap w:val="0"/>
            <w:vAlign w:val="center"/>
          </w:tcPr>
          <w:p>
            <w:pPr>
              <w:spacing w:line="260" w:lineRule="exact"/>
              <w:jc w:val="distribute"/>
              <w:rPr>
                <w:rFonts w:hint="default" w:ascii="Times New Roman" w:hAnsi="Times New Roman" w:cs="Times New Roman"/>
                <w:sz w:val="18"/>
                <w:szCs w:val="18"/>
              </w:rPr>
            </w:pPr>
            <w:r>
              <w:rPr>
                <w:rFonts w:hint="default" w:ascii="Times New Roman" w:hAnsi="Times New Roman" w:cs="Times New Roman"/>
                <w:sz w:val="18"/>
                <w:szCs w:val="18"/>
              </w:rPr>
              <w:t>国 家 统 计 局</w:t>
            </w:r>
          </w:p>
        </w:tc>
      </w:tr>
      <w:tr>
        <w:tblPrEx>
          <w:tblCellMar>
            <w:top w:w="0" w:type="dxa"/>
            <w:left w:w="0" w:type="dxa"/>
            <w:bottom w:w="0" w:type="dxa"/>
            <w:right w:w="0" w:type="dxa"/>
          </w:tblCellMar>
        </w:tblPrEx>
        <w:trPr>
          <w:jc w:val="center"/>
        </w:trPr>
        <w:tc>
          <w:tcPr>
            <w:tcW w:w="6653" w:type="dxa"/>
            <w:gridSpan w:val="3"/>
            <w:noWrap w:val="0"/>
            <w:vAlign w:val="top"/>
          </w:tcPr>
          <w:p>
            <w:pPr>
              <w:spacing w:line="260" w:lineRule="exact"/>
              <w:jc w:val="left"/>
              <w:rPr>
                <w:rFonts w:hint="default" w:ascii="Times New Roman" w:hAnsi="Times New Roman" w:cs="Times New Roman"/>
                <w:sz w:val="18"/>
                <w:szCs w:val="18"/>
              </w:rPr>
            </w:pPr>
            <w:r>
              <w:rPr>
                <w:rFonts w:hint="default" w:ascii="Times New Roman" w:hAnsi="Times New Roman" w:cs="Times New Roman"/>
                <w:sz w:val="18"/>
                <w:szCs w:val="18"/>
              </w:rPr>
              <w:t>统一社会信用代码</w:t>
            </w:r>
            <w:r>
              <w:rPr>
                <w:rFonts w:hint="default" w:ascii="Times New Roman" w:hAnsi="Times New Roman" w:cs="Times New Roman"/>
                <w:color w:val="000000"/>
                <w:kern w:val="0"/>
                <w:sz w:val="18"/>
                <w:szCs w:val="18"/>
              </w:rPr>
              <w:t>□□□□□□□□□□□□□□□□□□</w:t>
            </w:r>
          </w:p>
        </w:tc>
        <w:tc>
          <w:tcPr>
            <w:tcW w:w="850" w:type="dxa"/>
            <w:noWrap w:val="0"/>
            <w:tcMar>
              <w:left w:w="0" w:type="dxa"/>
              <w:right w:w="0" w:type="dxa"/>
            </w:tcMar>
            <w:vAlign w:val="center"/>
          </w:tcPr>
          <w:p>
            <w:pPr>
              <w:spacing w:line="260" w:lineRule="exact"/>
              <w:rPr>
                <w:rFonts w:hint="default" w:ascii="Times New Roman" w:hAnsi="Times New Roman" w:cs="Times New Roman"/>
                <w:sz w:val="18"/>
                <w:szCs w:val="18"/>
              </w:rPr>
            </w:pPr>
            <w:r>
              <w:rPr>
                <w:rFonts w:hint="default" w:ascii="Times New Roman" w:hAnsi="Times New Roman" w:cs="Times New Roman"/>
                <w:sz w:val="18"/>
                <w:szCs w:val="18"/>
              </w:rPr>
              <w:t>文    号：</w:t>
            </w:r>
          </w:p>
        </w:tc>
        <w:tc>
          <w:tcPr>
            <w:tcW w:w="1899" w:type="dxa"/>
            <w:noWrap w:val="0"/>
            <w:vAlign w:val="center"/>
          </w:tcPr>
          <w:p>
            <w:pPr>
              <w:spacing w:line="260" w:lineRule="exact"/>
              <w:jc w:val="distribute"/>
              <w:rPr>
                <w:rFonts w:hint="default" w:ascii="Times New Roman" w:hAnsi="Times New Roman" w:cs="Times New Roman"/>
                <w:sz w:val="18"/>
                <w:szCs w:val="18"/>
              </w:rPr>
            </w:pPr>
            <w:r>
              <w:rPr>
                <w:rFonts w:hint="default" w:ascii="Times New Roman" w:hAnsi="Times New Roman" w:cs="Times New Roman"/>
                <w:sz w:val="18"/>
                <w:szCs w:val="18"/>
              </w:rPr>
              <w:t>国统</w:t>
            </w:r>
            <w:r>
              <w:rPr>
                <w:rFonts w:hint="default" w:ascii="Times New Roman" w:hAnsi="Times New Roman" w:cs="Times New Roman"/>
                <w:spacing w:val="-16"/>
                <w:sz w:val="18"/>
                <w:szCs w:val="18"/>
              </w:rPr>
              <w:t>字</w:t>
            </w:r>
            <w:r>
              <w:rPr>
                <w:rFonts w:hint="default" w:ascii="Times New Roman" w:hAnsi="Times New Roman" w:cs="Times New Roman"/>
                <w:spacing w:val="-16"/>
                <w:sz w:val="18"/>
                <w:szCs w:val="18"/>
                <w:lang w:val="en"/>
              </w:rPr>
              <w:t>〔２０２</w:t>
            </w:r>
            <w:r>
              <w:rPr>
                <w:rFonts w:hint="eastAsia" w:ascii="宋体" w:hAnsi="宋体"/>
                <w:sz w:val="18"/>
                <w:szCs w:val="18"/>
                <w:lang w:eastAsia="zh-CN"/>
              </w:rPr>
              <w:t>４</w:t>
            </w:r>
            <w:r>
              <w:rPr>
                <w:rFonts w:hint="default" w:ascii="Times New Roman" w:hAnsi="Times New Roman" w:cs="Times New Roman"/>
                <w:spacing w:val="-16"/>
                <w:sz w:val="18"/>
                <w:szCs w:val="18"/>
                <w:lang w:val="en"/>
              </w:rPr>
              <w:t>〕</w:t>
            </w:r>
            <w:r>
              <w:rPr>
                <w:rFonts w:hint="default" w:ascii="Times New Roman" w:hAnsi="Times New Roman" w:cs="Times New Roman"/>
                <w:spacing w:val="-16"/>
                <w:sz w:val="18"/>
                <w:szCs w:val="18"/>
                <w:lang w:val="en-US" w:eastAsia="zh-CN"/>
              </w:rPr>
              <w:t>77</w:t>
            </w:r>
            <w:r>
              <w:rPr>
                <w:rFonts w:hint="default" w:ascii="Times New Roman" w:hAnsi="Times New Roman" w:cs="Times New Roman"/>
                <w:spacing w:val="-16"/>
                <w:sz w:val="18"/>
                <w:szCs w:val="18"/>
              </w:rPr>
              <w:t>号</w:t>
            </w:r>
          </w:p>
        </w:tc>
      </w:tr>
      <w:tr>
        <w:tblPrEx>
          <w:tblCellMar>
            <w:top w:w="0" w:type="dxa"/>
            <w:left w:w="0" w:type="dxa"/>
            <w:bottom w:w="0" w:type="dxa"/>
            <w:right w:w="0" w:type="dxa"/>
          </w:tblCellMar>
        </w:tblPrEx>
        <w:trPr>
          <w:jc w:val="center"/>
        </w:trPr>
        <w:tc>
          <w:tcPr>
            <w:tcW w:w="3181" w:type="dxa"/>
            <w:noWrap w:val="0"/>
            <w:vAlign w:val="top"/>
          </w:tcPr>
          <w:p>
            <w:pPr>
              <w:spacing w:line="260" w:lineRule="exact"/>
              <w:rPr>
                <w:rFonts w:hint="default" w:ascii="Times New Roman" w:hAnsi="Times New Roman" w:cs="Times New Roman"/>
                <w:sz w:val="18"/>
                <w:szCs w:val="18"/>
              </w:rPr>
            </w:pPr>
            <w:r>
              <w:rPr>
                <w:rFonts w:hint="default" w:ascii="Times New Roman" w:hAnsi="Times New Roman" w:cs="Times New Roman"/>
                <w:sz w:val="18"/>
              </w:rPr>
              <w:t>单位详细名称：</w:t>
            </w:r>
          </w:p>
        </w:tc>
        <w:tc>
          <w:tcPr>
            <w:tcW w:w="909" w:type="dxa"/>
            <w:noWrap w:val="0"/>
            <w:vAlign w:val="top"/>
          </w:tcPr>
          <w:p>
            <w:pPr>
              <w:spacing w:line="260" w:lineRule="exact"/>
              <w:rPr>
                <w:rFonts w:hint="default" w:ascii="Times New Roman" w:hAnsi="Times New Roman" w:cs="Times New Roman"/>
                <w:sz w:val="18"/>
                <w:szCs w:val="18"/>
              </w:rPr>
            </w:pPr>
          </w:p>
        </w:tc>
        <w:tc>
          <w:tcPr>
            <w:tcW w:w="2563" w:type="dxa"/>
            <w:noWrap w:val="0"/>
            <w:vAlign w:val="top"/>
          </w:tcPr>
          <w:p>
            <w:pPr>
              <w:spacing w:line="260" w:lineRule="exact"/>
              <w:rPr>
                <w:rFonts w:hint="default" w:ascii="Times New Roman" w:hAnsi="Times New Roman" w:cs="Times New Roman"/>
                <w:sz w:val="18"/>
                <w:szCs w:val="18"/>
              </w:rPr>
            </w:pPr>
            <w:r>
              <w:rPr>
                <w:rFonts w:hint="default" w:ascii="Times New Roman" w:hAnsi="Times New Roman" w:cs="Times New Roman"/>
                <w:sz w:val="18"/>
                <w:szCs w:val="18"/>
              </w:rPr>
              <w:t>２０　　年　 １－　季</w:t>
            </w:r>
          </w:p>
        </w:tc>
        <w:tc>
          <w:tcPr>
            <w:tcW w:w="850" w:type="dxa"/>
            <w:noWrap w:val="0"/>
            <w:tcMar>
              <w:left w:w="0" w:type="dxa"/>
              <w:right w:w="0" w:type="dxa"/>
            </w:tcMar>
            <w:vAlign w:val="center"/>
          </w:tcPr>
          <w:p>
            <w:pPr>
              <w:spacing w:line="260" w:lineRule="exact"/>
              <w:rPr>
                <w:rFonts w:hint="default" w:ascii="Times New Roman" w:hAnsi="Times New Roman" w:cs="Times New Roman"/>
                <w:sz w:val="18"/>
                <w:szCs w:val="18"/>
              </w:rPr>
            </w:pPr>
            <w:r>
              <w:rPr>
                <w:rFonts w:hint="default" w:ascii="Times New Roman" w:hAnsi="Times New Roman" w:cs="Times New Roman"/>
                <w:sz w:val="18"/>
                <w:szCs w:val="18"/>
              </w:rPr>
              <w:t>有效期至：</w:t>
            </w:r>
          </w:p>
        </w:tc>
        <w:tc>
          <w:tcPr>
            <w:tcW w:w="1899" w:type="dxa"/>
            <w:noWrap w:val="0"/>
            <w:vAlign w:val="center"/>
          </w:tcPr>
          <w:p>
            <w:pPr>
              <w:spacing w:line="260" w:lineRule="exact"/>
              <w:jc w:val="distribute"/>
              <w:rPr>
                <w:rFonts w:hint="default" w:ascii="Times New Roman" w:hAnsi="Times New Roman" w:cs="Times New Roman"/>
                <w:sz w:val="18"/>
                <w:szCs w:val="18"/>
                <w:lang w:val="en"/>
              </w:rPr>
            </w:pPr>
            <w:r>
              <w:rPr>
                <w:rFonts w:hint="default" w:ascii="Times New Roman" w:hAnsi="Times New Roman" w:cs="Times New Roman"/>
                <w:sz w:val="18"/>
                <w:szCs w:val="18"/>
                <w:lang w:val="en"/>
              </w:rPr>
              <w:t>２０２</w:t>
            </w:r>
            <w:r>
              <w:rPr>
                <w:rFonts w:hint="eastAsia" w:ascii="宋体" w:hAnsi="宋体"/>
                <w:color w:val="000000"/>
                <w:sz w:val="18"/>
              </w:rPr>
              <w:t>6</w:t>
            </w:r>
            <w:r>
              <w:rPr>
                <w:rFonts w:hint="default" w:ascii="Times New Roman" w:hAnsi="Times New Roman" w:cs="Times New Roman"/>
                <w:sz w:val="18"/>
                <w:szCs w:val="18"/>
                <w:lang w:val="en"/>
              </w:rPr>
              <w:t>年１月</w:t>
            </w:r>
          </w:p>
        </w:tc>
      </w:tr>
    </w:tbl>
    <w:p>
      <w:pPr>
        <w:spacing w:line="20" w:lineRule="exact"/>
        <w:rPr>
          <w:rFonts w:hint="default" w:ascii="Times New Roman" w:hAnsi="Times New Roman" w:cs="Times New Roman"/>
          <w:sz w:val="18"/>
          <w:szCs w:val="18"/>
        </w:rPr>
      </w:pPr>
    </w:p>
    <w:tbl>
      <w:tblPr>
        <w:tblStyle w:val="31"/>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1317"/>
        <w:gridCol w:w="1121"/>
        <w:gridCol w:w="566"/>
        <w:gridCol w:w="913"/>
        <w:gridCol w:w="1004"/>
        <w:gridCol w:w="1000"/>
        <w:gridCol w:w="1002"/>
        <w:gridCol w:w="25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20" w:hRule="atLeast"/>
          <w:jc w:val="center"/>
        </w:trPr>
        <w:tc>
          <w:tcPr>
            <w:tcW w:w="696" w:type="pct"/>
            <w:vMerge w:val="restart"/>
            <w:shd w:val="clear" w:color="auto" w:fill="auto"/>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能源名称</w:t>
            </w:r>
          </w:p>
        </w:tc>
        <w:tc>
          <w:tcPr>
            <w:tcW w:w="592" w:type="pct"/>
            <w:vMerge w:val="restart"/>
            <w:shd w:val="clear" w:color="auto" w:fill="auto"/>
            <w:noWrap w:val="0"/>
            <w:tcMar>
              <w:left w:w="108" w:type="dxa"/>
              <w:right w:w="108" w:type="dxa"/>
            </w:tcMar>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计量单位</w:t>
            </w:r>
          </w:p>
        </w:tc>
        <w:tc>
          <w:tcPr>
            <w:tcW w:w="299" w:type="pct"/>
            <w:vMerge w:val="restart"/>
            <w:shd w:val="clear" w:color="auto" w:fill="auto"/>
            <w:noWrap w:val="0"/>
            <w:tcMar>
              <w:top w:w="0" w:type="dxa"/>
              <w:left w:w="108" w:type="dxa"/>
              <w:bottom w:w="0" w:type="dxa"/>
              <w:right w:w="108" w:type="dxa"/>
            </w:tcMar>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代码</w:t>
            </w:r>
          </w:p>
        </w:tc>
        <w:tc>
          <w:tcPr>
            <w:tcW w:w="1012" w:type="pct"/>
            <w:gridSpan w:val="2"/>
            <w:shd w:val="clear" w:color="auto" w:fill="auto"/>
            <w:noWrap w:val="0"/>
            <w:tcMar>
              <w:top w:w="0" w:type="dxa"/>
              <w:left w:w="0" w:type="dxa"/>
              <w:bottom w:w="0" w:type="dxa"/>
              <w:right w:w="0" w:type="dxa"/>
            </w:tcMar>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kern w:val="0"/>
                <w:sz w:val="18"/>
                <w:szCs w:val="18"/>
              </w:rPr>
              <w:t>－</w:t>
            </w:r>
            <w:r>
              <w:rPr>
                <w:rFonts w:hint="default" w:ascii="Times New Roman" w:hAnsi="Times New Roman" w:cs="Times New Roman"/>
                <w:sz w:val="18"/>
                <w:szCs w:val="18"/>
              </w:rPr>
              <w:t xml:space="preserve">本季    </w:t>
            </w:r>
          </w:p>
        </w:tc>
        <w:tc>
          <w:tcPr>
            <w:tcW w:w="1057" w:type="pct"/>
            <w:gridSpan w:val="2"/>
            <w:tcBorders>
              <w:top w:val="single" w:color="auto" w:sz="8" w:space="0"/>
              <w:bottom w:val="single" w:color="auto" w:sz="2" w:space="0"/>
            </w:tcBorders>
            <w:shd w:val="clear" w:color="auto" w:fill="D9D9D9"/>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上年同期  </w:t>
            </w:r>
          </w:p>
        </w:tc>
        <w:tc>
          <w:tcPr>
            <w:tcW w:w="1344" w:type="pct"/>
            <w:vMerge w:val="restart"/>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参考折标准煤系数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1" w:hRule="exact"/>
          <w:jc w:val="center"/>
        </w:trPr>
        <w:tc>
          <w:tcPr>
            <w:tcW w:w="696" w:type="pct"/>
            <w:vMerge w:val="continue"/>
            <w:shd w:val="clear" w:color="auto" w:fill="auto"/>
            <w:noWrap w:val="0"/>
            <w:vAlign w:val="center"/>
          </w:tcPr>
          <w:p>
            <w:pPr>
              <w:adjustRightInd w:val="0"/>
              <w:snapToGrid w:val="0"/>
              <w:jc w:val="center"/>
              <w:rPr>
                <w:rFonts w:hint="default" w:ascii="Times New Roman" w:hAnsi="Times New Roman" w:cs="Times New Roman"/>
                <w:sz w:val="18"/>
                <w:szCs w:val="18"/>
              </w:rPr>
            </w:pPr>
          </w:p>
        </w:tc>
        <w:tc>
          <w:tcPr>
            <w:tcW w:w="592" w:type="pct"/>
            <w:vMerge w:val="continue"/>
            <w:shd w:val="clear" w:color="auto" w:fill="auto"/>
            <w:noWrap w:val="0"/>
            <w:tcMar>
              <w:left w:w="108" w:type="dxa"/>
              <w:right w:w="108" w:type="dxa"/>
            </w:tcMar>
            <w:vAlign w:val="center"/>
          </w:tcPr>
          <w:p>
            <w:pPr>
              <w:adjustRightInd w:val="0"/>
              <w:snapToGrid w:val="0"/>
              <w:jc w:val="center"/>
              <w:rPr>
                <w:rFonts w:hint="default" w:ascii="Times New Roman" w:hAnsi="Times New Roman" w:cs="Times New Roman"/>
                <w:sz w:val="18"/>
                <w:szCs w:val="18"/>
              </w:rPr>
            </w:pPr>
          </w:p>
        </w:tc>
        <w:tc>
          <w:tcPr>
            <w:tcW w:w="299" w:type="pct"/>
            <w:vMerge w:val="continue"/>
            <w:shd w:val="clear" w:color="auto" w:fill="auto"/>
            <w:noWrap w:val="0"/>
            <w:tcMar>
              <w:top w:w="0" w:type="dxa"/>
              <w:left w:w="108" w:type="dxa"/>
              <w:bottom w:w="0" w:type="dxa"/>
              <w:right w:w="108" w:type="dxa"/>
            </w:tcMar>
            <w:vAlign w:val="center"/>
          </w:tcPr>
          <w:p>
            <w:pPr>
              <w:adjustRightInd w:val="0"/>
              <w:snapToGrid w:val="0"/>
              <w:jc w:val="center"/>
              <w:rPr>
                <w:rFonts w:hint="default" w:ascii="Times New Roman" w:hAnsi="Times New Roman" w:cs="Times New Roman"/>
                <w:sz w:val="18"/>
                <w:szCs w:val="18"/>
              </w:rPr>
            </w:pPr>
          </w:p>
        </w:tc>
        <w:tc>
          <w:tcPr>
            <w:tcW w:w="482" w:type="pct"/>
            <w:shd w:val="clear" w:color="auto" w:fill="auto"/>
            <w:noWrap w:val="0"/>
            <w:tcMar>
              <w:top w:w="0" w:type="dxa"/>
              <w:left w:w="0" w:type="dxa"/>
              <w:bottom w:w="0" w:type="dxa"/>
              <w:right w:w="0" w:type="dxa"/>
            </w:tcMar>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消费量</w:t>
            </w:r>
          </w:p>
        </w:tc>
        <w:tc>
          <w:tcPr>
            <w:tcW w:w="530" w:type="pct"/>
            <w:shd w:val="clear" w:color="auto" w:fill="auto"/>
            <w:noWrap w:val="0"/>
            <w:tcMar>
              <w:top w:w="0" w:type="dxa"/>
              <w:left w:w="108" w:type="dxa"/>
              <w:bottom w:w="0" w:type="dxa"/>
              <w:right w:w="108" w:type="dxa"/>
            </w:tcMar>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消费金额(千元)</w:t>
            </w:r>
          </w:p>
        </w:tc>
        <w:tc>
          <w:tcPr>
            <w:tcW w:w="528" w:type="pct"/>
            <w:tcBorders>
              <w:top w:val="single" w:color="auto" w:sz="2" w:space="0"/>
              <w:bottom w:val="single" w:color="auto" w:sz="2" w:space="0"/>
            </w:tcBorders>
            <w:shd w:val="clear" w:color="auto" w:fill="D9D9D9"/>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消费量</w:t>
            </w:r>
          </w:p>
        </w:tc>
        <w:tc>
          <w:tcPr>
            <w:tcW w:w="529" w:type="pct"/>
            <w:tcBorders>
              <w:top w:val="single" w:color="auto" w:sz="2" w:space="0"/>
              <w:bottom w:val="single" w:color="auto" w:sz="2" w:space="0"/>
            </w:tcBorders>
            <w:shd w:val="clear" w:color="auto" w:fill="D9D9D9"/>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消费金额(千元)</w:t>
            </w:r>
          </w:p>
        </w:tc>
        <w:tc>
          <w:tcPr>
            <w:tcW w:w="1344" w:type="pct"/>
            <w:vMerge w:val="continue"/>
            <w:noWrap w:val="0"/>
            <w:vAlign w:val="center"/>
          </w:tcPr>
          <w:p>
            <w:pPr>
              <w:adjustRightInd w:val="0"/>
              <w:snapToGrid w:val="0"/>
              <w:jc w:val="center"/>
              <w:rPr>
                <w:rFonts w:hint="default" w:ascii="Times New Roman" w:hAnsi="Times New Roman" w:cs="Times New Roman"/>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06" w:hRule="exact"/>
          <w:jc w:val="center"/>
        </w:trPr>
        <w:tc>
          <w:tcPr>
            <w:tcW w:w="696" w:type="pct"/>
            <w:shd w:val="clear" w:color="auto" w:fill="auto"/>
            <w:noWrap w:val="0"/>
            <w:vAlign w:val="center"/>
          </w:tcPr>
          <w:p>
            <w:pPr>
              <w:adjustRightInd w:val="0"/>
              <w:snapToGrid w:val="0"/>
              <w:spacing w:line="24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甲</w:t>
            </w:r>
          </w:p>
        </w:tc>
        <w:tc>
          <w:tcPr>
            <w:tcW w:w="592" w:type="pct"/>
            <w:shd w:val="clear" w:color="auto" w:fill="auto"/>
            <w:noWrap w:val="0"/>
            <w:tcMar>
              <w:left w:w="108" w:type="dxa"/>
              <w:right w:w="108" w:type="dxa"/>
            </w:tcMar>
            <w:vAlign w:val="center"/>
          </w:tcPr>
          <w:p>
            <w:pPr>
              <w:adjustRightInd w:val="0"/>
              <w:snapToGrid w:val="0"/>
              <w:spacing w:line="24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乙</w:t>
            </w:r>
          </w:p>
        </w:tc>
        <w:tc>
          <w:tcPr>
            <w:tcW w:w="299" w:type="pct"/>
            <w:shd w:val="clear" w:color="auto" w:fill="auto"/>
            <w:noWrap w:val="0"/>
            <w:tcMar>
              <w:top w:w="0" w:type="dxa"/>
              <w:left w:w="108" w:type="dxa"/>
              <w:bottom w:w="0" w:type="dxa"/>
              <w:right w:w="108" w:type="dxa"/>
            </w:tcMar>
            <w:vAlign w:val="center"/>
          </w:tcPr>
          <w:p>
            <w:pPr>
              <w:adjustRightInd w:val="0"/>
              <w:snapToGrid w:val="0"/>
              <w:spacing w:line="24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丙</w:t>
            </w:r>
          </w:p>
        </w:tc>
        <w:tc>
          <w:tcPr>
            <w:tcW w:w="482" w:type="pct"/>
            <w:shd w:val="clear" w:color="auto" w:fill="auto"/>
            <w:noWrap w:val="0"/>
            <w:tcMar>
              <w:top w:w="0" w:type="dxa"/>
              <w:left w:w="0" w:type="dxa"/>
              <w:bottom w:w="0" w:type="dxa"/>
              <w:right w:w="0" w:type="dxa"/>
            </w:tcMar>
            <w:vAlign w:val="center"/>
          </w:tcPr>
          <w:p>
            <w:pPr>
              <w:adjustRightInd w:val="0"/>
              <w:snapToGrid w:val="0"/>
              <w:spacing w:line="24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30" w:type="pct"/>
            <w:shd w:val="clear" w:color="auto" w:fill="auto"/>
            <w:noWrap w:val="0"/>
            <w:tcMar>
              <w:top w:w="0" w:type="dxa"/>
              <w:left w:w="108" w:type="dxa"/>
              <w:bottom w:w="0" w:type="dxa"/>
              <w:right w:w="108" w:type="dxa"/>
            </w:tcMar>
            <w:vAlign w:val="center"/>
          </w:tcPr>
          <w:p>
            <w:pPr>
              <w:adjustRightInd w:val="0"/>
              <w:snapToGrid w:val="0"/>
              <w:spacing w:line="24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528" w:type="pct"/>
            <w:tcBorders>
              <w:top w:val="single" w:color="auto" w:sz="2" w:space="0"/>
              <w:bottom w:val="single" w:color="auto" w:sz="2" w:space="0"/>
            </w:tcBorders>
            <w:shd w:val="clear" w:color="auto" w:fill="D9D9D9"/>
            <w:noWrap w:val="0"/>
            <w:vAlign w:val="center"/>
          </w:tcPr>
          <w:p>
            <w:pPr>
              <w:adjustRightInd w:val="0"/>
              <w:snapToGrid w:val="0"/>
              <w:spacing w:line="24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529" w:type="pct"/>
            <w:tcBorders>
              <w:top w:val="single" w:color="auto" w:sz="2" w:space="0"/>
              <w:bottom w:val="single" w:color="auto" w:sz="2" w:space="0"/>
            </w:tcBorders>
            <w:shd w:val="clear" w:color="auto" w:fill="D9D9D9"/>
            <w:noWrap w:val="0"/>
            <w:vAlign w:val="center"/>
          </w:tcPr>
          <w:p>
            <w:pPr>
              <w:adjustRightInd w:val="0"/>
              <w:snapToGrid w:val="0"/>
              <w:spacing w:line="24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44" w:type="pct"/>
            <w:noWrap w:val="0"/>
            <w:vAlign w:val="center"/>
          </w:tcPr>
          <w:p>
            <w:pPr>
              <w:adjustRightInd w:val="0"/>
              <w:snapToGrid w:val="0"/>
              <w:spacing w:line="24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723" w:hRule="atLeast"/>
          <w:jc w:val="center"/>
        </w:trPr>
        <w:tc>
          <w:tcPr>
            <w:tcW w:w="696" w:type="pct"/>
            <w:noWrap w:val="0"/>
            <w:vAlign w:val="top"/>
          </w:tcPr>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电力</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煤炭</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焦炭</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煤气</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天然气</w:t>
            </w:r>
          </w:p>
          <w:p>
            <w:pPr>
              <w:adjustRightInd w:val="0"/>
              <w:snapToGrid w:val="0"/>
              <w:spacing w:line="320" w:lineRule="exact"/>
              <w:ind w:firstLine="80" w:firstLineChars="50"/>
              <w:rPr>
                <w:rFonts w:hint="default" w:ascii="Times New Roman" w:hAnsi="Times New Roman" w:cs="Times New Roman"/>
                <w:sz w:val="18"/>
                <w:szCs w:val="18"/>
              </w:rPr>
            </w:pPr>
            <w:r>
              <w:rPr>
                <w:rFonts w:hint="default" w:ascii="Times New Roman" w:hAnsi="Times New Roman" w:cs="Times New Roman"/>
                <w:snapToGrid w:val="0"/>
                <w:spacing w:val="-10"/>
                <w:kern w:val="0"/>
                <w:sz w:val="18"/>
                <w:szCs w:val="18"/>
              </w:rPr>
              <w:t>液化石油气</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汽油</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煤油</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柴油</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燃料油</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外购热力</w:t>
            </w:r>
          </w:p>
        </w:tc>
        <w:tc>
          <w:tcPr>
            <w:tcW w:w="592" w:type="pct"/>
            <w:noWrap w:val="0"/>
            <w:tcMar>
              <w:left w:w="108" w:type="dxa"/>
              <w:right w:w="108" w:type="dxa"/>
            </w:tcMar>
            <w:vAlign w:val="top"/>
          </w:tcPr>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千瓦时(度)</w:t>
            </w:r>
          </w:p>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立方米</w:t>
            </w:r>
          </w:p>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立方米</w:t>
            </w:r>
          </w:p>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p>
            <w:pPr>
              <w:widowControl/>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p>
            <w:pPr>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p>
            <w:pPr>
              <w:snapToGrid w:val="0"/>
              <w:spacing w:line="320" w:lineRule="exact"/>
              <w:jc w:val="center"/>
              <w:rPr>
                <w:rFonts w:hint="default" w:ascii="Times New Roman" w:hAnsi="Times New Roman" w:cs="Times New Roman"/>
                <w:kern w:val="0"/>
                <w:sz w:val="18"/>
                <w:szCs w:val="18"/>
              </w:rPr>
            </w:pPr>
            <w:r>
              <w:rPr>
                <w:rFonts w:hint="default" w:ascii="Times New Roman" w:hAnsi="Times New Roman" w:cs="Times New Roman"/>
                <w:sz w:val="18"/>
                <w:szCs w:val="18"/>
              </w:rPr>
              <w:t>百万千焦</w:t>
            </w:r>
          </w:p>
        </w:tc>
        <w:tc>
          <w:tcPr>
            <w:tcW w:w="299" w:type="pct"/>
            <w:noWrap w:val="0"/>
            <w:tcMar>
              <w:top w:w="0" w:type="dxa"/>
              <w:left w:w="108" w:type="dxa"/>
              <w:bottom w:w="0" w:type="dxa"/>
              <w:right w:w="108" w:type="dxa"/>
            </w:tcMar>
            <w:vAlign w:val="center"/>
          </w:tcPr>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06</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07</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08</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p>
            <w:pPr>
              <w:widowControl/>
              <w:snapToGrid w:val="0"/>
              <w:spacing w:line="32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2069" w:type="pct"/>
            <w:gridSpan w:val="4"/>
            <w:noWrap w:val="0"/>
            <w:tcMar>
              <w:top w:w="0" w:type="dxa"/>
              <w:left w:w="0" w:type="dxa"/>
              <w:bottom w:w="0" w:type="dxa"/>
              <w:right w:w="0" w:type="dxa"/>
            </w:tcMar>
            <w:vAlign w:val="top"/>
          </w:tcPr>
          <w:p>
            <w:pPr>
              <w:adjustRightInd w:val="0"/>
              <w:snapToGrid w:val="0"/>
              <w:ind w:firstLine="90" w:firstLineChars="50"/>
              <w:rPr>
                <w:rFonts w:hint="default" w:ascii="Times New Roman" w:hAnsi="Times New Roman" w:cs="Times New Roman"/>
                <w:sz w:val="18"/>
                <w:szCs w:val="18"/>
              </w:rPr>
            </w:pPr>
          </w:p>
        </w:tc>
        <w:tc>
          <w:tcPr>
            <w:tcW w:w="1344" w:type="pct"/>
            <w:noWrap w:val="0"/>
            <w:vAlign w:val="top"/>
          </w:tcPr>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0.1229千克标准煤/千瓦时</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0.7143吨标准煤/吨</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0.9714吨标准煤/吨</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0.5714千克标准煤/立方米</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1.33千克标准煤/立方米</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1.7143吨标准煤/吨</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1.4714吨标准煤/吨</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1.4714吨标准煤/吨</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1.4571吨标准煤/吨</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1.4286吨标准煤/吨</w:t>
            </w:r>
          </w:p>
          <w:p>
            <w:pPr>
              <w:adjustRightInd w:val="0"/>
              <w:snapToGrid w:val="0"/>
              <w:spacing w:line="320" w:lineRule="exact"/>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0.0341吨标准煤/百万千焦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3" w:hRule="atLeast"/>
          <w:jc w:val="center"/>
        </w:trPr>
        <w:tc>
          <w:tcPr>
            <w:tcW w:w="696" w:type="pct"/>
            <w:noWrap w:val="0"/>
            <w:vAlign w:val="center"/>
          </w:tcPr>
          <w:p>
            <w:pPr>
              <w:adjustRightInd w:val="0"/>
              <w:snapToGrid w:val="0"/>
              <w:ind w:firstLine="90" w:firstLineChars="50"/>
              <w:rPr>
                <w:rFonts w:hint="default" w:ascii="Times New Roman" w:hAnsi="Times New Roman" w:cs="Times New Roman"/>
                <w:sz w:val="18"/>
                <w:szCs w:val="18"/>
              </w:rPr>
            </w:pPr>
            <w:r>
              <w:rPr>
                <w:rFonts w:hint="default" w:ascii="Times New Roman" w:hAnsi="Times New Roman" w:cs="Times New Roman"/>
                <w:sz w:val="18"/>
                <w:szCs w:val="18"/>
              </w:rPr>
              <w:t>能源合计</w:t>
            </w:r>
          </w:p>
        </w:tc>
        <w:tc>
          <w:tcPr>
            <w:tcW w:w="592" w:type="pct"/>
            <w:noWrap w:val="0"/>
            <w:tcMar>
              <w:left w:w="108" w:type="dxa"/>
              <w:right w:w="108" w:type="dxa"/>
            </w:tcMar>
            <w:vAlign w:val="center"/>
          </w:tcPr>
          <w:p>
            <w:pPr>
              <w:widowControl/>
              <w:snapToGrid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吨标准煤</w:t>
            </w:r>
          </w:p>
        </w:tc>
        <w:tc>
          <w:tcPr>
            <w:tcW w:w="299" w:type="pct"/>
            <w:noWrap w:val="0"/>
            <w:tcMar>
              <w:top w:w="0" w:type="dxa"/>
              <w:left w:w="108" w:type="dxa"/>
              <w:bottom w:w="0" w:type="dxa"/>
              <w:right w:w="108" w:type="dxa"/>
            </w:tcMar>
            <w:vAlign w:val="center"/>
          </w:tcPr>
          <w:p>
            <w:pPr>
              <w:widowControl/>
              <w:snapToGrid w:val="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482" w:type="pct"/>
            <w:noWrap w:val="0"/>
            <w:tcMar>
              <w:top w:w="0" w:type="dxa"/>
              <w:left w:w="0" w:type="dxa"/>
              <w:bottom w:w="0" w:type="dxa"/>
              <w:right w:w="0" w:type="dxa"/>
            </w:tcMar>
            <w:vAlign w:val="center"/>
          </w:tcPr>
          <w:p>
            <w:pPr>
              <w:widowControl/>
              <w:jc w:val="center"/>
              <w:rPr>
                <w:rFonts w:hint="default" w:ascii="Times New Roman" w:hAnsi="Times New Roman" w:cs="Times New Roman"/>
                <w:sz w:val="18"/>
                <w:szCs w:val="18"/>
              </w:rPr>
            </w:pPr>
          </w:p>
        </w:tc>
        <w:tc>
          <w:tcPr>
            <w:tcW w:w="530" w:type="pct"/>
            <w:noWrap w:val="0"/>
            <w:tcMar>
              <w:top w:w="0" w:type="dxa"/>
              <w:left w:w="108" w:type="dxa"/>
              <w:bottom w:w="0" w:type="dxa"/>
              <w:right w:w="108" w:type="dxa"/>
            </w:tcMar>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528" w:type="pct"/>
            <w:noWrap w:val="0"/>
            <w:vAlign w:val="center"/>
          </w:tcPr>
          <w:p>
            <w:pPr>
              <w:widowControl/>
              <w:jc w:val="center"/>
              <w:rPr>
                <w:rFonts w:hint="default" w:ascii="Times New Roman" w:hAnsi="Times New Roman" w:cs="Times New Roman"/>
                <w:sz w:val="18"/>
                <w:szCs w:val="18"/>
              </w:rPr>
            </w:pPr>
          </w:p>
        </w:tc>
        <w:tc>
          <w:tcPr>
            <w:tcW w:w="529"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344"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bl>
    <w:p>
      <w:pPr>
        <w:tabs>
          <w:tab w:val="left" w:pos="5430"/>
        </w:tabs>
        <w:adjustRightInd w:val="0"/>
        <w:ind w:left="839" w:right="-38" w:rightChars="-18" w:hanging="838" w:hangingChars="466"/>
        <w:rPr>
          <w:rFonts w:hint="default" w:ascii="Times New Roman" w:hAnsi="Times New Roman" w:cs="Times New Roman"/>
          <w:sz w:val="18"/>
          <w:szCs w:val="18"/>
        </w:rPr>
      </w:pPr>
      <w:r>
        <w:rPr>
          <w:rFonts w:hint="default" w:ascii="Times New Roman" w:hAnsi="Times New Roman" w:cs="Times New Roman"/>
          <w:sz w:val="18"/>
          <w:szCs w:val="18"/>
        </w:rPr>
        <w:t>单位负责人：　　    　统计负责人：　       　填表人：　　　  联系电话：       　报出日期：２０  年　月  日</w:t>
      </w:r>
    </w:p>
    <w:p>
      <w:pPr>
        <w:tabs>
          <w:tab w:val="left" w:pos="5430"/>
        </w:tabs>
        <w:adjustRightInd w:val="0"/>
        <w:ind w:right="-38" w:rightChars="-18"/>
        <w:rPr>
          <w:rFonts w:hint="default" w:ascii="Times New Roman" w:hAnsi="Times New Roman" w:cs="Times New Roman"/>
          <w:b/>
          <w:sz w:val="18"/>
          <w:szCs w:val="18"/>
        </w:rPr>
      </w:pPr>
    </w:p>
    <w:p>
      <w:pPr>
        <w:spacing w:line="280" w:lineRule="exact"/>
        <w:ind w:left="1530" w:hanging="1530" w:hangingChars="850"/>
        <w:rPr>
          <w:rFonts w:hint="default" w:ascii="Times New Roman" w:hAnsi="Times New Roman" w:cs="Times New Roman"/>
          <w:sz w:val="18"/>
          <w:szCs w:val="18"/>
        </w:rPr>
      </w:pPr>
      <w:r>
        <w:rPr>
          <w:rFonts w:hint="default" w:ascii="Times New Roman" w:hAnsi="Times New Roman" w:cs="Times New Roman"/>
          <w:sz w:val="18"/>
          <w:szCs w:val="18"/>
        </w:rPr>
        <w:t>说明：1.统计范围：辖区内年综合能源消费量1万吨标准煤及以上的规模以上服务业法人单位。</w:t>
      </w:r>
    </w:p>
    <w:p>
      <w:pPr>
        <w:keepNext w:val="0"/>
        <w:keepLines w:val="0"/>
        <w:pageBreakBefore w:val="0"/>
        <w:widowControl w:val="0"/>
        <w:kinsoku/>
        <w:wordWrap/>
        <w:overflowPunct/>
        <w:topLinePunct w:val="0"/>
        <w:autoSpaceDE/>
        <w:autoSpaceDN/>
        <w:bidi w:val="0"/>
        <w:adjustRightInd/>
        <w:snapToGrid/>
        <w:spacing w:line="280" w:lineRule="exact"/>
        <w:ind w:left="2055" w:leftChars="250" w:hanging="1530" w:hangingChars="850"/>
        <w:textAlignment w:val="auto"/>
        <w:rPr>
          <w:rFonts w:hint="default" w:ascii="Times New Roman" w:hAnsi="Times New Roman" w:cs="Times New Roman"/>
          <w:sz w:val="18"/>
          <w:szCs w:val="18"/>
        </w:rPr>
      </w:pPr>
      <w:r>
        <w:rPr>
          <w:rFonts w:hint="default" w:ascii="Times New Roman" w:hAnsi="Times New Roman" w:cs="Times New Roman"/>
          <w:sz w:val="18"/>
          <w:szCs w:val="18"/>
        </w:rPr>
        <w:t>2.报送日期及方式：调查单位季后10日12:00前</w:t>
      </w:r>
      <w:r>
        <w:rPr>
          <w:rFonts w:hint="default" w:ascii="Times New Roman" w:hAnsi="Times New Roman" w:cs="Times New Roman"/>
          <w:sz w:val="18"/>
        </w:rPr>
        <w:t>独立自行</w:t>
      </w:r>
      <w:r>
        <w:rPr>
          <w:rFonts w:hint="default" w:ascii="Times New Roman" w:hAnsi="Times New Roman" w:cs="Times New Roman"/>
          <w:sz w:val="18"/>
          <w:szCs w:val="18"/>
        </w:rPr>
        <w:t>网上填报；</w:t>
      </w:r>
      <w:r>
        <w:rPr>
          <w:rFonts w:hint="default" w:ascii="Times New Roman" w:hAnsi="Times New Roman" w:eastAsia="宋体" w:cs="Times New Roman"/>
          <w:kern w:val="0"/>
          <w:sz w:val="18"/>
          <w:szCs w:val="18"/>
        </w:rPr>
        <w:t>各区统计机构按“</w:t>
      </w:r>
      <w:r>
        <w:rPr>
          <w:rFonts w:hint="default" w:ascii="Times New Roman" w:hAnsi="Times New Roman" w:eastAsia="宋体" w:cs="Times New Roman"/>
          <w:kern w:val="0"/>
          <w:sz w:val="18"/>
          <w:szCs w:val="18"/>
          <w:lang w:eastAsia="zh-CN"/>
        </w:rPr>
        <w:t>统计云工作</w:t>
      </w:r>
      <w:r>
        <w:rPr>
          <w:rFonts w:hint="default" w:ascii="Times New Roman" w:hAnsi="Times New Roman" w:eastAsia="宋体" w:cs="Times New Roman"/>
          <w:kern w:val="0"/>
          <w:sz w:val="18"/>
          <w:szCs w:val="18"/>
        </w:rPr>
        <w:t>台”规定时间</w:t>
      </w:r>
      <w:r>
        <w:rPr>
          <w:rFonts w:hint="default" w:ascii="Times New Roman" w:hAnsi="Times New Roman" w:cs="Times New Roman"/>
          <w:spacing w:val="-4"/>
          <w:sz w:val="18"/>
          <w:szCs w:val="18"/>
        </w:rPr>
        <w:t>完成数据审核、验收、上报</w:t>
      </w:r>
      <w:r>
        <w:rPr>
          <w:rFonts w:hint="default" w:ascii="Times New Roman" w:hAnsi="Times New Roman" w:cs="Times New Roman"/>
          <w:sz w:val="18"/>
          <w:szCs w:val="18"/>
        </w:rPr>
        <w:t>。</w:t>
      </w:r>
    </w:p>
    <w:p>
      <w:pPr>
        <w:spacing w:line="280" w:lineRule="exact"/>
        <w:ind w:left="660" w:leftChars="250" w:hanging="135" w:hangingChars="75"/>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pPr>
        <w:spacing w:line="280" w:lineRule="exact"/>
        <w:ind w:left="660" w:leftChars="250" w:hanging="135" w:hangingChars="75"/>
        <w:rPr>
          <w:rFonts w:hint="default" w:ascii="Times New Roman" w:hAnsi="Times New Roman" w:cs="Times New Roman"/>
          <w:sz w:val="18"/>
          <w:szCs w:val="18"/>
        </w:rPr>
      </w:pPr>
      <w:r>
        <w:rPr>
          <w:rFonts w:hint="default" w:ascii="Times New Roman" w:hAnsi="Times New Roman" w:cs="Times New Roman"/>
          <w:sz w:val="18"/>
          <w:szCs w:val="18"/>
        </w:rPr>
        <w:t>4.油品重量单位与容积单位的换算关系：</w:t>
      </w:r>
    </w:p>
    <w:p>
      <w:pPr>
        <w:spacing w:line="280" w:lineRule="exact"/>
        <w:ind w:left="672" w:leftChars="320"/>
        <w:rPr>
          <w:rFonts w:hint="default" w:ascii="Times New Roman" w:hAnsi="Times New Roman" w:cs="Times New Roman"/>
          <w:sz w:val="18"/>
          <w:szCs w:val="18"/>
        </w:rPr>
      </w:pPr>
      <w:r>
        <w:rPr>
          <w:rFonts w:hint="default" w:ascii="Times New Roman" w:hAnsi="Times New Roman" w:cs="Times New Roman"/>
          <w:sz w:val="18"/>
          <w:szCs w:val="18"/>
        </w:rPr>
        <w:t>(1)汽  油：1升</w:t>
      </w:r>
      <w:r>
        <w:rPr>
          <w:rFonts w:hint="default" w:ascii="Times New Roman" w:hAnsi="Times New Roman" w:cs="Times New Roman"/>
          <w:sz w:val="18"/>
          <w:lang w:val="en"/>
        </w:rPr>
        <w:t>≈</w:t>
      </w:r>
      <w:r>
        <w:rPr>
          <w:rFonts w:hint="default" w:ascii="Times New Roman" w:hAnsi="Times New Roman" w:cs="Times New Roman"/>
          <w:sz w:val="18"/>
          <w:szCs w:val="18"/>
        </w:rPr>
        <w:t>0.73千克</w:t>
      </w:r>
      <w:r>
        <w:rPr>
          <w:rFonts w:hint="default" w:ascii="Times New Roman" w:hAnsi="Times New Roman" w:cs="Times New Roman"/>
          <w:sz w:val="18"/>
          <w:lang w:val="en"/>
        </w:rPr>
        <w:t>≈</w:t>
      </w:r>
      <w:r>
        <w:rPr>
          <w:rFonts w:hint="default" w:ascii="Times New Roman" w:hAnsi="Times New Roman" w:cs="Times New Roman"/>
          <w:sz w:val="18"/>
          <w:szCs w:val="18"/>
        </w:rPr>
        <w:t>0.00073吨</w:t>
      </w:r>
    </w:p>
    <w:p>
      <w:pPr>
        <w:spacing w:line="280" w:lineRule="exact"/>
        <w:ind w:left="672" w:leftChars="320"/>
        <w:rPr>
          <w:rFonts w:hint="default" w:ascii="Times New Roman" w:hAnsi="Times New Roman" w:cs="Times New Roman"/>
          <w:sz w:val="18"/>
          <w:szCs w:val="18"/>
        </w:rPr>
      </w:pPr>
      <w:r>
        <w:rPr>
          <w:rFonts w:hint="default" w:ascii="Times New Roman" w:hAnsi="Times New Roman" w:cs="Times New Roman"/>
          <w:sz w:val="18"/>
          <w:szCs w:val="18"/>
        </w:rPr>
        <w:t>(2)轻柴油：1升</w:t>
      </w:r>
      <w:r>
        <w:rPr>
          <w:rFonts w:hint="default" w:ascii="Times New Roman" w:hAnsi="Times New Roman" w:cs="Times New Roman"/>
          <w:sz w:val="18"/>
          <w:lang w:val="en"/>
        </w:rPr>
        <w:t>≈</w:t>
      </w:r>
      <w:r>
        <w:rPr>
          <w:rFonts w:hint="default" w:ascii="Times New Roman" w:hAnsi="Times New Roman" w:cs="Times New Roman"/>
          <w:sz w:val="18"/>
          <w:szCs w:val="18"/>
        </w:rPr>
        <w:t>0.86千克</w:t>
      </w:r>
      <w:r>
        <w:rPr>
          <w:rFonts w:hint="default" w:ascii="Times New Roman" w:hAnsi="Times New Roman" w:cs="Times New Roman"/>
          <w:sz w:val="18"/>
          <w:lang w:val="en"/>
        </w:rPr>
        <w:t>≈</w:t>
      </w:r>
      <w:r>
        <w:rPr>
          <w:rFonts w:hint="default" w:ascii="Times New Roman" w:hAnsi="Times New Roman" w:cs="Times New Roman"/>
          <w:sz w:val="18"/>
          <w:szCs w:val="18"/>
        </w:rPr>
        <w:t>0.00086吨</w:t>
      </w:r>
    </w:p>
    <w:p>
      <w:pPr>
        <w:spacing w:line="280" w:lineRule="exact"/>
        <w:ind w:left="672" w:leftChars="320"/>
        <w:rPr>
          <w:rFonts w:hint="default" w:ascii="Times New Roman" w:hAnsi="Times New Roman" w:cs="Times New Roman"/>
          <w:sz w:val="18"/>
          <w:szCs w:val="18"/>
        </w:rPr>
      </w:pPr>
      <w:r>
        <w:rPr>
          <w:rFonts w:hint="default" w:ascii="Times New Roman" w:hAnsi="Times New Roman" w:cs="Times New Roman"/>
          <w:sz w:val="18"/>
          <w:szCs w:val="18"/>
        </w:rPr>
        <w:t>(3)重柴油：1升</w:t>
      </w:r>
      <w:r>
        <w:rPr>
          <w:rFonts w:hint="default" w:ascii="Times New Roman" w:hAnsi="Times New Roman" w:cs="Times New Roman"/>
          <w:sz w:val="18"/>
          <w:lang w:val="en"/>
        </w:rPr>
        <w:t>≈</w:t>
      </w:r>
      <w:r>
        <w:rPr>
          <w:rFonts w:hint="default" w:ascii="Times New Roman" w:hAnsi="Times New Roman" w:cs="Times New Roman"/>
          <w:sz w:val="18"/>
          <w:szCs w:val="18"/>
        </w:rPr>
        <w:t>0.92千克</w:t>
      </w:r>
      <w:r>
        <w:rPr>
          <w:rFonts w:hint="default" w:ascii="Times New Roman" w:hAnsi="Times New Roman" w:cs="Times New Roman"/>
          <w:sz w:val="18"/>
          <w:lang w:val="en"/>
        </w:rPr>
        <w:t>≈</w:t>
      </w:r>
      <w:r>
        <w:rPr>
          <w:rFonts w:hint="default" w:ascii="Times New Roman" w:hAnsi="Times New Roman" w:cs="Times New Roman"/>
          <w:sz w:val="18"/>
          <w:szCs w:val="18"/>
        </w:rPr>
        <w:t>0.00092吨</w:t>
      </w:r>
    </w:p>
    <w:p>
      <w:pPr>
        <w:spacing w:line="280" w:lineRule="exact"/>
        <w:ind w:left="672" w:leftChars="320"/>
        <w:rPr>
          <w:rFonts w:hint="default" w:ascii="Times New Roman" w:hAnsi="Times New Roman" w:cs="Times New Roman"/>
          <w:sz w:val="18"/>
          <w:szCs w:val="18"/>
        </w:rPr>
      </w:pPr>
      <w:r>
        <w:rPr>
          <w:rFonts w:hint="default" w:ascii="Times New Roman" w:hAnsi="Times New Roman" w:cs="Times New Roman"/>
          <w:sz w:val="18"/>
          <w:szCs w:val="18"/>
        </w:rPr>
        <w:t>(4)煤  油：1升</w:t>
      </w:r>
      <w:r>
        <w:rPr>
          <w:rFonts w:hint="default" w:ascii="Times New Roman" w:hAnsi="Times New Roman" w:cs="Times New Roman"/>
          <w:sz w:val="18"/>
          <w:lang w:val="en"/>
        </w:rPr>
        <w:t>≈</w:t>
      </w:r>
      <w:r>
        <w:rPr>
          <w:rFonts w:hint="default" w:ascii="Times New Roman" w:hAnsi="Times New Roman" w:cs="Times New Roman"/>
          <w:sz w:val="18"/>
          <w:szCs w:val="18"/>
        </w:rPr>
        <w:t>0.82千克</w:t>
      </w:r>
      <w:r>
        <w:rPr>
          <w:rFonts w:hint="default" w:ascii="Times New Roman" w:hAnsi="Times New Roman" w:cs="Times New Roman"/>
          <w:sz w:val="18"/>
          <w:lang w:val="en"/>
        </w:rPr>
        <w:t>≈</w:t>
      </w:r>
      <w:r>
        <w:rPr>
          <w:rFonts w:hint="default" w:ascii="Times New Roman" w:hAnsi="Times New Roman" w:cs="Times New Roman"/>
          <w:sz w:val="18"/>
          <w:szCs w:val="18"/>
        </w:rPr>
        <w:t>0.00082吨</w:t>
      </w:r>
    </w:p>
    <w:p>
      <w:pPr>
        <w:spacing w:line="280" w:lineRule="exact"/>
        <w:ind w:left="672" w:leftChars="320"/>
        <w:rPr>
          <w:rFonts w:hint="default" w:ascii="Times New Roman" w:hAnsi="Times New Roman" w:cs="Times New Roman"/>
          <w:sz w:val="18"/>
          <w:szCs w:val="18"/>
        </w:rPr>
      </w:pPr>
      <w:r>
        <w:rPr>
          <w:rFonts w:hint="default" w:ascii="Times New Roman" w:hAnsi="Times New Roman" w:cs="Times New Roman"/>
          <w:sz w:val="18"/>
          <w:szCs w:val="18"/>
        </w:rPr>
        <w:t>(5)燃料油：1升</w:t>
      </w:r>
      <w:r>
        <w:rPr>
          <w:rFonts w:hint="default" w:ascii="Times New Roman" w:hAnsi="Times New Roman" w:cs="Times New Roman"/>
          <w:sz w:val="18"/>
          <w:lang w:val="en"/>
        </w:rPr>
        <w:t>≈</w:t>
      </w:r>
      <w:r>
        <w:rPr>
          <w:rFonts w:hint="default" w:ascii="Times New Roman" w:hAnsi="Times New Roman" w:cs="Times New Roman"/>
          <w:sz w:val="18"/>
          <w:szCs w:val="18"/>
        </w:rPr>
        <w:t>0.91千克</w:t>
      </w:r>
      <w:r>
        <w:rPr>
          <w:rFonts w:hint="default" w:ascii="Times New Roman" w:hAnsi="Times New Roman" w:cs="Times New Roman"/>
          <w:sz w:val="18"/>
          <w:lang w:val="en"/>
        </w:rPr>
        <w:t>≈</w:t>
      </w:r>
      <w:r>
        <w:rPr>
          <w:rFonts w:hint="default" w:ascii="Times New Roman" w:hAnsi="Times New Roman" w:cs="Times New Roman"/>
          <w:sz w:val="18"/>
          <w:szCs w:val="18"/>
        </w:rPr>
        <w:t>0.00091吨</w:t>
      </w:r>
    </w:p>
    <w:p>
      <w:pPr>
        <w:spacing w:line="280" w:lineRule="exact"/>
        <w:ind w:left="885" w:leftChars="250" w:hanging="360" w:hangingChars="200"/>
        <w:rPr>
          <w:rFonts w:hint="default" w:ascii="Times New Roman" w:hAnsi="Times New Roman" w:cs="Times New Roman"/>
          <w:sz w:val="18"/>
          <w:szCs w:val="18"/>
        </w:rPr>
      </w:pPr>
      <w:r>
        <w:rPr>
          <w:rFonts w:hint="default" w:ascii="Times New Roman" w:hAnsi="Times New Roman" w:cs="Times New Roman"/>
          <w:sz w:val="18"/>
          <w:szCs w:val="18"/>
        </w:rPr>
        <w:t>5.液化天然气与天然气换算关系：</w:t>
      </w:r>
    </w:p>
    <w:p>
      <w:pPr>
        <w:spacing w:line="280" w:lineRule="exact"/>
        <w:ind w:left="1032" w:leftChars="320" w:hanging="360" w:hangingChars="200"/>
        <w:rPr>
          <w:rFonts w:hint="default" w:ascii="Times New Roman" w:hAnsi="Times New Roman" w:cs="Times New Roman"/>
          <w:sz w:val="18"/>
          <w:szCs w:val="18"/>
        </w:rPr>
      </w:pPr>
      <w:r>
        <w:rPr>
          <w:rFonts w:hint="default" w:ascii="Times New Roman" w:hAnsi="Times New Roman" w:cs="Times New Roman"/>
          <w:sz w:val="18"/>
          <w:szCs w:val="18"/>
        </w:rPr>
        <w:t>1千克液化天然气</w:t>
      </w:r>
      <w:r>
        <w:rPr>
          <w:rFonts w:hint="default" w:ascii="Times New Roman" w:hAnsi="Times New Roman" w:cs="Times New Roman"/>
          <w:sz w:val="18"/>
          <w:lang w:val="en"/>
        </w:rPr>
        <w:t>≈</w:t>
      </w:r>
      <w:r>
        <w:rPr>
          <w:rFonts w:hint="default" w:ascii="Times New Roman" w:hAnsi="Times New Roman" w:cs="Times New Roman"/>
          <w:sz w:val="18"/>
          <w:szCs w:val="18"/>
        </w:rPr>
        <w:t>1.38立方米天然气</w:t>
      </w:r>
    </w:p>
    <w:p>
      <w:pPr>
        <w:spacing w:line="280" w:lineRule="exact"/>
        <w:ind w:left="1032" w:leftChars="320" w:hanging="360" w:hangingChars="200"/>
        <w:rPr>
          <w:rFonts w:hint="default" w:ascii="Times New Roman" w:hAnsi="Times New Roman" w:cs="Times New Roman"/>
          <w:sz w:val="18"/>
          <w:szCs w:val="18"/>
        </w:rPr>
      </w:pPr>
      <w:r>
        <w:rPr>
          <w:rFonts w:hint="default" w:ascii="Times New Roman" w:hAnsi="Times New Roman" w:cs="Times New Roman"/>
          <w:sz w:val="18"/>
          <w:szCs w:val="18"/>
        </w:rPr>
        <w:t>天然气包括液化天然气。</w:t>
      </w:r>
    </w:p>
    <w:p>
      <w:pPr>
        <w:spacing w:line="280" w:lineRule="exact"/>
        <w:ind w:firstLine="630" w:firstLineChars="350"/>
        <w:rPr>
          <w:sz w:val="18"/>
          <w:szCs w:val="18"/>
        </w:rPr>
      </w:pPr>
    </w:p>
    <w:p>
      <w:pPr>
        <w:keepNext w:val="0"/>
        <w:keepLines w:val="0"/>
        <w:pageBreakBefore w:val="0"/>
        <w:widowControl w:val="0"/>
        <w:kinsoku/>
        <w:wordWrap/>
        <w:overflowPunct/>
        <w:topLinePunct w:val="0"/>
        <w:autoSpaceDE/>
        <w:autoSpaceDN/>
        <w:bidi w:val="0"/>
        <w:adjustRightInd/>
        <w:snapToGrid w:val="0"/>
        <w:jc w:val="center"/>
        <w:textAlignment w:val="auto"/>
        <w:outlineLvl w:val="2"/>
        <w:rPr>
          <w:rFonts w:hint="default" w:ascii="Times New Roman" w:hAnsi="Times New Roman" w:cs="Times New Roman"/>
          <w:sz w:val="32"/>
        </w:rPr>
      </w:pPr>
      <w:r>
        <w:rPr>
          <w:bCs/>
          <w:kern w:val="0"/>
          <w:sz w:val="32"/>
          <w:szCs w:val="32"/>
        </w:rPr>
        <w:br w:type="page"/>
      </w:r>
      <w:r>
        <w:rPr>
          <w:rFonts w:hint="default" w:ascii="Times New Roman" w:hAnsi="Times New Roman" w:cs="Times New Roman"/>
          <w:sz w:val="32"/>
        </w:rPr>
        <w:t>能源生产、销售与库存</w:t>
      </w:r>
    </w:p>
    <w:tbl>
      <w:tblPr>
        <w:tblStyle w:val="31"/>
        <w:tblW w:w="9569" w:type="dxa"/>
        <w:jc w:val="center"/>
        <w:tblLayout w:type="fixed"/>
        <w:tblCellMar>
          <w:top w:w="0" w:type="dxa"/>
          <w:left w:w="108" w:type="dxa"/>
          <w:bottom w:w="0" w:type="dxa"/>
          <w:right w:w="108" w:type="dxa"/>
        </w:tblCellMar>
      </w:tblPr>
      <w:tblGrid>
        <w:gridCol w:w="3015"/>
        <w:gridCol w:w="1775"/>
        <w:gridCol w:w="1859"/>
        <w:gridCol w:w="905"/>
        <w:gridCol w:w="2015"/>
      </w:tblGrid>
      <w:tr>
        <w:tblPrEx>
          <w:tblCellMar>
            <w:top w:w="0" w:type="dxa"/>
            <w:left w:w="108" w:type="dxa"/>
            <w:bottom w:w="0" w:type="dxa"/>
            <w:right w:w="108" w:type="dxa"/>
          </w:tblCellMar>
        </w:tblPrEx>
        <w:trPr>
          <w:jc w:val="center"/>
        </w:trPr>
        <w:tc>
          <w:tcPr>
            <w:tcW w:w="2501" w:type="pct"/>
            <w:gridSpan w:val="2"/>
            <w:tcBorders>
              <w:top w:val="nil"/>
              <w:left w:val="nil"/>
              <w:bottom w:val="nil"/>
              <w:right w:val="nil"/>
            </w:tcBorders>
            <w:noWrap w:val="0"/>
            <w:tcMar>
              <w:left w:w="28" w:type="dxa"/>
              <w:right w:w="28" w:type="dxa"/>
            </w:tcMar>
            <w:vAlign w:val="center"/>
          </w:tcPr>
          <w:p>
            <w:pPr>
              <w:widowControl/>
              <w:adjustRightInd w:val="0"/>
              <w:snapToGrid w:val="0"/>
              <w:spacing w:line="260" w:lineRule="atLeast"/>
              <w:ind w:left="2970" w:hanging="2970" w:hangingChars="1650"/>
              <w:jc w:val="left"/>
              <w:rPr>
                <w:rFonts w:hint="default" w:ascii="Times New Roman" w:hAnsi="Times New Roman" w:cs="Times New Roman"/>
                <w:kern w:val="0"/>
                <w:sz w:val="18"/>
                <w:szCs w:val="18"/>
              </w:rPr>
            </w:pPr>
          </w:p>
        </w:tc>
        <w:tc>
          <w:tcPr>
            <w:tcW w:w="970" w:type="pct"/>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kern w:val="0"/>
                <w:sz w:val="18"/>
                <w:szCs w:val="18"/>
              </w:rPr>
            </w:pPr>
          </w:p>
        </w:tc>
        <w:tc>
          <w:tcPr>
            <w:tcW w:w="473" w:type="pct"/>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表　　号：</w:t>
            </w:r>
          </w:p>
        </w:tc>
        <w:tc>
          <w:tcPr>
            <w:tcW w:w="1053" w:type="pct"/>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cs="Times New Roman"/>
                <w:kern w:val="0"/>
                <w:sz w:val="18"/>
                <w:szCs w:val="18"/>
              </w:rPr>
            </w:pPr>
            <w:r>
              <w:rPr>
                <w:rFonts w:hint="default" w:ascii="Times New Roman" w:hAnsi="Times New Roman" w:cs="Times New Roman"/>
                <w:kern w:val="0"/>
                <w:sz w:val="18"/>
                <w:szCs w:val="18"/>
              </w:rPr>
              <w:t>２０５－６表</w:t>
            </w:r>
          </w:p>
        </w:tc>
      </w:tr>
      <w:tr>
        <w:tblPrEx>
          <w:tblCellMar>
            <w:top w:w="0" w:type="dxa"/>
            <w:left w:w="108" w:type="dxa"/>
            <w:bottom w:w="0" w:type="dxa"/>
            <w:right w:w="108" w:type="dxa"/>
          </w:tblCellMar>
        </w:tblPrEx>
        <w:trPr>
          <w:jc w:val="center"/>
        </w:trPr>
        <w:tc>
          <w:tcPr>
            <w:tcW w:w="3472" w:type="pct"/>
            <w:gridSpan w:val="3"/>
            <w:tcBorders>
              <w:top w:val="nil"/>
              <w:left w:val="nil"/>
              <w:bottom w:val="nil"/>
              <w:right w:val="nil"/>
            </w:tcBorders>
            <w:noWrap w:val="0"/>
            <w:tcMar>
              <w:left w:w="28" w:type="dxa"/>
              <w:right w:w="28" w:type="dxa"/>
            </w:tcMar>
            <w:vAlign w:val="top"/>
          </w:tcPr>
          <w:p>
            <w:pPr>
              <w:widowControl/>
              <w:adjustRightInd w:val="0"/>
              <w:snapToGrid w:val="0"/>
              <w:spacing w:line="260" w:lineRule="atLeast"/>
              <w:jc w:val="left"/>
              <w:rPr>
                <w:rFonts w:hint="default" w:ascii="Times New Roman" w:hAnsi="Times New Roman" w:cs="Times New Roman"/>
                <w:kern w:val="0"/>
                <w:sz w:val="18"/>
                <w:szCs w:val="18"/>
              </w:rPr>
            </w:pPr>
          </w:p>
        </w:tc>
        <w:tc>
          <w:tcPr>
            <w:tcW w:w="473" w:type="pct"/>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制定机关：</w:t>
            </w:r>
          </w:p>
        </w:tc>
        <w:tc>
          <w:tcPr>
            <w:tcW w:w="1053" w:type="pct"/>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cs="Times New Roman"/>
                <w:kern w:val="0"/>
                <w:sz w:val="18"/>
                <w:szCs w:val="18"/>
              </w:rPr>
            </w:pPr>
            <w:r>
              <w:rPr>
                <w:rFonts w:hint="default" w:ascii="Times New Roman" w:hAnsi="Times New Roman" w:cs="Times New Roman"/>
                <w:kern w:val="0"/>
                <w:sz w:val="18"/>
                <w:szCs w:val="18"/>
              </w:rPr>
              <w:t>国家统计局</w:t>
            </w:r>
          </w:p>
        </w:tc>
      </w:tr>
      <w:tr>
        <w:tblPrEx>
          <w:tblCellMar>
            <w:top w:w="0" w:type="dxa"/>
            <w:left w:w="108" w:type="dxa"/>
            <w:bottom w:w="0" w:type="dxa"/>
            <w:right w:w="108" w:type="dxa"/>
          </w:tblCellMar>
        </w:tblPrEx>
        <w:trPr>
          <w:jc w:val="center"/>
        </w:trPr>
        <w:tc>
          <w:tcPr>
            <w:tcW w:w="3472" w:type="pct"/>
            <w:gridSpan w:val="3"/>
            <w:tcBorders>
              <w:top w:val="nil"/>
              <w:left w:val="nil"/>
              <w:bottom w:val="nil"/>
              <w:right w:val="nil"/>
            </w:tcBorders>
            <w:noWrap w:val="0"/>
            <w:tcMar>
              <w:left w:w="28" w:type="dxa"/>
              <w:right w:w="28" w:type="dxa"/>
            </w:tcMar>
            <w:vAlign w:val="top"/>
          </w:tcPr>
          <w:p>
            <w:pPr>
              <w:widowControl/>
              <w:adjustRightInd w:val="0"/>
              <w:snapToGrid w:val="0"/>
              <w:spacing w:line="260" w:lineRule="atLeast"/>
              <w:jc w:val="left"/>
              <w:rPr>
                <w:rFonts w:hint="default" w:ascii="Times New Roman" w:hAnsi="Times New Roman" w:cs="Times New Roman"/>
                <w:kern w:val="0"/>
                <w:sz w:val="18"/>
                <w:szCs w:val="18"/>
              </w:rPr>
            </w:pPr>
            <w:r>
              <w:rPr>
                <w:rFonts w:hint="default" w:ascii="Times New Roman" w:hAnsi="Times New Roman" w:cs="Times New Roman"/>
                <w:sz w:val="18"/>
                <w:szCs w:val="18"/>
              </w:rPr>
              <w:t>统一社会信用代码</w:t>
            </w:r>
            <w:r>
              <w:rPr>
                <w:rFonts w:hint="default" w:ascii="Times New Roman" w:hAnsi="Times New Roman" w:cs="Times New Roman"/>
                <w:color w:val="000000"/>
                <w:kern w:val="0"/>
                <w:sz w:val="18"/>
                <w:szCs w:val="18"/>
              </w:rPr>
              <w:t>□□□□□□□□□□□□□□□□□□</w:t>
            </w:r>
          </w:p>
        </w:tc>
        <w:tc>
          <w:tcPr>
            <w:tcW w:w="473" w:type="pct"/>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文　　号：</w:t>
            </w:r>
          </w:p>
        </w:tc>
        <w:tc>
          <w:tcPr>
            <w:tcW w:w="1053" w:type="pct"/>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cs="Times New Roman"/>
                <w:kern w:val="0"/>
                <w:sz w:val="18"/>
                <w:szCs w:val="18"/>
              </w:rPr>
            </w:pPr>
            <w:r>
              <w:rPr>
                <w:rFonts w:hint="default" w:ascii="Times New Roman" w:hAnsi="Times New Roman" w:cs="Times New Roman"/>
                <w:sz w:val="18"/>
                <w:szCs w:val="18"/>
              </w:rPr>
              <w:t>国统</w:t>
            </w:r>
            <w:r>
              <w:rPr>
                <w:rFonts w:hint="default" w:ascii="Times New Roman" w:hAnsi="Times New Roman" w:cs="Times New Roman"/>
                <w:spacing w:val="-16"/>
                <w:sz w:val="18"/>
                <w:szCs w:val="18"/>
              </w:rPr>
              <w:t>字</w:t>
            </w:r>
            <w:r>
              <w:rPr>
                <w:rFonts w:hint="default" w:ascii="Times New Roman" w:hAnsi="Times New Roman" w:cs="Times New Roman"/>
                <w:spacing w:val="-16"/>
                <w:sz w:val="18"/>
                <w:szCs w:val="18"/>
                <w:lang w:val="en"/>
              </w:rPr>
              <w:t>〔２０２</w:t>
            </w:r>
            <w:r>
              <w:rPr>
                <w:rFonts w:hint="eastAsia" w:ascii="宋体" w:hAnsi="宋体"/>
                <w:sz w:val="18"/>
                <w:szCs w:val="18"/>
                <w:lang w:eastAsia="zh-CN"/>
              </w:rPr>
              <w:t>４</w:t>
            </w:r>
            <w:r>
              <w:rPr>
                <w:rFonts w:hint="default" w:ascii="Times New Roman" w:hAnsi="Times New Roman" w:cs="Times New Roman"/>
                <w:spacing w:val="-16"/>
                <w:sz w:val="18"/>
                <w:szCs w:val="18"/>
                <w:lang w:val="en"/>
              </w:rPr>
              <w:t>〕</w:t>
            </w:r>
            <w:r>
              <w:rPr>
                <w:rFonts w:hint="default" w:ascii="Times New Roman" w:hAnsi="Times New Roman" w:cs="Times New Roman"/>
                <w:spacing w:val="-16"/>
                <w:sz w:val="18"/>
                <w:szCs w:val="18"/>
                <w:lang w:val="en-US" w:eastAsia="zh-CN"/>
              </w:rPr>
              <w:t>77</w:t>
            </w:r>
            <w:r>
              <w:rPr>
                <w:rFonts w:hint="default" w:ascii="Times New Roman" w:hAnsi="Times New Roman" w:cs="Times New Roman"/>
                <w:spacing w:val="-16"/>
                <w:sz w:val="18"/>
                <w:szCs w:val="18"/>
              </w:rPr>
              <w:t>号</w:t>
            </w:r>
          </w:p>
        </w:tc>
      </w:tr>
      <w:tr>
        <w:tblPrEx>
          <w:tblCellMar>
            <w:top w:w="0" w:type="dxa"/>
            <w:left w:w="108" w:type="dxa"/>
            <w:bottom w:w="0" w:type="dxa"/>
            <w:right w:w="108" w:type="dxa"/>
          </w:tblCellMar>
        </w:tblPrEx>
        <w:trPr>
          <w:jc w:val="center"/>
        </w:trPr>
        <w:tc>
          <w:tcPr>
            <w:tcW w:w="1574" w:type="pct"/>
            <w:tcBorders>
              <w:top w:val="nil"/>
              <w:left w:val="nil"/>
              <w:right w:val="nil"/>
            </w:tcBorders>
            <w:noWrap w:val="0"/>
            <w:tcMar>
              <w:left w:w="28" w:type="dxa"/>
              <w:right w:w="28" w:type="dxa"/>
            </w:tcMar>
            <w:vAlign w:val="center"/>
          </w:tcPr>
          <w:p>
            <w:pPr>
              <w:widowControl/>
              <w:adjustRightInd w:val="0"/>
              <w:snapToGrid w:val="0"/>
              <w:spacing w:line="260" w:lineRule="atLeas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单位详细名称：　</w:t>
            </w:r>
          </w:p>
        </w:tc>
        <w:tc>
          <w:tcPr>
            <w:tcW w:w="1897" w:type="pct"/>
            <w:gridSpan w:val="2"/>
            <w:tcBorders>
              <w:top w:val="nil"/>
              <w:left w:val="nil"/>
            </w:tcBorders>
            <w:noWrap/>
            <w:tcMar>
              <w:left w:w="28" w:type="dxa"/>
              <w:right w:w="28" w:type="dxa"/>
            </w:tcMar>
            <w:vAlign w:val="top"/>
          </w:tcPr>
          <w:p>
            <w:pPr>
              <w:adjustRightInd w:val="0"/>
              <w:snapToGrid w:val="0"/>
              <w:spacing w:line="260" w:lineRule="atLeast"/>
              <w:ind w:firstLine="900" w:firstLineChars="500"/>
              <w:rPr>
                <w:rFonts w:hint="default" w:ascii="Times New Roman" w:hAnsi="Times New Roman" w:cs="Times New Roman"/>
                <w:kern w:val="0"/>
                <w:sz w:val="18"/>
                <w:szCs w:val="18"/>
              </w:rPr>
            </w:pPr>
            <w:r>
              <w:rPr>
                <w:rFonts w:hint="default" w:ascii="Times New Roman" w:hAnsi="Times New Roman" w:cs="Times New Roman"/>
                <w:kern w:val="0"/>
                <w:sz w:val="18"/>
                <w:szCs w:val="18"/>
              </w:rPr>
              <w:t>２０　　年　　　月</w:t>
            </w:r>
          </w:p>
        </w:tc>
        <w:tc>
          <w:tcPr>
            <w:tcW w:w="473" w:type="pct"/>
            <w:tcBorders>
              <w:top w:val="nil"/>
              <w:left w:val="nil"/>
            </w:tcBorders>
            <w:noWrap w:val="0"/>
            <w:tcMar>
              <w:left w:w="28" w:type="dxa"/>
              <w:right w:w="28" w:type="dxa"/>
            </w:tcMar>
            <w:vAlign w:val="top"/>
          </w:tcPr>
          <w:p>
            <w:pPr>
              <w:adjustRightInd w:val="0"/>
              <w:snapToGrid w:val="0"/>
              <w:spacing w:line="260" w:lineRule="atLeast"/>
              <w:rPr>
                <w:rFonts w:hint="default" w:ascii="Times New Roman" w:hAnsi="Times New Roman" w:cs="Times New Roman"/>
                <w:kern w:val="0"/>
                <w:sz w:val="18"/>
                <w:szCs w:val="18"/>
              </w:rPr>
            </w:pPr>
            <w:r>
              <w:rPr>
                <w:rFonts w:hint="default" w:ascii="Times New Roman" w:hAnsi="Times New Roman" w:cs="Times New Roman"/>
                <w:kern w:val="0"/>
                <w:sz w:val="18"/>
                <w:szCs w:val="18"/>
              </w:rPr>
              <w:t>有效期至：</w:t>
            </w:r>
          </w:p>
        </w:tc>
        <w:tc>
          <w:tcPr>
            <w:tcW w:w="1053" w:type="pct"/>
            <w:tcBorders>
              <w:top w:val="nil"/>
              <w:left w:val="nil"/>
            </w:tcBorders>
            <w:noWrap w:val="0"/>
            <w:tcMar>
              <w:left w:w="28" w:type="dxa"/>
              <w:right w:w="28" w:type="dxa"/>
            </w:tcMar>
            <w:vAlign w:val="center"/>
          </w:tcPr>
          <w:p>
            <w:pPr>
              <w:widowControl/>
              <w:adjustRightInd w:val="0"/>
              <w:snapToGrid w:val="0"/>
              <w:spacing w:line="260" w:lineRule="atLeast"/>
              <w:jc w:val="distribute"/>
              <w:rPr>
                <w:rFonts w:hint="default" w:ascii="Times New Roman" w:hAnsi="Times New Roman" w:cs="Times New Roman"/>
                <w:kern w:val="0"/>
                <w:sz w:val="18"/>
                <w:szCs w:val="18"/>
                <w:lang w:val="en"/>
              </w:rPr>
            </w:pPr>
            <w:r>
              <w:rPr>
                <w:rFonts w:hint="default" w:ascii="Times New Roman" w:hAnsi="Times New Roman" w:cs="Times New Roman"/>
                <w:kern w:val="0"/>
                <w:sz w:val="18"/>
                <w:szCs w:val="18"/>
                <w:lang w:val="en"/>
              </w:rPr>
              <w:t>２０２</w:t>
            </w:r>
            <w:r>
              <w:rPr>
                <w:rFonts w:hint="eastAsia" w:ascii="宋体" w:hAnsi="宋体"/>
                <w:color w:val="000000"/>
                <w:sz w:val="18"/>
              </w:rPr>
              <w:t>6</w:t>
            </w:r>
            <w:r>
              <w:rPr>
                <w:rFonts w:hint="default" w:ascii="Times New Roman" w:hAnsi="Times New Roman" w:cs="Times New Roman"/>
                <w:kern w:val="0"/>
                <w:sz w:val="18"/>
                <w:szCs w:val="18"/>
                <w:lang w:val="en"/>
              </w:rPr>
              <w:t>年１月</w:t>
            </w:r>
          </w:p>
        </w:tc>
      </w:tr>
    </w:tbl>
    <w:p>
      <w:pPr>
        <w:spacing w:line="40" w:lineRule="exact"/>
        <w:rPr>
          <w:rFonts w:hint="default" w:ascii="Times New Roman" w:hAnsi="Times New Roman" w:cs="Times New Roman"/>
        </w:rPr>
      </w:pPr>
    </w:p>
    <w:tbl>
      <w:tblPr>
        <w:tblStyle w:val="31"/>
        <w:tblW w:w="9639" w:type="dxa"/>
        <w:jc w:val="center"/>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04"/>
        <w:gridCol w:w="604"/>
        <w:gridCol w:w="602"/>
        <w:gridCol w:w="602"/>
        <w:gridCol w:w="603"/>
        <w:gridCol w:w="613"/>
        <w:gridCol w:w="598"/>
        <w:gridCol w:w="613"/>
        <w:gridCol w:w="601"/>
        <w:gridCol w:w="607"/>
        <w:gridCol w:w="601"/>
        <w:gridCol w:w="609"/>
        <w:gridCol w:w="601"/>
        <w:gridCol w:w="607"/>
        <w:gridCol w:w="601"/>
        <w:gridCol w:w="573"/>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04" w:type="dxa"/>
            <w:vMerge w:val="restart"/>
            <w:tcBorders>
              <w:top w:val="single" w:color="auto" w:sz="8" w:space="0"/>
              <w:bottom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产品名称</w:t>
            </w:r>
          </w:p>
        </w:tc>
        <w:tc>
          <w:tcPr>
            <w:tcW w:w="604" w:type="dxa"/>
            <w:vMerge w:val="restart"/>
            <w:tcBorders>
              <w:top w:val="single" w:color="auto" w:sz="8" w:space="0"/>
              <w:bottom w:val="single" w:color="auto" w:sz="2" w:space="0"/>
            </w:tcBorders>
            <w:noWrap w:val="0"/>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计量单位</w:t>
            </w:r>
          </w:p>
        </w:tc>
        <w:tc>
          <w:tcPr>
            <w:tcW w:w="602" w:type="dxa"/>
            <w:vMerge w:val="restart"/>
            <w:tcBorders>
              <w:top w:val="single" w:color="auto" w:sz="8" w:space="0"/>
              <w:bottom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产品代码</w:t>
            </w:r>
          </w:p>
        </w:tc>
        <w:tc>
          <w:tcPr>
            <w:tcW w:w="602" w:type="dxa"/>
            <w:vMerge w:val="restart"/>
            <w:tcBorders>
              <w:top w:val="single" w:color="auto" w:sz="8" w:space="0"/>
              <w:bottom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年初产成品库存量</w:t>
            </w:r>
          </w:p>
        </w:tc>
        <w:tc>
          <w:tcPr>
            <w:tcW w:w="2427" w:type="dxa"/>
            <w:gridSpan w:val="4"/>
            <w:tcBorders>
              <w:top w:val="single" w:color="auto" w:sz="8" w:space="0"/>
              <w:bottom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生产量</w:t>
            </w:r>
          </w:p>
        </w:tc>
        <w:tc>
          <w:tcPr>
            <w:tcW w:w="1208" w:type="dxa"/>
            <w:gridSpan w:val="2"/>
            <w:vMerge w:val="restart"/>
            <w:tcBorders>
              <w:top w:val="single" w:color="auto" w:sz="8" w:space="0"/>
              <w:right w:val="nil"/>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销售量</w:t>
            </w:r>
          </w:p>
        </w:tc>
        <w:tc>
          <w:tcPr>
            <w:tcW w:w="1210" w:type="dxa"/>
            <w:gridSpan w:val="2"/>
            <w:tcBorders>
              <w:top w:val="single" w:color="auto" w:sz="8" w:space="0"/>
              <w:left w:val="nil"/>
              <w:bottom w:val="nil"/>
            </w:tcBorders>
            <w:noWrap w:val="0"/>
            <w:vAlign w:val="center"/>
          </w:tcPr>
          <w:p>
            <w:pPr>
              <w:widowControl/>
              <w:jc w:val="center"/>
              <w:rPr>
                <w:rFonts w:hint="default" w:ascii="Times New Roman" w:hAnsi="Times New Roman" w:cs="Times New Roman"/>
                <w:kern w:val="0"/>
                <w:sz w:val="18"/>
                <w:szCs w:val="18"/>
              </w:rPr>
            </w:pPr>
          </w:p>
        </w:tc>
        <w:tc>
          <w:tcPr>
            <w:tcW w:w="1208" w:type="dxa"/>
            <w:gridSpan w:val="2"/>
            <w:tcBorders>
              <w:top w:val="single" w:color="auto" w:sz="8" w:space="0"/>
              <w:bottom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企业自用</w:t>
            </w:r>
          </w:p>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及 其 他</w:t>
            </w:r>
          </w:p>
        </w:tc>
        <w:tc>
          <w:tcPr>
            <w:tcW w:w="1174" w:type="dxa"/>
            <w:gridSpan w:val="2"/>
            <w:tcBorders>
              <w:top w:val="single" w:color="auto" w:sz="8" w:space="0"/>
              <w:bottom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期末产成品库  存  量</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604" w:type="dxa"/>
            <w:vMerge w:val="continue"/>
            <w:tcBorders>
              <w:top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604" w:type="dxa"/>
            <w:vMerge w:val="continue"/>
            <w:tcBorders>
              <w:top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602" w:type="dxa"/>
            <w:vMerge w:val="continue"/>
            <w:tcBorders>
              <w:top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602" w:type="dxa"/>
            <w:vMerge w:val="continue"/>
            <w:tcBorders>
              <w:top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p>
        </w:tc>
        <w:tc>
          <w:tcPr>
            <w:tcW w:w="1216" w:type="dxa"/>
            <w:gridSpan w:val="2"/>
            <w:tcBorders>
              <w:top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本年</w:t>
            </w:r>
          </w:p>
        </w:tc>
        <w:tc>
          <w:tcPr>
            <w:tcW w:w="1211" w:type="dxa"/>
            <w:gridSpan w:val="2"/>
            <w:tcBorders>
              <w:top w:val="single" w:color="auto" w:sz="2" w:space="0"/>
              <w:bottom w:val="single" w:color="auto" w:sz="2" w:space="0"/>
            </w:tcBorders>
            <w:shd w:val="clear" w:color="auto" w:fill="D9D9D9"/>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上年同期</w:t>
            </w:r>
          </w:p>
        </w:tc>
        <w:tc>
          <w:tcPr>
            <w:tcW w:w="1208" w:type="dxa"/>
            <w:gridSpan w:val="2"/>
            <w:vMerge w:val="continue"/>
            <w:shd w:val="clear" w:color="auto" w:fill="auto"/>
            <w:noWrap w:val="0"/>
            <w:vAlign w:val="center"/>
          </w:tcPr>
          <w:p>
            <w:pPr>
              <w:widowControl/>
              <w:jc w:val="center"/>
              <w:rPr>
                <w:rFonts w:hint="default" w:ascii="Times New Roman" w:hAnsi="Times New Roman" w:cs="Times New Roman"/>
                <w:kern w:val="0"/>
                <w:sz w:val="18"/>
                <w:szCs w:val="18"/>
              </w:rPr>
            </w:pPr>
          </w:p>
        </w:tc>
        <w:tc>
          <w:tcPr>
            <w:tcW w:w="1210" w:type="dxa"/>
            <w:gridSpan w:val="2"/>
            <w:tcBorders>
              <w:top w:val="single" w:color="auto" w:sz="2" w:space="0"/>
              <w:bottom w:val="single" w:color="auto" w:sz="2" w:space="0"/>
            </w:tcBorders>
            <w:shd w:val="clear" w:color="auto" w:fill="auto"/>
            <w:noWrap w:val="0"/>
            <w:vAlign w:val="center"/>
          </w:tcPr>
          <w:p>
            <w:pPr>
              <w:widowControl/>
              <w:ind w:firstLine="90" w:firstLineChars="50"/>
              <w:rPr>
                <w:rFonts w:hint="default" w:ascii="Times New Roman" w:hAnsi="Times New Roman" w:cs="Times New Roman"/>
                <w:kern w:val="0"/>
                <w:sz w:val="18"/>
                <w:szCs w:val="18"/>
              </w:rPr>
            </w:pPr>
            <w:r>
              <w:rPr>
                <w:rFonts w:hint="default" w:ascii="Times New Roman" w:hAnsi="Times New Roman" w:cs="Times New Roman"/>
                <w:kern w:val="0"/>
                <w:sz w:val="18"/>
                <w:szCs w:val="18"/>
              </w:rPr>
              <w:t>其中：</w:t>
            </w:r>
          </w:p>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销往省外</w:t>
            </w:r>
          </w:p>
        </w:tc>
        <w:tc>
          <w:tcPr>
            <w:tcW w:w="601" w:type="dxa"/>
            <w:vMerge w:val="restart"/>
            <w:tcBorders>
              <w:top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p>
            <w:pPr>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本月</w:t>
            </w:r>
          </w:p>
        </w:tc>
        <w:tc>
          <w:tcPr>
            <w:tcW w:w="315" w:type="pct"/>
            <w:vMerge w:val="restart"/>
            <w:tcBorders>
              <w:top w:val="single" w:color="auto" w:sz="2" w:space="0"/>
            </w:tcBorders>
            <w:shd w:val="clear" w:color="auto" w:fill="D9D9D9"/>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上年同期</w:t>
            </w:r>
          </w:p>
        </w:tc>
        <w:tc>
          <w:tcPr>
            <w:tcW w:w="601" w:type="dxa"/>
            <w:vMerge w:val="restart"/>
            <w:tcBorders>
              <w:top w:val="single" w:color="auto" w:sz="2" w:space="0"/>
            </w:tcBorders>
            <w:shd w:val="clear" w:color="auto" w:fill="auto"/>
            <w:noWrap w:val="0"/>
            <w:vAlign w:val="center"/>
          </w:tcPr>
          <w:p>
            <w:pPr>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本期</w:t>
            </w:r>
          </w:p>
        </w:tc>
        <w:tc>
          <w:tcPr>
            <w:tcW w:w="573" w:type="dxa"/>
            <w:vMerge w:val="restart"/>
            <w:tcBorders>
              <w:top w:val="single" w:color="auto" w:sz="2" w:space="0"/>
            </w:tcBorders>
            <w:shd w:val="clear" w:color="auto" w:fill="D9D9D9"/>
            <w:noWrap w:val="0"/>
            <w:vAlign w:val="center"/>
          </w:tcPr>
          <w:p>
            <w:pPr>
              <w:widowControl/>
              <w:ind w:right="-10" w:rightChars="-5"/>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上年同期</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604" w:type="dxa"/>
            <w:vMerge w:val="continue"/>
            <w:tcBorders>
              <w:bottom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604" w:type="dxa"/>
            <w:vMerge w:val="continue"/>
            <w:tcBorders>
              <w:bottom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602" w:type="dxa"/>
            <w:vMerge w:val="continue"/>
            <w:tcBorders>
              <w:bottom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602" w:type="dxa"/>
            <w:vMerge w:val="continue"/>
            <w:tcBorders>
              <w:bottom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603" w:type="dxa"/>
            <w:tcBorders>
              <w:bottom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本月</w:t>
            </w:r>
          </w:p>
        </w:tc>
        <w:tc>
          <w:tcPr>
            <w:tcW w:w="613" w:type="dxa"/>
            <w:tcBorders>
              <w:top w:val="single" w:color="auto" w:sz="2" w:space="0"/>
              <w:bottom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本月</w:t>
            </w:r>
          </w:p>
        </w:tc>
        <w:tc>
          <w:tcPr>
            <w:tcW w:w="598" w:type="dxa"/>
            <w:tcBorders>
              <w:top w:val="single" w:color="auto" w:sz="2" w:space="0"/>
              <w:bottom w:val="single" w:color="auto" w:sz="2" w:space="0"/>
            </w:tcBorders>
            <w:shd w:val="clear" w:color="auto" w:fill="D9D9D9"/>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本月</w:t>
            </w:r>
          </w:p>
        </w:tc>
        <w:tc>
          <w:tcPr>
            <w:tcW w:w="613" w:type="dxa"/>
            <w:tcBorders>
              <w:top w:val="single" w:color="auto" w:sz="2" w:space="0"/>
              <w:bottom w:val="single" w:color="auto" w:sz="2" w:space="0"/>
            </w:tcBorders>
            <w:shd w:val="clear" w:color="auto" w:fill="D9D9D9"/>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本月</w:t>
            </w:r>
          </w:p>
        </w:tc>
        <w:tc>
          <w:tcPr>
            <w:tcW w:w="601" w:type="dxa"/>
            <w:tcBorders>
              <w:bottom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本月</w:t>
            </w:r>
          </w:p>
        </w:tc>
        <w:tc>
          <w:tcPr>
            <w:tcW w:w="0" w:type="dxa"/>
            <w:tcBorders>
              <w:bottom w:val="single" w:color="auto" w:sz="2" w:space="0"/>
            </w:tcBorders>
            <w:shd w:val="clear" w:color="auto" w:fill="D9D9D9"/>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上年同期</w:t>
            </w:r>
          </w:p>
        </w:tc>
        <w:tc>
          <w:tcPr>
            <w:tcW w:w="601" w:type="dxa"/>
            <w:tcBorders>
              <w:bottom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本月</w:t>
            </w:r>
          </w:p>
        </w:tc>
        <w:tc>
          <w:tcPr>
            <w:tcW w:w="609" w:type="dxa"/>
            <w:tcBorders>
              <w:top w:val="single" w:color="auto" w:sz="2" w:space="0"/>
              <w:bottom w:val="single" w:color="auto" w:sz="2" w:space="0"/>
            </w:tcBorders>
            <w:shd w:val="clear" w:color="auto" w:fill="D9D9D9"/>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上年同期</w:t>
            </w:r>
          </w:p>
        </w:tc>
        <w:tc>
          <w:tcPr>
            <w:tcW w:w="601" w:type="dxa"/>
            <w:vMerge w:val="continue"/>
            <w:tcBorders>
              <w:bottom w:val="single" w:color="auto" w:sz="2" w:space="0"/>
            </w:tcBorders>
            <w:shd w:val="clear" w:color="auto" w:fill="auto"/>
            <w:noWrap w:val="0"/>
            <w:vAlign w:val="center"/>
          </w:tcPr>
          <w:p>
            <w:pPr>
              <w:jc w:val="left"/>
              <w:rPr>
                <w:rFonts w:hint="default" w:ascii="Times New Roman" w:hAnsi="Times New Roman" w:cs="Times New Roman"/>
                <w:kern w:val="0"/>
                <w:sz w:val="18"/>
                <w:szCs w:val="18"/>
              </w:rPr>
            </w:pPr>
          </w:p>
        </w:tc>
        <w:tc>
          <w:tcPr>
            <w:tcW w:w="607" w:type="dxa"/>
            <w:vMerge w:val="continue"/>
            <w:tcBorders>
              <w:bottom w:val="single" w:color="auto" w:sz="2" w:space="0"/>
            </w:tcBorders>
            <w:shd w:val="clear" w:color="auto" w:fill="D9D9D9"/>
            <w:noWrap w:val="0"/>
            <w:vAlign w:val="center"/>
          </w:tcPr>
          <w:p>
            <w:pPr>
              <w:widowControl/>
              <w:jc w:val="left"/>
              <w:rPr>
                <w:rFonts w:hint="default" w:ascii="Times New Roman" w:hAnsi="Times New Roman" w:cs="Times New Roman"/>
                <w:kern w:val="0"/>
                <w:sz w:val="18"/>
                <w:szCs w:val="18"/>
              </w:rPr>
            </w:pPr>
          </w:p>
        </w:tc>
        <w:tc>
          <w:tcPr>
            <w:tcW w:w="601" w:type="dxa"/>
            <w:vMerge w:val="continue"/>
            <w:tcBorders>
              <w:bottom w:val="single" w:color="auto" w:sz="2" w:space="0"/>
            </w:tcBorders>
            <w:shd w:val="clear" w:color="auto" w:fill="auto"/>
            <w:noWrap w:val="0"/>
            <w:vAlign w:val="center"/>
          </w:tcPr>
          <w:p>
            <w:pPr>
              <w:jc w:val="left"/>
              <w:rPr>
                <w:rFonts w:hint="default" w:ascii="Times New Roman" w:hAnsi="Times New Roman" w:cs="Times New Roman"/>
                <w:kern w:val="0"/>
                <w:sz w:val="18"/>
                <w:szCs w:val="18"/>
              </w:rPr>
            </w:pPr>
          </w:p>
        </w:tc>
        <w:tc>
          <w:tcPr>
            <w:tcW w:w="573" w:type="dxa"/>
            <w:vMerge w:val="continue"/>
            <w:tcBorders>
              <w:bottom w:val="single" w:color="auto" w:sz="2" w:space="0"/>
            </w:tcBorders>
            <w:shd w:val="clear" w:color="auto" w:fill="D9D9D9"/>
            <w:noWrap w:val="0"/>
            <w:vAlign w:val="center"/>
          </w:tcPr>
          <w:p>
            <w:pPr>
              <w:widowControl/>
              <w:jc w:val="left"/>
              <w:rPr>
                <w:rFonts w:hint="default" w:ascii="Times New Roman" w:hAnsi="Times New Roman" w:cs="Times New Roman"/>
                <w:kern w:val="0"/>
                <w:sz w:val="18"/>
                <w:szCs w:val="18"/>
              </w:rPr>
            </w:pP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604"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甲</w:t>
            </w:r>
          </w:p>
        </w:tc>
        <w:tc>
          <w:tcPr>
            <w:tcW w:w="604"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乙</w:t>
            </w:r>
          </w:p>
        </w:tc>
        <w:tc>
          <w:tcPr>
            <w:tcW w:w="602"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丙</w:t>
            </w:r>
          </w:p>
        </w:tc>
        <w:tc>
          <w:tcPr>
            <w:tcW w:w="602"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603"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613"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598" w:type="dxa"/>
            <w:tcBorders>
              <w:top w:val="single" w:color="auto" w:sz="2" w:space="0"/>
              <w:bottom w:val="single" w:color="auto" w:sz="2" w:space="0"/>
            </w:tcBorders>
            <w:shd w:val="clear" w:color="auto" w:fill="D9D9D9"/>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w:t>
            </w:r>
          </w:p>
        </w:tc>
        <w:tc>
          <w:tcPr>
            <w:tcW w:w="613" w:type="dxa"/>
            <w:tcBorders>
              <w:top w:val="single" w:color="auto" w:sz="2" w:space="0"/>
              <w:bottom w:val="single" w:color="auto" w:sz="2" w:space="0"/>
            </w:tcBorders>
            <w:shd w:val="clear" w:color="auto" w:fill="D9D9D9"/>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601"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w:t>
            </w:r>
          </w:p>
        </w:tc>
        <w:tc>
          <w:tcPr>
            <w:tcW w:w="0" w:type="dxa"/>
            <w:tcBorders>
              <w:top w:val="single" w:color="auto" w:sz="2" w:space="0"/>
              <w:bottom w:val="single" w:color="auto" w:sz="2" w:space="0"/>
            </w:tcBorders>
            <w:shd w:val="clear" w:color="auto" w:fill="D9D9D9"/>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601"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609" w:type="dxa"/>
            <w:tcBorders>
              <w:top w:val="single" w:color="auto" w:sz="2" w:space="0"/>
              <w:bottom w:val="single" w:color="auto" w:sz="2" w:space="0"/>
            </w:tcBorders>
            <w:shd w:val="clear" w:color="auto" w:fill="D9D9D9"/>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9</w:t>
            </w:r>
          </w:p>
        </w:tc>
        <w:tc>
          <w:tcPr>
            <w:tcW w:w="601"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607" w:type="dxa"/>
            <w:tcBorders>
              <w:top w:val="single" w:color="auto" w:sz="2" w:space="0"/>
              <w:bottom w:val="single" w:color="auto" w:sz="2" w:space="0"/>
            </w:tcBorders>
            <w:shd w:val="clear" w:color="auto" w:fill="D9D9D9"/>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601" w:type="dxa"/>
            <w:tcBorders>
              <w:top w:val="single" w:color="auto" w:sz="2" w:space="0"/>
              <w:bottom w:val="single" w:color="auto" w:sz="2" w:space="0"/>
            </w:tcBorders>
            <w:shd w:val="clear" w:color="auto" w:fill="auto"/>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573" w:type="dxa"/>
            <w:tcBorders>
              <w:top w:val="single" w:color="auto" w:sz="2" w:space="0"/>
              <w:bottom w:val="single" w:color="auto" w:sz="2" w:space="0"/>
            </w:tcBorders>
            <w:shd w:val="clear" w:color="auto" w:fill="D9D9D9"/>
            <w:noWrap w:val="0"/>
            <w:vAlign w:val="center"/>
          </w:tcPr>
          <w:p>
            <w:pPr>
              <w:widowControl/>
              <w:spacing w:line="240" w:lineRule="exac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604" w:type="dxa"/>
            <w:tcBorders>
              <w:top w:val="single" w:color="auto" w:sz="2" w:space="0"/>
              <w:bottom w:val="single" w:color="auto" w:sz="8" w:space="0"/>
            </w:tcBorders>
            <w:noWrap w:val="0"/>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04" w:type="dxa"/>
            <w:tcBorders>
              <w:top w:val="single" w:color="auto" w:sz="2" w:space="0"/>
              <w:bottom w:val="single" w:color="auto" w:sz="8"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02" w:type="dxa"/>
            <w:tcBorders>
              <w:top w:val="single" w:color="auto" w:sz="2" w:space="0"/>
              <w:bottom w:val="single" w:color="auto" w:sz="8"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7829" w:type="dxa"/>
            <w:gridSpan w:val="13"/>
            <w:tcBorders>
              <w:top w:val="single" w:color="auto" w:sz="2" w:space="0"/>
              <w:bottom w:val="single" w:color="auto" w:sz="8"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bl>
    <w:p>
      <w:pPr>
        <w:spacing w:line="20" w:lineRule="exact"/>
        <w:jc w:val="center"/>
        <w:rPr>
          <w:rFonts w:hint="default" w:ascii="Times New Roman" w:hAnsi="Times New Roman" w:cs="Times New Roman"/>
          <w:bCs/>
          <w:kern w:val="0"/>
          <w:sz w:val="18"/>
          <w:szCs w:val="18"/>
        </w:rPr>
      </w:pPr>
    </w:p>
    <w:p>
      <w:pPr>
        <w:tabs>
          <w:tab w:val="left" w:pos="5430"/>
        </w:tabs>
        <w:adjustRightInd w:val="0"/>
        <w:ind w:left="839" w:right="-38" w:rightChars="-18" w:hanging="838" w:hangingChars="466"/>
        <w:rPr>
          <w:rFonts w:hint="default" w:ascii="Times New Roman" w:hAnsi="Times New Roman" w:cs="Times New Roman"/>
          <w:sz w:val="18"/>
          <w:szCs w:val="18"/>
        </w:rPr>
      </w:pPr>
      <w:r>
        <w:rPr>
          <w:rFonts w:hint="default" w:ascii="Times New Roman" w:hAnsi="Times New Roman" w:cs="Times New Roman"/>
          <w:sz w:val="18"/>
          <w:szCs w:val="18"/>
        </w:rPr>
        <w:t>单位负责人：　　    　统计负责人：　       　填表人：　　　  联系电话：       　报出日期：２０  年　月  日</w:t>
      </w:r>
    </w:p>
    <w:p>
      <w:pPr>
        <w:rPr>
          <w:rFonts w:hint="default" w:ascii="Times New Roman" w:hAnsi="Times New Roman" w:cs="Times New Roman"/>
          <w:sz w:val="18"/>
          <w:szCs w:val="18"/>
        </w:rPr>
      </w:pPr>
    </w:p>
    <w:p>
      <w:pPr>
        <w:spacing w:line="280" w:lineRule="exact"/>
        <w:ind w:left="1548" w:hanging="1548" w:hangingChars="860"/>
        <w:textAlignment w:val="center"/>
        <w:rPr>
          <w:rFonts w:hint="default" w:ascii="Times New Roman" w:hAnsi="Times New Roman" w:cs="Times New Roman"/>
          <w:sz w:val="18"/>
          <w:szCs w:val="18"/>
        </w:rPr>
      </w:pPr>
      <w:r>
        <w:rPr>
          <w:rFonts w:hint="default" w:ascii="Times New Roman" w:hAnsi="Times New Roman" w:cs="Times New Roman"/>
          <w:sz w:val="18"/>
          <w:szCs w:val="18"/>
        </w:rPr>
        <w:t>说明：1.统计范围：辖区内规模以上服务业重点法人单位。</w:t>
      </w:r>
    </w:p>
    <w:p>
      <w:pPr>
        <w:keepNext w:val="0"/>
        <w:keepLines w:val="0"/>
        <w:pageBreakBefore w:val="0"/>
        <w:widowControl w:val="0"/>
        <w:kinsoku/>
        <w:wordWrap/>
        <w:overflowPunct/>
        <w:topLinePunct w:val="0"/>
        <w:autoSpaceDE/>
        <w:autoSpaceDN/>
        <w:bidi w:val="0"/>
        <w:adjustRightInd/>
        <w:snapToGrid/>
        <w:spacing w:line="280" w:lineRule="exact"/>
        <w:ind w:left="2160" w:leftChars="257" w:hanging="1620" w:hangingChars="900"/>
        <w:textAlignment w:val="center"/>
        <w:rPr>
          <w:rFonts w:hint="default" w:ascii="Times New Roman" w:hAnsi="Times New Roman" w:cs="Times New Roman"/>
          <w:sz w:val="18"/>
          <w:szCs w:val="18"/>
        </w:rPr>
      </w:pPr>
      <w:r>
        <w:rPr>
          <w:rFonts w:hint="default" w:ascii="Times New Roman" w:hAnsi="Times New Roman" w:cs="Times New Roman"/>
          <w:sz w:val="18"/>
          <w:szCs w:val="18"/>
        </w:rPr>
        <w:t>2.报送日期及方式：</w:t>
      </w:r>
      <w:r>
        <w:rPr>
          <w:rFonts w:hint="default" w:ascii="Times New Roman" w:hAnsi="Times New Roman" w:eastAsia="宋体" w:cs="Times New Roman"/>
          <w:sz w:val="18"/>
          <w:szCs w:val="18"/>
        </w:rPr>
        <w:t>调查单位2、5、6、7、8、10、11月月后7日，</w:t>
      </w:r>
      <w:r>
        <w:rPr>
          <w:rFonts w:hint="default" w:ascii="Times New Roman" w:hAnsi="Times New Roman" w:eastAsia="7" w:cs="Times New Roman"/>
          <w:sz w:val="18"/>
          <w:szCs w:val="18"/>
        </w:rPr>
        <w:t>3</w:t>
      </w:r>
      <w:r>
        <w:rPr>
          <w:rFonts w:hint="default" w:ascii="Times New Roman" w:hAnsi="Times New Roman" w:eastAsia="宋体" w:cs="Times New Roman"/>
          <w:sz w:val="18"/>
          <w:szCs w:val="18"/>
        </w:rPr>
        <w:t>月月后</w:t>
      </w:r>
      <w:r>
        <w:rPr>
          <w:rFonts w:hint="default" w:ascii="Times New Roman" w:hAnsi="Times New Roman" w:eastAsia="宋体" w:cs="Times New Roman"/>
          <w:b w:val="0"/>
          <w:bCs w:val="0"/>
          <w:sz w:val="18"/>
          <w:szCs w:val="18"/>
        </w:rPr>
        <w:t>8</w:t>
      </w:r>
      <w:r>
        <w:rPr>
          <w:rFonts w:hint="default" w:ascii="Times New Roman" w:hAnsi="Times New Roman" w:eastAsia="宋体" w:cs="Times New Roman"/>
          <w:sz w:val="18"/>
          <w:szCs w:val="18"/>
        </w:rPr>
        <w:t>日，4、12月月后9日12：00，9月月后11日18:00前独立自行网上填报，1月免报；</w:t>
      </w:r>
      <w:r>
        <w:rPr>
          <w:rFonts w:hint="default" w:ascii="Times New Roman" w:hAnsi="Times New Roman" w:eastAsia="宋体" w:cs="Times New Roman"/>
          <w:kern w:val="0"/>
          <w:sz w:val="18"/>
          <w:szCs w:val="18"/>
        </w:rPr>
        <w:t>各区统计机构按“</w:t>
      </w:r>
      <w:r>
        <w:rPr>
          <w:rFonts w:hint="default" w:ascii="Times New Roman" w:hAnsi="Times New Roman" w:eastAsia="宋体" w:cs="Times New Roman"/>
          <w:kern w:val="0"/>
          <w:sz w:val="18"/>
          <w:szCs w:val="18"/>
          <w:lang w:eastAsia="zh-CN"/>
        </w:rPr>
        <w:t>统计云工作</w:t>
      </w:r>
      <w:r>
        <w:rPr>
          <w:rFonts w:hint="default" w:ascii="Times New Roman" w:hAnsi="Times New Roman" w:eastAsia="宋体" w:cs="Times New Roman"/>
          <w:kern w:val="0"/>
          <w:sz w:val="18"/>
          <w:szCs w:val="18"/>
        </w:rPr>
        <w:t>台”规定时间</w:t>
      </w:r>
      <w:r>
        <w:rPr>
          <w:rFonts w:hint="default" w:ascii="Times New Roman" w:hAnsi="Times New Roman" w:cs="Times New Roman"/>
          <w:spacing w:val="-4"/>
          <w:sz w:val="18"/>
          <w:szCs w:val="18"/>
        </w:rPr>
        <w:t>完成数据审核、验收、上报</w:t>
      </w:r>
      <w:r>
        <w:rPr>
          <w:rFonts w:hint="default" w:ascii="Times New Roman" w:hAnsi="Times New Roman" w:cs="Times New Roman"/>
          <w:sz w:val="18"/>
          <w:szCs w:val="18"/>
        </w:rPr>
        <w:t>。</w:t>
      </w:r>
    </w:p>
    <w:p>
      <w:pPr>
        <w:spacing w:line="280" w:lineRule="exact"/>
        <w:ind w:left="2160" w:leftChars="257" w:hanging="1620" w:hangingChars="900"/>
        <w:textAlignment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w:t>
      </w:r>
      <w:r>
        <w:rPr>
          <w:rFonts w:hint="default" w:ascii="Times New Roman" w:hAnsi="Times New Roman" w:cs="Times New Roman"/>
          <w:sz w:val="18"/>
          <w:szCs w:val="18"/>
        </w:rPr>
        <w:t>本表甲栏下按《能源生产、销售与库存目录》填报。</w:t>
      </w:r>
    </w:p>
    <w:p>
      <w:pPr>
        <w:tabs>
          <w:tab w:val="left" w:pos="5430"/>
        </w:tabs>
        <w:adjustRightInd w:val="0"/>
        <w:spacing w:line="280" w:lineRule="exact"/>
        <w:ind w:left="651" w:leftChars="250" w:hanging="126" w:hangingChars="70"/>
        <w:textAlignment w:val="center"/>
        <w:rPr>
          <w:rFonts w:hint="default" w:ascii="Times New Roman" w:hAnsi="Times New Roman" w:cs="Times New Roman"/>
          <w:sz w:val="18"/>
          <w:szCs w:val="18"/>
        </w:rPr>
      </w:pPr>
      <w:r>
        <w:rPr>
          <w:rFonts w:hint="default" w:ascii="Times New Roman" w:hAnsi="Times New Roman" w:cs="Times New Roman"/>
          <w:bCs/>
          <w:kern w:val="0"/>
          <w:sz w:val="18"/>
          <w:szCs w:val="18"/>
        </w:rPr>
        <w:t>4.</w:t>
      </w:r>
      <w:r>
        <w:rPr>
          <w:rFonts w:hint="default" w:ascii="Times New Roman" w:hAnsi="Times New Roman" w:cs="Times New Roman"/>
          <w:sz w:val="18"/>
          <w:szCs w:val="18"/>
        </w:rPr>
        <w:t>本表中“上年同期”数据统一由国家统计局在数据处理软件中复制；本年新增的调查单位自行填报“上年同期”数据；涉及兼并、重组等情况的企业，经国家统计局批准后，调查单位可调整同期数；本年新增指标的同期数由调查单位自行填报。</w:t>
      </w:r>
    </w:p>
    <w:p>
      <w:pPr>
        <w:tabs>
          <w:tab w:val="left" w:pos="5430"/>
        </w:tabs>
        <w:adjustRightInd w:val="0"/>
        <w:spacing w:line="280" w:lineRule="exact"/>
        <w:ind w:left="651" w:leftChars="250" w:hanging="126" w:hangingChars="70"/>
        <w:textAlignment w:val="center"/>
        <w:rPr>
          <w:rFonts w:hint="default" w:ascii="Times New Roman" w:hAnsi="Times New Roman" w:cs="Times New Roman"/>
          <w:sz w:val="18"/>
          <w:szCs w:val="18"/>
        </w:rPr>
      </w:pPr>
      <w:r>
        <w:rPr>
          <w:rFonts w:hint="default" w:ascii="Times New Roman" w:hAnsi="Times New Roman" w:cs="Times New Roman"/>
          <w:sz w:val="18"/>
          <w:szCs w:val="18"/>
        </w:rPr>
        <w:t>5.几种能源产品重量单位与容积单位的换算关系：</w:t>
      </w:r>
    </w:p>
    <w:p>
      <w:pPr>
        <w:tabs>
          <w:tab w:val="left" w:pos="5430"/>
        </w:tabs>
        <w:adjustRightInd w:val="0"/>
        <w:spacing w:line="280" w:lineRule="exact"/>
        <w:ind w:firstLine="666" w:firstLineChars="370"/>
        <w:textAlignment w:val="center"/>
        <w:rPr>
          <w:rFonts w:hint="default" w:ascii="Times New Roman" w:hAnsi="Times New Roman" w:cs="Times New Roman"/>
          <w:sz w:val="18"/>
          <w:szCs w:val="18"/>
        </w:rPr>
      </w:pPr>
      <w:r>
        <w:rPr>
          <w:rFonts w:hint="default" w:ascii="Times New Roman" w:hAnsi="Times New Roman" w:cs="Times New Roman"/>
          <w:sz w:val="18"/>
          <w:szCs w:val="18"/>
        </w:rPr>
        <w:t>(1)氢  气：1立方米</w:t>
      </w:r>
      <w:r>
        <w:rPr>
          <w:rFonts w:hint="default" w:ascii="Times New Roman" w:hAnsi="Times New Roman" w:cs="Times New Roman"/>
          <w:sz w:val="18"/>
          <w:szCs w:val="18"/>
          <w:lang w:val="en"/>
        </w:rPr>
        <w:t>≈</w:t>
      </w:r>
      <w:r>
        <w:rPr>
          <w:rFonts w:hint="default" w:ascii="Times New Roman" w:hAnsi="Times New Roman" w:cs="Times New Roman"/>
          <w:sz w:val="18"/>
          <w:szCs w:val="18"/>
        </w:rPr>
        <w:t>0.0899千克，1千克</w:t>
      </w:r>
      <w:r>
        <w:rPr>
          <w:rFonts w:hint="default" w:ascii="Times New Roman" w:hAnsi="Times New Roman" w:cs="Times New Roman"/>
          <w:sz w:val="18"/>
          <w:szCs w:val="18"/>
          <w:lang w:val="en"/>
        </w:rPr>
        <w:t>≈</w:t>
      </w:r>
      <w:r>
        <w:rPr>
          <w:rFonts w:hint="default" w:ascii="Times New Roman" w:hAnsi="Times New Roman" w:cs="Times New Roman"/>
          <w:sz w:val="18"/>
          <w:szCs w:val="18"/>
        </w:rPr>
        <w:t>11.1235立方米</w:t>
      </w:r>
    </w:p>
    <w:p>
      <w:pPr>
        <w:tabs>
          <w:tab w:val="left" w:pos="5430"/>
        </w:tabs>
        <w:adjustRightInd w:val="0"/>
        <w:spacing w:line="280" w:lineRule="exact"/>
        <w:ind w:firstLine="666" w:firstLineChars="370"/>
        <w:textAlignment w:val="center"/>
        <w:rPr>
          <w:rFonts w:hint="default" w:ascii="Times New Roman" w:hAnsi="Times New Roman" w:cs="Times New Roman"/>
          <w:sz w:val="18"/>
          <w:szCs w:val="18"/>
        </w:rPr>
      </w:pPr>
      <w:r>
        <w:rPr>
          <w:rFonts w:hint="default" w:ascii="Times New Roman" w:hAnsi="Times New Roman" w:cs="Times New Roman"/>
          <w:sz w:val="18"/>
          <w:szCs w:val="18"/>
        </w:rPr>
        <w:t>(2)汽  油：1升</w:t>
      </w:r>
      <w:r>
        <w:rPr>
          <w:rFonts w:hint="default" w:ascii="Times New Roman" w:hAnsi="Times New Roman" w:cs="Times New Roman"/>
          <w:sz w:val="18"/>
          <w:szCs w:val="18"/>
          <w:lang w:val="en"/>
        </w:rPr>
        <w:t>≈</w:t>
      </w:r>
      <w:r>
        <w:rPr>
          <w:rFonts w:hint="default" w:ascii="Times New Roman" w:hAnsi="Times New Roman" w:cs="Times New Roman"/>
          <w:sz w:val="18"/>
          <w:szCs w:val="18"/>
        </w:rPr>
        <w:t>0.73千克，1千克</w:t>
      </w:r>
      <w:r>
        <w:rPr>
          <w:rFonts w:hint="default" w:ascii="Times New Roman" w:hAnsi="Times New Roman" w:cs="Times New Roman"/>
          <w:sz w:val="18"/>
          <w:szCs w:val="18"/>
          <w:lang w:val="en"/>
        </w:rPr>
        <w:t>≈</w:t>
      </w:r>
      <w:r>
        <w:rPr>
          <w:rFonts w:hint="default" w:ascii="Times New Roman" w:hAnsi="Times New Roman" w:cs="Times New Roman"/>
          <w:sz w:val="18"/>
          <w:szCs w:val="18"/>
        </w:rPr>
        <w:t>1.3699升</w:t>
      </w:r>
    </w:p>
    <w:p>
      <w:pPr>
        <w:tabs>
          <w:tab w:val="left" w:pos="5430"/>
        </w:tabs>
        <w:adjustRightInd w:val="0"/>
        <w:spacing w:line="280" w:lineRule="exact"/>
        <w:ind w:firstLine="666" w:firstLineChars="370"/>
        <w:textAlignment w:val="center"/>
        <w:rPr>
          <w:rFonts w:hint="default" w:ascii="Times New Roman" w:hAnsi="Times New Roman" w:cs="Times New Roman"/>
          <w:sz w:val="18"/>
          <w:szCs w:val="18"/>
        </w:rPr>
      </w:pPr>
      <w:r>
        <w:rPr>
          <w:rFonts w:hint="default" w:ascii="Times New Roman" w:hAnsi="Times New Roman" w:cs="Times New Roman"/>
          <w:sz w:val="18"/>
          <w:szCs w:val="18"/>
        </w:rPr>
        <w:t>(3)重柴油：1升</w:t>
      </w:r>
      <w:r>
        <w:rPr>
          <w:rFonts w:hint="default" w:ascii="Times New Roman" w:hAnsi="Times New Roman" w:cs="Times New Roman"/>
          <w:sz w:val="18"/>
          <w:szCs w:val="18"/>
          <w:lang w:val="en"/>
        </w:rPr>
        <w:t>≈</w:t>
      </w:r>
      <w:r>
        <w:rPr>
          <w:rFonts w:hint="default" w:ascii="Times New Roman" w:hAnsi="Times New Roman" w:cs="Times New Roman"/>
          <w:sz w:val="18"/>
          <w:szCs w:val="18"/>
        </w:rPr>
        <w:t>0.92千克，1千克</w:t>
      </w:r>
      <w:r>
        <w:rPr>
          <w:rFonts w:hint="default" w:ascii="Times New Roman" w:hAnsi="Times New Roman" w:cs="Times New Roman"/>
          <w:sz w:val="18"/>
          <w:szCs w:val="18"/>
          <w:lang w:val="en"/>
        </w:rPr>
        <w:t>≈</w:t>
      </w:r>
      <w:r>
        <w:rPr>
          <w:rFonts w:hint="default" w:ascii="Times New Roman" w:hAnsi="Times New Roman" w:cs="Times New Roman"/>
          <w:sz w:val="18"/>
          <w:szCs w:val="18"/>
        </w:rPr>
        <w:t>1.0870升</w:t>
      </w:r>
    </w:p>
    <w:p>
      <w:pPr>
        <w:tabs>
          <w:tab w:val="left" w:pos="5430"/>
        </w:tabs>
        <w:adjustRightInd w:val="0"/>
        <w:spacing w:line="280" w:lineRule="exact"/>
        <w:ind w:firstLine="666" w:firstLineChars="370"/>
        <w:textAlignment w:val="center"/>
        <w:rPr>
          <w:rFonts w:hint="default" w:ascii="Times New Roman" w:hAnsi="Times New Roman" w:cs="Times New Roman"/>
          <w:sz w:val="18"/>
          <w:szCs w:val="18"/>
        </w:rPr>
      </w:pPr>
      <w:r>
        <w:rPr>
          <w:rFonts w:hint="default" w:ascii="Times New Roman" w:hAnsi="Times New Roman" w:cs="Times New Roman"/>
          <w:sz w:val="18"/>
          <w:szCs w:val="18"/>
        </w:rPr>
        <w:t>(4)轻柴油：1升</w:t>
      </w:r>
      <w:r>
        <w:rPr>
          <w:rFonts w:hint="default" w:ascii="Times New Roman" w:hAnsi="Times New Roman" w:cs="Times New Roman"/>
          <w:sz w:val="18"/>
          <w:szCs w:val="18"/>
          <w:lang w:val="en"/>
        </w:rPr>
        <w:t>≈</w:t>
      </w:r>
      <w:r>
        <w:rPr>
          <w:rFonts w:hint="default" w:ascii="Times New Roman" w:hAnsi="Times New Roman" w:cs="Times New Roman"/>
          <w:sz w:val="18"/>
          <w:szCs w:val="18"/>
        </w:rPr>
        <w:t>0.86千克，1千克</w:t>
      </w:r>
      <w:r>
        <w:rPr>
          <w:rFonts w:hint="default" w:ascii="Times New Roman" w:hAnsi="Times New Roman" w:cs="Times New Roman"/>
          <w:sz w:val="18"/>
          <w:szCs w:val="18"/>
          <w:lang w:val="en"/>
        </w:rPr>
        <w:t>≈</w:t>
      </w:r>
      <w:r>
        <w:rPr>
          <w:rFonts w:hint="default" w:ascii="Times New Roman" w:hAnsi="Times New Roman" w:cs="Times New Roman"/>
          <w:sz w:val="18"/>
          <w:szCs w:val="18"/>
        </w:rPr>
        <w:t>1.1628升</w:t>
      </w:r>
    </w:p>
    <w:p>
      <w:pPr>
        <w:tabs>
          <w:tab w:val="left" w:pos="5430"/>
        </w:tabs>
        <w:adjustRightInd w:val="0"/>
        <w:spacing w:line="280" w:lineRule="exact"/>
        <w:ind w:firstLine="666" w:firstLineChars="370"/>
        <w:textAlignment w:val="center"/>
        <w:rPr>
          <w:rFonts w:hint="default" w:ascii="Times New Roman" w:hAnsi="Times New Roman" w:cs="Times New Roman"/>
          <w:sz w:val="18"/>
          <w:szCs w:val="18"/>
        </w:rPr>
      </w:pPr>
      <w:r>
        <w:rPr>
          <w:rFonts w:hint="default" w:ascii="Times New Roman" w:hAnsi="Times New Roman" w:cs="Times New Roman"/>
          <w:sz w:val="18"/>
          <w:szCs w:val="18"/>
        </w:rPr>
        <w:t>(5)煤  油：1升</w:t>
      </w:r>
      <w:r>
        <w:rPr>
          <w:rFonts w:hint="default" w:ascii="Times New Roman" w:hAnsi="Times New Roman" w:cs="Times New Roman"/>
          <w:sz w:val="18"/>
          <w:szCs w:val="18"/>
          <w:lang w:val="en"/>
        </w:rPr>
        <w:t>≈</w:t>
      </w:r>
      <w:r>
        <w:rPr>
          <w:rFonts w:hint="default" w:ascii="Times New Roman" w:hAnsi="Times New Roman" w:cs="Times New Roman"/>
          <w:sz w:val="18"/>
          <w:szCs w:val="18"/>
        </w:rPr>
        <w:t>0.82千克，1千克</w:t>
      </w:r>
      <w:r>
        <w:rPr>
          <w:rFonts w:hint="default" w:ascii="Times New Roman" w:hAnsi="Times New Roman" w:cs="Times New Roman"/>
          <w:sz w:val="18"/>
          <w:szCs w:val="18"/>
          <w:lang w:val="en"/>
        </w:rPr>
        <w:t>≈</w:t>
      </w:r>
      <w:r>
        <w:rPr>
          <w:rFonts w:hint="default" w:ascii="Times New Roman" w:hAnsi="Times New Roman" w:cs="Times New Roman"/>
          <w:sz w:val="18"/>
          <w:szCs w:val="18"/>
        </w:rPr>
        <w:t>1.2195升</w:t>
      </w:r>
    </w:p>
    <w:p>
      <w:pPr>
        <w:tabs>
          <w:tab w:val="left" w:pos="5430"/>
        </w:tabs>
        <w:adjustRightInd w:val="0"/>
        <w:spacing w:line="280" w:lineRule="exact"/>
        <w:ind w:firstLine="666" w:firstLineChars="370"/>
        <w:textAlignment w:val="center"/>
        <w:rPr>
          <w:rFonts w:hint="default" w:ascii="Times New Roman" w:hAnsi="Times New Roman" w:cs="Times New Roman"/>
          <w:sz w:val="18"/>
          <w:szCs w:val="18"/>
        </w:rPr>
      </w:pPr>
      <w:r>
        <w:rPr>
          <w:rFonts w:hint="default" w:ascii="Times New Roman" w:hAnsi="Times New Roman" w:cs="Times New Roman"/>
          <w:sz w:val="18"/>
          <w:szCs w:val="18"/>
        </w:rPr>
        <w:t>(6)燃料油：1升</w:t>
      </w:r>
      <w:r>
        <w:rPr>
          <w:rFonts w:hint="default" w:ascii="Times New Roman" w:hAnsi="Times New Roman" w:cs="Times New Roman"/>
          <w:sz w:val="18"/>
          <w:szCs w:val="18"/>
          <w:lang w:val="en"/>
        </w:rPr>
        <w:t>≈</w:t>
      </w:r>
      <w:r>
        <w:rPr>
          <w:rFonts w:hint="default" w:ascii="Times New Roman" w:hAnsi="Times New Roman" w:cs="Times New Roman"/>
          <w:sz w:val="18"/>
          <w:szCs w:val="18"/>
        </w:rPr>
        <w:t>0.91千克，1千克</w:t>
      </w:r>
      <w:r>
        <w:rPr>
          <w:rFonts w:hint="default" w:ascii="Times New Roman" w:hAnsi="Times New Roman" w:cs="Times New Roman"/>
          <w:sz w:val="18"/>
          <w:szCs w:val="18"/>
          <w:lang w:val="en"/>
        </w:rPr>
        <w:t>≈</w:t>
      </w:r>
      <w:r>
        <w:rPr>
          <w:rFonts w:hint="default" w:ascii="Times New Roman" w:hAnsi="Times New Roman" w:cs="Times New Roman"/>
          <w:sz w:val="18"/>
          <w:szCs w:val="18"/>
        </w:rPr>
        <w:t>1.0990升</w:t>
      </w:r>
    </w:p>
    <w:p>
      <w:pPr>
        <w:spacing w:line="240" w:lineRule="exact"/>
        <w:ind w:left="2430" w:leftChars="257" w:hanging="1890" w:hangingChars="90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2"/>
        <w:rPr>
          <w:rFonts w:hint="default" w:ascii="Times New Roman" w:hAnsi="Times New Roman" w:cs="Times New Roman"/>
          <w:sz w:val="32"/>
        </w:rPr>
      </w:pPr>
      <w:r>
        <w:rPr>
          <w:rFonts w:hint="default" w:ascii="Times New Roman" w:hAnsi="Times New Roman" w:eastAsia="仿宋_GB2312" w:cs="Times New Roman"/>
          <w:sz w:val="30"/>
          <w:szCs w:val="30"/>
        </w:rPr>
        <w:br w:type="page"/>
      </w:r>
      <w:r>
        <w:rPr>
          <w:rFonts w:hint="default" w:ascii="Times New Roman" w:hAnsi="Times New Roman" w:cs="Times New Roman"/>
          <w:sz w:val="32"/>
        </w:rPr>
        <w:t>重点能源商品经销情况</w:t>
      </w:r>
    </w:p>
    <w:tbl>
      <w:tblPr>
        <w:tblStyle w:val="31"/>
        <w:tblW w:w="9794" w:type="dxa"/>
        <w:jc w:val="center"/>
        <w:tblLayout w:type="fixed"/>
        <w:tblCellMar>
          <w:top w:w="0" w:type="dxa"/>
          <w:left w:w="108" w:type="dxa"/>
          <w:bottom w:w="0" w:type="dxa"/>
          <w:right w:w="108" w:type="dxa"/>
        </w:tblCellMar>
      </w:tblPr>
      <w:tblGrid>
        <w:gridCol w:w="1204"/>
        <w:gridCol w:w="908"/>
        <w:gridCol w:w="1458"/>
        <w:gridCol w:w="164"/>
        <w:gridCol w:w="223"/>
        <w:gridCol w:w="848"/>
        <w:gridCol w:w="2033"/>
        <w:gridCol w:w="878"/>
        <w:gridCol w:w="2078"/>
      </w:tblGrid>
      <w:tr>
        <w:tblPrEx>
          <w:tblCellMar>
            <w:top w:w="0" w:type="dxa"/>
            <w:left w:w="108" w:type="dxa"/>
            <w:bottom w:w="0" w:type="dxa"/>
            <w:right w:w="108" w:type="dxa"/>
          </w:tblCellMar>
        </w:tblPrEx>
        <w:trPr>
          <w:jc w:val="center"/>
        </w:trPr>
        <w:tc>
          <w:tcPr>
            <w:tcW w:w="614" w:type="pct"/>
            <w:tcBorders>
              <w:top w:val="nil"/>
              <w:left w:val="nil"/>
              <w:bottom w:val="nil"/>
              <w:right w:val="nil"/>
            </w:tcBorders>
            <w:noWrap/>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463" w:type="pct"/>
            <w:tcBorders>
              <w:top w:val="nil"/>
              <w:left w:val="nil"/>
              <w:bottom w:val="nil"/>
              <w:right w:val="nil"/>
            </w:tcBorders>
            <w:noWrap/>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744"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197" w:type="pct"/>
            <w:gridSpan w:val="2"/>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433"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1035"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448"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表　　号：</w:t>
            </w:r>
          </w:p>
        </w:tc>
        <w:tc>
          <w:tcPr>
            <w:tcW w:w="1061"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distribute"/>
              <w:rPr>
                <w:rFonts w:hint="default" w:ascii="Times New Roman" w:hAnsi="Times New Roman" w:cs="Times New Roman"/>
                <w:kern w:val="0"/>
                <w:sz w:val="18"/>
                <w:szCs w:val="18"/>
              </w:rPr>
            </w:pPr>
            <w:r>
              <w:rPr>
                <w:rFonts w:hint="default" w:ascii="Times New Roman" w:hAnsi="Times New Roman" w:cs="Times New Roman"/>
                <w:kern w:val="0"/>
                <w:sz w:val="18"/>
                <w:szCs w:val="18"/>
              </w:rPr>
              <w:t>２０５－７表</w:t>
            </w:r>
          </w:p>
        </w:tc>
      </w:tr>
      <w:tr>
        <w:tblPrEx>
          <w:tblCellMar>
            <w:top w:w="0" w:type="dxa"/>
            <w:left w:w="108" w:type="dxa"/>
            <w:bottom w:w="0" w:type="dxa"/>
            <w:right w:w="108" w:type="dxa"/>
          </w:tblCellMar>
        </w:tblPrEx>
        <w:trPr>
          <w:jc w:val="center"/>
        </w:trPr>
        <w:tc>
          <w:tcPr>
            <w:tcW w:w="614" w:type="pct"/>
            <w:tcBorders>
              <w:top w:val="nil"/>
              <w:left w:val="nil"/>
              <w:bottom w:val="nil"/>
              <w:right w:val="nil"/>
            </w:tcBorders>
            <w:noWrap/>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463" w:type="pct"/>
            <w:tcBorders>
              <w:top w:val="nil"/>
              <w:left w:val="nil"/>
              <w:bottom w:val="nil"/>
              <w:right w:val="nil"/>
            </w:tcBorders>
            <w:noWrap/>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744" w:type="pct"/>
            <w:tcBorders>
              <w:top w:val="nil"/>
              <w:left w:val="nil"/>
              <w:bottom w:val="nil"/>
              <w:right w:val="nil"/>
            </w:tcBorders>
            <w:noWrap/>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197" w:type="pct"/>
            <w:gridSpan w:val="2"/>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433"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1035"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p>
        </w:tc>
        <w:tc>
          <w:tcPr>
            <w:tcW w:w="448"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制定机关：</w:t>
            </w:r>
          </w:p>
        </w:tc>
        <w:tc>
          <w:tcPr>
            <w:tcW w:w="1061"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distribute"/>
              <w:rPr>
                <w:rFonts w:hint="default" w:ascii="Times New Roman" w:hAnsi="Times New Roman" w:cs="Times New Roman"/>
                <w:kern w:val="0"/>
                <w:sz w:val="18"/>
                <w:szCs w:val="18"/>
              </w:rPr>
            </w:pPr>
            <w:r>
              <w:rPr>
                <w:rFonts w:hint="default" w:ascii="Times New Roman" w:hAnsi="Times New Roman" w:cs="Times New Roman"/>
                <w:kern w:val="0"/>
                <w:sz w:val="18"/>
                <w:szCs w:val="18"/>
              </w:rPr>
              <w:t>国家统计局</w:t>
            </w:r>
          </w:p>
        </w:tc>
      </w:tr>
      <w:tr>
        <w:tblPrEx>
          <w:tblCellMar>
            <w:top w:w="0" w:type="dxa"/>
            <w:left w:w="108" w:type="dxa"/>
            <w:bottom w:w="0" w:type="dxa"/>
            <w:right w:w="108" w:type="dxa"/>
          </w:tblCellMar>
        </w:tblPrEx>
        <w:trPr>
          <w:trHeight w:val="87" w:hRule="atLeast"/>
          <w:jc w:val="center"/>
        </w:trPr>
        <w:tc>
          <w:tcPr>
            <w:tcW w:w="3489" w:type="pct"/>
            <w:gridSpan w:val="7"/>
            <w:tcBorders>
              <w:top w:val="nil"/>
              <w:left w:val="nil"/>
              <w:bottom w:val="nil"/>
              <w:right w:val="nil"/>
            </w:tcBorders>
            <w:noWrap w:val="0"/>
            <w:tcMar>
              <w:left w:w="28" w:type="dxa"/>
              <w:right w:w="28" w:type="dxa"/>
            </w:tcMar>
            <w:vAlign w:val="top"/>
          </w:tcPr>
          <w:p>
            <w:pPr>
              <w:widowControl/>
              <w:adjustRightInd w:val="0"/>
              <w:snapToGrid w:val="0"/>
              <w:spacing w:line="240" w:lineRule="atLeast"/>
              <w:jc w:val="left"/>
              <w:rPr>
                <w:rFonts w:hint="default" w:ascii="Times New Roman" w:hAnsi="Times New Roman" w:cs="Times New Roman"/>
                <w:kern w:val="0"/>
                <w:sz w:val="18"/>
                <w:szCs w:val="18"/>
              </w:rPr>
            </w:pPr>
          </w:p>
        </w:tc>
        <w:tc>
          <w:tcPr>
            <w:tcW w:w="448"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文　　号：</w:t>
            </w:r>
          </w:p>
        </w:tc>
        <w:tc>
          <w:tcPr>
            <w:tcW w:w="1061" w:type="pct"/>
            <w:tcBorders>
              <w:top w:val="nil"/>
              <w:left w:val="nil"/>
              <w:bottom w:val="nil"/>
              <w:right w:val="nil"/>
            </w:tcBorders>
            <w:noWrap w:val="0"/>
            <w:tcMar>
              <w:left w:w="28" w:type="dxa"/>
              <w:right w:w="28" w:type="dxa"/>
            </w:tcMar>
            <w:vAlign w:val="center"/>
          </w:tcPr>
          <w:p>
            <w:pPr>
              <w:widowControl/>
              <w:adjustRightInd w:val="0"/>
              <w:snapToGrid w:val="0"/>
              <w:spacing w:line="240" w:lineRule="atLeast"/>
              <w:jc w:val="distribute"/>
              <w:rPr>
                <w:rFonts w:hint="default" w:ascii="Times New Roman" w:hAnsi="Times New Roman" w:cs="Times New Roman"/>
                <w:kern w:val="0"/>
                <w:sz w:val="18"/>
                <w:szCs w:val="18"/>
              </w:rPr>
            </w:pPr>
            <w:r>
              <w:rPr>
                <w:rFonts w:hint="default" w:ascii="Times New Roman" w:hAnsi="Times New Roman" w:cs="Times New Roman"/>
                <w:sz w:val="18"/>
                <w:szCs w:val="18"/>
              </w:rPr>
              <w:t>国统</w:t>
            </w:r>
            <w:r>
              <w:rPr>
                <w:rFonts w:hint="default" w:ascii="Times New Roman" w:hAnsi="Times New Roman" w:cs="Times New Roman"/>
                <w:spacing w:val="-16"/>
                <w:sz w:val="18"/>
                <w:szCs w:val="18"/>
              </w:rPr>
              <w:t>字</w:t>
            </w:r>
            <w:r>
              <w:rPr>
                <w:rFonts w:hint="default" w:ascii="Times New Roman" w:hAnsi="Times New Roman" w:cs="Times New Roman"/>
                <w:spacing w:val="-16"/>
                <w:sz w:val="18"/>
                <w:szCs w:val="18"/>
                <w:lang w:val="en"/>
              </w:rPr>
              <w:t>〔２０２</w:t>
            </w:r>
            <w:r>
              <w:rPr>
                <w:rFonts w:hint="eastAsia" w:ascii="宋体" w:hAnsi="宋体"/>
                <w:sz w:val="18"/>
                <w:szCs w:val="18"/>
                <w:lang w:eastAsia="zh-CN"/>
              </w:rPr>
              <w:t>４</w:t>
            </w:r>
            <w:r>
              <w:rPr>
                <w:rFonts w:hint="default" w:ascii="Times New Roman" w:hAnsi="Times New Roman" w:cs="Times New Roman"/>
                <w:spacing w:val="-16"/>
                <w:sz w:val="18"/>
                <w:szCs w:val="18"/>
                <w:lang w:val="en"/>
              </w:rPr>
              <w:t>〕</w:t>
            </w:r>
            <w:r>
              <w:rPr>
                <w:rFonts w:hint="default" w:ascii="Times New Roman" w:hAnsi="Times New Roman" w:cs="Times New Roman"/>
                <w:spacing w:val="-16"/>
                <w:sz w:val="18"/>
                <w:szCs w:val="18"/>
                <w:lang w:val="en-US" w:eastAsia="zh-CN"/>
              </w:rPr>
              <w:t>77</w:t>
            </w:r>
            <w:r>
              <w:rPr>
                <w:rFonts w:hint="default" w:ascii="Times New Roman" w:hAnsi="Times New Roman" w:cs="Times New Roman"/>
                <w:spacing w:val="-16"/>
                <w:sz w:val="18"/>
                <w:szCs w:val="18"/>
              </w:rPr>
              <w:t>号</w:t>
            </w:r>
          </w:p>
        </w:tc>
      </w:tr>
      <w:tr>
        <w:tblPrEx>
          <w:tblCellMar>
            <w:top w:w="0" w:type="dxa"/>
            <w:left w:w="108" w:type="dxa"/>
            <w:bottom w:w="0" w:type="dxa"/>
            <w:right w:w="108" w:type="dxa"/>
          </w:tblCellMar>
        </w:tblPrEx>
        <w:trPr>
          <w:jc w:val="center"/>
        </w:trPr>
        <w:tc>
          <w:tcPr>
            <w:tcW w:w="3489" w:type="pct"/>
            <w:gridSpan w:val="7"/>
            <w:tcBorders>
              <w:top w:val="nil"/>
              <w:left w:val="nil"/>
              <w:bottom w:val="nil"/>
            </w:tcBorders>
            <w:noWrap w:val="0"/>
            <w:tcMar>
              <w:left w:w="28" w:type="dxa"/>
              <w:right w:w="28" w:type="dxa"/>
            </w:tcMar>
            <w:vAlign w:val="top"/>
          </w:tcPr>
          <w:p>
            <w:pPr>
              <w:widowControl/>
              <w:adjustRightInd w:val="0"/>
              <w:snapToGrid w:val="0"/>
              <w:spacing w:line="240" w:lineRule="atLeast"/>
              <w:jc w:val="left"/>
              <w:rPr>
                <w:rFonts w:hint="default" w:ascii="Times New Roman" w:hAnsi="Times New Roman" w:cs="Times New Roman"/>
                <w:kern w:val="0"/>
                <w:sz w:val="18"/>
                <w:szCs w:val="18"/>
              </w:rPr>
            </w:pPr>
            <w:r>
              <w:rPr>
                <w:rFonts w:hint="default" w:ascii="Times New Roman" w:hAnsi="Times New Roman" w:cs="Times New Roman"/>
                <w:sz w:val="18"/>
                <w:szCs w:val="18"/>
              </w:rPr>
              <w:t>统一社会信用代码</w:t>
            </w:r>
            <w:r>
              <w:rPr>
                <w:rFonts w:hint="default" w:ascii="Times New Roman" w:hAnsi="Times New Roman" w:cs="Times New Roman"/>
                <w:color w:val="000000"/>
                <w:kern w:val="0"/>
                <w:sz w:val="18"/>
                <w:szCs w:val="18"/>
              </w:rPr>
              <w:t>□□□□□□□□□□□□□□□□□□</w:t>
            </w:r>
          </w:p>
        </w:tc>
        <w:tc>
          <w:tcPr>
            <w:tcW w:w="448" w:type="pct"/>
            <w:tcBorders>
              <w:top w:val="nil"/>
              <w:left w:val="nil"/>
              <w:bottom w:val="nil"/>
            </w:tcBorders>
            <w:noWrap w:val="0"/>
            <w:tcMar>
              <w:left w:w="28" w:type="dxa"/>
              <w:right w:w="28" w:type="dxa"/>
            </w:tcMar>
            <w:vAlign w:val="top"/>
          </w:tcPr>
          <w:p>
            <w:pPr>
              <w:adjustRightInd w:val="0"/>
              <w:snapToGrid w:val="0"/>
              <w:spacing w:line="240" w:lineRule="atLeast"/>
              <w:rPr>
                <w:rFonts w:hint="default" w:ascii="Times New Roman" w:hAnsi="Times New Roman" w:cs="Times New Roman"/>
                <w:kern w:val="0"/>
                <w:sz w:val="18"/>
                <w:szCs w:val="18"/>
              </w:rPr>
            </w:pPr>
            <w:r>
              <w:rPr>
                <w:rFonts w:hint="default" w:ascii="Times New Roman" w:hAnsi="Times New Roman" w:cs="Times New Roman"/>
                <w:kern w:val="0"/>
                <w:sz w:val="18"/>
                <w:szCs w:val="18"/>
              </w:rPr>
              <w:t>有效期至：</w:t>
            </w:r>
          </w:p>
        </w:tc>
        <w:tc>
          <w:tcPr>
            <w:tcW w:w="1061" w:type="pct"/>
            <w:tcBorders>
              <w:top w:val="nil"/>
              <w:left w:val="nil"/>
              <w:bottom w:val="nil"/>
            </w:tcBorders>
            <w:noWrap w:val="0"/>
            <w:tcMar>
              <w:left w:w="28" w:type="dxa"/>
              <w:right w:w="28" w:type="dxa"/>
            </w:tcMar>
            <w:vAlign w:val="center"/>
          </w:tcPr>
          <w:p>
            <w:pPr>
              <w:widowControl/>
              <w:adjustRightInd w:val="0"/>
              <w:snapToGrid w:val="0"/>
              <w:spacing w:line="240" w:lineRule="atLeast"/>
              <w:jc w:val="distribute"/>
              <w:rPr>
                <w:rFonts w:hint="default" w:ascii="Times New Roman" w:hAnsi="Times New Roman" w:cs="Times New Roman"/>
                <w:kern w:val="0"/>
                <w:sz w:val="18"/>
                <w:szCs w:val="18"/>
                <w:lang w:val="en"/>
              </w:rPr>
            </w:pPr>
            <w:r>
              <w:rPr>
                <w:rFonts w:hint="default" w:ascii="Times New Roman" w:hAnsi="Times New Roman" w:cs="Times New Roman"/>
                <w:kern w:val="0"/>
                <w:sz w:val="18"/>
                <w:szCs w:val="18"/>
                <w:lang w:val="en"/>
              </w:rPr>
              <w:t>２０２</w:t>
            </w:r>
            <w:r>
              <w:rPr>
                <w:rFonts w:hint="eastAsia" w:ascii="宋体" w:hAnsi="宋体"/>
                <w:color w:val="000000"/>
                <w:sz w:val="18"/>
              </w:rPr>
              <w:t>6</w:t>
            </w:r>
            <w:r>
              <w:rPr>
                <w:rFonts w:hint="default" w:ascii="Times New Roman" w:hAnsi="Times New Roman" w:cs="Times New Roman"/>
                <w:kern w:val="0"/>
                <w:sz w:val="18"/>
                <w:szCs w:val="18"/>
                <w:lang w:val="en"/>
              </w:rPr>
              <w:t>年１月</w:t>
            </w:r>
          </w:p>
        </w:tc>
      </w:tr>
      <w:tr>
        <w:tblPrEx>
          <w:tblCellMar>
            <w:top w:w="0" w:type="dxa"/>
            <w:left w:w="108" w:type="dxa"/>
            <w:bottom w:w="0" w:type="dxa"/>
            <w:right w:w="108" w:type="dxa"/>
          </w:tblCellMar>
        </w:tblPrEx>
        <w:trPr>
          <w:jc w:val="center"/>
        </w:trPr>
        <w:tc>
          <w:tcPr>
            <w:tcW w:w="1904" w:type="pct"/>
            <w:gridSpan w:val="4"/>
            <w:tcBorders>
              <w:top w:val="nil"/>
              <w:left w:val="nil"/>
              <w:right w:val="nil"/>
            </w:tcBorders>
            <w:noWrap w:val="0"/>
            <w:tcMar>
              <w:left w:w="28" w:type="dxa"/>
              <w:right w:w="28" w:type="dxa"/>
            </w:tcMar>
            <w:vAlign w:val="center"/>
          </w:tcPr>
          <w:p>
            <w:pPr>
              <w:widowControl/>
              <w:adjustRightInd w:val="0"/>
              <w:snapToGrid w:val="0"/>
              <w:spacing w:line="240" w:lineRule="atLeas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单位详细名称：　</w:t>
            </w:r>
          </w:p>
        </w:tc>
        <w:tc>
          <w:tcPr>
            <w:tcW w:w="1584" w:type="pct"/>
            <w:gridSpan w:val="3"/>
            <w:tcBorders>
              <w:top w:val="nil"/>
              <w:left w:val="nil"/>
            </w:tcBorders>
            <w:noWrap/>
            <w:tcMar>
              <w:left w:w="28" w:type="dxa"/>
              <w:right w:w="28" w:type="dxa"/>
            </w:tcMar>
            <w:vAlign w:val="top"/>
          </w:tcPr>
          <w:p>
            <w:pPr>
              <w:adjustRightInd w:val="0"/>
              <w:snapToGrid w:val="0"/>
              <w:spacing w:line="240" w:lineRule="atLeast"/>
              <w:ind w:firstLine="540" w:firstLineChars="300"/>
              <w:rPr>
                <w:rFonts w:hint="default" w:ascii="Times New Roman" w:hAnsi="Times New Roman" w:cs="Times New Roman"/>
                <w:kern w:val="0"/>
                <w:sz w:val="18"/>
                <w:szCs w:val="18"/>
              </w:rPr>
            </w:pPr>
            <w:r>
              <w:rPr>
                <w:rFonts w:hint="default" w:ascii="Times New Roman" w:hAnsi="Times New Roman" w:cs="Times New Roman"/>
                <w:kern w:val="0"/>
                <w:sz w:val="18"/>
                <w:szCs w:val="18"/>
              </w:rPr>
              <w:t>２０　　年　１－　月</w:t>
            </w:r>
          </w:p>
        </w:tc>
        <w:tc>
          <w:tcPr>
            <w:tcW w:w="448" w:type="pct"/>
            <w:tcBorders>
              <w:top w:val="nil"/>
              <w:left w:val="nil"/>
            </w:tcBorders>
            <w:noWrap w:val="0"/>
            <w:tcMar>
              <w:left w:w="28" w:type="dxa"/>
              <w:right w:w="28" w:type="dxa"/>
            </w:tcMar>
            <w:vAlign w:val="top"/>
          </w:tcPr>
          <w:p>
            <w:pPr>
              <w:adjustRightInd w:val="0"/>
              <w:snapToGrid w:val="0"/>
              <w:spacing w:line="240" w:lineRule="atLeast"/>
              <w:rPr>
                <w:rFonts w:hint="default" w:ascii="Times New Roman" w:hAnsi="Times New Roman" w:cs="Times New Roman"/>
                <w:kern w:val="0"/>
                <w:sz w:val="18"/>
                <w:szCs w:val="18"/>
              </w:rPr>
            </w:pPr>
            <w:r>
              <w:rPr>
                <w:rFonts w:hint="default" w:ascii="Times New Roman" w:hAnsi="Times New Roman" w:cs="Times New Roman"/>
                <w:kern w:val="0"/>
                <w:sz w:val="18"/>
                <w:szCs w:val="18"/>
              </w:rPr>
              <w:t>计量单位：</w:t>
            </w:r>
          </w:p>
        </w:tc>
        <w:tc>
          <w:tcPr>
            <w:tcW w:w="1061" w:type="pct"/>
            <w:tcBorders>
              <w:top w:val="nil"/>
              <w:left w:val="nil"/>
            </w:tcBorders>
            <w:noWrap w:val="0"/>
            <w:tcMar>
              <w:left w:w="28" w:type="dxa"/>
              <w:right w:w="28" w:type="dxa"/>
            </w:tcMar>
            <w:vAlign w:val="center"/>
          </w:tcPr>
          <w:p>
            <w:pPr>
              <w:widowControl/>
              <w:adjustRightInd w:val="0"/>
              <w:snapToGrid w:val="0"/>
              <w:spacing w:line="240" w:lineRule="atLeast"/>
              <w:jc w:val="distribute"/>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tc>
      </w:tr>
    </w:tbl>
    <w:p>
      <w:pPr>
        <w:spacing w:line="20" w:lineRule="exact"/>
        <w:jc w:val="center"/>
        <w:rPr>
          <w:rFonts w:hint="default" w:ascii="Times New Roman" w:hAnsi="Times New Roman" w:cs="Times New Roman"/>
          <w:sz w:val="18"/>
          <w:szCs w:val="18"/>
        </w:rPr>
      </w:pPr>
    </w:p>
    <w:tbl>
      <w:tblPr>
        <w:tblStyle w:val="31"/>
        <w:tblW w:w="5075" w:type="pct"/>
        <w:jc w:val="center"/>
        <w:tblLayout w:type="fixed"/>
        <w:tblCellMar>
          <w:top w:w="0" w:type="dxa"/>
          <w:left w:w="108" w:type="dxa"/>
          <w:bottom w:w="0" w:type="dxa"/>
          <w:right w:w="108" w:type="dxa"/>
        </w:tblCellMar>
      </w:tblPr>
      <w:tblGrid>
        <w:gridCol w:w="1645"/>
        <w:gridCol w:w="444"/>
        <w:gridCol w:w="591"/>
        <w:gridCol w:w="591"/>
        <w:gridCol w:w="591"/>
        <w:gridCol w:w="591"/>
        <w:gridCol w:w="591"/>
        <w:gridCol w:w="591"/>
        <w:gridCol w:w="591"/>
        <w:gridCol w:w="591"/>
        <w:gridCol w:w="591"/>
        <w:gridCol w:w="591"/>
        <w:gridCol w:w="591"/>
        <w:gridCol w:w="591"/>
        <w:gridCol w:w="591"/>
      </w:tblGrid>
      <w:tr>
        <w:tblPrEx>
          <w:tblCellMar>
            <w:top w:w="0" w:type="dxa"/>
            <w:left w:w="108" w:type="dxa"/>
            <w:bottom w:w="0" w:type="dxa"/>
            <w:right w:w="108" w:type="dxa"/>
          </w:tblCellMar>
        </w:tblPrEx>
        <w:trPr>
          <w:trHeight w:val="785" w:hRule="atLeast"/>
          <w:jc w:val="center"/>
        </w:trPr>
        <w:tc>
          <w:tcPr>
            <w:tcW w:w="1607" w:type="dxa"/>
            <w:vMerge w:val="restart"/>
            <w:tcBorders>
              <w:top w:val="single" w:color="auto" w:sz="8" w:space="0"/>
              <w:left w:val="nil"/>
              <w:bottom w:val="single" w:color="auto" w:sz="2" w:space="0"/>
              <w:right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商品名称</w:t>
            </w:r>
          </w:p>
        </w:tc>
        <w:tc>
          <w:tcPr>
            <w:tcW w:w="433" w:type="dxa"/>
            <w:vMerge w:val="restart"/>
            <w:tcBorders>
              <w:top w:val="single" w:color="auto" w:sz="8"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代码</w:t>
            </w:r>
          </w:p>
        </w:tc>
        <w:tc>
          <w:tcPr>
            <w:tcW w:w="578" w:type="dxa"/>
            <w:vMerge w:val="restart"/>
            <w:tcBorders>
              <w:top w:val="single" w:color="auto" w:sz="8"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年初</w:t>
            </w:r>
          </w:p>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商品</w:t>
            </w:r>
          </w:p>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库存量</w:t>
            </w:r>
          </w:p>
        </w:tc>
        <w:tc>
          <w:tcPr>
            <w:tcW w:w="2312" w:type="dxa"/>
            <w:gridSpan w:val="4"/>
            <w:tcBorders>
              <w:top w:val="single" w:color="auto" w:sz="8"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商品购进量</w:t>
            </w:r>
          </w:p>
        </w:tc>
        <w:tc>
          <w:tcPr>
            <w:tcW w:w="2312" w:type="dxa"/>
            <w:gridSpan w:val="4"/>
            <w:tcBorders>
              <w:top w:val="single" w:color="auto" w:sz="8" w:space="0"/>
              <w:left w:val="single" w:color="auto" w:sz="2" w:space="0"/>
              <w:bottom w:val="single" w:color="auto" w:sz="2" w:space="0"/>
              <w:right w:val="single" w:color="auto" w:sz="2" w:space="0"/>
            </w:tcBorders>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商品销售量</w:t>
            </w:r>
          </w:p>
        </w:tc>
        <w:tc>
          <w:tcPr>
            <w:tcW w:w="1156" w:type="dxa"/>
            <w:gridSpan w:val="2"/>
            <w:tcBorders>
              <w:top w:val="single" w:color="auto" w:sz="8" w:space="0"/>
              <w:left w:val="single" w:color="auto" w:sz="2" w:space="0"/>
              <w:bottom w:val="single" w:color="auto" w:sz="2" w:space="0"/>
              <w:right w:val="single" w:color="auto" w:sz="2" w:space="0"/>
            </w:tcBorders>
            <w:noWrap w:val="0"/>
            <w:vAlign w:val="center"/>
          </w:tcPr>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损耗量</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及其他</w:t>
            </w:r>
          </w:p>
        </w:tc>
        <w:tc>
          <w:tcPr>
            <w:tcW w:w="1156" w:type="dxa"/>
            <w:gridSpan w:val="2"/>
            <w:tcBorders>
              <w:top w:val="single" w:color="auto" w:sz="8" w:space="0"/>
              <w:left w:val="single" w:color="auto" w:sz="2" w:space="0"/>
              <w:bottom w:val="single" w:color="auto" w:sz="2" w:space="0"/>
              <w:right w:val="nil"/>
            </w:tcBorders>
            <w:noWrap w:val="0"/>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期末商品</w:t>
            </w:r>
          </w:p>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库存量</w:t>
            </w:r>
          </w:p>
        </w:tc>
      </w:tr>
      <w:tr>
        <w:tblPrEx>
          <w:tblCellMar>
            <w:top w:w="0" w:type="dxa"/>
            <w:left w:w="108" w:type="dxa"/>
            <w:bottom w:w="0" w:type="dxa"/>
            <w:right w:w="108" w:type="dxa"/>
          </w:tblCellMar>
        </w:tblPrEx>
        <w:trPr>
          <w:trHeight w:val="300" w:hRule="atLeast"/>
          <w:jc w:val="center"/>
        </w:trPr>
        <w:tc>
          <w:tcPr>
            <w:tcW w:w="1607" w:type="dxa"/>
            <w:vMerge w:val="continue"/>
            <w:tcBorders>
              <w:top w:val="single" w:color="auto" w:sz="2" w:space="0"/>
              <w:left w:val="nil"/>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1156"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本年</w:t>
            </w:r>
          </w:p>
        </w:tc>
        <w:tc>
          <w:tcPr>
            <w:tcW w:w="1156" w:type="dxa"/>
            <w:gridSpan w:val="2"/>
            <w:tcBorders>
              <w:top w:val="single" w:color="auto" w:sz="2" w:space="0"/>
              <w:left w:val="single" w:color="auto" w:sz="2" w:space="0"/>
              <w:bottom w:val="single" w:color="auto" w:sz="2" w:space="0"/>
              <w:right w:val="single" w:color="auto" w:sz="2" w:space="0"/>
            </w:tcBorders>
            <w:shd w:val="clear" w:color="auto" w:fill="D0CECE"/>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上年同期</w:t>
            </w:r>
          </w:p>
        </w:tc>
        <w:tc>
          <w:tcPr>
            <w:tcW w:w="1156"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本年</w:t>
            </w:r>
          </w:p>
        </w:tc>
        <w:tc>
          <w:tcPr>
            <w:tcW w:w="1156" w:type="dxa"/>
            <w:gridSpan w:val="2"/>
            <w:tcBorders>
              <w:top w:val="single" w:color="auto" w:sz="2" w:space="0"/>
              <w:left w:val="single" w:color="auto" w:sz="2" w:space="0"/>
              <w:bottom w:val="single" w:color="auto" w:sz="2" w:space="0"/>
              <w:right w:val="single" w:color="auto" w:sz="2" w:space="0"/>
            </w:tcBorders>
            <w:shd w:val="clear" w:color="auto" w:fill="D0CECE"/>
            <w:noWrap w:val="0"/>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上年同期</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center"/>
              <w:rPr>
                <w:rFonts w:hint="default" w:ascii="Times New Roman" w:hAnsi="Times New Roman" w:cs="Times New Roman"/>
                <w:spacing w:val="-20"/>
                <w:kern w:val="0"/>
                <w:sz w:val="18"/>
                <w:szCs w:val="18"/>
              </w:rPr>
            </w:pPr>
            <w:r>
              <w:rPr>
                <w:rFonts w:hint="default" w:ascii="Times New Roman" w:hAnsi="Times New Roman" w:cs="Times New Roman"/>
                <w:spacing w:val="-20"/>
                <w:kern w:val="0"/>
                <w:sz w:val="18"/>
                <w:szCs w:val="18"/>
              </w:rPr>
              <w:t>1</w:t>
            </w:r>
            <w:r>
              <w:rPr>
                <w:rFonts w:hint="default" w:ascii="Times New Roman" w:hAnsi="Times New Roman" w:cs="Times New Roman"/>
                <w:kern w:val="0"/>
                <w:sz w:val="18"/>
                <w:szCs w:val="18"/>
              </w:rPr>
              <w:t>－</w:t>
            </w:r>
          </w:p>
          <w:p>
            <w:pPr>
              <w:widowControl/>
              <w:jc w:val="center"/>
              <w:rPr>
                <w:rFonts w:hint="default" w:ascii="Times New Roman" w:hAnsi="Times New Roman" w:cs="Times New Roman"/>
                <w:kern w:val="0"/>
                <w:sz w:val="18"/>
                <w:szCs w:val="18"/>
              </w:rPr>
            </w:pPr>
            <w:r>
              <w:rPr>
                <w:rFonts w:hint="default" w:ascii="Times New Roman" w:hAnsi="Times New Roman" w:cs="Times New Roman"/>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0CECE"/>
            <w:noWrap w:val="0"/>
            <w:vAlign w:val="center"/>
          </w:tcPr>
          <w:p>
            <w:pPr>
              <w:widowControl/>
              <w:jc w:val="center"/>
              <w:rPr>
                <w:rFonts w:hint="default" w:ascii="Times New Roman" w:hAnsi="Times New Roman" w:cs="Times New Roman"/>
                <w:spacing w:val="-8"/>
                <w:kern w:val="0"/>
                <w:sz w:val="18"/>
                <w:szCs w:val="18"/>
              </w:rPr>
            </w:pPr>
            <w:r>
              <w:rPr>
                <w:rFonts w:hint="default" w:ascii="Times New Roman" w:hAnsi="Times New Roman" w:cs="Times New Roman"/>
                <w:spacing w:val="-8"/>
                <w:kern w:val="0"/>
                <w:sz w:val="18"/>
                <w:szCs w:val="18"/>
              </w:rPr>
              <w:t>上年同期</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center"/>
              <w:rPr>
                <w:rFonts w:hint="default" w:ascii="Times New Roman" w:hAnsi="Times New Roman" w:cs="Times New Roman"/>
                <w:spacing w:val="-8"/>
                <w:kern w:val="0"/>
                <w:sz w:val="18"/>
                <w:szCs w:val="18"/>
              </w:rPr>
            </w:pPr>
            <w:r>
              <w:rPr>
                <w:rFonts w:hint="default" w:ascii="Times New Roman" w:hAnsi="Times New Roman" w:cs="Times New Roman"/>
                <w:spacing w:val="-8"/>
                <w:kern w:val="0"/>
                <w:sz w:val="18"/>
                <w:szCs w:val="18"/>
              </w:rPr>
              <w:t>本期</w:t>
            </w:r>
          </w:p>
        </w:tc>
        <w:tc>
          <w:tcPr>
            <w:tcW w:w="578" w:type="dxa"/>
            <w:vMerge w:val="restart"/>
            <w:tcBorders>
              <w:top w:val="single" w:color="auto" w:sz="2" w:space="0"/>
              <w:left w:val="single" w:color="auto" w:sz="2" w:space="0"/>
              <w:bottom w:val="single" w:color="auto" w:sz="2" w:space="0"/>
              <w:right w:val="nil"/>
            </w:tcBorders>
            <w:shd w:val="clear" w:color="auto" w:fill="D0CECE"/>
            <w:noWrap w:val="0"/>
            <w:vAlign w:val="center"/>
          </w:tcPr>
          <w:p>
            <w:pPr>
              <w:widowControl/>
              <w:jc w:val="center"/>
              <w:rPr>
                <w:rFonts w:hint="default" w:ascii="Times New Roman" w:hAnsi="Times New Roman" w:cs="Times New Roman"/>
                <w:spacing w:val="-8"/>
                <w:kern w:val="0"/>
                <w:sz w:val="18"/>
                <w:szCs w:val="18"/>
              </w:rPr>
            </w:pPr>
            <w:r>
              <w:rPr>
                <w:rFonts w:hint="default" w:ascii="Times New Roman" w:hAnsi="Times New Roman" w:cs="Times New Roman"/>
                <w:spacing w:val="-8"/>
                <w:kern w:val="0"/>
                <w:sz w:val="18"/>
                <w:szCs w:val="18"/>
              </w:rPr>
              <w:t>上年同期</w:t>
            </w:r>
          </w:p>
        </w:tc>
      </w:tr>
      <w:tr>
        <w:tblPrEx>
          <w:tblCellMar>
            <w:top w:w="0" w:type="dxa"/>
            <w:left w:w="108" w:type="dxa"/>
            <w:bottom w:w="0" w:type="dxa"/>
            <w:right w:w="108" w:type="dxa"/>
          </w:tblCellMar>
        </w:tblPrEx>
        <w:trPr>
          <w:trHeight w:val="285" w:hRule="atLeast"/>
          <w:jc w:val="center"/>
        </w:trPr>
        <w:tc>
          <w:tcPr>
            <w:tcW w:w="1607" w:type="dxa"/>
            <w:vMerge w:val="continue"/>
            <w:tcBorders>
              <w:top w:val="single" w:color="auto" w:sz="2" w:space="0"/>
              <w:left w:val="nil"/>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center"/>
              <w:rPr>
                <w:rFonts w:hint="default" w:ascii="Times New Roman" w:hAnsi="Times New Roman" w:cs="Times New Roman"/>
                <w:spacing w:val="-20"/>
                <w:kern w:val="0"/>
                <w:sz w:val="18"/>
                <w:szCs w:val="18"/>
              </w:rPr>
            </w:pPr>
            <w:r>
              <w:rPr>
                <w:rFonts w:hint="default" w:ascii="Times New Roman" w:hAnsi="Times New Roman" w:cs="Times New Roman"/>
                <w:spacing w:val="-20"/>
                <w:kern w:val="0"/>
                <w:sz w:val="18"/>
                <w:szCs w:val="18"/>
              </w:rPr>
              <w:t>1</w:t>
            </w:r>
            <w:r>
              <w:rPr>
                <w:rFonts w:hint="default" w:ascii="Times New Roman" w:hAnsi="Times New Roman" w:cs="Times New Roman"/>
                <w:kern w:val="0"/>
                <w:sz w:val="18"/>
                <w:szCs w:val="18"/>
              </w:rPr>
              <w:t>－</w:t>
            </w:r>
          </w:p>
          <w:p>
            <w:pPr>
              <w:widowControl/>
              <w:jc w:val="center"/>
              <w:rPr>
                <w:rFonts w:hint="default" w:ascii="Times New Roman" w:hAnsi="Times New Roman" w:cs="Times New Roman"/>
                <w:spacing w:val="-20"/>
                <w:kern w:val="0"/>
                <w:sz w:val="18"/>
                <w:szCs w:val="18"/>
              </w:rPr>
            </w:pPr>
            <w:r>
              <w:rPr>
                <w:rFonts w:hint="default" w:ascii="Times New Roman" w:hAnsi="Times New Roman" w:cs="Times New Roman"/>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rPr>
                <w:rFonts w:hint="default" w:ascii="Times New Roman" w:hAnsi="Times New Roman" w:cs="Times New Roman"/>
                <w:kern w:val="0"/>
                <w:sz w:val="18"/>
                <w:szCs w:val="18"/>
              </w:rPr>
            </w:pPr>
            <w:r>
              <w:rPr>
                <w:rFonts w:hint="default" w:ascii="Times New Roman" w:hAnsi="Times New Roman" w:cs="Times New Roman"/>
                <w:spacing w:val="-16"/>
                <w:kern w:val="0"/>
                <w:sz w:val="18"/>
                <w:szCs w:val="18"/>
              </w:rPr>
              <w:t>其中：</w:t>
            </w:r>
            <w:r>
              <w:rPr>
                <w:rFonts w:hint="default" w:ascii="Times New Roman" w:hAnsi="Times New Roman" w:cs="Times New Roman"/>
                <w:kern w:val="0"/>
                <w:sz w:val="18"/>
                <w:szCs w:val="18"/>
              </w:rPr>
              <w:t>购自省外</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noWrap w:val="0"/>
            <w:vAlign w:val="center"/>
          </w:tcPr>
          <w:p>
            <w:pPr>
              <w:widowControl/>
              <w:jc w:val="center"/>
              <w:rPr>
                <w:rFonts w:hint="default" w:ascii="Times New Roman" w:hAnsi="Times New Roman" w:cs="Times New Roman"/>
                <w:spacing w:val="-20"/>
                <w:kern w:val="0"/>
                <w:sz w:val="18"/>
                <w:szCs w:val="18"/>
              </w:rPr>
            </w:pPr>
            <w:r>
              <w:rPr>
                <w:rFonts w:hint="default" w:ascii="Times New Roman" w:hAnsi="Times New Roman" w:cs="Times New Roman"/>
                <w:spacing w:val="-20"/>
                <w:kern w:val="0"/>
                <w:sz w:val="18"/>
                <w:szCs w:val="18"/>
              </w:rPr>
              <w:t>1</w:t>
            </w:r>
            <w:r>
              <w:rPr>
                <w:rFonts w:hint="default" w:ascii="Times New Roman" w:hAnsi="Times New Roman" w:cs="Times New Roman"/>
                <w:kern w:val="0"/>
                <w:sz w:val="18"/>
                <w:szCs w:val="18"/>
              </w:rPr>
              <w:t>－</w:t>
            </w:r>
          </w:p>
          <w:p>
            <w:pPr>
              <w:widowControl/>
              <w:jc w:val="center"/>
              <w:rPr>
                <w:rFonts w:hint="default" w:ascii="Times New Roman" w:hAnsi="Times New Roman" w:cs="Times New Roman"/>
                <w:kern w:val="0"/>
                <w:sz w:val="18"/>
                <w:szCs w:val="18"/>
              </w:rPr>
            </w:pPr>
            <w:r>
              <w:rPr>
                <w:rFonts w:hint="default" w:ascii="Times New Roman" w:hAnsi="Times New Roman" w:cs="Times New Roman"/>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noWrap w:val="0"/>
            <w:vAlign w:val="center"/>
          </w:tcPr>
          <w:p>
            <w:pPr>
              <w:widowControl/>
              <w:rPr>
                <w:rFonts w:hint="default" w:ascii="Times New Roman" w:hAnsi="Times New Roman" w:cs="Times New Roman"/>
                <w:kern w:val="0"/>
                <w:sz w:val="18"/>
                <w:szCs w:val="18"/>
              </w:rPr>
            </w:pPr>
            <w:r>
              <w:rPr>
                <w:rFonts w:hint="default" w:ascii="Times New Roman" w:hAnsi="Times New Roman" w:cs="Times New Roman"/>
                <w:spacing w:val="-16"/>
                <w:kern w:val="0"/>
                <w:sz w:val="18"/>
                <w:szCs w:val="18"/>
              </w:rPr>
              <w:t>其中：</w:t>
            </w:r>
            <w:r>
              <w:rPr>
                <w:rFonts w:hint="default" w:ascii="Times New Roman" w:hAnsi="Times New Roman" w:cs="Times New Roman"/>
                <w:kern w:val="0"/>
                <w:sz w:val="18"/>
                <w:szCs w:val="18"/>
              </w:rPr>
              <w:t>购自省外</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center"/>
              <w:rPr>
                <w:rFonts w:hint="default" w:ascii="Times New Roman" w:hAnsi="Times New Roman" w:cs="Times New Roman"/>
                <w:spacing w:val="-20"/>
                <w:kern w:val="0"/>
                <w:sz w:val="18"/>
                <w:szCs w:val="18"/>
              </w:rPr>
            </w:pPr>
            <w:r>
              <w:rPr>
                <w:rFonts w:hint="default" w:ascii="Times New Roman" w:hAnsi="Times New Roman" w:cs="Times New Roman"/>
                <w:spacing w:val="-20"/>
                <w:kern w:val="0"/>
                <w:sz w:val="18"/>
                <w:szCs w:val="18"/>
              </w:rPr>
              <w:t>1</w:t>
            </w:r>
            <w:r>
              <w:rPr>
                <w:rFonts w:hint="default" w:ascii="Times New Roman" w:hAnsi="Times New Roman" w:cs="Times New Roman"/>
                <w:kern w:val="0"/>
                <w:sz w:val="18"/>
                <w:szCs w:val="18"/>
              </w:rPr>
              <w:t>－</w:t>
            </w:r>
          </w:p>
          <w:p>
            <w:pPr>
              <w:widowControl/>
              <w:jc w:val="center"/>
              <w:rPr>
                <w:rFonts w:hint="default" w:ascii="Times New Roman" w:hAnsi="Times New Roman" w:cs="Times New Roman"/>
                <w:kern w:val="0"/>
                <w:sz w:val="18"/>
                <w:szCs w:val="18"/>
              </w:rPr>
            </w:pPr>
            <w:r>
              <w:rPr>
                <w:rFonts w:hint="default" w:ascii="Times New Roman" w:hAnsi="Times New Roman" w:cs="Times New Roman"/>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rPr>
                <w:rFonts w:hint="default" w:ascii="Times New Roman" w:hAnsi="Times New Roman" w:cs="Times New Roman"/>
                <w:kern w:val="0"/>
                <w:sz w:val="18"/>
                <w:szCs w:val="18"/>
              </w:rPr>
            </w:pPr>
            <w:r>
              <w:rPr>
                <w:rFonts w:hint="default" w:ascii="Times New Roman" w:hAnsi="Times New Roman" w:cs="Times New Roman"/>
                <w:spacing w:val="-20"/>
                <w:kern w:val="0"/>
                <w:sz w:val="18"/>
                <w:szCs w:val="18"/>
              </w:rPr>
              <w:t>其中：</w:t>
            </w:r>
            <w:r>
              <w:rPr>
                <w:rFonts w:hint="default" w:ascii="Times New Roman" w:hAnsi="Times New Roman" w:cs="Times New Roman"/>
                <w:kern w:val="0"/>
                <w:sz w:val="18"/>
                <w:szCs w:val="18"/>
              </w:rPr>
              <w:t>销往省外</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noWrap w:val="0"/>
            <w:vAlign w:val="center"/>
          </w:tcPr>
          <w:p>
            <w:pPr>
              <w:widowControl/>
              <w:jc w:val="center"/>
              <w:rPr>
                <w:rFonts w:hint="default" w:ascii="Times New Roman" w:hAnsi="Times New Roman" w:cs="Times New Roman"/>
                <w:spacing w:val="-20"/>
                <w:kern w:val="0"/>
                <w:sz w:val="18"/>
                <w:szCs w:val="18"/>
              </w:rPr>
            </w:pPr>
            <w:r>
              <w:rPr>
                <w:rFonts w:hint="default" w:ascii="Times New Roman" w:hAnsi="Times New Roman" w:cs="Times New Roman"/>
                <w:spacing w:val="-20"/>
                <w:kern w:val="0"/>
                <w:sz w:val="18"/>
                <w:szCs w:val="18"/>
              </w:rPr>
              <w:t>1</w:t>
            </w:r>
            <w:r>
              <w:rPr>
                <w:rFonts w:hint="default" w:ascii="Times New Roman" w:hAnsi="Times New Roman" w:cs="Times New Roman"/>
                <w:kern w:val="0"/>
                <w:sz w:val="18"/>
                <w:szCs w:val="18"/>
              </w:rPr>
              <w:t>－</w:t>
            </w:r>
          </w:p>
          <w:p>
            <w:pPr>
              <w:widowControl/>
              <w:jc w:val="center"/>
              <w:rPr>
                <w:rFonts w:hint="default" w:ascii="Times New Roman" w:hAnsi="Times New Roman" w:cs="Times New Roman"/>
                <w:kern w:val="0"/>
                <w:sz w:val="18"/>
                <w:szCs w:val="18"/>
              </w:rPr>
            </w:pPr>
            <w:r>
              <w:rPr>
                <w:rFonts w:hint="default" w:ascii="Times New Roman" w:hAnsi="Times New Roman" w:cs="Times New Roman"/>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noWrap w:val="0"/>
            <w:vAlign w:val="center"/>
          </w:tcPr>
          <w:p>
            <w:pPr>
              <w:widowControl/>
              <w:rPr>
                <w:rFonts w:hint="default" w:ascii="Times New Roman" w:hAnsi="Times New Roman" w:cs="Times New Roman"/>
                <w:kern w:val="0"/>
                <w:sz w:val="18"/>
                <w:szCs w:val="18"/>
              </w:rPr>
            </w:pPr>
            <w:r>
              <w:rPr>
                <w:rFonts w:hint="default" w:ascii="Times New Roman" w:hAnsi="Times New Roman" w:cs="Times New Roman"/>
                <w:spacing w:val="-16"/>
                <w:kern w:val="0"/>
                <w:sz w:val="18"/>
                <w:szCs w:val="18"/>
              </w:rPr>
              <w:t>其中：</w:t>
            </w:r>
            <w:r>
              <w:rPr>
                <w:rFonts w:hint="default" w:ascii="Times New Roman" w:hAnsi="Times New Roman" w:cs="Times New Roman"/>
                <w:kern w:val="0"/>
                <w:sz w:val="18"/>
                <w:szCs w:val="18"/>
              </w:rPr>
              <w:t>销往省外</w:t>
            </w: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nil"/>
            </w:tcBorders>
            <w:shd w:val="clear" w:color="auto" w:fill="D0CECE"/>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607" w:type="dxa"/>
            <w:vMerge w:val="continue"/>
            <w:tcBorders>
              <w:top w:val="single" w:color="auto" w:sz="2" w:space="0"/>
              <w:left w:val="nil"/>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jc w:val="left"/>
              <w:rPr>
                <w:rFonts w:hint="default" w:ascii="Times New Roman" w:hAnsi="Times New Roman" w:cs="Times New Roman"/>
                <w:kern w:val="0"/>
                <w:sz w:val="18"/>
                <w:szCs w:val="18"/>
              </w:rPr>
            </w:pPr>
          </w:p>
        </w:tc>
        <w:tc>
          <w:tcPr>
            <w:tcW w:w="578" w:type="dxa"/>
            <w:vMerge w:val="continue"/>
            <w:tcBorders>
              <w:top w:val="single" w:color="auto" w:sz="2" w:space="0"/>
              <w:left w:val="single" w:color="auto" w:sz="2" w:space="0"/>
              <w:bottom w:val="single" w:color="auto" w:sz="2" w:space="0"/>
              <w:right w:val="nil"/>
            </w:tcBorders>
            <w:shd w:val="clear" w:color="auto" w:fill="D0CECE"/>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607" w:type="dxa"/>
            <w:tcBorders>
              <w:top w:val="single" w:color="auto" w:sz="2" w:space="0"/>
              <w:left w:val="nil"/>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甲</w:t>
            </w:r>
          </w:p>
        </w:tc>
        <w:tc>
          <w:tcPr>
            <w:tcW w:w="433"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乙</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9</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578"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578" w:type="dxa"/>
            <w:tcBorders>
              <w:top w:val="single" w:color="auto" w:sz="2" w:space="0"/>
              <w:left w:val="single" w:color="auto" w:sz="2" w:space="0"/>
              <w:bottom w:val="single" w:color="auto" w:sz="2" w:space="0"/>
              <w:right w:val="nil"/>
            </w:tcBorders>
            <w:noWrap w:val="0"/>
            <w:vAlign w:val="center"/>
          </w:tcPr>
          <w:p>
            <w:pPr>
              <w:widowControl/>
              <w:spacing w:line="240" w:lineRule="atLeast"/>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w:t>
            </w:r>
          </w:p>
        </w:tc>
      </w:tr>
      <w:tr>
        <w:tblPrEx>
          <w:tblCellMar>
            <w:top w:w="0" w:type="dxa"/>
            <w:left w:w="108" w:type="dxa"/>
            <w:bottom w:w="0" w:type="dxa"/>
            <w:right w:w="108" w:type="dxa"/>
          </w:tblCellMar>
        </w:tblPrEx>
        <w:trPr>
          <w:trHeight w:val="285" w:hRule="atLeast"/>
          <w:jc w:val="center"/>
        </w:trPr>
        <w:tc>
          <w:tcPr>
            <w:tcW w:w="1607" w:type="dxa"/>
            <w:tcBorders>
              <w:top w:val="single" w:color="auto" w:sz="2" w:space="0"/>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原煤　</w:t>
            </w:r>
          </w:p>
        </w:tc>
        <w:tc>
          <w:tcPr>
            <w:tcW w:w="433" w:type="dxa"/>
            <w:tcBorders>
              <w:top w:val="single" w:color="auto" w:sz="2" w:space="0"/>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w:t>
            </w:r>
          </w:p>
        </w:tc>
        <w:tc>
          <w:tcPr>
            <w:tcW w:w="7514" w:type="dxa"/>
            <w:gridSpan w:val="13"/>
            <w:vMerge w:val="restart"/>
            <w:tcBorders>
              <w:top w:val="single" w:color="auto" w:sz="2" w:space="0"/>
              <w:left w:val="single" w:color="auto" w:sz="2" w:space="0"/>
              <w:bottom w:val="single" w:color="auto" w:sz="4" w:space="0"/>
              <w:right w:val="nil"/>
            </w:tcBorders>
            <w:noWrap w:val="0"/>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354"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spacing w:val="-14"/>
                <w:w w:val="90"/>
                <w:kern w:val="0"/>
                <w:sz w:val="18"/>
                <w:szCs w:val="18"/>
              </w:rPr>
            </w:pPr>
            <w:r>
              <w:rPr>
                <w:rFonts w:hint="default" w:ascii="Times New Roman" w:hAnsi="Times New Roman" w:cs="Times New Roman"/>
                <w:spacing w:val="-14"/>
                <w:w w:val="90"/>
                <w:kern w:val="0"/>
                <w:sz w:val="18"/>
                <w:szCs w:val="18"/>
              </w:rPr>
              <w:t>洗精煤（用于炼焦）</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其他洗煤</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煤制品</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焦炭</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液化天然气</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06</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原油</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07</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汽油</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08</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煤油</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柴油</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燃料油</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液化石油气</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石脑油</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润滑油</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14</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溶剂油</w:t>
            </w:r>
          </w:p>
        </w:tc>
        <w:tc>
          <w:tcPr>
            <w:tcW w:w="433" w:type="dxa"/>
            <w:tcBorders>
              <w:top w:val="nil"/>
              <w:left w:val="single" w:color="auto" w:sz="2" w:space="0"/>
              <w:bottom w:val="nil"/>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85" w:hRule="atLeast"/>
          <w:jc w:val="center"/>
        </w:trPr>
        <w:tc>
          <w:tcPr>
            <w:tcW w:w="1607" w:type="dxa"/>
            <w:tcBorders>
              <w:top w:val="nil"/>
              <w:left w:val="nil"/>
              <w:bottom w:val="nil"/>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石油焦</w:t>
            </w:r>
          </w:p>
        </w:tc>
        <w:tc>
          <w:tcPr>
            <w:tcW w:w="433" w:type="dxa"/>
            <w:tcBorders>
              <w:top w:val="nil"/>
              <w:left w:val="single" w:color="auto" w:sz="2" w:space="0"/>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16</w:t>
            </w:r>
          </w:p>
        </w:tc>
        <w:tc>
          <w:tcPr>
            <w:tcW w:w="7514" w:type="dxa"/>
            <w:gridSpan w:val="13"/>
            <w:vMerge w:val="continue"/>
            <w:tcBorders>
              <w:top w:val="nil"/>
              <w:left w:val="single" w:color="auto" w:sz="2" w:space="0"/>
              <w:bottom w:val="single" w:color="auto" w:sz="4" w:space="0"/>
            </w:tcBorders>
            <w:noWrap w:val="0"/>
            <w:vAlign w:val="center"/>
          </w:tcPr>
          <w:p>
            <w:pPr>
              <w:widowControl/>
              <w:jc w:val="left"/>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607" w:type="dxa"/>
            <w:tcBorders>
              <w:top w:val="nil"/>
              <w:left w:val="nil"/>
              <w:bottom w:val="single" w:color="auto" w:sz="8" w:space="0"/>
              <w:right w:val="single" w:color="auto" w:sz="2" w:space="0"/>
            </w:tcBorders>
            <w:noWrap/>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石油沥青</w:t>
            </w:r>
          </w:p>
        </w:tc>
        <w:tc>
          <w:tcPr>
            <w:tcW w:w="433" w:type="dxa"/>
            <w:tcBorders>
              <w:top w:val="nil"/>
              <w:left w:val="single" w:color="auto" w:sz="2" w:space="0"/>
              <w:bottom w:val="single" w:color="auto" w:sz="8" w:space="0"/>
              <w:right w:val="single" w:color="auto" w:sz="2"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17</w:t>
            </w:r>
          </w:p>
        </w:tc>
        <w:tc>
          <w:tcPr>
            <w:tcW w:w="7514" w:type="dxa"/>
            <w:gridSpan w:val="13"/>
            <w:vMerge w:val="continue"/>
            <w:tcBorders>
              <w:top w:val="nil"/>
              <w:left w:val="single" w:color="auto" w:sz="2" w:space="0"/>
              <w:bottom w:val="single" w:color="auto" w:sz="8" w:space="0"/>
            </w:tcBorders>
            <w:noWrap w:val="0"/>
            <w:vAlign w:val="center"/>
          </w:tcPr>
          <w:p>
            <w:pPr>
              <w:widowControl/>
              <w:jc w:val="left"/>
              <w:rPr>
                <w:rFonts w:hint="default" w:ascii="Times New Roman" w:hAnsi="Times New Roman" w:cs="Times New Roman"/>
                <w:kern w:val="0"/>
                <w:sz w:val="18"/>
                <w:szCs w:val="18"/>
              </w:rPr>
            </w:pPr>
          </w:p>
        </w:tc>
      </w:tr>
    </w:tbl>
    <w:p>
      <w:pPr>
        <w:tabs>
          <w:tab w:val="left" w:pos="5430"/>
        </w:tabs>
        <w:adjustRightInd w:val="0"/>
        <w:ind w:left="839" w:right="-38" w:rightChars="-18" w:hanging="838" w:hangingChars="466"/>
        <w:rPr>
          <w:rFonts w:hint="default" w:ascii="Times New Roman" w:hAnsi="Times New Roman" w:cs="Times New Roman"/>
          <w:sz w:val="18"/>
          <w:szCs w:val="18"/>
        </w:rPr>
      </w:pPr>
      <w:r>
        <w:rPr>
          <w:rFonts w:hint="default" w:ascii="Times New Roman" w:hAnsi="Times New Roman" w:cs="Times New Roman"/>
          <w:sz w:val="18"/>
          <w:szCs w:val="18"/>
        </w:rPr>
        <w:t>单位负责人：　　    　统计负责人：　       　填表人：　　　  联系电话：       　报出日期：２０  年　月  日</w:t>
      </w:r>
    </w:p>
    <w:p>
      <w:pPr>
        <w:spacing w:line="260" w:lineRule="exact"/>
        <w:rPr>
          <w:rFonts w:hint="default" w:ascii="Times New Roman" w:hAnsi="Times New Roman" w:cs="Times New Roman"/>
          <w:sz w:val="18"/>
          <w:szCs w:val="18"/>
        </w:rPr>
      </w:pPr>
    </w:p>
    <w:p>
      <w:pPr>
        <w:adjustRightInd w:val="0"/>
        <w:snapToGrid w:val="0"/>
        <w:spacing w:line="270" w:lineRule="exact"/>
        <w:ind w:left="1566" w:hanging="1566" w:hangingChars="870"/>
        <w:rPr>
          <w:rFonts w:hint="default" w:ascii="Times New Roman" w:hAnsi="Times New Roman" w:cs="Times New Roman"/>
          <w:sz w:val="18"/>
          <w:szCs w:val="18"/>
        </w:rPr>
      </w:pPr>
      <w:r>
        <w:rPr>
          <w:rFonts w:hint="default" w:ascii="Times New Roman" w:hAnsi="Times New Roman" w:cs="Times New Roman"/>
          <w:sz w:val="18"/>
          <w:szCs w:val="18"/>
        </w:rPr>
        <w:t>说明：1.统计范围：辖区内规模以上服务业重点法人单位。</w:t>
      </w:r>
    </w:p>
    <w:p>
      <w:pPr>
        <w:keepNext w:val="0"/>
        <w:keepLines w:val="0"/>
        <w:pageBreakBefore w:val="0"/>
        <w:widowControl w:val="0"/>
        <w:kinsoku/>
        <w:wordWrap/>
        <w:overflowPunct/>
        <w:topLinePunct w:val="0"/>
        <w:autoSpaceDE/>
        <w:autoSpaceDN/>
        <w:bidi w:val="0"/>
        <w:adjustRightInd w:val="0"/>
        <w:snapToGrid w:val="0"/>
        <w:spacing w:line="270" w:lineRule="exact"/>
        <w:ind w:left="2142" w:leftChars="258" w:hanging="1600" w:hangingChars="889"/>
        <w:textAlignment w:val="auto"/>
        <w:rPr>
          <w:rFonts w:hint="default" w:ascii="Times New Roman" w:hAnsi="Times New Roman" w:cs="Times New Roman"/>
          <w:sz w:val="18"/>
          <w:szCs w:val="18"/>
        </w:rPr>
      </w:pPr>
      <w:r>
        <w:rPr>
          <w:rFonts w:hint="default" w:ascii="Times New Roman" w:hAnsi="Times New Roman" w:cs="Times New Roman"/>
          <w:sz w:val="18"/>
          <w:szCs w:val="18"/>
        </w:rPr>
        <w:t>2.报送日期及方式：</w:t>
      </w:r>
      <w:r>
        <w:rPr>
          <w:rFonts w:hint="default" w:ascii="Times New Roman" w:hAnsi="Times New Roman" w:eastAsia="宋体" w:cs="Times New Roman"/>
          <w:sz w:val="18"/>
          <w:szCs w:val="18"/>
        </w:rPr>
        <w:t>调查单位2、5、6、7、8、10、11月月后7日，</w:t>
      </w:r>
      <w:r>
        <w:rPr>
          <w:rFonts w:hint="default" w:ascii="Times New Roman" w:hAnsi="Times New Roman" w:eastAsia="7" w:cs="Times New Roman"/>
          <w:sz w:val="18"/>
          <w:szCs w:val="18"/>
        </w:rPr>
        <w:t>3</w:t>
      </w:r>
      <w:r>
        <w:rPr>
          <w:rFonts w:hint="default" w:ascii="Times New Roman" w:hAnsi="Times New Roman" w:eastAsia="宋体" w:cs="Times New Roman"/>
          <w:sz w:val="18"/>
          <w:szCs w:val="18"/>
        </w:rPr>
        <w:t>月月后</w:t>
      </w:r>
      <w:r>
        <w:rPr>
          <w:rFonts w:hint="default" w:ascii="Times New Roman" w:hAnsi="Times New Roman" w:eastAsia="宋体" w:cs="Times New Roman"/>
          <w:b w:val="0"/>
          <w:bCs w:val="0"/>
          <w:sz w:val="18"/>
          <w:szCs w:val="18"/>
        </w:rPr>
        <w:t>8</w:t>
      </w:r>
      <w:r>
        <w:rPr>
          <w:rFonts w:hint="default" w:ascii="Times New Roman" w:hAnsi="Times New Roman" w:eastAsia="宋体" w:cs="Times New Roman"/>
          <w:sz w:val="18"/>
          <w:szCs w:val="18"/>
        </w:rPr>
        <w:t>日，4、12月月后9日12：00，9月月后11日18:00前独立自行网上填报，1月免报；</w:t>
      </w:r>
      <w:r>
        <w:rPr>
          <w:rFonts w:hint="default" w:ascii="Times New Roman" w:hAnsi="Times New Roman" w:eastAsia="宋体" w:cs="Times New Roman"/>
          <w:kern w:val="0"/>
          <w:sz w:val="18"/>
          <w:szCs w:val="18"/>
        </w:rPr>
        <w:t>各区统计机构按“</w:t>
      </w:r>
      <w:r>
        <w:rPr>
          <w:rFonts w:hint="default" w:ascii="Times New Roman" w:hAnsi="Times New Roman" w:eastAsia="宋体" w:cs="Times New Roman"/>
          <w:kern w:val="0"/>
          <w:sz w:val="18"/>
          <w:szCs w:val="18"/>
          <w:lang w:eastAsia="zh-CN"/>
        </w:rPr>
        <w:t>统计云工作</w:t>
      </w:r>
      <w:r>
        <w:rPr>
          <w:rFonts w:hint="default" w:ascii="Times New Roman" w:hAnsi="Times New Roman" w:eastAsia="宋体" w:cs="Times New Roman"/>
          <w:kern w:val="0"/>
          <w:sz w:val="18"/>
          <w:szCs w:val="18"/>
        </w:rPr>
        <w:t>台”规定时间</w:t>
      </w:r>
      <w:r>
        <w:rPr>
          <w:rFonts w:hint="default" w:ascii="Times New Roman" w:hAnsi="Times New Roman" w:cs="Times New Roman"/>
          <w:spacing w:val="-4"/>
          <w:sz w:val="18"/>
          <w:szCs w:val="18"/>
        </w:rPr>
        <w:t>完成数据审核、验收、上报</w:t>
      </w:r>
      <w:r>
        <w:rPr>
          <w:rFonts w:hint="default" w:ascii="Times New Roman" w:hAnsi="Times New Roman" w:cs="Times New Roman"/>
          <w:sz w:val="18"/>
          <w:szCs w:val="18"/>
        </w:rPr>
        <w:t>。</w:t>
      </w:r>
    </w:p>
    <w:p>
      <w:pPr>
        <w:adjustRightInd w:val="0"/>
        <w:snapToGrid w:val="0"/>
        <w:spacing w:line="270" w:lineRule="exact"/>
        <w:ind w:left="668" w:leftChars="258" w:hanging="126" w:hangingChars="70"/>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pPr>
        <w:adjustRightInd w:val="0"/>
        <w:snapToGrid w:val="0"/>
        <w:spacing w:line="270" w:lineRule="exact"/>
        <w:ind w:left="734" w:leftChars="258" w:hanging="192" w:hangingChars="107"/>
        <w:rPr>
          <w:rFonts w:hint="default" w:ascii="Times New Roman" w:hAnsi="Times New Roman" w:cs="Times New Roman"/>
          <w:sz w:val="18"/>
          <w:szCs w:val="18"/>
        </w:rPr>
      </w:pPr>
      <w:r>
        <w:rPr>
          <w:rFonts w:hint="default" w:ascii="Times New Roman" w:hAnsi="Times New Roman" w:cs="Times New Roman"/>
          <w:sz w:val="18"/>
          <w:szCs w:val="18"/>
        </w:rPr>
        <w:t>4.油品重量单位与容积单位的换算关系：</w:t>
      </w:r>
    </w:p>
    <w:p>
      <w:pPr>
        <w:adjustRightInd w:val="0"/>
        <w:snapToGrid w:val="0"/>
        <w:spacing w:line="270" w:lineRule="exact"/>
        <w:ind w:left="722" w:leftChars="344"/>
        <w:rPr>
          <w:rFonts w:hint="default" w:ascii="Times New Roman" w:hAnsi="Times New Roman" w:cs="Times New Roman"/>
          <w:sz w:val="18"/>
          <w:szCs w:val="18"/>
        </w:rPr>
      </w:pPr>
      <w:r>
        <w:rPr>
          <w:rFonts w:hint="default" w:ascii="Times New Roman" w:hAnsi="Times New Roman" w:cs="Times New Roman"/>
          <w:sz w:val="18"/>
          <w:szCs w:val="18"/>
        </w:rPr>
        <w:t>(1)汽  油：1升</w:t>
      </w:r>
      <w:r>
        <w:rPr>
          <w:rFonts w:hint="default" w:ascii="Times New Roman" w:hAnsi="Times New Roman" w:cs="Times New Roman"/>
          <w:sz w:val="18"/>
          <w:lang w:val="en"/>
        </w:rPr>
        <w:t>≈</w:t>
      </w:r>
      <w:r>
        <w:rPr>
          <w:rFonts w:hint="default" w:ascii="Times New Roman" w:hAnsi="Times New Roman" w:cs="Times New Roman"/>
          <w:sz w:val="18"/>
          <w:szCs w:val="18"/>
        </w:rPr>
        <w:t>0.73千克</w:t>
      </w:r>
      <w:r>
        <w:rPr>
          <w:rFonts w:hint="default" w:ascii="Times New Roman" w:hAnsi="Times New Roman" w:cs="Times New Roman"/>
          <w:sz w:val="18"/>
          <w:lang w:val="en"/>
        </w:rPr>
        <w:t>≈</w:t>
      </w:r>
      <w:r>
        <w:rPr>
          <w:rFonts w:hint="default" w:ascii="Times New Roman" w:hAnsi="Times New Roman" w:cs="Times New Roman"/>
          <w:sz w:val="18"/>
          <w:szCs w:val="18"/>
        </w:rPr>
        <w:t>0.00073吨</w:t>
      </w:r>
    </w:p>
    <w:p>
      <w:pPr>
        <w:adjustRightInd w:val="0"/>
        <w:snapToGrid w:val="0"/>
        <w:spacing w:line="270" w:lineRule="exact"/>
        <w:ind w:left="722" w:leftChars="344"/>
        <w:rPr>
          <w:rFonts w:hint="default" w:ascii="Times New Roman" w:hAnsi="Times New Roman" w:cs="Times New Roman"/>
          <w:sz w:val="18"/>
          <w:szCs w:val="18"/>
        </w:rPr>
      </w:pPr>
      <w:r>
        <w:rPr>
          <w:rFonts w:hint="default" w:ascii="Times New Roman" w:hAnsi="Times New Roman" w:cs="Times New Roman"/>
          <w:sz w:val="18"/>
          <w:szCs w:val="18"/>
        </w:rPr>
        <w:t>(2)轻柴油：1升</w:t>
      </w:r>
      <w:r>
        <w:rPr>
          <w:rFonts w:hint="default" w:ascii="Times New Roman" w:hAnsi="Times New Roman" w:cs="Times New Roman"/>
          <w:sz w:val="18"/>
          <w:lang w:val="en"/>
        </w:rPr>
        <w:t>≈</w:t>
      </w:r>
      <w:r>
        <w:rPr>
          <w:rFonts w:hint="default" w:ascii="Times New Roman" w:hAnsi="Times New Roman" w:cs="Times New Roman"/>
          <w:sz w:val="18"/>
          <w:szCs w:val="18"/>
        </w:rPr>
        <w:t>0.86千克</w:t>
      </w:r>
      <w:r>
        <w:rPr>
          <w:rFonts w:hint="default" w:ascii="Times New Roman" w:hAnsi="Times New Roman" w:cs="Times New Roman"/>
          <w:sz w:val="18"/>
          <w:lang w:val="en"/>
        </w:rPr>
        <w:t>≈</w:t>
      </w:r>
      <w:r>
        <w:rPr>
          <w:rFonts w:hint="default" w:ascii="Times New Roman" w:hAnsi="Times New Roman" w:cs="Times New Roman"/>
          <w:sz w:val="18"/>
          <w:szCs w:val="18"/>
        </w:rPr>
        <w:t>0.00086吨</w:t>
      </w:r>
    </w:p>
    <w:p>
      <w:pPr>
        <w:adjustRightInd w:val="0"/>
        <w:snapToGrid w:val="0"/>
        <w:spacing w:line="270" w:lineRule="exact"/>
        <w:ind w:left="722" w:leftChars="344"/>
        <w:rPr>
          <w:rFonts w:hint="default" w:ascii="Times New Roman" w:hAnsi="Times New Roman" w:cs="Times New Roman"/>
          <w:sz w:val="18"/>
          <w:szCs w:val="18"/>
        </w:rPr>
      </w:pPr>
      <w:r>
        <w:rPr>
          <w:rFonts w:hint="default" w:ascii="Times New Roman" w:hAnsi="Times New Roman" w:cs="Times New Roman"/>
          <w:sz w:val="18"/>
          <w:szCs w:val="18"/>
        </w:rPr>
        <w:t>(3)重柴油：1升</w:t>
      </w:r>
      <w:r>
        <w:rPr>
          <w:rFonts w:hint="default" w:ascii="Times New Roman" w:hAnsi="Times New Roman" w:cs="Times New Roman"/>
          <w:sz w:val="18"/>
          <w:lang w:val="en"/>
        </w:rPr>
        <w:t>≈</w:t>
      </w:r>
      <w:r>
        <w:rPr>
          <w:rFonts w:hint="default" w:ascii="Times New Roman" w:hAnsi="Times New Roman" w:cs="Times New Roman"/>
          <w:sz w:val="18"/>
          <w:szCs w:val="18"/>
        </w:rPr>
        <w:t>0.92千克</w:t>
      </w:r>
      <w:r>
        <w:rPr>
          <w:rFonts w:hint="default" w:ascii="Times New Roman" w:hAnsi="Times New Roman" w:cs="Times New Roman"/>
          <w:sz w:val="18"/>
          <w:lang w:val="en"/>
        </w:rPr>
        <w:t>≈</w:t>
      </w:r>
      <w:r>
        <w:rPr>
          <w:rFonts w:hint="default" w:ascii="Times New Roman" w:hAnsi="Times New Roman" w:cs="Times New Roman"/>
          <w:sz w:val="18"/>
          <w:szCs w:val="18"/>
        </w:rPr>
        <w:t>0.00092吨</w:t>
      </w:r>
    </w:p>
    <w:p>
      <w:pPr>
        <w:adjustRightInd w:val="0"/>
        <w:snapToGrid w:val="0"/>
        <w:spacing w:line="270" w:lineRule="exact"/>
        <w:ind w:left="722" w:leftChars="344"/>
        <w:rPr>
          <w:rFonts w:hint="default" w:ascii="Times New Roman" w:hAnsi="Times New Roman" w:cs="Times New Roman"/>
          <w:sz w:val="18"/>
          <w:szCs w:val="18"/>
        </w:rPr>
      </w:pPr>
      <w:r>
        <w:rPr>
          <w:rFonts w:hint="default" w:ascii="Times New Roman" w:hAnsi="Times New Roman" w:cs="Times New Roman"/>
          <w:sz w:val="18"/>
          <w:szCs w:val="18"/>
        </w:rPr>
        <w:t>(4)煤  油：1升</w:t>
      </w:r>
      <w:r>
        <w:rPr>
          <w:rFonts w:hint="default" w:ascii="Times New Roman" w:hAnsi="Times New Roman" w:cs="Times New Roman"/>
          <w:sz w:val="18"/>
          <w:lang w:val="en"/>
        </w:rPr>
        <w:t>≈</w:t>
      </w:r>
      <w:r>
        <w:rPr>
          <w:rFonts w:hint="default" w:ascii="Times New Roman" w:hAnsi="Times New Roman" w:cs="Times New Roman"/>
          <w:sz w:val="18"/>
          <w:szCs w:val="18"/>
        </w:rPr>
        <w:t>0.82千克</w:t>
      </w:r>
      <w:r>
        <w:rPr>
          <w:rFonts w:hint="default" w:ascii="Times New Roman" w:hAnsi="Times New Roman" w:cs="Times New Roman"/>
          <w:sz w:val="18"/>
          <w:lang w:val="en"/>
        </w:rPr>
        <w:t>≈</w:t>
      </w:r>
      <w:r>
        <w:rPr>
          <w:rFonts w:hint="default" w:ascii="Times New Roman" w:hAnsi="Times New Roman" w:cs="Times New Roman"/>
          <w:sz w:val="18"/>
          <w:szCs w:val="18"/>
        </w:rPr>
        <w:t>0.00082吨</w:t>
      </w:r>
    </w:p>
    <w:p>
      <w:pPr>
        <w:adjustRightInd w:val="0"/>
        <w:snapToGrid w:val="0"/>
        <w:spacing w:line="270" w:lineRule="exact"/>
        <w:ind w:left="722" w:leftChars="344"/>
        <w:rPr>
          <w:rFonts w:hint="default" w:ascii="Times New Roman" w:hAnsi="Times New Roman" w:cs="Times New Roman"/>
          <w:sz w:val="18"/>
          <w:szCs w:val="18"/>
        </w:rPr>
      </w:pPr>
      <w:r>
        <w:rPr>
          <w:rFonts w:hint="default" w:ascii="Times New Roman" w:hAnsi="Times New Roman" w:cs="Times New Roman"/>
          <w:sz w:val="18"/>
          <w:szCs w:val="18"/>
        </w:rPr>
        <w:t>(5)燃料油：1升</w:t>
      </w:r>
      <w:r>
        <w:rPr>
          <w:rFonts w:hint="default" w:ascii="Times New Roman" w:hAnsi="Times New Roman" w:cs="Times New Roman"/>
          <w:sz w:val="18"/>
          <w:lang w:val="en"/>
        </w:rPr>
        <w:t>≈</w:t>
      </w:r>
      <w:r>
        <w:rPr>
          <w:rFonts w:hint="default" w:ascii="Times New Roman" w:hAnsi="Times New Roman" w:cs="Times New Roman"/>
          <w:sz w:val="18"/>
          <w:szCs w:val="18"/>
        </w:rPr>
        <w:t>0.91千克</w:t>
      </w:r>
      <w:r>
        <w:rPr>
          <w:rFonts w:hint="default" w:ascii="Times New Roman" w:hAnsi="Times New Roman" w:cs="Times New Roman"/>
          <w:sz w:val="18"/>
          <w:lang w:val="en"/>
        </w:rPr>
        <w:t>≈</w:t>
      </w:r>
      <w:r>
        <w:rPr>
          <w:rFonts w:hint="default" w:ascii="Times New Roman" w:hAnsi="Times New Roman" w:cs="Times New Roman"/>
          <w:sz w:val="18"/>
          <w:szCs w:val="18"/>
        </w:rPr>
        <w:t>0.00091吨</w:t>
      </w:r>
    </w:p>
    <w:p>
      <w:pPr>
        <w:keepNext w:val="0"/>
        <w:keepLines w:val="0"/>
        <w:pageBreakBefore w:val="0"/>
        <w:widowControl w:val="0"/>
        <w:kinsoku/>
        <w:wordWrap/>
        <w:overflowPunct/>
        <w:topLinePunct w:val="0"/>
        <w:autoSpaceDE/>
        <w:autoSpaceDN/>
        <w:bidi w:val="0"/>
        <w:adjustRightInd/>
        <w:snapToGrid w:val="0"/>
        <w:jc w:val="center"/>
        <w:textAlignment w:val="auto"/>
        <w:outlineLvl w:val="2"/>
        <w:rPr>
          <w:rFonts w:hint="eastAsia"/>
          <w:color w:val="000000"/>
          <w:sz w:val="32"/>
        </w:rPr>
      </w:pPr>
      <w:r>
        <w:rPr>
          <w:rFonts w:eastAsia="仿宋_GB2312"/>
          <w:b/>
          <w:spacing w:val="8"/>
          <w:sz w:val="30"/>
          <w:szCs w:val="30"/>
        </w:rPr>
        <w:br w:type="page"/>
      </w:r>
      <w:r>
        <w:rPr>
          <w:rFonts w:hint="eastAsia"/>
          <w:color w:val="000000"/>
          <w:sz w:val="32"/>
        </w:rPr>
        <w:t>固定资产投资项目情况</w:t>
      </w:r>
    </w:p>
    <w:tbl>
      <w:tblPr>
        <w:tblStyle w:val="31"/>
        <w:tblW w:w="0" w:type="auto"/>
        <w:tblInd w:w="0" w:type="dxa"/>
        <w:tblLayout w:type="fixed"/>
        <w:tblCellMar>
          <w:top w:w="0" w:type="dxa"/>
          <w:left w:w="108" w:type="dxa"/>
          <w:bottom w:w="0" w:type="dxa"/>
          <w:right w:w="108" w:type="dxa"/>
        </w:tblCellMar>
      </w:tblPr>
      <w:tblGrid>
        <w:gridCol w:w="2863"/>
        <w:gridCol w:w="862"/>
        <w:gridCol w:w="2798"/>
        <w:gridCol w:w="1050"/>
        <w:gridCol w:w="1894"/>
      </w:tblGrid>
      <w:tr>
        <w:tblPrEx>
          <w:tblCellMar>
            <w:top w:w="0" w:type="dxa"/>
            <w:left w:w="108" w:type="dxa"/>
            <w:bottom w:w="0" w:type="dxa"/>
            <w:right w:w="108" w:type="dxa"/>
          </w:tblCellMar>
        </w:tblPrEx>
        <w:tc>
          <w:tcPr>
            <w:tcW w:w="6523" w:type="dxa"/>
            <w:gridSpan w:val="3"/>
            <w:noWrap w:val="0"/>
            <w:tcMar>
              <w:left w:w="0" w:type="dxa"/>
              <w:right w:w="0" w:type="dxa"/>
            </w:tcMar>
            <w:vAlign w:val="top"/>
          </w:tcPr>
          <w:p>
            <w:pPr>
              <w:adjustRightInd w:val="0"/>
              <w:snapToGrid w:val="0"/>
              <w:jc w:val="left"/>
              <w:rPr>
                <w:rFonts w:ascii="宋体" w:hAnsi="宋体" w:cs="宋体"/>
                <w:color w:val="000000"/>
                <w:sz w:val="18"/>
                <w:szCs w:val="18"/>
              </w:rPr>
            </w:pPr>
          </w:p>
        </w:tc>
        <w:tc>
          <w:tcPr>
            <w:tcW w:w="1050" w:type="dxa"/>
            <w:noWrap w:val="0"/>
            <w:vAlign w:val="top"/>
          </w:tcPr>
          <w:p>
            <w:pPr>
              <w:adjustRightInd w:val="0"/>
              <w:snapToGrid w:val="0"/>
              <w:jc w:val="center"/>
              <w:rPr>
                <w:rFonts w:ascii="宋体" w:hAnsi="宋体" w:cs="宋体"/>
                <w:color w:val="000000"/>
                <w:sz w:val="18"/>
                <w:szCs w:val="18"/>
              </w:rPr>
            </w:pPr>
            <w:r>
              <w:rPr>
                <w:rFonts w:hint="eastAsia" w:ascii="宋体" w:hAnsi="宋体" w:cs="宋体"/>
                <w:color w:val="000000"/>
                <w:sz w:val="18"/>
                <w:szCs w:val="18"/>
              </w:rPr>
              <w:t>表</w:t>
            </w:r>
            <w:r>
              <w:rPr>
                <w:rFonts w:ascii="宋体" w:hAnsi="宋体" w:cs="宋体"/>
                <w:color w:val="000000"/>
                <w:sz w:val="18"/>
                <w:szCs w:val="18"/>
              </w:rPr>
              <w:t xml:space="preserve">    </w:t>
            </w:r>
            <w:r>
              <w:rPr>
                <w:rFonts w:hint="eastAsia" w:ascii="宋体" w:hAnsi="宋体" w:cs="宋体"/>
                <w:color w:val="000000"/>
                <w:sz w:val="18"/>
                <w:szCs w:val="18"/>
              </w:rPr>
              <w:t>号：</w:t>
            </w:r>
          </w:p>
        </w:tc>
        <w:tc>
          <w:tcPr>
            <w:tcW w:w="1894" w:type="dxa"/>
            <w:noWrap w:val="0"/>
            <w:vAlign w:val="center"/>
          </w:tcPr>
          <w:p>
            <w:pPr>
              <w:snapToGrid w:val="0"/>
              <w:ind w:left="-105" w:leftChars="-50"/>
              <w:jc w:val="distribute"/>
              <w:rPr>
                <w:rFonts w:ascii="宋体" w:hAnsi="宋体"/>
                <w:color w:val="000000"/>
                <w:sz w:val="18"/>
              </w:rPr>
            </w:pPr>
            <w:r>
              <w:rPr>
                <w:rFonts w:hint="eastAsia" w:ascii="宋体" w:hAnsi="宋体"/>
                <w:color w:val="000000"/>
                <w:sz w:val="18"/>
              </w:rPr>
              <w:t>２０６表</w:t>
            </w:r>
          </w:p>
        </w:tc>
      </w:tr>
      <w:tr>
        <w:tblPrEx>
          <w:tblCellMar>
            <w:top w:w="0" w:type="dxa"/>
            <w:left w:w="108" w:type="dxa"/>
            <w:bottom w:w="0" w:type="dxa"/>
            <w:right w:w="108" w:type="dxa"/>
          </w:tblCellMar>
        </w:tblPrEx>
        <w:tc>
          <w:tcPr>
            <w:tcW w:w="6523" w:type="dxa"/>
            <w:gridSpan w:val="3"/>
            <w:noWrap w:val="0"/>
            <w:tcMar>
              <w:left w:w="0" w:type="dxa"/>
              <w:right w:w="0" w:type="dxa"/>
            </w:tcMar>
            <w:vAlign w:val="top"/>
          </w:tcPr>
          <w:p>
            <w:pPr>
              <w:adjustRightInd w:val="0"/>
              <w:snapToGrid w:val="0"/>
              <w:rPr>
                <w:rFonts w:ascii="宋体" w:hAnsi="宋体" w:cs="宋体"/>
                <w:color w:val="000000"/>
                <w:sz w:val="18"/>
                <w:szCs w:val="18"/>
              </w:rPr>
            </w:pPr>
          </w:p>
        </w:tc>
        <w:tc>
          <w:tcPr>
            <w:tcW w:w="1050" w:type="dxa"/>
            <w:noWrap w:val="0"/>
            <w:vAlign w:val="top"/>
          </w:tcPr>
          <w:p>
            <w:pPr>
              <w:adjustRightInd w:val="0"/>
              <w:snapToGrid w:val="0"/>
              <w:jc w:val="center"/>
              <w:rPr>
                <w:rFonts w:ascii="宋体" w:hAnsi="宋体" w:cs="宋体"/>
                <w:color w:val="000000"/>
                <w:sz w:val="18"/>
                <w:szCs w:val="18"/>
              </w:rPr>
            </w:pPr>
            <w:r>
              <w:rPr>
                <w:rFonts w:hint="eastAsia" w:ascii="宋体" w:hAnsi="宋体" w:cs="宋体"/>
                <w:color w:val="000000"/>
                <w:sz w:val="18"/>
                <w:szCs w:val="18"/>
              </w:rPr>
              <w:t>制定机关：</w:t>
            </w:r>
          </w:p>
        </w:tc>
        <w:tc>
          <w:tcPr>
            <w:tcW w:w="1894" w:type="dxa"/>
            <w:noWrap w:val="0"/>
            <w:vAlign w:val="center"/>
          </w:tcPr>
          <w:p>
            <w:pPr>
              <w:snapToGrid w:val="0"/>
              <w:ind w:left="-105" w:leftChars="-50"/>
              <w:jc w:val="distribute"/>
              <w:rPr>
                <w:rFonts w:hint="eastAsia" w:ascii="宋体" w:hAnsi="宋体"/>
                <w:color w:val="000000"/>
                <w:sz w:val="18"/>
              </w:rPr>
            </w:pPr>
            <w:r>
              <w:rPr>
                <w:rFonts w:hint="eastAsia" w:ascii="宋体" w:hAnsi="宋体"/>
                <w:color w:val="000000"/>
                <w:sz w:val="18"/>
              </w:rPr>
              <w:t>国家统计局</w:t>
            </w:r>
          </w:p>
        </w:tc>
      </w:tr>
      <w:tr>
        <w:tblPrEx>
          <w:tblCellMar>
            <w:top w:w="0" w:type="dxa"/>
            <w:left w:w="108" w:type="dxa"/>
            <w:bottom w:w="0" w:type="dxa"/>
            <w:right w:w="108" w:type="dxa"/>
          </w:tblCellMar>
        </w:tblPrEx>
        <w:tc>
          <w:tcPr>
            <w:tcW w:w="6523" w:type="dxa"/>
            <w:gridSpan w:val="3"/>
            <w:noWrap w:val="0"/>
            <w:tcMar>
              <w:left w:w="0" w:type="dxa"/>
              <w:right w:w="0" w:type="dxa"/>
            </w:tcMar>
            <w:vAlign w:val="bottom"/>
          </w:tcPr>
          <w:p>
            <w:pPr>
              <w:adjustRightInd w:val="0"/>
              <w:snapToGrid w:val="0"/>
              <w:jc w:val="left"/>
              <w:rPr>
                <w:rFonts w:ascii="宋体" w:hAnsi="宋体" w:cs="宋体"/>
                <w:color w:val="000000"/>
                <w:sz w:val="18"/>
                <w:szCs w:val="18"/>
              </w:rPr>
            </w:pPr>
            <w:r>
              <w:rPr>
                <w:rFonts w:hint="eastAsia" w:ascii="宋体" w:hAnsi="宋体" w:cs="宋体"/>
                <w:color w:val="000000"/>
                <w:sz w:val="18"/>
                <w:szCs w:val="18"/>
              </w:rPr>
              <w:t>统一社会信用代码□□□□□□□□□□□□□□□□□□</w:t>
            </w:r>
          </w:p>
        </w:tc>
        <w:tc>
          <w:tcPr>
            <w:tcW w:w="1050" w:type="dxa"/>
            <w:noWrap w:val="0"/>
            <w:vAlign w:val="center"/>
          </w:tcPr>
          <w:p>
            <w:pPr>
              <w:adjustRightInd w:val="0"/>
              <w:snapToGrid w:val="0"/>
              <w:jc w:val="center"/>
              <w:rPr>
                <w:rFonts w:ascii="宋体" w:hAnsi="宋体" w:cs="宋体"/>
                <w:color w:val="000000"/>
                <w:sz w:val="18"/>
                <w:szCs w:val="18"/>
              </w:rPr>
            </w:pPr>
            <w:r>
              <w:rPr>
                <w:rFonts w:hint="eastAsia" w:ascii="宋体" w:hAnsi="宋体" w:cs="宋体"/>
                <w:color w:val="000000"/>
                <w:sz w:val="18"/>
                <w:szCs w:val="18"/>
              </w:rPr>
              <w:t>文</w:t>
            </w:r>
            <w:r>
              <w:rPr>
                <w:rFonts w:ascii="宋体" w:hAnsi="宋体" w:cs="宋体"/>
                <w:color w:val="000000"/>
                <w:sz w:val="18"/>
                <w:szCs w:val="18"/>
              </w:rPr>
              <w:t xml:space="preserve">    </w:t>
            </w:r>
            <w:r>
              <w:rPr>
                <w:rFonts w:hint="eastAsia" w:ascii="宋体" w:hAnsi="宋体" w:cs="宋体"/>
                <w:color w:val="000000"/>
                <w:sz w:val="18"/>
                <w:szCs w:val="18"/>
              </w:rPr>
              <w:t>号：</w:t>
            </w:r>
          </w:p>
        </w:tc>
        <w:tc>
          <w:tcPr>
            <w:tcW w:w="1894" w:type="dxa"/>
            <w:noWrap w:val="0"/>
            <w:vAlign w:val="center"/>
          </w:tcPr>
          <w:p>
            <w:pPr>
              <w:snapToGrid w:val="0"/>
              <w:ind w:left="-105" w:leftChars="-50"/>
              <w:jc w:val="distribute"/>
              <w:rPr>
                <w:rFonts w:ascii="宋体" w:hAnsi="宋体"/>
                <w:color w:val="000000"/>
                <w:sz w:val="18"/>
              </w:rPr>
            </w:pPr>
            <w:r>
              <w:rPr>
                <w:rFonts w:hint="eastAsia" w:ascii="宋体" w:hAnsi="宋体"/>
                <w:color w:val="000000"/>
                <w:sz w:val="18"/>
              </w:rPr>
              <w:t>国统字〔2024〕77号</w:t>
            </w:r>
          </w:p>
        </w:tc>
      </w:tr>
      <w:tr>
        <w:tblPrEx>
          <w:tblCellMar>
            <w:top w:w="0" w:type="dxa"/>
            <w:left w:w="108" w:type="dxa"/>
            <w:bottom w:w="0" w:type="dxa"/>
            <w:right w:w="108" w:type="dxa"/>
          </w:tblCellMar>
        </w:tblPrEx>
        <w:tc>
          <w:tcPr>
            <w:tcW w:w="2863" w:type="dxa"/>
            <w:noWrap w:val="0"/>
            <w:tcMar>
              <w:left w:w="0" w:type="dxa"/>
              <w:right w:w="0" w:type="dxa"/>
            </w:tcMar>
            <w:vAlign w:val="top"/>
          </w:tcPr>
          <w:p>
            <w:pPr>
              <w:adjustRightInd w:val="0"/>
              <w:snapToGrid w:val="0"/>
              <w:rPr>
                <w:rFonts w:ascii="宋体" w:hAnsi="宋体" w:cs="宋体"/>
                <w:color w:val="000000"/>
                <w:sz w:val="18"/>
                <w:szCs w:val="18"/>
              </w:rPr>
            </w:pPr>
            <w:r>
              <w:rPr>
                <w:rFonts w:hint="eastAsia" w:ascii="宋体" w:hAnsi="宋体" w:cs="宋体"/>
                <w:color w:val="000000"/>
                <w:sz w:val="18"/>
                <w:szCs w:val="18"/>
              </w:rPr>
              <w:t>单位详细名称：</w:t>
            </w:r>
          </w:p>
        </w:tc>
        <w:tc>
          <w:tcPr>
            <w:tcW w:w="862" w:type="dxa"/>
            <w:noWrap w:val="0"/>
            <w:vAlign w:val="top"/>
          </w:tcPr>
          <w:p>
            <w:pPr>
              <w:adjustRightInd w:val="0"/>
              <w:snapToGrid w:val="0"/>
              <w:jc w:val="center"/>
              <w:rPr>
                <w:rFonts w:ascii="宋体" w:hAnsi="宋体" w:cs="宋体"/>
                <w:color w:val="000000"/>
                <w:sz w:val="18"/>
                <w:szCs w:val="18"/>
              </w:rPr>
            </w:pPr>
          </w:p>
        </w:tc>
        <w:tc>
          <w:tcPr>
            <w:tcW w:w="2798" w:type="dxa"/>
            <w:noWrap w:val="0"/>
            <w:vAlign w:val="top"/>
          </w:tcPr>
          <w:p>
            <w:pPr>
              <w:adjustRightInd w:val="0"/>
              <w:snapToGrid w:val="0"/>
              <w:ind w:firstLine="360" w:firstLineChars="200"/>
              <w:rPr>
                <w:rFonts w:ascii="宋体" w:hAnsi="宋体" w:cs="宋体"/>
                <w:color w:val="000000"/>
                <w:sz w:val="18"/>
                <w:szCs w:val="18"/>
              </w:rPr>
            </w:pPr>
            <w:r>
              <w:rPr>
                <w:rFonts w:hint="eastAsia" w:ascii="宋体" w:hAnsi="宋体" w:cs="宋体"/>
                <w:color w:val="000000"/>
                <w:sz w:val="18"/>
                <w:szCs w:val="18"/>
              </w:rPr>
              <w:t>２０２5年１－  月</w:t>
            </w:r>
          </w:p>
        </w:tc>
        <w:tc>
          <w:tcPr>
            <w:tcW w:w="1050" w:type="dxa"/>
            <w:noWrap w:val="0"/>
            <w:vAlign w:val="center"/>
          </w:tcPr>
          <w:p>
            <w:pPr>
              <w:adjustRightInd w:val="0"/>
              <w:snapToGrid w:val="0"/>
              <w:jc w:val="center"/>
              <w:rPr>
                <w:rFonts w:ascii="宋体" w:hAnsi="宋体" w:cs="宋体"/>
                <w:color w:val="000000"/>
                <w:sz w:val="18"/>
                <w:szCs w:val="18"/>
              </w:rPr>
            </w:pPr>
            <w:r>
              <w:rPr>
                <w:rFonts w:hint="eastAsia" w:ascii="宋体" w:hAnsi="宋体" w:cs="宋体"/>
                <w:color w:val="000000"/>
                <w:sz w:val="18"/>
                <w:szCs w:val="18"/>
              </w:rPr>
              <w:t>有效期至：</w:t>
            </w:r>
          </w:p>
        </w:tc>
        <w:tc>
          <w:tcPr>
            <w:tcW w:w="1894" w:type="dxa"/>
            <w:noWrap w:val="0"/>
            <w:vAlign w:val="center"/>
          </w:tcPr>
          <w:p>
            <w:pPr>
              <w:snapToGrid w:val="0"/>
              <w:ind w:left="-105" w:leftChars="-50"/>
              <w:jc w:val="distribute"/>
              <w:rPr>
                <w:rFonts w:ascii="宋体" w:hAnsi="宋体"/>
                <w:color w:val="000000"/>
                <w:sz w:val="18"/>
              </w:rPr>
            </w:pPr>
            <w:r>
              <w:rPr>
                <w:rFonts w:hint="eastAsia" w:ascii="宋体" w:hAnsi="宋体"/>
                <w:color w:val="000000"/>
                <w:sz w:val="18"/>
              </w:rPr>
              <w:t>２０２6年１月</w:t>
            </w:r>
          </w:p>
        </w:tc>
      </w:tr>
    </w:tbl>
    <w:p>
      <w:pPr>
        <w:spacing w:line="40" w:lineRule="exact"/>
        <w:rPr>
          <w:color w:val="000000"/>
        </w:rPr>
      </w:pPr>
    </w:p>
    <w:tbl>
      <w:tblPr>
        <w:tblStyle w:val="31"/>
        <w:tblW w:w="9573"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43"/>
        <w:gridCol w:w="1011"/>
        <w:gridCol w:w="970"/>
        <w:gridCol w:w="720"/>
        <w:gridCol w:w="186"/>
        <w:gridCol w:w="534"/>
        <w:gridCol w:w="385"/>
        <w:gridCol w:w="407"/>
        <w:gridCol w:w="24"/>
        <w:gridCol w:w="1846"/>
        <w:gridCol w:w="758"/>
        <w:gridCol w:w="792"/>
        <w:gridCol w:w="540"/>
        <w:gridCol w:w="703"/>
        <w:gridCol w:w="1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573" w:type="dxa"/>
            <w:gridSpan w:val="15"/>
            <w:noWrap w:val="0"/>
            <w:vAlign w:val="center"/>
          </w:tcPr>
          <w:p>
            <w:pPr>
              <w:adjustRightInd w:val="0"/>
              <w:snapToGrid w:val="0"/>
              <w:jc w:val="center"/>
              <w:rPr>
                <w:rFonts w:ascii="宋体" w:hAnsi="宋体"/>
                <w:b/>
                <w:color w:val="000000"/>
                <w:sz w:val="18"/>
                <w:szCs w:val="18"/>
              </w:rPr>
            </w:pPr>
            <w:r>
              <w:rPr>
                <w:rFonts w:hint="eastAsia" w:ascii="宋体" w:hAnsi="宋体"/>
                <w:b/>
                <w:color w:val="000000"/>
                <w:sz w:val="18"/>
                <w:szCs w:val="18"/>
              </w:rPr>
              <w:t>一、项目基本情况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5" w:hRule="atLeast"/>
          <w:jc w:val="center"/>
        </w:trPr>
        <w:tc>
          <w:tcPr>
            <w:tcW w:w="543" w:type="dxa"/>
            <w:tcBorders>
              <w:top w:val="single" w:color="auto" w:sz="2" w:space="0"/>
              <w:bottom w:val="single" w:color="auto" w:sz="2" w:space="0"/>
            </w:tcBorders>
            <w:shd w:val="clear" w:color="auto" w:fill="C0C0C0"/>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01</w:t>
            </w:r>
          </w:p>
        </w:tc>
        <w:tc>
          <w:tcPr>
            <w:tcW w:w="1011" w:type="dxa"/>
            <w:shd w:val="clear" w:color="auto" w:fill="C0C0C0"/>
            <w:noWrap w:val="0"/>
            <w:vAlign w:val="center"/>
          </w:tcPr>
          <w:p>
            <w:pPr>
              <w:pStyle w:val="20"/>
              <w:pBdr>
                <w:bottom w:val="none" w:color="auto" w:sz="0" w:space="0"/>
              </w:pBdr>
              <w:tabs>
                <w:tab w:val="clear" w:pos="4153"/>
                <w:tab w:val="clear" w:pos="8306"/>
              </w:tabs>
              <w:adjustRightInd w:val="0"/>
              <w:spacing w:line="340" w:lineRule="exact"/>
              <w:rPr>
                <w:rFonts w:hint="default" w:ascii="Times New Roman" w:hAnsi="Times New Roman" w:cs="Times New Roman"/>
                <w:color w:val="000000"/>
              </w:rPr>
            </w:pPr>
            <w:r>
              <w:rPr>
                <w:rFonts w:hint="default" w:ascii="Times New Roman" w:hAnsi="Times New Roman" w:cs="Times New Roman"/>
                <w:color w:val="000000"/>
              </w:rPr>
              <w:t>项目代码</w:t>
            </w:r>
          </w:p>
        </w:tc>
        <w:tc>
          <w:tcPr>
            <w:tcW w:w="8019" w:type="dxa"/>
            <w:gridSpan w:val="13"/>
            <w:shd w:val="clear" w:color="auto" w:fill="C0C0C0"/>
            <w:noWrap w:val="0"/>
            <w:vAlign w:val="center"/>
          </w:tcPr>
          <w:p>
            <w:pPr>
              <w:adjustRightInd w:val="0"/>
              <w:snapToGrid w:val="0"/>
              <w:spacing w:line="340" w:lineRule="exact"/>
              <w:ind w:left="1530" w:hanging="1530" w:hangingChars="850"/>
              <w:rPr>
                <w:rFonts w:hint="default" w:ascii="Times New Roman" w:hAnsi="Times New Roman" w:cs="Times New Roman"/>
                <w:color w:val="000000"/>
                <w:sz w:val="18"/>
                <w:szCs w:val="18"/>
                <w:u w:val="single"/>
              </w:rPr>
            </w:pPr>
            <w:r>
              <w:rPr>
                <w:rFonts w:hint="default" w:ascii="Times New Roman" w:hAnsi="Times New Roman" w:cs="Times New Roman"/>
                <w:color w:val="00000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10" w:hRule="atLeast"/>
          <w:jc w:val="center"/>
        </w:trPr>
        <w:tc>
          <w:tcPr>
            <w:tcW w:w="543" w:type="dxa"/>
            <w:tcBorders>
              <w:top w:val="single" w:color="auto" w:sz="2" w:space="0"/>
              <w:bottom w:val="single" w:color="auto" w:sz="2" w:space="0"/>
            </w:tcBorders>
            <w:shd w:val="clear" w:color="auto" w:fill="C0C0C0"/>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02</w:t>
            </w:r>
          </w:p>
        </w:tc>
        <w:tc>
          <w:tcPr>
            <w:tcW w:w="1011" w:type="dxa"/>
            <w:shd w:val="clear" w:color="auto" w:fill="C0C0C0"/>
            <w:noWrap w:val="0"/>
            <w:vAlign w:val="center"/>
          </w:tcPr>
          <w:p>
            <w:pPr>
              <w:pStyle w:val="20"/>
              <w:pBdr>
                <w:bottom w:val="none" w:color="auto" w:sz="0" w:space="0"/>
              </w:pBdr>
              <w:tabs>
                <w:tab w:val="clear" w:pos="4153"/>
                <w:tab w:val="clear" w:pos="8306"/>
              </w:tabs>
              <w:adjustRightInd w:val="0"/>
              <w:spacing w:line="340" w:lineRule="exact"/>
              <w:rPr>
                <w:rFonts w:hint="default" w:ascii="Times New Roman" w:hAnsi="Times New Roman" w:cs="Times New Roman"/>
                <w:color w:val="000000"/>
              </w:rPr>
            </w:pPr>
            <w:r>
              <w:rPr>
                <w:rFonts w:hint="default" w:ascii="Times New Roman" w:hAnsi="Times New Roman" w:cs="Times New Roman"/>
                <w:color w:val="000000"/>
              </w:rPr>
              <w:t>项目名称</w:t>
            </w:r>
          </w:p>
        </w:tc>
        <w:tc>
          <w:tcPr>
            <w:tcW w:w="8019" w:type="dxa"/>
            <w:gridSpan w:val="13"/>
            <w:shd w:val="clear" w:color="auto" w:fill="C0C0C0"/>
            <w:noWrap w:val="0"/>
            <w:vAlign w:val="center"/>
          </w:tcPr>
          <w:p>
            <w:pPr>
              <w:adjustRightInd w:val="0"/>
              <w:snapToGrid w:val="0"/>
              <w:spacing w:line="340" w:lineRule="exact"/>
              <w:jc w:val="center"/>
              <w:rPr>
                <w:rFonts w:hint="default" w:ascii="Times New Roman" w:hAnsi="Times New Roman" w:cs="Times New Roman"/>
                <w:color w:val="00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060" w:hRule="atLeast"/>
          <w:jc w:val="center"/>
        </w:trPr>
        <w:tc>
          <w:tcPr>
            <w:tcW w:w="543" w:type="dxa"/>
            <w:tcBorders>
              <w:top w:val="single" w:color="auto" w:sz="2" w:space="0"/>
              <w:bottom w:val="single" w:color="auto" w:sz="2" w:space="0"/>
            </w:tcBorders>
            <w:shd w:val="clear" w:color="auto" w:fill="C0C0C0"/>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13</w:t>
            </w:r>
          </w:p>
        </w:tc>
        <w:tc>
          <w:tcPr>
            <w:tcW w:w="1011" w:type="dxa"/>
            <w:shd w:val="clear" w:color="auto" w:fill="C0C0C0"/>
            <w:noWrap w:val="0"/>
            <w:vAlign w:val="center"/>
          </w:tcPr>
          <w:p>
            <w:pPr>
              <w:pStyle w:val="20"/>
              <w:pBdr>
                <w:bottom w:val="none" w:color="auto" w:sz="0" w:space="0"/>
              </w:pBdr>
              <w:tabs>
                <w:tab w:val="clear" w:pos="4153"/>
                <w:tab w:val="clear" w:pos="8306"/>
              </w:tabs>
              <w:adjustRightInd w:val="0"/>
              <w:spacing w:line="240" w:lineRule="atLeast"/>
              <w:jc w:val="left"/>
              <w:rPr>
                <w:rFonts w:hint="default" w:ascii="Times New Roman" w:hAnsi="Times New Roman" w:cs="Times New Roman"/>
                <w:color w:val="000000"/>
              </w:rPr>
            </w:pPr>
            <w:r>
              <w:rPr>
                <w:rFonts w:hint="default" w:ascii="Times New Roman" w:hAnsi="Times New Roman" w:cs="Times New Roman"/>
                <w:color w:val="000000"/>
              </w:rPr>
              <w:t>投资项目在线审批监管平台统一代码</w:t>
            </w:r>
          </w:p>
        </w:tc>
        <w:tc>
          <w:tcPr>
            <w:tcW w:w="8019" w:type="dxa"/>
            <w:gridSpan w:val="13"/>
            <w:shd w:val="clear" w:color="auto" w:fill="C0C0C0"/>
            <w:noWrap w:val="0"/>
            <w:vAlign w:val="center"/>
          </w:tcPr>
          <w:p>
            <w:pPr>
              <w:adjustRightInd w:val="0"/>
              <w:snapToGrid w:val="0"/>
              <w:spacing w:line="240" w:lineRule="atLeast"/>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05" w:hRule="atLeast"/>
          <w:jc w:val="center"/>
        </w:trPr>
        <w:tc>
          <w:tcPr>
            <w:tcW w:w="543" w:type="dxa"/>
            <w:tcBorders>
              <w:top w:val="single" w:color="auto" w:sz="2" w:space="0"/>
              <w:bottom w:val="single" w:color="auto" w:sz="2" w:space="0"/>
            </w:tcBorders>
            <w:shd w:val="clear" w:color="auto" w:fill="C0C0C0"/>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104</w:t>
            </w:r>
          </w:p>
        </w:tc>
        <w:tc>
          <w:tcPr>
            <w:tcW w:w="1011" w:type="dxa"/>
            <w:shd w:val="clear" w:color="auto" w:fill="C0C0C0"/>
            <w:noWrap w:val="0"/>
            <w:vAlign w:val="center"/>
          </w:tcPr>
          <w:p>
            <w:pPr>
              <w:pStyle w:val="20"/>
              <w:pBdr>
                <w:bottom w:val="none" w:color="auto" w:sz="0" w:space="0"/>
              </w:pBdr>
              <w:tabs>
                <w:tab w:val="clear" w:pos="4153"/>
                <w:tab w:val="clear" w:pos="8306"/>
              </w:tabs>
              <w:adjustRightInd w:val="0"/>
              <w:spacing w:line="240" w:lineRule="atLeast"/>
              <w:rPr>
                <w:rFonts w:hint="default" w:ascii="Times New Roman" w:hAnsi="Times New Roman" w:cs="Times New Roman"/>
                <w:color w:val="000000"/>
              </w:rPr>
            </w:pPr>
            <w:r>
              <w:rPr>
                <w:rFonts w:hint="default" w:ascii="Times New Roman" w:hAnsi="Times New Roman" w:cs="Times New Roman"/>
                <w:color w:val="000000"/>
              </w:rPr>
              <w:t>报表类别</w:t>
            </w:r>
          </w:p>
        </w:tc>
        <w:tc>
          <w:tcPr>
            <w:tcW w:w="8019" w:type="dxa"/>
            <w:gridSpan w:val="13"/>
            <w:shd w:val="clear" w:color="auto" w:fill="C0C0C0"/>
            <w:noWrap w:val="0"/>
            <w:vAlign w:val="center"/>
          </w:tcPr>
          <w:p>
            <w:pPr>
              <w:spacing w:line="240" w:lineRule="atLeast"/>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报表类别        □</w:t>
            </w:r>
          </w:p>
          <w:p>
            <w:pPr>
              <w:spacing w:line="240" w:lineRule="atLeast"/>
              <w:ind w:firstLine="178" w:firstLineChars="99"/>
              <w:jc w:val="left"/>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 xml:space="preserve">A 农业       B 规模以上工业        B1 规模以下工业       C 建筑业      E 批发和零售业 </w:t>
            </w:r>
          </w:p>
          <w:p>
            <w:pPr>
              <w:spacing w:line="240" w:lineRule="atLeast"/>
              <w:ind w:firstLine="178" w:firstLineChars="99"/>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zh-CN"/>
              </w:rPr>
              <w:t xml:space="preserve">S 住宿和餐饮业 </w:t>
            </w:r>
            <w:r>
              <w:rPr>
                <w:rFonts w:hint="default" w:ascii="Times New Roman" w:hAnsi="Times New Roman" w:cs="Times New Roman"/>
                <w:color w:val="000000"/>
                <w:sz w:val="18"/>
                <w:szCs w:val="18"/>
              </w:rPr>
              <w:t xml:space="preserve">X </w:t>
            </w:r>
            <w:r>
              <w:rPr>
                <w:rFonts w:hint="default" w:ascii="Times New Roman" w:hAnsi="Times New Roman" w:cs="Times New Roman"/>
                <w:color w:val="000000"/>
                <w:sz w:val="18"/>
                <w:szCs w:val="18"/>
                <w:lang w:val="zh-CN"/>
              </w:rPr>
              <w:t>房地产开发经营业</w:t>
            </w:r>
            <w:r>
              <w:rPr>
                <w:rFonts w:hint="default" w:ascii="Times New Roman" w:hAnsi="Times New Roman" w:cs="Times New Roman"/>
                <w:color w:val="000000"/>
                <w:sz w:val="18"/>
                <w:szCs w:val="18"/>
              </w:rPr>
              <w:t xml:space="preserve">  F </w:t>
            </w:r>
            <w:r>
              <w:rPr>
                <w:rFonts w:hint="default" w:ascii="Times New Roman" w:hAnsi="Times New Roman" w:cs="Times New Roman"/>
                <w:color w:val="000000"/>
                <w:sz w:val="18"/>
                <w:szCs w:val="18"/>
                <w:lang w:val="zh-CN"/>
              </w:rPr>
              <w:t>规模以上服务业      H 投资        U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025" w:hRule="atLeast"/>
          <w:jc w:val="center"/>
        </w:trPr>
        <w:tc>
          <w:tcPr>
            <w:tcW w:w="543" w:type="dxa"/>
            <w:tcBorders>
              <w:top w:val="single" w:color="auto" w:sz="2" w:space="0"/>
              <w:bottom w:val="single" w:color="auto" w:sz="2" w:space="0"/>
            </w:tcBorders>
            <w:shd w:val="clear" w:color="auto" w:fill="C0C0C0"/>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204</w:t>
            </w:r>
          </w:p>
        </w:tc>
        <w:tc>
          <w:tcPr>
            <w:tcW w:w="9030" w:type="dxa"/>
            <w:gridSpan w:val="14"/>
            <w:shd w:val="clear" w:color="auto" w:fill="C0C0C0"/>
            <w:noWrap w:val="0"/>
            <w:vAlign w:val="center"/>
          </w:tcPr>
          <w:p>
            <w:pPr>
              <w:spacing w:line="240" w:lineRule="exact"/>
              <w:rPr>
                <w:rFonts w:hint="default" w:ascii="Times New Roman" w:hAnsi="Times New Roman" w:cs="Times New Roman"/>
                <w:color w:val="000000"/>
              </w:rPr>
            </w:pPr>
            <w:r>
              <w:rPr>
                <w:rFonts w:hint="default" w:ascii="Times New Roman" w:hAnsi="Times New Roman" w:cs="Times New Roman"/>
                <w:color w:val="000000"/>
                <w:sz w:val="18"/>
                <w:szCs w:val="18"/>
              </w:rPr>
              <w:t xml:space="preserve">登记注册统计类别  □□□  </w:t>
            </w:r>
          </w:p>
          <w:p>
            <w:pPr>
              <w:tabs>
                <w:tab w:val="left" w:pos="630"/>
              </w:tabs>
              <w:spacing w:line="240" w:lineRule="exact"/>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内资企业</w:t>
            </w:r>
          </w:p>
          <w:p>
            <w:pPr>
              <w:tabs>
                <w:tab w:val="left" w:pos="630"/>
              </w:tabs>
              <w:spacing w:line="240" w:lineRule="exact"/>
              <w:ind w:firstLine="180" w:firstLineChars="100"/>
              <w:rPr>
                <w:rFonts w:hint="default" w:ascii="Times New Roman" w:hAnsi="Times New Roman" w:cs="Times New Roman"/>
                <w:color w:val="000000"/>
                <w:sz w:val="18"/>
                <w:szCs w:val="18"/>
                <w:lang w:val="en"/>
              </w:rPr>
            </w:pPr>
            <w:r>
              <w:rPr>
                <w:rFonts w:hint="default" w:ascii="Times New Roman" w:hAnsi="Times New Roman" w:cs="Times New Roman"/>
                <w:color w:val="000000"/>
                <w:sz w:val="18"/>
                <w:szCs w:val="18"/>
                <w:lang w:val="en"/>
              </w:rPr>
              <w:t xml:space="preserve">111 国有独资公司 </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en"/>
              </w:rPr>
              <w:t xml:space="preserve">112 私营有限责任公司 </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en"/>
              </w:rPr>
              <w:t>119 其他有限责任公司</w:t>
            </w:r>
          </w:p>
          <w:p>
            <w:pPr>
              <w:tabs>
                <w:tab w:val="left" w:pos="630"/>
              </w:tabs>
              <w:spacing w:line="240" w:lineRule="exact"/>
              <w:ind w:firstLine="180" w:firstLineChars="10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 私营股份有限公司 129 其他股份有限公司</w:t>
            </w:r>
          </w:p>
          <w:p>
            <w:pPr>
              <w:tabs>
                <w:tab w:val="left" w:pos="630"/>
              </w:tabs>
              <w:spacing w:line="240" w:lineRule="exact"/>
              <w:ind w:firstLine="180" w:firstLineChars="10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 全民所有制企业（国有企业）     132 集体所有制企业（集体企业） 133 股份合作企业 134 联营企业</w:t>
            </w:r>
          </w:p>
          <w:p>
            <w:pPr>
              <w:tabs>
                <w:tab w:val="left" w:pos="630"/>
              </w:tabs>
              <w:spacing w:line="240" w:lineRule="exact"/>
              <w:ind w:firstLine="180" w:firstLineChars="100"/>
              <w:rPr>
                <w:rFonts w:hint="default" w:ascii="Times New Roman" w:hAnsi="Times New Roman" w:cs="Times New Roman"/>
                <w:color w:val="000000"/>
                <w:sz w:val="18"/>
                <w:szCs w:val="18"/>
                <w:lang w:val="en"/>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 xml:space="preserve">个人独资企业    </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150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合伙企业</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 xml:space="preserve"> 190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其他内资企业</w:t>
            </w:r>
          </w:p>
          <w:p>
            <w:pPr>
              <w:tabs>
                <w:tab w:val="left" w:pos="630"/>
              </w:tabs>
              <w:spacing w:line="240" w:lineRule="exact"/>
              <w:rPr>
                <w:rFonts w:hint="default" w:ascii="Times New Roman" w:hAnsi="Times New Roman" w:cs="Times New Roman"/>
                <w:color w:val="000000"/>
                <w:sz w:val="18"/>
                <w:szCs w:val="18"/>
                <w:lang w:val="en"/>
              </w:rPr>
            </w:pPr>
            <w:r>
              <w:rPr>
                <w:rFonts w:hint="default" w:ascii="Times New Roman" w:hAnsi="Times New Roman" w:cs="Times New Roman"/>
                <w:b/>
                <w:bCs/>
                <w:color w:val="000000"/>
                <w:sz w:val="18"/>
                <w:szCs w:val="18"/>
              </w:rPr>
              <w:t>港澳台投资企业</w:t>
            </w:r>
          </w:p>
          <w:p>
            <w:pPr>
              <w:tabs>
                <w:tab w:val="left" w:pos="630"/>
              </w:tabs>
              <w:spacing w:line="240" w:lineRule="exact"/>
              <w:ind w:firstLine="180" w:firstLineChars="10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港澳台投资有限责任公司 220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港澳台投资股份有限公司 230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港澳台投资合伙企业 290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其他港澳台投资企业</w:t>
            </w:r>
          </w:p>
          <w:p>
            <w:pPr>
              <w:tabs>
                <w:tab w:val="left" w:pos="630"/>
              </w:tabs>
              <w:spacing w:line="240" w:lineRule="exact"/>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外商投资企业</w:t>
            </w:r>
          </w:p>
          <w:p>
            <w:pPr>
              <w:tabs>
                <w:tab w:val="left" w:pos="630"/>
              </w:tabs>
              <w:spacing w:line="240" w:lineRule="exact"/>
              <w:ind w:firstLine="180" w:firstLineChars="10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外商投资有限责任公司</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 xml:space="preserve">  320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外商投资股份有限公司   330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外商投资合伙企业</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 xml:space="preserve">  390</w:t>
            </w:r>
            <w:r>
              <w:rPr>
                <w:rFonts w:hint="default" w:ascii="Times New Roman" w:hAnsi="Times New Roman" w:cs="Times New Roman"/>
                <w:color w:val="000000"/>
                <w:sz w:val="18"/>
                <w:szCs w:val="18"/>
                <w:lang w:val="en"/>
              </w:rPr>
              <w:t xml:space="preserve"> </w:t>
            </w:r>
            <w:r>
              <w:rPr>
                <w:rFonts w:hint="default" w:ascii="Times New Roman" w:hAnsi="Times New Roman" w:cs="Times New Roman"/>
                <w:color w:val="000000"/>
                <w:sz w:val="18"/>
                <w:szCs w:val="18"/>
              </w:rPr>
              <w:t>其他外商投资企业</w:t>
            </w:r>
          </w:p>
          <w:p>
            <w:pPr>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szCs w:val="18"/>
                <w:lang w:val="en"/>
              </w:rPr>
              <w:t xml:space="preserve"> </w:t>
            </w:r>
            <w:r>
              <w:rPr>
                <w:rFonts w:hint="default" w:ascii="Times New Roman" w:hAnsi="Times New Roman" w:cs="Times New Roman"/>
                <w:b/>
                <w:bCs/>
                <w:color w:val="000000"/>
                <w:sz w:val="18"/>
                <w:szCs w:val="18"/>
              </w:rPr>
              <w:t>农民专业合作社（联合社）</w:t>
            </w:r>
            <w:r>
              <w:rPr>
                <w:rFonts w:hint="default" w:ascii="Times New Roman" w:hAnsi="Times New Roman" w:cs="Times New Roman"/>
                <w:color w:val="000000"/>
                <w:sz w:val="18"/>
                <w:szCs w:val="18"/>
              </w:rPr>
              <w:t xml:space="preserve"> 500</w:t>
            </w:r>
            <w:r>
              <w:rPr>
                <w:rFonts w:hint="default" w:ascii="Times New Roman" w:hAnsi="Times New Roman" w:cs="Times New Roman"/>
                <w:color w:val="000000"/>
                <w:sz w:val="18"/>
                <w:szCs w:val="18"/>
                <w:lang w:val="en"/>
              </w:rPr>
              <w:t xml:space="preserve"> </w:t>
            </w:r>
            <w:r>
              <w:rPr>
                <w:rFonts w:hint="default" w:ascii="Times New Roman" w:hAnsi="Times New Roman" w:cs="Times New Roman"/>
                <w:b/>
                <w:bCs/>
                <w:color w:val="000000"/>
                <w:sz w:val="18"/>
                <w:szCs w:val="18"/>
              </w:rPr>
              <w:t xml:space="preserve">个体工商户             </w:t>
            </w:r>
            <w:r>
              <w:rPr>
                <w:rFonts w:hint="default" w:ascii="Times New Roman" w:hAnsi="Times New Roman" w:cs="Times New Roman"/>
                <w:color w:val="000000"/>
                <w:sz w:val="18"/>
                <w:szCs w:val="18"/>
              </w:rPr>
              <w:t>900</w:t>
            </w:r>
            <w:r>
              <w:rPr>
                <w:rFonts w:hint="default" w:ascii="Times New Roman" w:hAnsi="Times New Roman" w:cs="Times New Roman"/>
                <w:color w:val="000000"/>
                <w:sz w:val="18"/>
                <w:szCs w:val="18"/>
                <w:lang w:val="en"/>
              </w:rPr>
              <w:t xml:space="preserve"> </w:t>
            </w:r>
            <w:r>
              <w:rPr>
                <w:rFonts w:hint="default" w:ascii="Times New Roman" w:hAnsi="Times New Roman" w:cs="Times New Roman"/>
                <w:b/>
                <w:bCs/>
                <w:color w:val="000000"/>
                <w:sz w:val="18"/>
                <w:szCs w:val="18"/>
              </w:rPr>
              <w:t>其他市场主体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27" w:hRule="atLeast"/>
          <w:jc w:val="center"/>
        </w:trPr>
        <w:tc>
          <w:tcPr>
            <w:tcW w:w="543"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03</w:t>
            </w:r>
          </w:p>
        </w:tc>
        <w:tc>
          <w:tcPr>
            <w:tcW w:w="1011" w:type="dxa"/>
            <w:noWrap w:val="0"/>
            <w:vAlign w:val="center"/>
          </w:tcPr>
          <w:p>
            <w:pPr>
              <w:pStyle w:val="20"/>
              <w:pBdr>
                <w:bottom w:val="none" w:color="auto" w:sz="0" w:space="0"/>
              </w:pBdr>
              <w:tabs>
                <w:tab w:val="clear" w:pos="4153"/>
                <w:tab w:val="clear" w:pos="8306"/>
              </w:tabs>
              <w:adjustRightInd w:val="0"/>
              <w:spacing w:line="240" w:lineRule="atLeast"/>
              <w:rPr>
                <w:rFonts w:hint="default" w:ascii="Times New Roman" w:hAnsi="Times New Roman" w:cs="Times New Roman"/>
                <w:color w:val="000000"/>
              </w:rPr>
            </w:pPr>
            <w:r>
              <w:rPr>
                <w:rFonts w:hint="default" w:ascii="Times New Roman" w:hAnsi="Times New Roman" w:cs="Times New Roman"/>
                <w:color w:val="000000"/>
              </w:rPr>
              <w:t>项目建设所在地及区划</w:t>
            </w:r>
          </w:p>
        </w:tc>
        <w:tc>
          <w:tcPr>
            <w:tcW w:w="8019" w:type="dxa"/>
            <w:gridSpan w:val="13"/>
            <w:noWrap w:val="0"/>
            <w:vAlign w:val="center"/>
          </w:tcPr>
          <w:p>
            <w:pPr>
              <w:adjustRightInd w:val="0"/>
              <w:snapToGrid w:val="0"/>
              <w:spacing w:line="240" w:lineRule="atLeast"/>
              <w:ind w:left="1531" w:leftChars="86" w:hanging="1350" w:hangingChars="750"/>
              <w:rPr>
                <w:rFonts w:hint="default" w:ascii="Times New Roman" w:hAnsi="Times New Roman" w:cs="Times New Roman"/>
                <w:color w:val="000000"/>
                <w:sz w:val="18"/>
                <w:szCs w:val="18"/>
              </w:rPr>
            </w:pPr>
            <w:r>
              <w:rPr>
                <w:rFonts w:hint="default" w:ascii="Times New Roman" w:hAnsi="Times New Roman" w:cs="Times New Roman"/>
                <w:color w:val="000000"/>
                <w:sz w:val="18"/>
                <w:szCs w:val="18"/>
                <w:u w:val="single"/>
              </w:rPr>
              <w:t xml:space="preserve">              </w:t>
            </w:r>
            <w:r>
              <w:rPr>
                <w:rFonts w:hint="default" w:ascii="Times New Roman" w:hAnsi="Times New Roman" w:cs="Times New Roman"/>
                <w:color w:val="000000"/>
                <w:sz w:val="18"/>
                <w:szCs w:val="18"/>
              </w:rPr>
              <w:t>省(自治区、直辖市)</w:t>
            </w:r>
            <w:r>
              <w:rPr>
                <w:rFonts w:hint="default" w:ascii="Times New Roman" w:hAnsi="Times New Roman" w:cs="Times New Roman"/>
                <w:color w:val="000000"/>
                <w:sz w:val="18"/>
                <w:szCs w:val="18"/>
                <w:u w:val="single"/>
              </w:rPr>
              <w:t xml:space="preserve">          </w:t>
            </w:r>
            <w:r>
              <w:rPr>
                <w:rFonts w:hint="default" w:ascii="Times New Roman" w:hAnsi="Times New Roman" w:cs="Times New Roman"/>
                <w:color w:val="000000"/>
                <w:sz w:val="18"/>
                <w:szCs w:val="18"/>
              </w:rPr>
              <w:t>地(市、州、盟)</w:t>
            </w:r>
            <w:r>
              <w:rPr>
                <w:rFonts w:hint="default" w:ascii="Times New Roman" w:hAnsi="Times New Roman" w:cs="Times New Roman"/>
                <w:color w:val="000000"/>
                <w:sz w:val="18"/>
                <w:szCs w:val="18"/>
                <w:u w:val="single"/>
              </w:rPr>
              <w:t xml:space="preserve">        </w:t>
            </w:r>
            <w:r>
              <w:rPr>
                <w:rFonts w:hint="default" w:ascii="Times New Roman" w:hAnsi="Times New Roman" w:cs="Times New Roman"/>
                <w:color w:val="000000"/>
                <w:sz w:val="18"/>
                <w:szCs w:val="18"/>
              </w:rPr>
              <w:t>县(市、区、旗)</w:t>
            </w:r>
          </w:p>
          <w:p>
            <w:pPr>
              <w:adjustRightInd w:val="0"/>
              <w:snapToGrid w:val="0"/>
              <w:spacing w:line="240" w:lineRule="atLeast"/>
              <w:ind w:firstLine="180" w:firstLineChars="100"/>
              <w:rPr>
                <w:rFonts w:hint="default" w:ascii="Times New Roman" w:hAnsi="Times New Roman" w:cs="Times New Roman"/>
                <w:color w:val="000000"/>
                <w:sz w:val="18"/>
                <w:szCs w:val="18"/>
              </w:rPr>
            </w:pPr>
            <w:r>
              <w:rPr>
                <w:rFonts w:hint="default" w:ascii="Times New Roman" w:hAnsi="Times New Roman" w:cs="Times New Roman"/>
                <w:color w:val="000000"/>
                <w:sz w:val="18"/>
                <w:szCs w:val="18"/>
                <w:u w:val="single"/>
              </w:rPr>
              <w:t xml:space="preserve">              </w:t>
            </w:r>
            <w:r>
              <w:rPr>
                <w:rFonts w:hint="default" w:ascii="Times New Roman" w:hAnsi="Times New Roman" w:cs="Times New Roman"/>
                <w:color w:val="000000"/>
                <w:sz w:val="18"/>
                <w:szCs w:val="18"/>
              </w:rPr>
              <w:t>乡(镇、街道)</w:t>
            </w:r>
            <w:r>
              <w:rPr>
                <w:rFonts w:hint="default" w:ascii="Times New Roman" w:hAnsi="Times New Roman" w:cs="Times New Roman"/>
                <w:color w:val="000000"/>
                <w:sz w:val="18"/>
                <w:szCs w:val="18"/>
                <w:u w:val="single"/>
              </w:rPr>
              <w:t xml:space="preserve">             </w:t>
            </w:r>
            <w:r>
              <w:rPr>
                <w:rFonts w:hint="default" w:ascii="Times New Roman" w:hAnsi="Times New Roman" w:cs="Times New Roman"/>
                <w:color w:val="000000"/>
                <w:sz w:val="18"/>
                <w:szCs w:val="18"/>
              </w:rPr>
              <w:t>村（居）委会</w:t>
            </w:r>
            <w:r>
              <w:rPr>
                <w:rFonts w:hint="default" w:ascii="Times New Roman" w:hAnsi="Times New Roman" w:cs="Times New Roman"/>
                <w:color w:val="000000"/>
                <w:sz w:val="18"/>
                <w:szCs w:val="18"/>
                <w:u w:val="single"/>
              </w:rPr>
              <w:t xml:space="preserve">                      </w:t>
            </w:r>
            <w:r>
              <w:rPr>
                <w:rFonts w:hint="default" w:ascii="Times New Roman" w:hAnsi="Times New Roman" w:cs="Times New Roman"/>
                <w:color w:val="000000"/>
                <w:sz w:val="18"/>
                <w:szCs w:val="18"/>
              </w:rPr>
              <w:t>街(路)、门牌号</w:t>
            </w:r>
          </w:p>
          <w:p>
            <w:pPr>
              <w:adjustRightInd w:val="0"/>
              <w:snapToGrid w:val="0"/>
              <w:spacing w:line="240" w:lineRule="atLeast"/>
              <w:ind w:firstLine="180" w:firstLineChars="10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区划代码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38" w:hRule="atLeast"/>
          <w:jc w:val="center"/>
        </w:trPr>
        <w:tc>
          <w:tcPr>
            <w:tcW w:w="543" w:type="dxa"/>
            <w:vMerge w:val="restart"/>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04</w:t>
            </w:r>
          </w:p>
        </w:tc>
        <w:tc>
          <w:tcPr>
            <w:tcW w:w="1011" w:type="dxa"/>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联系电话</w:t>
            </w:r>
          </w:p>
        </w:tc>
        <w:tc>
          <w:tcPr>
            <w:tcW w:w="2795" w:type="dxa"/>
            <w:gridSpan w:val="5"/>
            <w:noWrap w:val="0"/>
            <w:vAlign w:val="center"/>
          </w:tcPr>
          <w:p>
            <w:pPr>
              <w:adjustRightInd w:val="0"/>
              <w:snapToGrid w:val="0"/>
              <w:spacing w:line="240" w:lineRule="atLeast"/>
              <w:ind w:firstLine="80" w:firstLineChars="50"/>
              <w:rPr>
                <w:rFonts w:hint="default" w:ascii="Times New Roman" w:hAnsi="Times New Roman" w:cs="Times New Roman"/>
                <w:color w:val="000000"/>
                <w:spacing w:val="-10"/>
                <w:sz w:val="18"/>
                <w:szCs w:val="18"/>
              </w:rPr>
            </w:pPr>
            <w:r>
              <w:rPr>
                <w:rFonts w:hint="default" w:ascii="Times New Roman" w:hAnsi="Times New Roman" w:cs="Times New Roman"/>
                <w:color w:val="000000"/>
                <w:spacing w:val="-10"/>
                <w:sz w:val="18"/>
                <w:szCs w:val="18"/>
              </w:rPr>
              <w:t>□□□□□□□□—□□□□□</w:t>
            </w:r>
          </w:p>
        </w:tc>
        <w:tc>
          <w:tcPr>
            <w:tcW w:w="431" w:type="dxa"/>
            <w:gridSpan w:val="2"/>
            <w:vMerge w:val="restart"/>
            <w:noWrap w:val="0"/>
            <w:vAlign w:val="center"/>
          </w:tcPr>
          <w:p>
            <w:pPr>
              <w:adjustRightInd w:val="0"/>
              <w:snapToGrid w:val="0"/>
              <w:spacing w:line="240" w:lineRule="atLeas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05</w:t>
            </w:r>
          </w:p>
        </w:tc>
        <w:tc>
          <w:tcPr>
            <w:tcW w:w="1846" w:type="dxa"/>
            <w:vMerge w:val="restart"/>
            <w:noWrap w:val="0"/>
            <w:vAlign w:val="center"/>
          </w:tcPr>
          <w:p>
            <w:pPr>
              <w:pStyle w:val="20"/>
              <w:pBdr>
                <w:bottom w:val="none" w:color="auto" w:sz="0" w:space="0"/>
              </w:pBdr>
              <w:tabs>
                <w:tab w:val="clear" w:pos="4153"/>
                <w:tab w:val="clear" w:pos="8306"/>
              </w:tabs>
              <w:adjustRightInd w:val="0"/>
              <w:spacing w:line="240" w:lineRule="atLeast"/>
              <w:rPr>
                <w:rFonts w:hint="default" w:ascii="Times New Roman" w:hAnsi="Times New Roman" w:cs="Times New Roman"/>
                <w:color w:val="000000"/>
              </w:rPr>
            </w:pPr>
            <w:r>
              <w:rPr>
                <w:rFonts w:hint="default" w:ascii="Times New Roman" w:hAnsi="Times New Roman" w:cs="Times New Roman"/>
                <w:color w:val="000000"/>
              </w:rPr>
              <w:t>项目行业编码</w:t>
            </w:r>
          </w:p>
        </w:tc>
        <w:tc>
          <w:tcPr>
            <w:tcW w:w="2947" w:type="dxa"/>
            <w:gridSpan w:val="5"/>
            <w:vMerge w:val="restart"/>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pacing w:val="-8"/>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37" w:hRule="atLeast"/>
          <w:jc w:val="center"/>
        </w:trPr>
        <w:tc>
          <w:tcPr>
            <w:tcW w:w="543" w:type="dxa"/>
            <w:vMerge w:val="continue"/>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p>
        </w:tc>
        <w:tc>
          <w:tcPr>
            <w:tcW w:w="1011" w:type="dxa"/>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移动电话</w:t>
            </w:r>
          </w:p>
        </w:tc>
        <w:tc>
          <w:tcPr>
            <w:tcW w:w="2795" w:type="dxa"/>
            <w:gridSpan w:val="5"/>
            <w:noWrap w:val="0"/>
            <w:vAlign w:val="center"/>
          </w:tcPr>
          <w:p>
            <w:pPr>
              <w:adjustRightInd w:val="0"/>
              <w:snapToGrid w:val="0"/>
              <w:spacing w:line="240" w:lineRule="atLeast"/>
              <w:ind w:firstLine="80" w:firstLineChars="50"/>
              <w:rPr>
                <w:rFonts w:hint="default" w:ascii="Times New Roman" w:hAnsi="Times New Roman" w:cs="Times New Roman"/>
                <w:color w:val="000000"/>
                <w:sz w:val="18"/>
                <w:szCs w:val="18"/>
              </w:rPr>
            </w:pPr>
            <w:r>
              <w:rPr>
                <w:rFonts w:hint="default" w:ascii="Times New Roman" w:hAnsi="Times New Roman" w:cs="Times New Roman"/>
                <w:color w:val="000000"/>
                <w:spacing w:val="-10"/>
                <w:sz w:val="18"/>
                <w:szCs w:val="18"/>
              </w:rPr>
              <w:t>□□□□□□□□□□□</w:t>
            </w:r>
          </w:p>
        </w:tc>
        <w:tc>
          <w:tcPr>
            <w:tcW w:w="431" w:type="dxa"/>
            <w:gridSpan w:val="2"/>
            <w:vMerge w:val="continue"/>
            <w:noWrap w:val="0"/>
            <w:vAlign w:val="center"/>
          </w:tcPr>
          <w:p>
            <w:pPr>
              <w:adjustRightInd w:val="0"/>
              <w:snapToGrid w:val="0"/>
              <w:spacing w:line="240" w:lineRule="atLeast"/>
              <w:jc w:val="center"/>
              <w:rPr>
                <w:rFonts w:hint="default" w:ascii="Times New Roman" w:hAnsi="Times New Roman" w:cs="Times New Roman"/>
                <w:b/>
                <w:color w:val="000000"/>
                <w:sz w:val="18"/>
                <w:szCs w:val="18"/>
              </w:rPr>
            </w:pPr>
          </w:p>
        </w:tc>
        <w:tc>
          <w:tcPr>
            <w:tcW w:w="1846" w:type="dxa"/>
            <w:vMerge w:val="continue"/>
            <w:noWrap w:val="0"/>
            <w:vAlign w:val="center"/>
          </w:tcPr>
          <w:p>
            <w:pPr>
              <w:pStyle w:val="20"/>
              <w:pBdr>
                <w:bottom w:val="none" w:color="auto" w:sz="0" w:space="0"/>
              </w:pBdr>
              <w:tabs>
                <w:tab w:val="clear" w:pos="4153"/>
                <w:tab w:val="clear" w:pos="8306"/>
              </w:tabs>
              <w:adjustRightInd w:val="0"/>
              <w:spacing w:line="240" w:lineRule="atLeast"/>
              <w:rPr>
                <w:rFonts w:hint="default" w:ascii="Times New Roman" w:hAnsi="Times New Roman" w:cs="Times New Roman"/>
                <w:color w:val="000000"/>
              </w:rPr>
            </w:pPr>
          </w:p>
        </w:tc>
        <w:tc>
          <w:tcPr>
            <w:tcW w:w="2947" w:type="dxa"/>
            <w:gridSpan w:val="5"/>
            <w:vMerge w:val="continue"/>
            <w:noWrap w:val="0"/>
            <w:vAlign w:val="center"/>
          </w:tcPr>
          <w:p>
            <w:pPr>
              <w:adjustRightInd w:val="0"/>
              <w:snapToGrid w:val="0"/>
              <w:spacing w:line="240" w:lineRule="atLeast"/>
              <w:jc w:val="center"/>
              <w:rPr>
                <w:rFonts w:hint="default" w:ascii="Times New Roman" w:hAnsi="Times New Roman" w:cs="Times New Roman"/>
                <w:color w:val="000000"/>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43"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06</w:t>
            </w:r>
          </w:p>
        </w:tc>
        <w:tc>
          <w:tcPr>
            <w:tcW w:w="9030" w:type="dxa"/>
            <w:gridSpan w:val="14"/>
            <w:noWrap w:val="0"/>
            <w:vAlign w:val="center"/>
          </w:tcPr>
          <w:p>
            <w:pPr>
              <w:widowControl/>
              <w:spacing w:line="240" w:lineRule="atLeast"/>
              <w:ind w:firstLine="90" w:firstLineChars="50"/>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控股情况   □    1国有控股   2 集体控股   3 私人控股   4 港澳台商控股   5 外商控股   9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43"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07</w:t>
            </w:r>
          </w:p>
        </w:tc>
        <w:tc>
          <w:tcPr>
            <w:tcW w:w="9030" w:type="dxa"/>
            <w:gridSpan w:val="14"/>
            <w:noWrap w:val="0"/>
            <w:vAlign w:val="center"/>
          </w:tcPr>
          <w:p>
            <w:pPr>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隶属关系   □□ 10 中央     11 地方    90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43"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08</w:t>
            </w:r>
          </w:p>
        </w:tc>
        <w:tc>
          <w:tcPr>
            <w:tcW w:w="1011" w:type="dxa"/>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建设性质</w:t>
            </w:r>
          </w:p>
        </w:tc>
        <w:tc>
          <w:tcPr>
            <w:tcW w:w="8019" w:type="dxa"/>
            <w:gridSpan w:val="13"/>
            <w:noWrap w:val="0"/>
            <w:vAlign w:val="center"/>
          </w:tcPr>
          <w:p>
            <w:pPr>
              <w:adjustRightInd w:val="0"/>
              <w:snapToGrid w:val="0"/>
              <w:spacing w:line="240" w:lineRule="atLeast"/>
              <w:ind w:firstLine="82" w:firstLineChars="50"/>
              <w:rPr>
                <w:rFonts w:hint="default" w:ascii="Times New Roman" w:hAnsi="Times New Roman" w:cs="Times New Roman"/>
                <w:color w:val="000000"/>
                <w:sz w:val="18"/>
                <w:szCs w:val="18"/>
              </w:rPr>
            </w:pPr>
            <w:r>
              <w:rPr>
                <w:rFonts w:hint="default" w:ascii="Times New Roman" w:hAnsi="Times New Roman" w:cs="Times New Roman"/>
                <w:color w:val="000000"/>
                <w:spacing w:val="-8"/>
                <w:sz w:val="18"/>
                <w:szCs w:val="18"/>
              </w:rPr>
              <w:t xml:space="preserve">□   </w:t>
            </w:r>
            <w:r>
              <w:rPr>
                <w:rFonts w:hint="default" w:ascii="Times New Roman" w:hAnsi="Times New Roman" w:cs="Times New Roman"/>
                <w:color w:val="000000"/>
                <w:sz w:val="18"/>
                <w:szCs w:val="18"/>
              </w:rPr>
              <w:t>1 新建  2扩建  3改建和技术改造  4单纯建造生活设施  5迁建  6恢复  7单纯购置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990" w:hRule="atLeast"/>
          <w:jc w:val="center"/>
        </w:trPr>
        <w:tc>
          <w:tcPr>
            <w:tcW w:w="543"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09</w:t>
            </w:r>
          </w:p>
        </w:tc>
        <w:tc>
          <w:tcPr>
            <w:tcW w:w="1011" w:type="dxa"/>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项目类别</w:t>
            </w:r>
          </w:p>
        </w:tc>
        <w:tc>
          <w:tcPr>
            <w:tcW w:w="2795" w:type="dxa"/>
            <w:gridSpan w:val="5"/>
            <w:noWrap w:val="0"/>
            <w:vAlign w:val="center"/>
          </w:tcPr>
          <w:p>
            <w:pPr>
              <w:adjustRightInd w:val="0"/>
              <w:snapToGrid w:val="0"/>
              <w:spacing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□1  工业企业技术改造项目</w:t>
            </w:r>
          </w:p>
          <w:p>
            <w:pPr>
              <w:adjustRightInd w:val="0"/>
              <w:snapToGrid w:val="0"/>
              <w:spacing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□2  保障性住房项目</w:t>
            </w:r>
          </w:p>
          <w:p>
            <w:pPr>
              <w:adjustRightInd w:val="0"/>
              <w:snapToGrid w:val="0"/>
              <w:spacing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□3  涉农项目</w:t>
            </w:r>
          </w:p>
          <w:p>
            <w:pPr>
              <w:adjustRightInd w:val="0"/>
              <w:snapToGrid w:val="0"/>
              <w:spacing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□4  老旧小区改造项目</w:t>
            </w:r>
          </w:p>
          <w:p>
            <w:pPr>
              <w:adjustRightInd w:val="0"/>
              <w:snapToGrid w:val="0"/>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□5  信息类新型基础设施项目</w:t>
            </w:r>
          </w:p>
          <w:p>
            <w:pPr>
              <w:adjustRightInd w:val="0"/>
              <w:snapToGrid w:val="0"/>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□6  融合类新型基础设施项目</w:t>
            </w:r>
          </w:p>
          <w:p>
            <w:pPr>
              <w:adjustRightInd w:val="0"/>
              <w:snapToGrid w:val="0"/>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□7  创新类新型基础设施项目</w:t>
            </w:r>
          </w:p>
          <w:p>
            <w:pPr>
              <w:adjustRightInd w:val="0"/>
              <w:snapToGrid w:val="0"/>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□9  其他项目</w:t>
            </w:r>
          </w:p>
        </w:tc>
        <w:tc>
          <w:tcPr>
            <w:tcW w:w="431" w:type="dxa"/>
            <w:gridSpan w:val="2"/>
            <w:noWrap w:val="0"/>
            <w:vAlign w:val="center"/>
          </w:tcPr>
          <w:p>
            <w:pPr>
              <w:adjustRightInd w:val="0"/>
              <w:snapToGrid w:val="0"/>
              <w:spacing w:line="240" w:lineRule="atLeas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10</w:t>
            </w:r>
          </w:p>
        </w:tc>
        <w:tc>
          <w:tcPr>
            <w:tcW w:w="1846" w:type="dxa"/>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项目开工时间</w:t>
            </w:r>
          </w:p>
        </w:tc>
        <w:tc>
          <w:tcPr>
            <w:tcW w:w="2947" w:type="dxa"/>
            <w:gridSpan w:val="5"/>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pacing w:val="-8"/>
                <w:sz w:val="18"/>
                <w:szCs w:val="18"/>
              </w:rPr>
              <w:t>□□□□年□□月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10" w:hRule="atLeast"/>
          <w:jc w:val="center"/>
        </w:trPr>
        <w:tc>
          <w:tcPr>
            <w:tcW w:w="543"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11</w:t>
            </w:r>
          </w:p>
        </w:tc>
        <w:tc>
          <w:tcPr>
            <w:tcW w:w="1011" w:type="dxa"/>
            <w:tcBorders>
              <w:bottom w:val="single" w:color="auto" w:sz="2" w:space="0"/>
            </w:tcBorders>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本年全部</w:t>
            </w:r>
          </w:p>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投产时间</w:t>
            </w:r>
          </w:p>
        </w:tc>
        <w:tc>
          <w:tcPr>
            <w:tcW w:w="2795" w:type="dxa"/>
            <w:gridSpan w:val="5"/>
            <w:tcBorders>
              <w:bottom w:val="single" w:color="auto" w:sz="2" w:space="0"/>
            </w:tcBorders>
            <w:noWrap w:val="0"/>
            <w:vAlign w:val="center"/>
          </w:tcPr>
          <w:p>
            <w:pPr>
              <w:adjustRightInd w:val="0"/>
              <w:snapToGrid w:val="0"/>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□□□□年□□月</w:t>
            </w:r>
          </w:p>
        </w:tc>
        <w:tc>
          <w:tcPr>
            <w:tcW w:w="431" w:type="dxa"/>
            <w:gridSpan w:val="2"/>
            <w:tcBorders>
              <w:bottom w:val="single" w:color="auto" w:sz="2" w:space="0"/>
            </w:tcBorders>
            <w:noWrap w:val="0"/>
            <w:vAlign w:val="center"/>
          </w:tcPr>
          <w:p>
            <w:pPr>
              <w:adjustRightInd w:val="0"/>
              <w:snapToGrid w:val="0"/>
              <w:spacing w:line="240" w:lineRule="atLeas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12</w:t>
            </w:r>
          </w:p>
        </w:tc>
        <w:tc>
          <w:tcPr>
            <w:tcW w:w="1846" w:type="dxa"/>
            <w:tcBorders>
              <w:bottom w:val="single" w:color="auto" w:sz="2" w:space="0"/>
            </w:tcBorders>
            <w:noWrap w:val="0"/>
            <w:vAlign w:val="center"/>
          </w:tcPr>
          <w:p>
            <w:pPr>
              <w:adjustRightInd w:val="0"/>
              <w:snapToGrid w:val="0"/>
              <w:spacing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期末项目建设状态</w:t>
            </w:r>
          </w:p>
        </w:tc>
        <w:tc>
          <w:tcPr>
            <w:tcW w:w="2947" w:type="dxa"/>
            <w:gridSpan w:val="5"/>
            <w:tcBorders>
              <w:bottom w:val="single" w:color="auto" w:sz="2" w:space="0"/>
            </w:tcBorders>
            <w:noWrap w:val="0"/>
            <w:vAlign w:val="center"/>
          </w:tcPr>
          <w:p>
            <w:pPr>
              <w:adjustRightInd w:val="0"/>
              <w:snapToGrid w:val="0"/>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1 在建 2全部投产3全部停缓建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6" w:hRule="atLeast"/>
          <w:jc w:val="center"/>
        </w:trPr>
        <w:tc>
          <w:tcPr>
            <w:tcW w:w="543" w:type="dxa"/>
            <w:tcBorders>
              <w:top w:val="single" w:color="auto" w:sz="2" w:space="0"/>
              <w:bottom w:val="single" w:color="auto" w:sz="2"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13</w:t>
            </w:r>
          </w:p>
        </w:tc>
        <w:tc>
          <w:tcPr>
            <w:tcW w:w="1011" w:type="dxa"/>
            <w:tcBorders>
              <w:top w:val="single" w:color="auto" w:sz="2" w:space="0"/>
            </w:tcBorders>
            <w:noWrap w:val="0"/>
            <w:vAlign w:val="center"/>
          </w:tcPr>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是否为</w:t>
            </w:r>
          </w:p>
          <w:p>
            <w:pPr>
              <w:adjustRightInd w:val="0"/>
              <w:snapToGrid w:val="0"/>
              <w:spacing w:line="24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三新项目</w:t>
            </w:r>
          </w:p>
        </w:tc>
        <w:tc>
          <w:tcPr>
            <w:tcW w:w="2795" w:type="dxa"/>
            <w:gridSpan w:val="5"/>
            <w:tcBorders>
              <w:top w:val="single" w:color="auto" w:sz="2" w:space="0"/>
            </w:tcBorders>
            <w:noWrap w:val="0"/>
            <w:vAlign w:val="center"/>
          </w:tcPr>
          <w:p>
            <w:pPr>
              <w:adjustRightInd w:val="0"/>
              <w:snapToGrid w:val="0"/>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是  2 否</w:t>
            </w:r>
          </w:p>
        </w:tc>
        <w:tc>
          <w:tcPr>
            <w:tcW w:w="431" w:type="dxa"/>
            <w:gridSpan w:val="2"/>
            <w:tcBorders>
              <w:top w:val="single" w:color="auto" w:sz="2" w:space="0"/>
            </w:tcBorders>
            <w:noWrap w:val="0"/>
            <w:vAlign w:val="center"/>
          </w:tcPr>
          <w:p>
            <w:pPr>
              <w:adjustRightInd w:val="0"/>
              <w:snapToGrid w:val="0"/>
              <w:spacing w:line="240" w:lineRule="atLeas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14</w:t>
            </w:r>
          </w:p>
        </w:tc>
        <w:tc>
          <w:tcPr>
            <w:tcW w:w="1846" w:type="dxa"/>
            <w:tcBorders>
              <w:top w:val="single" w:color="auto" w:sz="2" w:space="0"/>
            </w:tcBorders>
            <w:noWrap w:val="0"/>
            <w:vAlign w:val="center"/>
          </w:tcPr>
          <w:p>
            <w:pPr>
              <w:adjustRightInd w:val="0"/>
              <w:snapToGrid w:val="0"/>
              <w:spacing w:line="24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是否为政府专项债项目</w:t>
            </w:r>
          </w:p>
        </w:tc>
        <w:tc>
          <w:tcPr>
            <w:tcW w:w="2947" w:type="dxa"/>
            <w:gridSpan w:val="5"/>
            <w:tcBorders>
              <w:top w:val="single" w:color="auto" w:sz="2" w:space="0"/>
            </w:tcBorders>
            <w:noWrap w:val="0"/>
            <w:vAlign w:val="center"/>
          </w:tcPr>
          <w:p>
            <w:pPr>
              <w:adjustRightInd w:val="0"/>
              <w:snapToGrid w:val="0"/>
              <w:spacing w:line="240" w:lineRule="atLeast"/>
              <w:ind w:firstLine="90" w:firstLineChars="5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1 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99" w:hRule="atLeast"/>
          <w:jc w:val="center"/>
        </w:trPr>
        <w:tc>
          <w:tcPr>
            <w:tcW w:w="543" w:type="dxa"/>
            <w:tcBorders>
              <w:top w:val="single" w:color="auto" w:sz="2" w:space="0"/>
              <w:bottom w:val="single" w:color="auto" w:sz="8" w:space="0"/>
            </w:tcBorders>
            <w:noWrap w:val="0"/>
            <w:vAlign w:val="center"/>
          </w:tcPr>
          <w:p>
            <w:pPr>
              <w:adjustRightInd w:val="0"/>
              <w:snapToGrid w:val="0"/>
              <w:spacing w:line="3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15</w:t>
            </w:r>
          </w:p>
        </w:tc>
        <w:tc>
          <w:tcPr>
            <w:tcW w:w="2887" w:type="dxa"/>
            <w:gridSpan w:val="4"/>
            <w:tcBorders>
              <w:bottom w:val="single" w:color="auto" w:sz="8" w:space="0"/>
            </w:tcBorders>
            <w:noWrap w:val="0"/>
            <w:vAlign w:val="center"/>
          </w:tcPr>
          <w:p>
            <w:pPr>
              <w:adjustRightInd w:val="0"/>
              <w:snapToGrid w:val="0"/>
              <w:spacing w:line="240" w:lineRule="atLeast"/>
              <w:ind w:firstLine="180" w:firstLineChars="10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建筑安装工程填报依据</w:t>
            </w:r>
          </w:p>
        </w:tc>
        <w:tc>
          <w:tcPr>
            <w:tcW w:w="6143" w:type="dxa"/>
            <w:gridSpan w:val="10"/>
            <w:tcBorders>
              <w:bottom w:val="single" w:color="auto" w:sz="8" w:space="0"/>
            </w:tcBorders>
            <w:noWrap w:val="0"/>
            <w:vAlign w:val="center"/>
          </w:tcPr>
          <w:p>
            <w:pPr>
              <w:numPr>
                <w:ilvl w:val="0"/>
                <w:numId w:val="0"/>
              </w:numPr>
              <w:adjustRightInd w:val="0"/>
              <w:snapToGrid w:val="0"/>
              <w:spacing w:line="240" w:lineRule="atLeast"/>
              <w:ind w:left="164" w:left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r>
              <w:rPr>
                <w:rFonts w:hint="eastAsia"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rPr>
              <w:t>1 工程结算单或进度单    2 会计科目或支付凭证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gridAfter w:val="1"/>
          <w:wAfter w:w="154" w:type="dxa"/>
          <w:trHeight w:val="397" w:hRule="exact"/>
          <w:jc w:val="center"/>
        </w:trPr>
        <w:tc>
          <w:tcPr>
            <w:tcW w:w="9419" w:type="dxa"/>
            <w:gridSpan w:val="14"/>
            <w:noWrap w:val="0"/>
            <w:vAlign w:val="center"/>
          </w:tcPr>
          <w:p>
            <w:pPr>
              <w:snapToGrid w:val="0"/>
              <w:jc w:val="center"/>
              <w:rPr>
                <w:rFonts w:hint="default" w:ascii="Times New Roman" w:hAnsi="Times New Roman" w:cs="Times New Roman"/>
                <w:color w:val="000000"/>
                <w:sz w:val="18"/>
              </w:rPr>
            </w:pPr>
            <w:r>
              <w:rPr>
                <w:rFonts w:hint="default" w:ascii="Times New Roman" w:hAnsi="Times New Roman" w:cs="Times New Roman"/>
                <w:b/>
                <w:color w:val="000000"/>
                <w:sz w:val="18"/>
                <w:szCs w:val="18"/>
              </w:rPr>
              <w:t>二、项目投资情况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gridAfter w:val="1"/>
          <w:wAfter w:w="154" w:type="dxa"/>
          <w:trHeight w:val="737" w:hRule="exact"/>
          <w:jc w:val="center"/>
        </w:trPr>
        <w:tc>
          <w:tcPr>
            <w:tcW w:w="2524" w:type="dxa"/>
            <w:gridSpan w:val="3"/>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指标名称</w:t>
            </w:r>
          </w:p>
        </w:tc>
        <w:tc>
          <w:tcPr>
            <w:tcW w:w="720" w:type="dxa"/>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计量     单位</w:t>
            </w:r>
          </w:p>
        </w:tc>
        <w:tc>
          <w:tcPr>
            <w:tcW w:w="720" w:type="dxa"/>
            <w:gridSpan w:val="2"/>
            <w:noWrap w:val="0"/>
            <w:tcMar>
              <w:left w:w="0" w:type="dxa"/>
              <w:right w:w="0" w:type="dxa"/>
            </w:tcMar>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代码</w:t>
            </w:r>
          </w:p>
        </w:tc>
        <w:tc>
          <w:tcPr>
            <w:tcW w:w="792" w:type="dxa"/>
            <w:gridSpan w:val="2"/>
            <w:tcBorders>
              <w:right w:val="double" w:color="auto" w:sz="4" w:space="0"/>
            </w:tcBorders>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1—本月</w:t>
            </w:r>
          </w:p>
        </w:tc>
        <w:tc>
          <w:tcPr>
            <w:tcW w:w="2628" w:type="dxa"/>
            <w:gridSpan w:val="3"/>
            <w:tcBorders>
              <w:top w:val="single" w:color="auto" w:sz="2" w:space="0"/>
              <w:left w:val="double" w:color="auto" w:sz="4" w:space="0"/>
              <w:bottom w:val="single" w:color="auto" w:sz="2" w:space="0"/>
            </w:tcBorders>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指标名称</w:t>
            </w:r>
          </w:p>
        </w:tc>
        <w:tc>
          <w:tcPr>
            <w:tcW w:w="792" w:type="dxa"/>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计量     单位</w:t>
            </w:r>
          </w:p>
        </w:tc>
        <w:tc>
          <w:tcPr>
            <w:tcW w:w="540" w:type="dxa"/>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代码</w:t>
            </w:r>
          </w:p>
        </w:tc>
        <w:tc>
          <w:tcPr>
            <w:tcW w:w="703" w:type="dxa"/>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1—本月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gridAfter w:val="1"/>
          <w:wAfter w:w="154" w:type="dxa"/>
          <w:trHeight w:val="283" w:hRule="exact"/>
          <w:jc w:val="center"/>
        </w:trPr>
        <w:tc>
          <w:tcPr>
            <w:tcW w:w="2524" w:type="dxa"/>
            <w:gridSpan w:val="3"/>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甲</w:t>
            </w:r>
          </w:p>
        </w:tc>
        <w:tc>
          <w:tcPr>
            <w:tcW w:w="720" w:type="dxa"/>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乙</w:t>
            </w:r>
          </w:p>
        </w:tc>
        <w:tc>
          <w:tcPr>
            <w:tcW w:w="720" w:type="dxa"/>
            <w:gridSpan w:val="2"/>
            <w:noWrap w:val="0"/>
            <w:tcMar>
              <w:left w:w="0" w:type="dxa"/>
              <w:right w:w="0" w:type="dxa"/>
            </w:tcMar>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丙</w:t>
            </w:r>
          </w:p>
        </w:tc>
        <w:tc>
          <w:tcPr>
            <w:tcW w:w="792" w:type="dxa"/>
            <w:gridSpan w:val="2"/>
            <w:tcBorders>
              <w:right w:val="double" w:color="auto" w:sz="4" w:space="0"/>
            </w:tcBorders>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1</w:t>
            </w:r>
          </w:p>
        </w:tc>
        <w:tc>
          <w:tcPr>
            <w:tcW w:w="2628" w:type="dxa"/>
            <w:gridSpan w:val="3"/>
            <w:tcBorders>
              <w:top w:val="single" w:color="auto" w:sz="2" w:space="0"/>
              <w:left w:val="double" w:color="auto" w:sz="4" w:space="0"/>
              <w:bottom w:val="single" w:color="auto" w:sz="2" w:space="0"/>
            </w:tcBorders>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甲</w:t>
            </w:r>
          </w:p>
        </w:tc>
        <w:tc>
          <w:tcPr>
            <w:tcW w:w="792" w:type="dxa"/>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乙</w:t>
            </w:r>
          </w:p>
        </w:tc>
        <w:tc>
          <w:tcPr>
            <w:tcW w:w="540" w:type="dxa"/>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丙</w:t>
            </w:r>
          </w:p>
        </w:tc>
        <w:tc>
          <w:tcPr>
            <w:tcW w:w="703" w:type="dxa"/>
            <w:noWrap w:val="0"/>
            <w:vAlign w:val="center"/>
          </w:tcPr>
          <w:p>
            <w:pPr>
              <w:spacing w:line="240" w:lineRule="exact"/>
              <w:jc w:val="center"/>
              <w:rPr>
                <w:rFonts w:hint="default" w:ascii="Times New Roman" w:hAnsi="Times New Roman" w:cs="Times New Roman"/>
                <w:color w:val="000000"/>
                <w:sz w:val="18"/>
              </w:rPr>
            </w:pPr>
            <w:r>
              <w:rPr>
                <w:rFonts w:hint="default" w:ascii="Times New Roman" w:hAnsi="Times New Roman" w:cs="Times New Roman"/>
                <w:color w:val="000000"/>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gridAfter w:val="1"/>
          <w:wAfter w:w="154" w:type="dxa"/>
          <w:trHeight w:val="4802" w:hRule="exact"/>
          <w:jc w:val="center"/>
        </w:trPr>
        <w:tc>
          <w:tcPr>
            <w:tcW w:w="2524" w:type="dxa"/>
            <w:gridSpan w:val="3"/>
            <w:noWrap w:val="0"/>
            <w:vAlign w:val="top"/>
          </w:tcPr>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计划总投资</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已签订合同总额</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自开始建设累计完成投资</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本年完成投资</w:t>
            </w:r>
          </w:p>
          <w:p>
            <w:pPr>
              <w:pStyle w:val="2"/>
              <w:spacing w:after="0" w:line="320" w:lineRule="exact"/>
              <w:ind w:left="0" w:leftChars="0"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其中：本月完成投资</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 xml:space="preserve"> *其中：住宅</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按构成分：</w:t>
            </w:r>
          </w:p>
          <w:p>
            <w:pPr>
              <w:spacing w:line="320" w:lineRule="exact"/>
              <w:ind w:firstLine="180" w:firstLineChars="100"/>
              <w:rPr>
                <w:rFonts w:hint="default" w:ascii="Times New Roman" w:hAnsi="Times New Roman" w:cs="Times New Roman"/>
                <w:bCs/>
                <w:color w:val="000000"/>
                <w:sz w:val="18"/>
              </w:rPr>
            </w:pPr>
            <w:r>
              <w:rPr>
                <w:rFonts w:hint="default" w:ascii="Times New Roman" w:hAnsi="Times New Roman" w:cs="Times New Roman"/>
                <w:bCs/>
                <w:color w:val="000000"/>
                <w:sz w:val="18"/>
              </w:rPr>
              <w:t>建筑工程</w:t>
            </w:r>
          </w:p>
          <w:p>
            <w:pPr>
              <w:spacing w:line="320" w:lineRule="exact"/>
              <w:ind w:firstLine="180" w:firstLineChars="100"/>
              <w:rPr>
                <w:rFonts w:hint="default" w:ascii="Times New Roman" w:hAnsi="Times New Roman" w:cs="Times New Roman"/>
                <w:bCs/>
                <w:color w:val="000000"/>
                <w:sz w:val="18"/>
              </w:rPr>
            </w:pPr>
            <w:r>
              <w:rPr>
                <w:rFonts w:hint="default" w:ascii="Times New Roman" w:hAnsi="Times New Roman" w:cs="Times New Roman"/>
                <w:bCs/>
                <w:color w:val="000000"/>
                <w:sz w:val="18"/>
              </w:rPr>
              <w:t>安装工程</w:t>
            </w:r>
          </w:p>
          <w:p>
            <w:pPr>
              <w:spacing w:line="320" w:lineRule="exact"/>
              <w:ind w:firstLine="180" w:firstLineChars="100"/>
              <w:rPr>
                <w:rFonts w:hint="default" w:ascii="Times New Roman" w:hAnsi="Times New Roman" w:cs="Times New Roman"/>
                <w:bCs/>
                <w:color w:val="000000"/>
                <w:sz w:val="18"/>
              </w:rPr>
            </w:pPr>
            <w:r>
              <w:rPr>
                <w:rFonts w:hint="default" w:ascii="Times New Roman" w:hAnsi="Times New Roman" w:cs="Times New Roman"/>
                <w:bCs/>
                <w:color w:val="000000"/>
                <w:sz w:val="18"/>
              </w:rPr>
              <w:t>设备工器具购置</w:t>
            </w:r>
          </w:p>
          <w:p>
            <w:pPr>
              <w:spacing w:line="320" w:lineRule="exact"/>
              <w:ind w:firstLine="180" w:firstLineChars="100"/>
              <w:rPr>
                <w:rFonts w:hint="default" w:ascii="Times New Roman" w:hAnsi="Times New Roman" w:cs="Times New Roman"/>
                <w:bCs/>
                <w:color w:val="000000"/>
                <w:sz w:val="18"/>
              </w:rPr>
            </w:pPr>
            <w:r>
              <w:rPr>
                <w:rFonts w:hint="default" w:ascii="Times New Roman" w:hAnsi="Times New Roman" w:cs="Times New Roman"/>
                <w:bCs/>
                <w:color w:val="000000"/>
                <w:sz w:val="18"/>
              </w:rPr>
              <w:t xml:space="preserve">  *其中：购置旧设备</w:t>
            </w:r>
          </w:p>
          <w:p>
            <w:pPr>
              <w:spacing w:line="320" w:lineRule="exact"/>
              <w:ind w:firstLine="180" w:firstLineChars="100"/>
              <w:rPr>
                <w:rFonts w:hint="default" w:ascii="Times New Roman" w:hAnsi="Times New Roman" w:cs="Times New Roman"/>
                <w:bCs/>
                <w:color w:val="000000"/>
                <w:sz w:val="18"/>
              </w:rPr>
            </w:pPr>
            <w:r>
              <w:rPr>
                <w:rFonts w:hint="default" w:ascii="Times New Roman" w:hAnsi="Times New Roman" w:cs="Times New Roman"/>
                <w:bCs/>
                <w:color w:val="000000"/>
                <w:sz w:val="18"/>
              </w:rPr>
              <w:t>其他费用</w:t>
            </w:r>
          </w:p>
          <w:p>
            <w:pPr>
              <w:spacing w:line="320" w:lineRule="exact"/>
              <w:ind w:firstLine="360" w:firstLineChars="200"/>
              <w:rPr>
                <w:rFonts w:hint="default" w:ascii="Times New Roman" w:hAnsi="Times New Roman" w:cs="Times New Roman"/>
                <w:bCs/>
                <w:color w:val="000000"/>
                <w:sz w:val="18"/>
              </w:rPr>
            </w:pPr>
            <w:r>
              <w:rPr>
                <w:rFonts w:hint="default" w:ascii="Times New Roman" w:hAnsi="Times New Roman" w:cs="Times New Roman"/>
                <w:bCs/>
                <w:color w:val="000000"/>
                <w:sz w:val="18"/>
              </w:rPr>
              <w:t>*其中：旧建筑物购置费</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 xml:space="preserve">    其中：建设用地费</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*本年新增固定资产</w:t>
            </w:r>
          </w:p>
          <w:p>
            <w:pPr>
              <w:spacing w:line="320" w:lineRule="exact"/>
              <w:rPr>
                <w:rFonts w:hint="default" w:ascii="Times New Roman" w:hAnsi="Times New Roman" w:cs="Times New Roman"/>
                <w:bCs/>
                <w:color w:val="000000"/>
                <w:sz w:val="18"/>
              </w:rPr>
            </w:pPr>
          </w:p>
        </w:tc>
        <w:tc>
          <w:tcPr>
            <w:tcW w:w="720" w:type="dxa"/>
            <w:noWrap w:val="0"/>
            <w:vAlign w:val="top"/>
          </w:tcPr>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color w:val="000000"/>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tc>
        <w:tc>
          <w:tcPr>
            <w:tcW w:w="720" w:type="dxa"/>
            <w:gridSpan w:val="2"/>
            <w:noWrap w:val="0"/>
            <w:tcMar>
              <w:left w:w="0" w:type="dxa"/>
              <w:right w:w="0" w:type="dxa"/>
            </w:tcMar>
            <w:vAlign w:val="top"/>
          </w:tcPr>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101</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141</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103</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107</w:t>
            </w:r>
          </w:p>
          <w:p>
            <w:pPr>
              <w:spacing w:line="320" w:lineRule="exact"/>
              <w:jc w:val="center"/>
              <w:rPr>
                <w:rFonts w:hint="default" w:ascii="Times New Roman" w:hAnsi="Times New Roman" w:cs="Times New Roman"/>
                <w:color w:val="000000"/>
              </w:rPr>
            </w:pPr>
            <w:r>
              <w:rPr>
                <w:rFonts w:hint="default" w:ascii="Times New Roman" w:hAnsi="Times New Roman" w:cs="Times New Roman"/>
                <w:bCs/>
                <w:color w:val="000000"/>
                <w:sz w:val="18"/>
              </w:rPr>
              <w:t>140</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118</w:t>
            </w:r>
          </w:p>
          <w:p>
            <w:pPr>
              <w:spacing w:line="320" w:lineRule="exact"/>
              <w:jc w:val="center"/>
              <w:rPr>
                <w:rFonts w:hint="default" w:ascii="Times New Roman" w:hAnsi="Times New Roman" w:cs="Times New Roman"/>
                <w:bCs/>
                <w:color w:val="000000"/>
                <w:sz w:val="18"/>
              </w:rPr>
            </w:pP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108</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109</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110</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111</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112</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113</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114</w:t>
            </w:r>
          </w:p>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128</w:t>
            </w:r>
          </w:p>
        </w:tc>
        <w:tc>
          <w:tcPr>
            <w:tcW w:w="792" w:type="dxa"/>
            <w:gridSpan w:val="2"/>
            <w:tcBorders>
              <w:right w:val="double" w:color="auto" w:sz="4" w:space="0"/>
            </w:tcBorders>
            <w:noWrap w:val="0"/>
            <w:vAlign w:val="top"/>
          </w:tcPr>
          <w:p>
            <w:pPr>
              <w:spacing w:line="320" w:lineRule="exact"/>
              <w:jc w:val="center"/>
              <w:rPr>
                <w:rFonts w:hint="default" w:ascii="Times New Roman" w:hAnsi="Times New Roman" w:cs="Times New Roman"/>
                <w:color w:val="000000"/>
                <w:sz w:val="18"/>
              </w:rPr>
            </w:pPr>
          </w:p>
        </w:tc>
        <w:tc>
          <w:tcPr>
            <w:tcW w:w="2628" w:type="dxa"/>
            <w:gridSpan w:val="3"/>
            <w:tcBorders>
              <w:top w:val="single" w:color="auto" w:sz="2" w:space="0"/>
              <w:left w:val="double" w:color="auto" w:sz="4" w:space="0"/>
              <w:bottom w:val="single" w:color="auto" w:sz="8" w:space="0"/>
            </w:tcBorders>
            <w:noWrap w:val="0"/>
            <w:vAlign w:val="top"/>
          </w:tcPr>
          <w:p>
            <w:pPr>
              <w:spacing w:line="320" w:lineRule="exact"/>
              <w:ind w:firstLine="180" w:firstLineChars="100"/>
              <w:rPr>
                <w:rFonts w:hint="default" w:ascii="Times New Roman" w:hAnsi="Times New Roman" w:cs="Times New Roman"/>
                <w:bCs/>
                <w:color w:val="000000"/>
                <w:sz w:val="18"/>
              </w:rPr>
            </w:pPr>
            <w:r>
              <w:rPr>
                <w:rFonts w:hint="default" w:ascii="Times New Roman" w:hAnsi="Times New Roman" w:cs="Times New Roman"/>
                <w:bCs/>
                <w:color w:val="000000"/>
                <w:sz w:val="18"/>
              </w:rPr>
              <w:t>上年末结余资金</w:t>
            </w:r>
          </w:p>
          <w:p>
            <w:pPr>
              <w:spacing w:line="320" w:lineRule="exact"/>
              <w:ind w:firstLine="180" w:firstLineChars="100"/>
              <w:rPr>
                <w:rFonts w:hint="default" w:ascii="Times New Roman" w:hAnsi="Times New Roman" w:cs="Times New Roman"/>
                <w:bCs/>
                <w:color w:val="000000"/>
                <w:sz w:val="18"/>
              </w:rPr>
            </w:pPr>
            <w:r>
              <w:rPr>
                <w:rFonts w:hint="default" w:ascii="Times New Roman" w:hAnsi="Times New Roman" w:cs="Times New Roman"/>
                <w:bCs/>
                <w:color w:val="000000"/>
                <w:sz w:val="18"/>
              </w:rPr>
              <w:t>本年实际到位资金</w:t>
            </w:r>
          </w:p>
          <w:p>
            <w:pPr>
              <w:spacing w:line="320" w:lineRule="exact"/>
              <w:ind w:firstLine="360" w:firstLineChars="200"/>
              <w:rPr>
                <w:rFonts w:hint="default" w:ascii="Times New Roman" w:hAnsi="Times New Roman" w:cs="Times New Roman"/>
                <w:bCs/>
                <w:color w:val="000000"/>
                <w:sz w:val="18"/>
              </w:rPr>
            </w:pPr>
            <w:r>
              <w:rPr>
                <w:rFonts w:hint="default" w:ascii="Times New Roman" w:hAnsi="Times New Roman" w:cs="Times New Roman"/>
                <w:bCs/>
                <w:color w:val="000000"/>
                <w:sz w:val="18"/>
              </w:rPr>
              <w:t>国家预算资金</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 xml:space="preserve">      *其中：中央预算资金 </w:t>
            </w:r>
          </w:p>
          <w:p>
            <w:pPr>
              <w:spacing w:line="320" w:lineRule="exact"/>
              <w:ind w:firstLine="360" w:firstLineChars="200"/>
              <w:rPr>
                <w:rFonts w:hint="default" w:ascii="Times New Roman" w:hAnsi="Times New Roman" w:cs="Times New Roman"/>
                <w:bCs/>
                <w:color w:val="000000"/>
                <w:sz w:val="18"/>
              </w:rPr>
            </w:pPr>
            <w:r>
              <w:rPr>
                <w:rFonts w:hint="default" w:ascii="Times New Roman" w:hAnsi="Times New Roman" w:cs="Times New Roman"/>
                <w:bCs/>
                <w:color w:val="000000"/>
                <w:sz w:val="18"/>
              </w:rPr>
              <w:t>国内贷款</w:t>
            </w:r>
          </w:p>
          <w:p>
            <w:pPr>
              <w:spacing w:line="320" w:lineRule="exact"/>
              <w:ind w:firstLine="360" w:firstLineChars="200"/>
              <w:rPr>
                <w:rFonts w:hint="default" w:ascii="Times New Roman" w:hAnsi="Times New Roman" w:cs="Times New Roman"/>
                <w:bCs/>
                <w:color w:val="000000"/>
                <w:sz w:val="18"/>
              </w:rPr>
            </w:pPr>
            <w:r>
              <w:rPr>
                <w:rFonts w:hint="default" w:ascii="Times New Roman" w:hAnsi="Times New Roman" w:cs="Times New Roman"/>
                <w:bCs/>
                <w:color w:val="000000"/>
                <w:sz w:val="18"/>
              </w:rPr>
              <w:t>利用外资</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 xml:space="preserve">    自筹资金</w:t>
            </w:r>
          </w:p>
          <w:p>
            <w:pPr>
              <w:spacing w:line="320" w:lineRule="exact"/>
              <w:ind w:firstLine="360" w:firstLineChars="200"/>
              <w:rPr>
                <w:rFonts w:hint="default" w:ascii="Times New Roman" w:hAnsi="Times New Roman" w:cs="Times New Roman"/>
                <w:bCs/>
                <w:color w:val="000000"/>
                <w:sz w:val="18"/>
              </w:rPr>
            </w:pPr>
            <w:r>
              <w:rPr>
                <w:rFonts w:hint="default" w:ascii="Times New Roman" w:hAnsi="Times New Roman" w:cs="Times New Roman"/>
                <w:bCs/>
                <w:color w:val="000000"/>
                <w:sz w:val="18"/>
              </w:rPr>
              <w:t>其他资金来源</w:t>
            </w:r>
          </w:p>
          <w:p>
            <w:pPr>
              <w:pStyle w:val="2"/>
              <w:spacing w:after="0" w:line="320" w:lineRule="exact"/>
              <w:ind w:left="199" w:leftChars="95" w:firstLine="171" w:firstLineChars="95"/>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其中：债券</w:t>
            </w:r>
          </w:p>
          <w:p>
            <w:pPr>
              <w:spacing w:line="320" w:lineRule="exact"/>
              <w:rPr>
                <w:rFonts w:hint="default" w:ascii="Times New Roman" w:hAnsi="Times New Roman" w:cs="Times New Roman"/>
                <w:bCs/>
                <w:color w:val="000000"/>
                <w:sz w:val="18"/>
              </w:rPr>
            </w:pPr>
            <w:r>
              <w:rPr>
                <w:rFonts w:hint="default" w:ascii="Times New Roman" w:hAnsi="Times New Roman" w:cs="Times New Roman"/>
                <w:bCs/>
                <w:color w:val="000000"/>
                <w:sz w:val="18"/>
              </w:rPr>
              <w:t>*各项应付款合计</w:t>
            </w:r>
          </w:p>
          <w:p>
            <w:pPr>
              <w:spacing w:line="320" w:lineRule="exact"/>
              <w:ind w:firstLine="180" w:firstLineChars="100"/>
              <w:rPr>
                <w:rFonts w:hint="default" w:ascii="Times New Roman" w:hAnsi="Times New Roman" w:cs="Times New Roman"/>
                <w:bCs/>
                <w:color w:val="000000"/>
                <w:sz w:val="18"/>
              </w:rPr>
            </w:pPr>
            <w:r>
              <w:rPr>
                <w:rFonts w:hint="default" w:ascii="Times New Roman" w:hAnsi="Times New Roman" w:cs="Times New Roman"/>
                <w:bCs/>
                <w:color w:val="000000"/>
                <w:sz w:val="18"/>
              </w:rPr>
              <w:t>*其中：工程款</w:t>
            </w:r>
          </w:p>
        </w:tc>
        <w:tc>
          <w:tcPr>
            <w:tcW w:w="792" w:type="dxa"/>
            <w:noWrap w:val="0"/>
            <w:vAlign w:val="top"/>
          </w:tcPr>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万元</w:t>
            </w:r>
          </w:p>
        </w:tc>
        <w:tc>
          <w:tcPr>
            <w:tcW w:w="540" w:type="dxa"/>
            <w:noWrap w:val="0"/>
            <w:vAlign w:val="top"/>
          </w:tcPr>
          <w:p>
            <w:pPr>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302</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303</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304</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328</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305</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307</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311</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318</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306</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320</w:t>
            </w:r>
          </w:p>
          <w:p>
            <w:pPr>
              <w:widowControl/>
              <w:spacing w:line="320" w:lineRule="exact"/>
              <w:jc w:val="center"/>
              <w:rPr>
                <w:rFonts w:hint="default" w:ascii="Times New Roman" w:hAnsi="Times New Roman" w:cs="Times New Roman"/>
                <w:bCs/>
                <w:color w:val="000000"/>
                <w:sz w:val="18"/>
              </w:rPr>
            </w:pPr>
            <w:r>
              <w:rPr>
                <w:rFonts w:hint="default" w:ascii="Times New Roman" w:hAnsi="Times New Roman" w:cs="Times New Roman"/>
                <w:bCs/>
                <w:color w:val="000000"/>
                <w:sz w:val="18"/>
              </w:rPr>
              <w:t>321</w:t>
            </w:r>
          </w:p>
        </w:tc>
        <w:tc>
          <w:tcPr>
            <w:tcW w:w="703" w:type="dxa"/>
            <w:noWrap w:val="0"/>
            <w:vAlign w:val="top"/>
          </w:tcPr>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p>
            <w:pPr>
              <w:spacing w:line="320" w:lineRule="exact"/>
              <w:jc w:val="center"/>
              <w:rPr>
                <w:rFonts w:hint="default" w:ascii="Times New Roman" w:hAnsi="Times New Roman" w:cs="Times New Roman"/>
                <w:color w:val="000000"/>
                <w:sz w:val="18"/>
              </w:rPr>
            </w:pPr>
          </w:p>
        </w:tc>
      </w:tr>
    </w:tbl>
    <w:p>
      <w:pPr>
        <w:adjustRightInd w:val="0"/>
        <w:spacing w:line="280" w:lineRule="exact"/>
        <w:rPr>
          <w:rFonts w:hint="default" w:ascii="Times New Roman" w:hAnsi="Times New Roman" w:cs="Times New Roman"/>
          <w:color w:val="000000"/>
          <w:sz w:val="18"/>
        </w:rPr>
      </w:pPr>
      <w:r>
        <w:rPr>
          <w:rFonts w:hint="default" w:ascii="Times New Roman" w:hAnsi="Times New Roman" w:cs="Times New Roman"/>
          <w:color w:val="000000"/>
          <w:sz w:val="18"/>
        </w:rPr>
        <w:t>单位负责人：               统计负责人：               填表人：             报出日期：２０　 年   月   日</w:t>
      </w:r>
    </w:p>
    <w:p>
      <w:pPr>
        <w:adjustRightInd w:val="0"/>
        <w:spacing w:line="280" w:lineRule="exact"/>
        <w:rPr>
          <w:rFonts w:hint="default" w:ascii="Times New Roman" w:hAnsi="Times New Roman" w:cs="Times New Roman"/>
          <w:sz w:val="18"/>
        </w:rPr>
      </w:pPr>
    </w:p>
    <w:p>
      <w:pPr>
        <w:snapToGrid w:val="0"/>
        <w:rPr>
          <w:rFonts w:hint="default" w:ascii="Times New Roman" w:hAnsi="Times New Roman" w:cs="Times New Roman"/>
          <w:sz w:val="18"/>
        </w:rPr>
      </w:pPr>
    </w:p>
    <w:p>
      <w:pPr>
        <w:snapToGrid w:val="0"/>
        <w:ind w:left="1618" w:leftChars="1" w:hanging="1616" w:hangingChars="898"/>
        <w:rPr>
          <w:rFonts w:hint="default" w:ascii="Times New Roman" w:hAnsi="Times New Roman" w:cs="Times New Roman"/>
          <w:sz w:val="18"/>
          <w:szCs w:val="18"/>
        </w:rPr>
      </w:pPr>
      <w:r>
        <w:rPr>
          <w:rFonts w:hint="default" w:ascii="Times New Roman" w:hAnsi="Times New Roman" w:cs="Times New Roman"/>
          <w:sz w:val="18"/>
        </w:rPr>
        <w:t>说明：1.统计范围：</w:t>
      </w:r>
      <w:r>
        <w:rPr>
          <w:rFonts w:hint="default" w:ascii="Times New Roman" w:hAnsi="Times New Roman" w:cs="Times New Roman"/>
          <w:sz w:val="18"/>
          <w:szCs w:val="18"/>
        </w:rPr>
        <w:t>辖区内规模以上服务业法人单位的500万元及以上固定资产投资项目。</w:t>
      </w:r>
    </w:p>
    <w:p>
      <w:pPr>
        <w:snapToGrid w:val="0"/>
        <w:ind w:left="2162" w:leftChars="1" w:hanging="2160" w:hangingChars="1200"/>
        <w:rPr>
          <w:rFonts w:hint="default" w:ascii="Times New Roman" w:hAnsi="Times New Roman" w:cs="Times New Roman"/>
          <w:sz w:val="18"/>
          <w:szCs w:val="18"/>
        </w:rPr>
      </w:pPr>
      <w:r>
        <w:rPr>
          <w:rFonts w:hint="default" w:ascii="Times New Roman" w:hAnsi="Times New Roman" w:cs="Times New Roman"/>
          <w:sz w:val="18"/>
        </w:rPr>
        <w:t xml:space="preserve">      2.报送日期及方式：</w:t>
      </w:r>
      <w:r>
        <w:rPr>
          <w:rFonts w:hint="default" w:ascii="Times New Roman" w:hAnsi="Times New Roman" w:eastAsia="宋体" w:cs="Times New Roman"/>
          <w:sz w:val="18"/>
          <w:szCs w:val="18"/>
        </w:rPr>
        <w:t>调查单位2、5、6、7、8、10、11月月后7日，</w:t>
      </w:r>
      <w:r>
        <w:rPr>
          <w:rFonts w:hint="default" w:ascii="Times New Roman" w:hAnsi="Times New Roman" w:eastAsia="7" w:cs="Times New Roman"/>
          <w:sz w:val="18"/>
          <w:szCs w:val="18"/>
        </w:rPr>
        <w:t>3</w:t>
      </w:r>
      <w:r>
        <w:rPr>
          <w:rFonts w:hint="default" w:ascii="Times New Roman" w:hAnsi="Times New Roman" w:eastAsia="宋体" w:cs="Times New Roman"/>
          <w:sz w:val="18"/>
          <w:szCs w:val="18"/>
        </w:rPr>
        <w:t>月月后</w:t>
      </w:r>
      <w:r>
        <w:rPr>
          <w:rFonts w:hint="default" w:ascii="Times New Roman" w:hAnsi="Times New Roman" w:eastAsia="宋体" w:cs="Times New Roman"/>
          <w:b w:val="0"/>
          <w:bCs w:val="0"/>
          <w:sz w:val="18"/>
          <w:szCs w:val="18"/>
        </w:rPr>
        <w:t>8</w:t>
      </w:r>
      <w:r>
        <w:rPr>
          <w:rFonts w:hint="default" w:ascii="Times New Roman" w:hAnsi="Times New Roman" w:eastAsia="宋体" w:cs="Times New Roman"/>
          <w:sz w:val="18"/>
          <w:szCs w:val="18"/>
        </w:rPr>
        <w:t>日，4、12月月后9日12：00，9月月后11日18:00前独立自行网上填报，1月免报；</w:t>
      </w:r>
      <w:r>
        <w:rPr>
          <w:rFonts w:hint="default" w:ascii="Times New Roman" w:hAnsi="Times New Roman" w:eastAsia="宋体" w:cs="Times New Roman"/>
          <w:kern w:val="0"/>
          <w:sz w:val="18"/>
          <w:szCs w:val="18"/>
        </w:rPr>
        <w:t>各区统计机构按“</w:t>
      </w:r>
      <w:r>
        <w:rPr>
          <w:rFonts w:hint="default" w:ascii="Times New Roman" w:hAnsi="Times New Roman" w:eastAsia="宋体" w:cs="Times New Roman"/>
          <w:kern w:val="0"/>
          <w:sz w:val="18"/>
          <w:szCs w:val="18"/>
          <w:lang w:eastAsia="zh-CN"/>
        </w:rPr>
        <w:t>统计云工作</w:t>
      </w:r>
      <w:r>
        <w:rPr>
          <w:rFonts w:hint="default" w:ascii="Times New Roman" w:hAnsi="Times New Roman" w:eastAsia="宋体" w:cs="Times New Roman"/>
          <w:kern w:val="0"/>
          <w:sz w:val="18"/>
          <w:szCs w:val="18"/>
        </w:rPr>
        <w:t>台”规定时间</w:t>
      </w:r>
      <w:r>
        <w:rPr>
          <w:rFonts w:hint="default" w:ascii="Times New Roman" w:hAnsi="Times New Roman" w:cs="Times New Roman"/>
          <w:spacing w:val="-4"/>
          <w:sz w:val="18"/>
          <w:szCs w:val="18"/>
        </w:rPr>
        <w:t>完成数据审核、验收、上报</w:t>
      </w:r>
      <w:r>
        <w:rPr>
          <w:rFonts w:hint="default" w:ascii="Times New Roman" w:hAnsi="Times New Roman" w:cs="Times New Roman"/>
          <w:sz w:val="18"/>
          <w:szCs w:val="18"/>
        </w:rPr>
        <w:t>。</w:t>
      </w:r>
    </w:p>
    <w:p>
      <w:pPr>
        <w:snapToGrid w:val="0"/>
        <w:ind w:left="720" w:hanging="720" w:hangingChars="400"/>
        <w:rPr>
          <w:rFonts w:hint="default" w:ascii="Times New Roman" w:hAnsi="Times New Roman" w:cs="Times New Roman"/>
          <w:sz w:val="18"/>
        </w:rPr>
      </w:pPr>
      <w:r>
        <w:rPr>
          <w:rFonts w:hint="default" w:ascii="Times New Roman" w:hAnsi="Times New Roman" w:cs="Times New Roman"/>
          <w:sz w:val="18"/>
        </w:rPr>
        <w:t xml:space="preserve">      3.本表除“计划总投资”、“自开始建设累计完成投资”、“上年末结余资金”指标外，其他指标均为自年初至报告期末累计数。</w:t>
      </w:r>
    </w:p>
    <w:p>
      <w:pPr>
        <w:snapToGrid w:val="0"/>
        <w:ind w:left="720" w:hanging="720" w:hangingChars="400"/>
        <w:rPr>
          <w:rFonts w:hint="default" w:ascii="Times New Roman" w:hAnsi="Times New Roman" w:cs="Times New Roman"/>
          <w:sz w:val="18"/>
        </w:rPr>
      </w:pPr>
      <w:r>
        <w:rPr>
          <w:rFonts w:hint="default" w:ascii="Times New Roman" w:hAnsi="Times New Roman" w:cs="Times New Roman"/>
          <w:sz w:val="18"/>
        </w:rPr>
        <w:t xml:space="preserve">      4.投资项目在线审批监管平台统一代码的填报范围：报告期在建及新开工项目均需填写。该代码由各级发改部门投资项目在线审批监管平台生成。</w:t>
      </w:r>
    </w:p>
    <w:p>
      <w:pPr>
        <w:snapToGrid w:val="0"/>
        <w:ind w:left="720" w:hanging="720" w:hangingChars="400"/>
        <w:rPr>
          <w:rFonts w:hint="default" w:ascii="Times New Roman" w:hAnsi="Times New Roman" w:cs="Times New Roman"/>
          <w:sz w:val="18"/>
        </w:rPr>
      </w:pPr>
      <w:r>
        <w:rPr>
          <w:rFonts w:hint="default" w:ascii="Times New Roman" w:hAnsi="Times New Roman" w:cs="Times New Roman"/>
          <w:sz w:val="18"/>
        </w:rPr>
        <w:t xml:space="preserve">      5.带“*”的“118其中：住宅”“111其中：购置旧设备”“113其中：旧建筑物购置费”“128本年新增固定资产”“320各项应付款合计”“321其中：工程款”“328其中：中央预算资金”仅12月月报填报。</w:t>
      </w:r>
    </w:p>
    <w:p>
      <w:pPr>
        <w:snapToGrid w:val="0"/>
        <w:ind w:left="720" w:hanging="720" w:hangingChars="400"/>
        <w:rPr>
          <w:rFonts w:hint="default" w:ascii="Times New Roman" w:hAnsi="Times New Roman" w:cs="Times New Roman"/>
          <w:sz w:val="18"/>
        </w:rPr>
      </w:pPr>
      <w:r>
        <w:rPr>
          <w:rFonts w:hint="default" w:ascii="Times New Roman" w:hAnsi="Times New Roman" w:cs="Times New Roman"/>
          <w:sz w:val="18"/>
        </w:rPr>
        <w:t xml:space="preserve">      6.审核关系：</w:t>
      </w:r>
    </w:p>
    <w:p>
      <w:pPr>
        <w:snapToGrid w:val="0"/>
        <w:ind w:firstLine="720" w:firstLineChars="400"/>
        <w:rPr>
          <w:rFonts w:hint="default" w:ascii="Times New Roman" w:hAnsi="Times New Roman" w:cs="Times New Roman"/>
          <w:sz w:val="18"/>
        </w:rPr>
      </w:pPr>
      <w:r>
        <w:rPr>
          <w:rFonts w:hint="default" w:ascii="Times New Roman" w:hAnsi="Times New Roman" w:cs="Times New Roman"/>
          <w:sz w:val="18"/>
        </w:rPr>
        <w:t xml:space="preserve">(1)103≥107       (2)107≥140         (3)107≥118         (4)107＝108＋109＋110＋112  </w:t>
      </w:r>
    </w:p>
    <w:p>
      <w:pPr>
        <w:snapToGrid w:val="0"/>
        <w:ind w:firstLine="720" w:firstLineChars="400"/>
        <w:rPr>
          <w:rFonts w:hint="default" w:ascii="Times New Roman" w:hAnsi="Times New Roman" w:cs="Times New Roman"/>
          <w:sz w:val="18"/>
        </w:rPr>
      </w:pPr>
      <w:r>
        <w:rPr>
          <w:rFonts w:hint="default" w:ascii="Times New Roman" w:hAnsi="Times New Roman" w:cs="Times New Roman"/>
          <w:sz w:val="18"/>
        </w:rPr>
        <w:t>(5)110≥111       (6)112≥113＋114    (7)303＝304＋305＋307＋311＋318</w:t>
      </w:r>
    </w:p>
    <w:p>
      <w:pPr>
        <w:snapToGrid w:val="0"/>
        <w:ind w:firstLine="720" w:firstLineChars="400"/>
        <w:rPr>
          <w:rFonts w:hint="default" w:ascii="Times New Roman" w:hAnsi="Times New Roman" w:cs="Times New Roman"/>
          <w:sz w:val="18"/>
        </w:rPr>
      </w:pPr>
      <w:r>
        <w:rPr>
          <w:rFonts w:hint="default" w:ascii="Times New Roman" w:hAnsi="Times New Roman" w:cs="Times New Roman"/>
          <w:sz w:val="18"/>
        </w:rPr>
        <w:t>(8)304≥328       (9)320≥321</w:t>
      </w:r>
    </w:p>
    <w:p>
      <w:pPr>
        <w:adjustRightInd w:val="0"/>
        <w:spacing w:line="280" w:lineRule="exact"/>
        <w:rPr>
          <w:rFonts w:hint="default" w:ascii="Times New Roman" w:hAnsi="Times New Roman" w:cs="Times New Roman"/>
          <w:sz w:val="18"/>
        </w:rPr>
      </w:pPr>
    </w:p>
    <w:p>
      <w:pPr>
        <w:snapToGrid w:val="0"/>
        <w:rPr>
          <w:rFonts w:hint="eastAsia" w:ascii="宋体"/>
          <w:sz w:val="18"/>
        </w:rPr>
      </w:pPr>
    </w:p>
    <w:p>
      <w:pPr>
        <w:snapToGrid w:val="0"/>
        <w:ind w:firstLine="1280" w:firstLineChars="400"/>
        <w:jc w:val="left"/>
        <w:rPr>
          <w:rFonts w:hint="eastAsia" w:ascii="宋体" w:hAnsi="宋体"/>
          <w:sz w:val="32"/>
          <w:szCs w:val="32"/>
        </w:rPr>
      </w:pPr>
    </w:p>
    <w:p>
      <w:pPr>
        <w:adjustRightInd w:val="0"/>
        <w:snapToGrid w:val="0"/>
        <w:jc w:val="center"/>
        <w:outlineLvl w:val="2"/>
        <w:rPr>
          <w:rFonts w:hint="eastAsia" w:ascii="宋体" w:hAnsi="宋体"/>
          <w:sz w:val="32"/>
          <w:szCs w:val="32"/>
        </w:rPr>
      </w:pPr>
      <w:r>
        <w:rPr>
          <w:rFonts w:hint="eastAsia" w:ascii="宋体" w:hAnsi="宋体"/>
          <w:sz w:val="32"/>
          <w:szCs w:val="32"/>
        </w:rPr>
        <w:br w:type="page"/>
      </w:r>
      <w:r>
        <w:rPr>
          <w:rFonts w:hint="eastAsia" w:ascii="宋体" w:hAnsi="宋体"/>
          <w:sz w:val="32"/>
          <w:szCs w:val="32"/>
        </w:rPr>
        <w:t>生产经营景气状况</w:t>
      </w:r>
    </w:p>
    <w:tbl>
      <w:tblPr>
        <w:tblStyle w:val="31"/>
        <w:tblW w:w="9469" w:type="dxa"/>
        <w:jc w:val="center"/>
        <w:tblLayout w:type="fixed"/>
        <w:tblCellMar>
          <w:top w:w="0" w:type="dxa"/>
          <w:left w:w="0" w:type="dxa"/>
          <w:bottom w:w="0" w:type="dxa"/>
          <w:right w:w="0" w:type="dxa"/>
        </w:tblCellMar>
      </w:tblPr>
      <w:tblGrid>
        <w:gridCol w:w="3974"/>
        <w:gridCol w:w="20"/>
        <w:gridCol w:w="2445"/>
        <w:gridCol w:w="1005"/>
        <w:gridCol w:w="2025"/>
      </w:tblGrid>
      <w:tr>
        <w:tblPrEx>
          <w:tblCellMar>
            <w:top w:w="0" w:type="dxa"/>
            <w:left w:w="0" w:type="dxa"/>
            <w:bottom w:w="0" w:type="dxa"/>
            <w:right w:w="0" w:type="dxa"/>
          </w:tblCellMar>
        </w:tblPrEx>
        <w:trPr>
          <w:trHeight w:val="98" w:hRule="atLeast"/>
          <w:jc w:val="center"/>
        </w:trPr>
        <w:tc>
          <w:tcPr>
            <w:tcW w:w="3974" w:type="dxa"/>
            <w:noWrap w:val="0"/>
            <w:vAlign w:val="top"/>
          </w:tcPr>
          <w:p>
            <w:pPr>
              <w:spacing w:line="220" w:lineRule="exact"/>
              <w:rPr>
                <w:rFonts w:hint="eastAsia" w:ascii="宋体" w:hAnsi="宋体"/>
                <w:sz w:val="18"/>
                <w:szCs w:val="18"/>
              </w:rPr>
            </w:pPr>
          </w:p>
        </w:tc>
        <w:tc>
          <w:tcPr>
            <w:tcW w:w="20" w:type="dxa"/>
            <w:noWrap w:val="0"/>
            <w:vAlign w:val="top"/>
          </w:tcPr>
          <w:p>
            <w:pPr>
              <w:spacing w:line="220" w:lineRule="exact"/>
              <w:rPr>
                <w:rFonts w:hint="eastAsia" w:ascii="宋体" w:hAnsi="宋体"/>
                <w:sz w:val="18"/>
                <w:szCs w:val="18"/>
              </w:rPr>
            </w:pPr>
          </w:p>
        </w:tc>
        <w:tc>
          <w:tcPr>
            <w:tcW w:w="2445" w:type="dxa"/>
            <w:noWrap w:val="0"/>
            <w:vAlign w:val="top"/>
          </w:tcPr>
          <w:p>
            <w:pPr>
              <w:spacing w:line="220" w:lineRule="exact"/>
              <w:rPr>
                <w:rFonts w:hint="eastAsia" w:ascii="宋体" w:hAnsi="宋体"/>
                <w:sz w:val="18"/>
                <w:szCs w:val="18"/>
              </w:rPr>
            </w:pPr>
          </w:p>
        </w:tc>
        <w:tc>
          <w:tcPr>
            <w:tcW w:w="1005" w:type="dxa"/>
            <w:noWrap w:val="0"/>
            <w:tcMar>
              <w:left w:w="0" w:type="dxa"/>
              <w:right w:w="0" w:type="dxa"/>
            </w:tcMar>
            <w:vAlign w:val="top"/>
          </w:tcPr>
          <w:p>
            <w:pPr>
              <w:spacing w:line="220" w:lineRule="exact"/>
              <w:rPr>
                <w:rFonts w:hint="eastAsia" w:ascii="宋体" w:hAnsi="宋体"/>
                <w:sz w:val="18"/>
                <w:szCs w:val="18"/>
              </w:rPr>
            </w:pPr>
            <w:r>
              <w:rPr>
                <w:rFonts w:hint="eastAsia" w:ascii="宋体" w:hAnsi="宋体"/>
                <w:sz w:val="18"/>
                <w:szCs w:val="18"/>
              </w:rPr>
              <w:t>表    号：</w:t>
            </w:r>
          </w:p>
        </w:tc>
        <w:tc>
          <w:tcPr>
            <w:tcW w:w="2025" w:type="dxa"/>
            <w:noWrap w:val="0"/>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Ｆ２１０表</w:t>
            </w:r>
          </w:p>
        </w:tc>
      </w:tr>
      <w:tr>
        <w:tblPrEx>
          <w:tblCellMar>
            <w:top w:w="0" w:type="dxa"/>
            <w:left w:w="0" w:type="dxa"/>
            <w:bottom w:w="0" w:type="dxa"/>
            <w:right w:w="0" w:type="dxa"/>
          </w:tblCellMar>
        </w:tblPrEx>
        <w:trPr>
          <w:jc w:val="center"/>
        </w:trPr>
        <w:tc>
          <w:tcPr>
            <w:tcW w:w="6439" w:type="dxa"/>
            <w:gridSpan w:val="3"/>
            <w:noWrap w:val="0"/>
            <w:vAlign w:val="top"/>
          </w:tcPr>
          <w:p>
            <w:pPr>
              <w:spacing w:line="220" w:lineRule="exact"/>
              <w:rPr>
                <w:rFonts w:hint="eastAsia" w:ascii="宋体" w:hAnsi="宋体"/>
                <w:sz w:val="18"/>
                <w:szCs w:val="18"/>
              </w:rPr>
            </w:pPr>
          </w:p>
        </w:tc>
        <w:tc>
          <w:tcPr>
            <w:tcW w:w="1005"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制定机关：</w:t>
            </w:r>
          </w:p>
        </w:tc>
        <w:tc>
          <w:tcPr>
            <w:tcW w:w="2025" w:type="dxa"/>
            <w:noWrap w:val="0"/>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国 家 统 计 局</w:t>
            </w:r>
          </w:p>
        </w:tc>
      </w:tr>
      <w:tr>
        <w:tblPrEx>
          <w:tblCellMar>
            <w:top w:w="0" w:type="dxa"/>
            <w:left w:w="0" w:type="dxa"/>
            <w:bottom w:w="0" w:type="dxa"/>
            <w:right w:w="0" w:type="dxa"/>
          </w:tblCellMar>
        </w:tblPrEx>
        <w:trPr>
          <w:jc w:val="center"/>
        </w:trPr>
        <w:tc>
          <w:tcPr>
            <w:tcW w:w="6439" w:type="dxa"/>
            <w:gridSpan w:val="3"/>
            <w:noWrap w:val="0"/>
            <w:vAlign w:val="top"/>
          </w:tcPr>
          <w:p>
            <w:pPr>
              <w:spacing w:line="220" w:lineRule="exact"/>
              <w:rPr>
                <w:rFonts w:hint="eastAsia" w:ascii="宋体" w:hAnsi="宋体"/>
                <w:sz w:val="18"/>
                <w:szCs w:val="18"/>
              </w:rPr>
            </w:pPr>
            <w:r>
              <w:rPr>
                <w:rFonts w:hint="eastAsia" w:ascii="宋体"/>
                <w:sz w:val="18"/>
              </w:rPr>
              <w:t>统一社会信用代码□□□□□□□□□□□□□□□□□□</w:t>
            </w:r>
          </w:p>
        </w:tc>
        <w:tc>
          <w:tcPr>
            <w:tcW w:w="1005"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文    号：</w:t>
            </w:r>
          </w:p>
        </w:tc>
        <w:tc>
          <w:tcPr>
            <w:tcW w:w="2025" w:type="dxa"/>
            <w:noWrap w:val="0"/>
            <w:tcMar>
              <w:left w:w="0" w:type="dxa"/>
              <w:right w:w="0" w:type="dxa"/>
            </w:tcMar>
            <w:vAlign w:val="center"/>
          </w:tcPr>
          <w:p>
            <w:pPr>
              <w:spacing w:line="220" w:lineRule="exact"/>
              <w:jc w:val="distribute"/>
              <w:rPr>
                <w:rFonts w:ascii="宋体" w:hAnsi="宋体"/>
                <w:sz w:val="18"/>
                <w:szCs w:val="18"/>
              </w:rPr>
            </w:pPr>
            <w:r>
              <w:rPr>
                <w:rFonts w:ascii="宋体" w:hAnsi="宋体"/>
                <w:sz w:val="18"/>
                <w:szCs w:val="18"/>
              </w:rPr>
              <w:t>国统字</w:t>
            </w:r>
            <w:r>
              <w:rPr>
                <w:rFonts w:hint="eastAsia" w:ascii="宋体" w:hAnsi="宋体"/>
                <w:sz w:val="18"/>
                <w:szCs w:val="18"/>
              </w:rPr>
              <w:t>〔</w:t>
            </w:r>
            <w:r>
              <w:rPr>
                <w:rFonts w:hint="eastAsia" w:ascii="宋体" w:hAnsi="宋体"/>
                <w:sz w:val="18"/>
                <w:szCs w:val="18"/>
                <w:lang w:eastAsia="zh-CN"/>
              </w:rPr>
              <w:t>２０２４</w:t>
            </w:r>
            <w:r>
              <w:rPr>
                <w:rFonts w:hint="eastAsia" w:ascii="宋体" w:hAnsi="宋体"/>
                <w:sz w:val="18"/>
                <w:szCs w:val="18"/>
              </w:rPr>
              <w:t>〕</w:t>
            </w:r>
            <w:r>
              <w:rPr>
                <w:rFonts w:hint="eastAsia" w:ascii="宋体" w:hAnsi="宋体"/>
                <w:sz w:val="18"/>
                <w:szCs w:val="18"/>
                <w:lang w:val="en-US" w:eastAsia="zh-CN"/>
              </w:rPr>
              <w:t xml:space="preserve"> 77 </w:t>
            </w:r>
            <w:r>
              <w:rPr>
                <w:rFonts w:ascii="宋体" w:hAnsi="宋体"/>
                <w:sz w:val="18"/>
                <w:szCs w:val="18"/>
              </w:rPr>
              <w:t>号</w:t>
            </w:r>
          </w:p>
        </w:tc>
      </w:tr>
      <w:tr>
        <w:tblPrEx>
          <w:tblCellMar>
            <w:top w:w="0" w:type="dxa"/>
            <w:left w:w="0" w:type="dxa"/>
            <w:bottom w:w="0" w:type="dxa"/>
            <w:right w:w="0" w:type="dxa"/>
          </w:tblCellMar>
        </w:tblPrEx>
        <w:trPr>
          <w:jc w:val="center"/>
        </w:trPr>
        <w:tc>
          <w:tcPr>
            <w:tcW w:w="3974" w:type="dxa"/>
            <w:noWrap w:val="0"/>
            <w:vAlign w:val="top"/>
          </w:tcPr>
          <w:p>
            <w:pPr>
              <w:spacing w:line="220" w:lineRule="exact"/>
              <w:rPr>
                <w:rFonts w:hint="eastAsia" w:ascii="宋体" w:hAnsi="宋体"/>
                <w:sz w:val="18"/>
                <w:szCs w:val="18"/>
              </w:rPr>
            </w:pPr>
            <w:r>
              <w:rPr>
                <w:rFonts w:hint="eastAsia" w:ascii="宋体"/>
                <w:sz w:val="18"/>
              </w:rPr>
              <w:t>单位详细名称：</w:t>
            </w:r>
          </w:p>
        </w:tc>
        <w:tc>
          <w:tcPr>
            <w:tcW w:w="20" w:type="dxa"/>
            <w:noWrap w:val="0"/>
            <w:vAlign w:val="top"/>
          </w:tcPr>
          <w:p>
            <w:pPr>
              <w:spacing w:line="220" w:lineRule="exact"/>
              <w:rPr>
                <w:rFonts w:hint="eastAsia" w:ascii="宋体" w:hAnsi="宋体"/>
                <w:sz w:val="18"/>
                <w:szCs w:val="18"/>
              </w:rPr>
            </w:pPr>
          </w:p>
        </w:tc>
        <w:tc>
          <w:tcPr>
            <w:tcW w:w="2445" w:type="dxa"/>
            <w:noWrap w:val="0"/>
            <w:vAlign w:val="top"/>
          </w:tcPr>
          <w:p>
            <w:pPr>
              <w:spacing w:line="220" w:lineRule="exact"/>
              <w:rPr>
                <w:rFonts w:hint="eastAsia" w:ascii="宋体" w:hAnsi="宋体"/>
                <w:sz w:val="18"/>
                <w:szCs w:val="18"/>
              </w:rPr>
            </w:pPr>
            <w:r>
              <w:rPr>
                <w:rFonts w:hint="eastAsia" w:ascii="宋体" w:hAnsi="宋体"/>
                <w:sz w:val="18"/>
                <w:szCs w:val="18"/>
              </w:rPr>
              <w:t>２０   年    季</w:t>
            </w:r>
          </w:p>
        </w:tc>
        <w:tc>
          <w:tcPr>
            <w:tcW w:w="1005"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有效期至：</w:t>
            </w:r>
          </w:p>
        </w:tc>
        <w:tc>
          <w:tcPr>
            <w:tcW w:w="2025" w:type="dxa"/>
            <w:noWrap w:val="0"/>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２０２</w:t>
            </w:r>
            <w:r>
              <w:rPr>
                <w:rFonts w:hint="eastAsia" w:ascii="宋体" w:hAnsi="宋体"/>
                <w:sz w:val="18"/>
                <w:szCs w:val="18"/>
                <w:lang w:val="en-US" w:eastAsia="zh-CN"/>
              </w:rPr>
              <w:t>6</w:t>
            </w:r>
            <w:r>
              <w:rPr>
                <w:rFonts w:hint="eastAsia" w:ascii="宋体" w:hAnsi="宋体"/>
                <w:sz w:val="18"/>
                <w:szCs w:val="18"/>
              </w:rPr>
              <w:t>年</w:t>
            </w:r>
            <w:r>
              <w:rPr>
                <w:rFonts w:hint="eastAsia" w:ascii="宋体" w:hAnsi="宋体"/>
                <w:sz w:val="18"/>
                <w:szCs w:val="18"/>
                <w:lang w:val="en-US" w:eastAsia="zh-CN"/>
              </w:rPr>
              <w:t>1</w:t>
            </w:r>
            <w:r>
              <w:rPr>
                <w:rFonts w:hint="eastAsia" w:ascii="宋体" w:hAnsi="宋体"/>
                <w:sz w:val="18"/>
                <w:szCs w:val="18"/>
              </w:rPr>
              <w:t>月</w:t>
            </w:r>
          </w:p>
        </w:tc>
      </w:tr>
    </w:tbl>
    <w:p>
      <w:pPr>
        <w:adjustRightInd w:val="0"/>
        <w:snapToGrid w:val="0"/>
        <w:spacing w:line="20" w:lineRule="exact"/>
        <w:jc w:val="center"/>
        <w:rPr>
          <w:rFonts w:hint="eastAsia" w:ascii="宋体" w:hAnsi="宋体"/>
          <w:sz w:val="32"/>
          <w:szCs w:val="32"/>
        </w:rPr>
      </w:pPr>
    </w:p>
    <w:tbl>
      <w:tblPr>
        <w:tblStyle w:val="31"/>
        <w:tblW w:w="0" w:type="auto"/>
        <w:jc w:val="center"/>
        <w:tblLayout w:type="fixed"/>
        <w:tblCellMar>
          <w:top w:w="0" w:type="dxa"/>
          <w:left w:w="108" w:type="dxa"/>
          <w:bottom w:w="0" w:type="dxa"/>
          <w:right w:w="108" w:type="dxa"/>
        </w:tblCellMar>
      </w:tblPr>
      <w:tblGrid>
        <w:gridCol w:w="9452"/>
      </w:tblGrid>
      <w:tr>
        <w:tblPrEx>
          <w:tblCellMar>
            <w:top w:w="0" w:type="dxa"/>
            <w:left w:w="108" w:type="dxa"/>
            <w:bottom w:w="0" w:type="dxa"/>
            <w:right w:w="108" w:type="dxa"/>
          </w:tblCellMar>
        </w:tblPrEx>
        <w:trPr>
          <w:jc w:val="center"/>
        </w:trPr>
        <w:tc>
          <w:tcPr>
            <w:tcW w:w="9452" w:type="dxa"/>
            <w:tcBorders>
              <w:top w:val="double" w:color="auto" w:sz="4"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一、企业盈利与资金使用情况</w:t>
            </w:r>
          </w:p>
        </w:tc>
      </w:tr>
      <w:tr>
        <w:tblPrEx>
          <w:tblCellMar>
            <w:top w:w="0" w:type="dxa"/>
            <w:left w:w="108" w:type="dxa"/>
            <w:bottom w:w="0" w:type="dxa"/>
            <w:right w:w="108" w:type="dxa"/>
          </w:tblCellMar>
        </w:tblPrEx>
        <w:trPr>
          <w:jc w:val="center"/>
        </w:trPr>
        <w:tc>
          <w:tcPr>
            <w:tcW w:w="9452" w:type="dxa"/>
            <w:tcBorders>
              <w:top w:val="single" w:color="auto" w:sz="2" w:space="0"/>
              <w:left w:val="double" w:color="auto" w:sz="4" w:space="0"/>
              <w:bottom w:val="nil"/>
              <w:right w:val="double" w:color="auto" w:sz="4" w:space="0"/>
            </w:tcBorders>
            <w:noWrap w:val="0"/>
            <w:vAlign w:val="center"/>
          </w:tcPr>
          <w:p>
            <w:pPr>
              <w:adjustRightInd w:val="0"/>
              <w:snapToGrid w:val="0"/>
              <w:ind w:right="151" w:rightChars="72"/>
              <w:rPr>
                <w:rFonts w:hint="eastAsia" w:ascii="宋体" w:hAnsi="宋体"/>
                <w:bCs/>
                <w:sz w:val="18"/>
                <w:szCs w:val="18"/>
              </w:rPr>
            </w:pPr>
            <w:r>
              <w:rPr>
                <w:rFonts w:hint="eastAsia" w:ascii="宋体" w:hAnsi="宋体"/>
                <w:bCs/>
                <w:sz w:val="18"/>
                <w:szCs w:val="18"/>
              </w:rPr>
              <w:t>21本季度盈利比上季度（如选②，跳过问题22）</w:t>
            </w:r>
          </w:p>
          <w:p>
            <w:pPr>
              <w:adjustRightInd w:val="0"/>
              <w:snapToGrid w:val="0"/>
              <w:ind w:right="151" w:rightChars="72"/>
              <w:rPr>
                <w:rFonts w:hint="eastAsia" w:ascii="宋体" w:hAnsi="宋体"/>
                <w:bCs/>
                <w:sz w:val="18"/>
                <w:szCs w:val="18"/>
              </w:rPr>
            </w:pPr>
            <w:r>
              <w:rPr>
                <w:rFonts w:hint="eastAsia" w:ascii="宋体" w:hAnsi="宋体"/>
                <w:bCs/>
                <w:sz w:val="18"/>
                <w:szCs w:val="18"/>
              </w:rPr>
              <w:t xml:space="preserve">       □①增加（盈利增加、亏损减少、扭亏为盈）   □②持平   □③减少（盈利减少、亏损增加、盈转亏）</w:t>
            </w:r>
          </w:p>
          <w:p>
            <w:pPr>
              <w:adjustRightInd w:val="0"/>
              <w:snapToGrid w:val="0"/>
              <w:ind w:right="151" w:rightChars="72"/>
              <w:rPr>
                <w:rFonts w:hint="eastAsia" w:ascii="宋体" w:hAnsi="宋体"/>
                <w:bCs/>
                <w:sz w:val="18"/>
                <w:szCs w:val="18"/>
              </w:rPr>
            </w:pPr>
            <w:r>
              <w:rPr>
                <w:rFonts w:hint="eastAsia" w:ascii="宋体" w:hAnsi="宋体"/>
                <w:bCs/>
                <w:sz w:val="18"/>
                <w:szCs w:val="18"/>
              </w:rPr>
              <w:t>22本季度利润变动的主要影响因素</w:t>
            </w:r>
          </w:p>
          <w:p>
            <w:pPr>
              <w:adjustRightInd w:val="0"/>
              <w:snapToGrid w:val="0"/>
              <w:ind w:right="151" w:rightChars="72"/>
              <w:rPr>
                <w:rFonts w:hint="eastAsia" w:ascii="宋体" w:hAnsi="宋体"/>
                <w:bCs/>
                <w:sz w:val="18"/>
                <w:szCs w:val="18"/>
              </w:rPr>
            </w:pPr>
            <w:r>
              <w:rPr>
                <w:rFonts w:hint="eastAsia" w:ascii="宋体" w:hAnsi="宋体"/>
                <w:bCs/>
                <w:sz w:val="18"/>
                <w:szCs w:val="18"/>
              </w:rPr>
              <w:t xml:space="preserve">       □①业务量        □②税费       □③成本费用     □④销售或服务价格       □</w:t>
            </w:r>
            <w:r>
              <w:rPr>
                <w:rFonts w:hint="eastAsia" w:ascii="宋体" w:hAnsi="宋体"/>
                <w:sz w:val="18"/>
              </w:rPr>
              <w:t>⑤</w:t>
            </w:r>
            <w:r>
              <w:rPr>
                <w:rFonts w:hint="eastAsia" w:ascii="宋体" w:hAnsi="宋体"/>
                <w:bCs/>
                <w:sz w:val="18"/>
                <w:szCs w:val="18"/>
              </w:rPr>
              <w:t>其他</w:t>
            </w:r>
          </w:p>
        </w:tc>
      </w:tr>
      <w:tr>
        <w:tblPrEx>
          <w:tblCellMar>
            <w:top w:w="0" w:type="dxa"/>
            <w:left w:w="108" w:type="dxa"/>
            <w:bottom w:w="0" w:type="dxa"/>
            <w:right w:w="108" w:type="dxa"/>
          </w:tblCellMar>
        </w:tblPrEx>
        <w:trPr>
          <w:jc w:val="center"/>
        </w:trPr>
        <w:tc>
          <w:tcPr>
            <w:tcW w:w="9452" w:type="dxa"/>
            <w:tcBorders>
              <w:top w:val="nil"/>
              <w:left w:val="double" w:color="auto" w:sz="4" w:space="0"/>
              <w:bottom w:val="single" w:color="auto" w:sz="2" w:space="0"/>
              <w:right w:val="double" w:color="auto" w:sz="4" w:space="0"/>
            </w:tcBorders>
            <w:noWrap w:val="0"/>
            <w:vAlign w:val="center"/>
          </w:tcPr>
          <w:p>
            <w:pPr>
              <w:snapToGrid w:val="0"/>
              <w:rPr>
                <w:rFonts w:hint="eastAsia" w:ascii="宋体" w:hAnsi="宋体"/>
                <w:sz w:val="18"/>
                <w:szCs w:val="18"/>
              </w:rPr>
            </w:pPr>
            <w:r>
              <w:rPr>
                <w:rFonts w:hint="eastAsia" w:ascii="宋体" w:hAnsi="宋体"/>
                <w:sz w:val="18"/>
                <w:szCs w:val="18"/>
              </w:rPr>
              <w:t>2</w:t>
            </w:r>
            <w:r>
              <w:rPr>
                <w:rFonts w:ascii="宋体" w:hAnsi="宋体"/>
                <w:sz w:val="18"/>
                <w:szCs w:val="18"/>
                <w:lang w:val="en"/>
              </w:rPr>
              <w:t>3</w:t>
            </w:r>
            <w:r>
              <w:rPr>
                <w:rFonts w:hint="eastAsia" w:ascii="宋体" w:hAnsi="宋体"/>
                <w:sz w:val="18"/>
                <w:szCs w:val="18"/>
              </w:rPr>
              <w:t>本季度企业生产经营面临的突出问题（可多选，最多选3项）</w:t>
            </w:r>
          </w:p>
          <w:p>
            <w:pPr>
              <w:snapToGrid w:val="0"/>
              <w:rPr>
                <w:rFonts w:hint="eastAsia" w:ascii="宋体" w:hAnsi="宋体"/>
                <w:sz w:val="18"/>
                <w:szCs w:val="18"/>
              </w:rPr>
            </w:pPr>
            <w:r>
              <w:rPr>
                <w:rFonts w:hint="eastAsia" w:ascii="宋体" w:hAnsi="宋体"/>
                <w:sz w:val="18"/>
                <w:szCs w:val="18"/>
              </w:rPr>
              <w:t xml:space="preserve">       □①市场需求不足  □②招工难    □③融资难  □④用工成本上升快  □</w:t>
            </w:r>
            <w:r>
              <w:rPr>
                <w:rFonts w:hint="eastAsia" w:ascii="宋体" w:hAnsi="宋体"/>
                <w:bCs/>
                <w:sz w:val="18"/>
                <w:szCs w:val="18"/>
              </w:rPr>
              <w:t>⑤</w:t>
            </w:r>
            <w:r>
              <w:rPr>
                <w:rFonts w:hint="eastAsia" w:ascii="宋体" w:hAnsi="宋体"/>
                <w:sz w:val="18"/>
                <w:szCs w:val="18"/>
              </w:rPr>
              <w:t>原材料成本高</w:t>
            </w:r>
          </w:p>
          <w:p>
            <w:pPr>
              <w:adjustRightInd w:val="0"/>
              <w:snapToGrid w:val="0"/>
              <w:ind w:right="151" w:rightChars="72"/>
              <w:rPr>
                <w:rFonts w:hint="eastAsia" w:ascii="宋体" w:hAnsi="宋体"/>
                <w:sz w:val="18"/>
                <w:szCs w:val="18"/>
              </w:rPr>
            </w:pPr>
            <w:r>
              <w:rPr>
                <w:rFonts w:hint="eastAsia" w:ascii="宋体" w:hAnsi="宋体"/>
                <w:sz w:val="18"/>
                <w:szCs w:val="18"/>
              </w:rPr>
              <w:t xml:space="preserve">       □⑥市场竞争激烈  □⑦市场萎缩  □⑧税费负担上升    □⑨其他（请注明）________</w:t>
            </w:r>
          </w:p>
          <w:p>
            <w:pPr>
              <w:pStyle w:val="2"/>
              <w:spacing w:after="0" w:line="240" w:lineRule="auto"/>
              <w:ind w:left="0" w:leftChars="0" w:firstLine="0" w:firstLineChars="0"/>
              <w:rPr>
                <w:rFonts w:ascii="宋体" w:hAnsi="宋体" w:cs="宋体"/>
                <w:sz w:val="18"/>
                <w:szCs w:val="21"/>
              </w:rPr>
            </w:pPr>
            <w:r>
              <w:rPr>
                <w:rFonts w:hint="eastAsia" w:ascii="宋体" w:hAnsi="宋体" w:cs="宋体"/>
                <w:sz w:val="18"/>
                <w:szCs w:val="21"/>
              </w:rPr>
              <w:t>24a本季度资金周转情况（如选</w:t>
            </w:r>
            <w:r>
              <w:rPr>
                <w:rFonts w:hint="eastAsia" w:ascii="宋体" w:hAnsi="宋体"/>
                <w:sz w:val="18"/>
                <w:szCs w:val="18"/>
              </w:rPr>
              <w:t>②或③，跳过问题24b</w:t>
            </w:r>
            <w:r>
              <w:rPr>
                <w:rFonts w:hint="eastAsia" w:ascii="宋体" w:hAnsi="宋体" w:cs="宋体"/>
                <w:sz w:val="18"/>
                <w:szCs w:val="21"/>
              </w:rPr>
              <w:t>）</w:t>
            </w:r>
          </w:p>
          <w:p>
            <w:pPr>
              <w:adjustRightInd w:val="0"/>
              <w:snapToGrid w:val="0"/>
              <w:ind w:right="151" w:rightChars="72"/>
              <w:rPr>
                <w:rFonts w:hint="eastAsia" w:ascii="宋体" w:hAnsi="宋体"/>
                <w:bCs/>
                <w:sz w:val="18"/>
                <w:szCs w:val="18"/>
              </w:rPr>
            </w:pPr>
            <w:r>
              <w:rPr>
                <w:rFonts w:hint="eastAsia" w:ascii="宋体" w:hAnsi="宋体" w:cs="宋体"/>
                <w:sz w:val="18"/>
                <w:szCs w:val="21"/>
              </w:rPr>
              <w:t xml:space="preserve">       </w:t>
            </w:r>
            <w:r>
              <w:rPr>
                <w:rFonts w:hint="eastAsia" w:ascii="宋体" w:hAnsi="宋体"/>
                <w:bCs/>
                <w:sz w:val="18"/>
                <w:szCs w:val="18"/>
              </w:rPr>
              <w:t>□①</w:t>
            </w:r>
            <w:r>
              <w:rPr>
                <w:rFonts w:hint="eastAsia" w:ascii="宋体" w:hAnsi="宋体" w:cs="宋体"/>
                <w:sz w:val="18"/>
                <w:szCs w:val="21"/>
              </w:rPr>
              <w:t xml:space="preserve">资金紧张               </w:t>
            </w:r>
            <w:r>
              <w:rPr>
                <w:rFonts w:hint="eastAsia" w:ascii="宋体" w:hAnsi="宋体"/>
                <w:bCs/>
                <w:sz w:val="18"/>
                <w:szCs w:val="18"/>
              </w:rPr>
              <w:t>□</w:t>
            </w:r>
            <w:r>
              <w:rPr>
                <w:rFonts w:hint="eastAsia" w:ascii="宋体" w:hAnsi="宋体"/>
                <w:sz w:val="18"/>
                <w:szCs w:val="18"/>
              </w:rPr>
              <w:t>②</w:t>
            </w:r>
            <w:r>
              <w:rPr>
                <w:rFonts w:hint="eastAsia" w:ascii="宋体" w:hAnsi="宋体" w:cs="宋体"/>
                <w:sz w:val="18"/>
                <w:szCs w:val="21"/>
              </w:rPr>
              <w:t xml:space="preserve">基本正常              </w:t>
            </w:r>
            <w:r>
              <w:rPr>
                <w:rFonts w:hint="eastAsia" w:ascii="宋体" w:hAnsi="宋体"/>
                <w:sz w:val="18"/>
                <w:szCs w:val="18"/>
              </w:rPr>
              <w:t>□③</w:t>
            </w:r>
            <w:r>
              <w:rPr>
                <w:rFonts w:hint="eastAsia" w:ascii="宋体" w:hAnsi="宋体" w:cs="宋体"/>
                <w:sz w:val="18"/>
                <w:szCs w:val="21"/>
              </w:rPr>
              <w:t>资金充裕</w:t>
            </w:r>
          </w:p>
          <w:p>
            <w:pPr>
              <w:adjustRightInd w:val="0"/>
              <w:snapToGrid w:val="0"/>
              <w:ind w:right="151" w:rightChars="72"/>
              <w:rPr>
                <w:rFonts w:ascii="宋体" w:hAnsi="宋体"/>
                <w:bCs/>
                <w:sz w:val="18"/>
                <w:szCs w:val="18"/>
              </w:rPr>
            </w:pPr>
            <w:r>
              <w:rPr>
                <w:rFonts w:hint="eastAsia" w:ascii="宋体" w:hAnsi="宋体"/>
                <w:bCs/>
                <w:sz w:val="18"/>
                <w:szCs w:val="18"/>
              </w:rPr>
              <w:t>2</w:t>
            </w:r>
            <w:r>
              <w:rPr>
                <w:rFonts w:ascii="宋体" w:hAnsi="宋体"/>
                <w:bCs/>
                <w:sz w:val="18"/>
                <w:szCs w:val="18"/>
                <w:lang w:val="en"/>
              </w:rPr>
              <w:t>4</w:t>
            </w:r>
            <w:r>
              <w:rPr>
                <w:rFonts w:hint="eastAsia" w:ascii="宋体" w:hAnsi="宋体"/>
                <w:bCs/>
                <w:sz w:val="18"/>
                <w:szCs w:val="18"/>
              </w:rPr>
              <w:t>b本季度</w:t>
            </w:r>
            <w:r>
              <w:rPr>
                <w:rFonts w:ascii="宋体" w:hAnsi="宋体"/>
                <w:bCs/>
                <w:sz w:val="18"/>
                <w:szCs w:val="18"/>
              </w:rPr>
              <w:t>资金紧张</w:t>
            </w:r>
            <w:r>
              <w:rPr>
                <w:rFonts w:hint="eastAsia" w:ascii="宋体" w:hAnsi="宋体"/>
                <w:bCs/>
                <w:sz w:val="18"/>
                <w:szCs w:val="18"/>
              </w:rPr>
              <w:t>的主要原因 (可多选，</w:t>
            </w:r>
            <w:r>
              <w:rPr>
                <w:rFonts w:ascii="宋体" w:hAnsi="宋体"/>
                <w:bCs/>
                <w:sz w:val="18"/>
                <w:szCs w:val="18"/>
              </w:rPr>
              <w:t>最多选</w:t>
            </w:r>
            <w:r>
              <w:rPr>
                <w:rFonts w:hint="eastAsia" w:ascii="宋体" w:hAnsi="宋体"/>
                <w:bCs/>
                <w:sz w:val="18"/>
                <w:szCs w:val="18"/>
              </w:rPr>
              <w:t xml:space="preserve">3项) </w:t>
            </w:r>
          </w:p>
          <w:p>
            <w:pPr>
              <w:adjustRightInd w:val="0"/>
              <w:snapToGrid w:val="0"/>
              <w:ind w:right="151" w:rightChars="72" w:firstLine="630" w:firstLineChars="350"/>
              <w:rPr>
                <w:rFonts w:hint="eastAsia" w:ascii="宋体" w:hAnsi="宋体"/>
                <w:bCs/>
                <w:sz w:val="18"/>
                <w:szCs w:val="18"/>
              </w:rPr>
            </w:pPr>
            <w:r>
              <w:rPr>
                <w:rFonts w:hint="eastAsia" w:ascii="宋体" w:hAnsi="宋体"/>
                <w:bCs/>
                <w:sz w:val="18"/>
                <w:szCs w:val="18"/>
              </w:rPr>
              <w:t>□①融资难、融资贵        □②存货资金占用较多       □③应收账款回笼慢</w:t>
            </w:r>
          </w:p>
          <w:p>
            <w:pPr>
              <w:adjustRightInd w:val="0"/>
              <w:snapToGrid w:val="0"/>
              <w:ind w:right="151" w:rightChars="72" w:firstLine="630" w:firstLineChars="350"/>
              <w:rPr>
                <w:rFonts w:ascii="宋体" w:hAnsi="宋体"/>
                <w:bCs/>
                <w:sz w:val="18"/>
                <w:szCs w:val="18"/>
              </w:rPr>
            </w:pPr>
            <w:r>
              <w:rPr>
                <w:rFonts w:hint="eastAsia" w:ascii="宋体" w:hAnsi="宋体"/>
                <w:bCs/>
                <w:sz w:val="18"/>
                <w:szCs w:val="18"/>
              </w:rPr>
              <w:t xml:space="preserve">□④工资等刚性支出较多    □⑤扩大再生产、基建投资   □⑥投资金融性资产       </w:t>
            </w:r>
          </w:p>
          <w:p>
            <w:pPr>
              <w:adjustRightInd w:val="0"/>
              <w:snapToGrid w:val="0"/>
              <w:ind w:right="151" w:rightChars="72" w:firstLine="630" w:firstLineChars="350"/>
              <w:rPr>
                <w:rFonts w:hint="eastAsia" w:ascii="宋体" w:hAnsi="宋体"/>
                <w:bCs/>
                <w:sz w:val="18"/>
                <w:szCs w:val="18"/>
                <w:u w:val="single"/>
              </w:rPr>
            </w:pPr>
            <w:r>
              <w:rPr>
                <w:rFonts w:hint="eastAsia" w:ascii="宋体" w:hAnsi="宋体"/>
                <w:bCs/>
                <w:sz w:val="18"/>
                <w:szCs w:val="18"/>
              </w:rPr>
              <w:t xml:space="preserve">□⑦其他(请注明) </w:t>
            </w:r>
            <w:r>
              <w:rPr>
                <w:rFonts w:hint="eastAsia" w:ascii="宋体" w:hAnsi="宋体"/>
                <w:bCs/>
                <w:sz w:val="18"/>
                <w:szCs w:val="18"/>
                <w:u w:val="single"/>
              </w:rPr>
              <w:t xml:space="preserve">     </w:t>
            </w:r>
          </w:p>
          <w:p>
            <w:pPr>
              <w:snapToGrid w:val="0"/>
              <w:rPr>
                <w:rFonts w:hint="eastAsia" w:ascii="宋体" w:hAnsi="宋体"/>
                <w:sz w:val="18"/>
                <w:szCs w:val="18"/>
              </w:rPr>
            </w:pPr>
            <w:r>
              <w:rPr>
                <w:rFonts w:hint="eastAsia" w:ascii="宋体" w:hAnsi="宋体"/>
                <w:sz w:val="18"/>
                <w:szCs w:val="18"/>
              </w:rPr>
              <w:t>25下季度固定资产投资计划比本季度</w:t>
            </w:r>
          </w:p>
          <w:p>
            <w:pPr>
              <w:snapToGrid w:val="0"/>
              <w:ind w:firstLine="540" w:firstLineChars="300"/>
              <w:rPr>
                <w:rFonts w:hint="eastAsia" w:ascii="宋体" w:hAnsi="宋体"/>
                <w:sz w:val="18"/>
                <w:szCs w:val="18"/>
              </w:rPr>
            </w:pPr>
            <w:r>
              <w:rPr>
                <w:rFonts w:hint="eastAsia" w:ascii="宋体" w:hAnsi="宋体"/>
                <w:sz w:val="18"/>
                <w:szCs w:val="18"/>
              </w:rPr>
              <w:t xml:space="preserve"> □①增加                   □②持平                  □③减少  </w:t>
            </w:r>
          </w:p>
          <w:p>
            <w:pPr>
              <w:snapToGrid w:val="0"/>
              <w:rPr>
                <w:rFonts w:hint="eastAsia" w:ascii="宋体" w:hAnsi="宋体"/>
                <w:sz w:val="18"/>
                <w:szCs w:val="18"/>
              </w:rPr>
            </w:pPr>
            <w:r>
              <w:rPr>
                <w:rFonts w:hint="eastAsia" w:ascii="宋体" w:hAnsi="宋体"/>
                <w:sz w:val="18"/>
                <w:szCs w:val="18"/>
              </w:rPr>
              <w:t>26本季度接到的业务预订量比上季度</w:t>
            </w:r>
          </w:p>
          <w:p>
            <w:pPr>
              <w:snapToGrid w:val="0"/>
              <w:ind w:firstLine="630" w:firstLineChars="350"/>
              <w:rPr>
                <w:rFonts w:hint="eastAsia" w:ascii="宋体" w:hAnsi="宋体"/>
                <w:sz w:val="18"/>
                <w:szCs w:val="18"/>
              </w:rPr>
            </w:pPr>
            <w:r>
              <w:rPr>
                <w:rFonts w:hint="eastAsia" w:ascii="宋体" w:hAnsi="宋体"/>
                <w:sz w:val="18"/>
                <w:szCs w:val="18"/>
              </w:rPr>
              <w:t xml:space="preserve">□①增加                   □②持平                  □③减少  </w:t>
            </w:r>
          </w:p>
        </w:tc>
      </w:tr>
      <w:tr>
        <w:trPr>
          <w:jc w:val="center"/>
        </w:trPr>
        <w:tc>
          <w:tcPr>
            <w:tcW w:w="9452" w:type="dxa"/>
            <w:tcBorders>
              <w:top w:val="single" w:color="auto" w:sz="2"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二、企业用工情况</w:t>
            </w:r>
          </w:p>
        </w:tc>
      </w:tr>
      <w:tr>
        <w:tblPrEx>
          <w:tblCellMar>
            <w:top w:w="0" w:type="dxa"/>
            <w:left w:w="108" w:type="dxa"/>
            <w:bottom w:w="0" w:type="dxa"/>
            <w:right w:w="108" w:type="dxa"/>
          </w:tblCellMar>
        </w:tblPrEx>
        <w:trPr>
          <w:trHeight w:val="6071" w:hRule="atLeast"/>
          <w:jc w:val="center"/>
        </w:trPr>
        <w:tc>
          <w:tcPr>
            <w:tcW w:w="9452" w:type="dxa"/>
            <w:tcBorders>
              <w:top w:val="single" w:color="auto" w:sz="2" w:space="0"/>
              <w:left w:val="double" w:color="auto" w:sz="4" w:space="0"/>
              <w:bottom w:val="dotted" w:color="auto" w:sz="4" w:space="0"/>
              <w:right w:val="double" w:color="auto" w:sz="4" w:space="0"/>
            </w:tcBorders>
            <w:noWrap w:val="0"/>
            <w:vAlign w:val="center"/>
          </w:tcPr>
          <w:p>
            <w:pPr>
              <w:snapToGrid w:val="0"/>
              <w:rPr>
                <w:rFonts w:hint="eastAsia" w:ascii="宋体" w:hAnsi="宋体"/>
                <w:bCs/>
                <w:sz w:val="18"/>
                <w:szCs w:val="18"/>
              </w:rPr>
            </w:pPr>
            <w:r>
              <w:rPr>
                <w:rFonts w:hint="eastAsia" w:ascii="宋体" w:hAnsi="宋体"/>
                <w:bCs/>
                <w:sz w:val="18"/>
                <w:szCs w:val="18"/>
              </w:rPr>
              <w:t>31本季度用工需求比上季度</w:t>
            </w:r>
          </w:p>
          <w:p>
            <w:pPr>
              <w:snapToGrid w:val="0"/>
              <w:ind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上升              □</w:t>
            </w:r>
            <w:r>
              <w:rPr>
                <w:rFonts w:hint="eastAsia" w:ascii="宋体" w:hAnsi="宋体"/>
                <w:sz w:val="18"/>
                <w:szCs w:val="18"/>
              </w:rPr>
              <w:t>②</w:t>
            </w:r>
            <w:r>
              <w:rPr>
                <w:rFonts w:hint="eastAsia" w:ascii="宋体" w:hAnsi="宋体"/>
                <w:bCs/>
                <w:sz w:val="18"/>
                <w:szCs w:val="18"/>
              </w:rPr>
              <w:t>基本持平               □</w:t>
            </w:r>
            <w:r>
              <w:rPr>
                <w:rFonts w:hint="eastAsia" w:ascii="宋体" w:hAnsi="宋体"/>
                <w:sz w:val="18"/>
                <w:szCs w:val="18"/>
              </w:rPr>
              <w:t>③</w:t>
            </w:r>
            <w:r>
              <w:rPr>
                <w:rFonts w:hint="eastAsia" w:ascii="宋体" w:hAnsi="宋体"/>
                <w:bCs/>
                <w:sz w:val="18"/>
                <w:szCs w:val="18"/>
              </w:rPr>
              <w:t>下降</w:t>
            </w:r>
          </w:p>
          <w:p>
            <w:pPr>
              <w:snapToGrid w:val="0"/>
              <w:ind w:left="990" w:hanging="990" w:hangingChars="550"/>
              <w:rPr>
                <w:rFonts w:hint="eastAsia" w:ascii="宋体" w:hAnsi="宋体"/>
                <w:bCs/>
                <w:sz w:val="18"/>
                <w:szCs w:val="18"/>
              </w:rPr>
            </w:pPr>
            <w:r>
              <w:rPr>
                <w:rFonts w:hint="eastAsia" w:ascii="宋体" w:hAnsi="宋体"/>
                <w:bCs/>
                <w:sz w:val="18"/>
                <w:szCs w:val="18"/>
              </w:rPr>
              <w:t>32您认为目前是否存在‘招工难’问题（若选①，跳过问题33）</w:t>
            </w:r>
          </w:p>
          <w:p>
            <w:pPr>
              <w:snapToGrid w:val="0"/>
              <w:ind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不存在       □</w:t>
            </w:r>
            <w:r>
              <w:rPr>
                <w:rFonts w:hint="eastAsia" w:ascii="宋体" w:hAnsi="宋体"/>
                <w:sz w:val="18"/>
                <w:szCs w:val="18"/>
              </w:rPr>
              <w:t>②存在，但不严重</w:t>
            </w:r>
            <w:r>
              <w:rPr>
                <w:rFonts w:hint="eastAsia" w:ascii="宋体" w:hAnsi="宋体"/>
                <w:bCs/>
                <w:sz w:val="18"/>
                <w:szCs w:val="18"/>
              </w:rPr>
              <w:t xml:space="preserve">       □</w:t>
            </w:r>
            <w:r>
              <w:rPr>
                <w:rFonts w:hint="eastAsia" w:ascii="宋体" w:hAnsi="宋体"/>
                <w:sz w:val="18"/>
                <w:szCs w:val="18"/>
              </w:rPr>
              <w:t>③存在，比较严重</w:t>
            </w:r>
            <w:r>
              <w:rPr>
                <w:rFonts w:hint="eastAsia" w:ascii="宋体" w:hAnsi="宋体"/>
                <w:bCs/>
                <w:sz w:val="18"/>
                <w:szCs w:val="18"/>
              </w:rPr>
              <w:t xml:space="preserve">       □</w:t>
            </w:r>
            <w:r>
              <w:rPr>
                <w:rFonts w:hint="eastAsia" w:ascii="宋体" w:hAnsi="宋体"/>
                <w:sz w:val="18"/>
                <w:szCs w:val="18"/>
              </w:rPr>
              <w:t>④存在，非常严重</w:t>
            </w:r>
          </w:p>
          <w:p>
            <w:pPr>
              <w:snapToGrid w:val="0"/>
              <w:ind w:left="990" w:hanging="990" w:hangingChars="550"/>
              <w:rPr>
                <w:rFonts w:hint="eastAsia" w:ascii="宋体" w:hAnsi="宋体"/>
                <w:bCs/>
                <w:sz w:val="18"/>
                <w:szCs w:val="18"/>
              </w:rPr>
            </w:pPr>
            <w:r>
              <w:rPr>
                <w:rFonts w:hint="eastAsia" w:ascii="宋体" w:hAnsi="宋体"/>
                <w:bCs/>
                <w:sz w:val="18"/>
                <w:szCs w:val="18"/>
              </w:rPr>
              <w:t>33您认为“招工难”的主要原因是（最多可选3项）</w:t>
            </w:r>
          </w:p>
          <w:p>
            <w:pPr>
              <w:snapToGrid w:val="0"/>
              <w:ind w:firstLine="630" w:firstLineChars="3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求职者对薪酬期望过高   □</w:t>
            </w:r>
            <w:r>
              <w:rPr>
                <w:rFonts w:hint="eastAsia" w:ascii="宋体" w:hAnsi="宋体"/>
                <w:sz w:val="18"/>
                <w:szCs w:val="18"/>
              </w:rPr>
              <w:t>②</w:t>
            </w:r>
            <w:r>
              <w:rPr>
                <w:rFonts w:hint="eastAsia" w:ascii="宋体" w:hAnsi="宋体"/>
                <w:bCs/>
                <w:sz w:val="18"/>
                <w:szCs w:val="18"/>
              </w:rPr>
              <w:t>符合岗位要求的应聘者减少    □</w:t>
            </w:r>
            <w:r>
              <w:rPr>
                <w:rFonts w:hint="eastAsia" w:ascii="宋体" w:hAnsi="宋体"/>
                <w:sz w:val="18"/>
                <w:szCs w:val="18"/>
              </w:rPr>
              <w:t>③</w:t>
            </w:r>
            <w:r>
              <w:rPr>
                <w:rFonts w:hint="eastAsia" w:ascii="宋体" w:hAnsi="宋体"/>
                <w:bCs/>
                <w:sz w:val="18"/>
                <w:szCs w:val="18"/>
              </w:rPr>
              <w:t>总体上求职者人数减少</w:t>
            </w:r>
          </w:p>
          <w:p>
            <w:pPr>
              <w:snapToGrid w:val="0"/>
              <w:ind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④</w:t>
            </w:r>
            <w:r>
              <w:rPr>
                <w:rFonts w:hint="eastAsia" w:ascii="宋体" w:hAnsi="宋体"/>
                <w:bCs/>
                <w:sz w:val="18"/>
                <w:szCs w:val="18"/>
              </w:rPr>
              <w:t>招聘渠道不畅           □</w:t>
            </w:r>
            <w:r>
              <w:rPr>
                <w:rFonts w:hint="eastAsia" w:ascii="宋体" w:hAnsi="宋体"/>
                <w:sz w:val="18"/>
                <w:szCs w:val="18"/>
              </w:rPr>
              <w:t xml:space="preserve">⑤ </w:t>
            </w:r>
            <w:r>
              <w:rPr>
                <w:rFonts w:hint="eastAsia" w:ascii="宋体" w:hAnsi="宋体"/>
                <w:bCs/>
                <w:sz w:val="18"/>
                <w:szCs w:val="18"/>
              </w:rPr>
              <w:t>其他（请注明）</w:t>
            </w:r>
            <w:r>
              <w:rPr>
                <w:rFonts w:hint="eastAsia" w:ascii="宋体" w:hAnsi="宋体"/>
                <w:bCs/>
                <w:sz w:val="18"/>
                <w:szCs w:val="18"/>
                <w:u w:val="single"/>
              </w:rPr>
              <w:t xml:space="preserve">            </w:t>
            </w:r>
          </w:p>
          <w:p>
            <w:pPr>
              <w:snapToGrid w:val="0"/>
              <w:ind w:left="990" w:hanging="990" w:hangingChars="550"/>
              <w:rPr>
                <w:rFonts w:hint="eastAsia" w:ascii="宋体" w:hAnsi="宋体"/>
                <w:bCs/>
                <w:sz w:val="18"/>
                <w:szCs w:val="18"/>
              </w:rPr>
            </w:pPr>
            <w:r>
              <w:rPr>
                <w:rFonts w:hint="eastAsia" w:ascii="宋体" w:hAnsi="宋体"/>
                <w:bCs/>
                <w:sz w:val="18"/>
                <w:szCs w:val="18"/>
              </w:rPr>
              <w:t>34下季度用工计划比本季度</w:t>
            </w:r>
          </w:p>
          <w:p>
            <w:pPr>
              <w:snapToGrid w:val="0"/>
              <w:ind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增加                   □</w:t>
            </w:r>
            <w:r>
              <w:rPr>
                <w:rFonts w:hint="eastAsia" w:ascii="宋体" w:hAnsi="宋体"/>
                <w:sz w:val="18"/>
                <w:szCs w:val="18"/>
              </w:rPr>
              <w:t>②</w:t>
            </w:r>
            <w:r>
              <w:rPr>
                <w:rFonts w:hint="eastAsia" w:ascii="宋体" w:hAnsi="宋体"/>
                <w:bCs/>
                <w:sz w:val="18"/>
                <w:szCs w:val="18"/>
              </w:rPr>
              <w:t>基本持平               □</w:t>
            </w:r>
            <w:r>
              <w:rPr>
                <w:rFonts w:hint="eastAsia" w:ascii="宋体" w:hAnsi="宋体"/>
                <w:sz w:val="18"/>
                <w:szCs w:val="18"/>
              </w:rPr>
              <w:t>③</w:t>
            </w:r>
            <w:r>
              <w:rPr>
                <w:rFonts w:hint="eastAsia" w:ascii="宋体" w:hAnsi="宋体"/>
                <w:bCs/>
                <w:sz w:val="18"/>
                <w:szCs w:val="18"/>
              </w:rPr>
              <w:t>减少</w:t>
            </w:r>
          </w:p>
          <w:p>
            <w:pPr>
              <w:snapToGrid w:val="0"/>
              <w:ind w:left="990" w:hanging="990" w:hangingChars="550"/>
              <w:rPr>
                <w:rFonts w:hint="eastAsia" w:ascii="宋体" w:hAnsi="宋体"/>
                <w:bCs/>
                <w:sz w:val="18"/>
                <w:szCs w:val="18"/>
              </w:rPr>
            </w:pPr>
            <w:r>
              <w:rPr>
                <w:rFonts w:hint="eastAsia" w:ascii="宋体" w:hAnsi="宋体"/>
                <w:bCs/>
                <w:sz w:val="18"/>
                <w:szCs w:val="18"/>
              </w:rPr>
              <w:t>35本企业哪类人员招工难最突出</w:t>
            </w:r>
          </w:p>
          <w:p>
            <w:pPr>
              <w:snapToGrid w:val="0"/>
              <w:ind w:firstLine="630" w:firstLineChars="3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经营管理人员           □</w:t>
            </w:r>
            <w:r>
              <w:rPr>
                <w:rFonts w:hint="eastAsia" w:ascii="宋体" w:hAnsi="宋体"/>
                <w:sz w:val="18"/>
                <w:szCs w:val="18"/>
              </w:rPr>
              <w:t>②</w:t>
            </w:r>
            <w:r>
              <w:rPr>
                <w:rFonts w:hint="eastAsia" w:ascii="宋体" w:hAnsi="宋体"/>
                <w:bCs/>
                <w:sz w:val="18"/>
                <w:szCs w:val="18"/>
              </w:rPr>
              <w:t>科研人员               □</w:t>
            </w:r>
            <w:r>
              <w:rPr>
                <w:rFonts w:hint="eastAsia" w:ascii="宋体" w:hAnsi="宋体"/>
                <w:sz w:val="18"/>
                <w:szCs w:val="18"/>
              </w:rPr>
              <w:t>③</w:t>
            </w:r>
            <w:r>
              <w:rPr>
                <w:rFonts w:hint="eastAsia" w:ascii="宋体" w:hAnsi="宋体"/>
                <w:bCs/>
                <w:sz w:val="18"/>
                <w:szCs w:val="18"/>
              </w:rPr>
              <w:t>普通技工（或销售人员、普通服务人员）</w:t>
            </w:r>
          </w:p>
          <w:p>
            <w:pPr>
              <w:snapToGrid w:val="0"/>
              <w:ind w:firstLine="630" w:firstLineChars="3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④</w:t>
            </w:r>
            <w:r>
              <w:rPr>
                <w:rFonts w:hint="eastAsia" w:ascii="宋体" w:hAnsi="宋体"/>
                <w:bCs/>
                <w:sz w:val="18"/>
                <w:szCs w:val="18"/>
              </w:rPr>
              <w:t>高级技工               □</w:t>
            </w:r>
            <w:r>
              <w:rPr>
                <w:rFonts w:hint="eastAsia" w:ascii="宋体" w:hAnsi="宋体"/>
                <w:sz w:val="18"/>
                <w:szCs w:val="18"/>
              </w:rPr>
              <w:t>⑤</w:t>
            </w:r>
            <w:r>
              <w:rPr>
                <w:rFonts w:hint="eastAsia" w:ascii="宋体" w:hAnsi="宋体"/>
                <w:bCs/>
                <w:sz w:val="18"/>
                <w:szCs w:val="18"/>
              </w:rPr>
              <w:t>其他人员（请注明）</w:t>
            </w:r>
            <w:r>
              <w:rPr>
                <w:rFonts w:hint="eastAsia" w:ascii="宋体" w:hAnsi="宋体"/>
                <w:bCs/>
                <w:sz w:val="18"/>
                <w:szCs w:val="18"/>
                <w:u w:val="single"/>
              </w:rPr>
              <w:t xml:space="preserve">            </w:t>
            </w:r>
            <w:r>
              <w:rPr>
                <w:rFonts w:hint="eastAsia" w:ascii="宋体" w:hAnsi="宋体"/>
                <w:bCs/>
                <w:sz w:val="18"/>
                <w:szCs w:val="18"/>
              </w:rPr>
              <w:t xml:space="preserve">     □</w:t>
            </w:r>
            <w:r>
              <w:rPr>
                <w:rFonts w:hint="eastAsia" w:ascii="宋体" w:hAnsi="宋体"/>
                <w:sz w:val="18"/>
                <w:szCs w:val="18"/>
              </w:rPr>
              <w:t>⑥</w:t>
            </w:r>
            <w:r>
              <w:rPr>
                <w:rFonts w:hint="eastAsia" w:ascii="宋体" w:hAnsi="宋体"/>
                <w:bCs/>
                <w:sz w:val="18"/>
                <w:szCs w:val="18"/>
              </w:rPr>
              <w:t>各种人员都不缺</w:t>
            </w:r>
          </w:p>
          <w:p>
            <w:pPr>
              <w:snapToGrid w:val="0"/>
              <w:ind w:left="990" w:hanging="990" w:hangingChars="550"/>
              <w:rPr>
                <w:rFonts w:hint="eastAsia" w:ascii="宋体" w:hAnsi="宋体"/>
                <w:bCs/>
                <w:sz w:val="18"/>
                <w:szCs w:val="18"/>
              </w:rPr>
            </w:pPr>
            <w:r>
              <w:rPr>
                <w:rFonts w:hint="eastAsia" w:ascii="宋体" w:hAnsi="宋体"/>
                <w:bCs/>
                <w:sz w:val="18"/>
                <w:szCs w:val="18"/>
              </w:rPr>
              <w:t>36</w:t>
            </w:r>
            <w:r>
              <w:rPr>
                <w:rFonts w:hint="eastAsia"/>
                <w:sz w:val="18"/>
                <w:szCs w:val="18"/>
              </w:rPr>
              <w:t>与</w:t>
            </w:r>
            <w:r>
              <w:rPr>
                <w:sz w:val="18"/>
                <w:szCs w:val="18"/>
              </w:rPr>
              <w:t>上季度相比，报告期企业用工人数变化及原因</w:t>
            </w:r>
            <w:r>
              <w:rPr>
                <w:rFonts w:hint="eastAsia" w:ascii="宋体" w:hAnsi="宋体"/>
                <w:bCs/>
                <w:sz w:val="18"/>
                <w:szCs w:val="18"/>
              </w:rPr>
              <w:t xml:space="preserve"> </w:t>
            </w:r>
          </w:p>
          <w:p>
            <w:pPr>
              <w:snapToGrid w:val="0"/>
              <w:spacing w:line="240" w:lineRule="exact"/>
              <w:ind w:firstLine="180" w:firstLineChars="100"/>
              <w:rPr>
                <w:rFonts w:hint="eastAsia" w:ascii="宋体" w:hAnsi="宋体"/>
                <w:sz w:val="18"/>
                <w:szCs w:val="18"/>
              </w:rPr>
            </w:pPr>
            <w:r>
              <w:rPr>
                <w:rFonts w:hint="eastAsia" w:ascii="宋体" w:hAnsi="宋体"/>
                <w:sz w:val="18"/>
                <w:szCs w:val="18"/>
              </w:rPr>
              <w:t>A增加（请列出企业用工增加的前两位原因：）第一位原因   □     第二位原因（选填） □</w:t>
            </w:r>
          </w:p>
          <w:p>
            <w:pPr>
              <w:snapToGrid w:val="0"/>
              <w:spacing w:line="240" w:lineRule="exact"/>
              <w:rPr>
                <w:rFonts w:hint="eastAsia" w:ascii="宋体" w:hAnsi="宋体"/>
                <w:sz w:val="18"/>
                <w:szCs w:val="18"/>
              </w:rPr>
            </w:pPr>
            <w:r>
              <w:rPr>
                <w:rFonts w:hint="eastAsia" w:ascii="宋体" w:hAnsi="宋体"/>
                <w:sz w:val="18"/>
              </w:rPr>
              <w:t>①</w:t>
            </w:r>
            <w:r>
              <w:rPr>
                <w:rFonts w:hint="eastAsia" w:ascii="宋体" w:hAnsi="宋体"/>
                <w:sz w:val="18"/>
                <w:szCs w:val="18"/>
              </w:rPr>
              <w:t xml:space="preserve">企业发展向好，生产订单或者业务增加      </w:t>
            </w:r>
            <w:r>
              <w:rPr>
                <w:rFonts w:hint="eastAsia" w:ascii="宋体" w:hAnsi="宋体"/>
                <w:bCs/>
                <w:sz w:val="18"/>
                <w:szCs w:val="18"/>
              </w:rPr>
              <w:t>②</w:t>
            </w:r>
            <w:r>
              <w:rPr>
                <w:rFonts w:hint="eastAsia" w:ascii="宋体" w:hAnsi="宋体"/>
                <w:sz w:val="18"/>
                <w:szCs w:val="18"/>
              </w:rPr>
              <w:t xml:space="preserve">临时性或者季节性的用工需要              </w:t>
            </w:r>
          </w:p>
          <w:p>
            <w:pPr>
              <w:snapToGrid w:val="0"/>
              <w:spacing w:line="240" w:lineRule="exact"/>
              <w:rPr>
                <w:rFonts w:hint="eastAsia" w:ascii="宋体" w:hAnsi="宋体"/>
                <w:sz w:val="18"/>
                <w:szCs w:val="18"/>
              </w:rPr>
            </w:pPr>
            <w:r>
              <w:rPr>
                <w:rFonts w:hint="eastAsia" w:ascii="宋体" w:hAnsi="宋体"/>
                <w:bCs/>
                <w:sz w:val="18"/>
                <w:szCs w:val="18"/>
              </w:rPr>
              <w:t>③</w:t>
            </w:r>
            <w:r>
              <w:rPr>
                <w:rFonts w:hint="eastAsia" w:ascii="宋体" w:hAnsi="宋体"/>
                <w:sz w:val="18"/>
                <w:szCs w:val="18"/>
              </w:rPr>
              <w:t xml:space="preserve">为应对人员流失，提前储备                </w:t>
            </w:r>
            <w:r>
              <w:rPr>
                <w:rFonts w:hint="eastAsia" w:ascii="宋体" w:hAnsi="宋体"/>
                <w:bCs/>
                <w:sz w:val="18"/>
                <w:szCs w:val="18"/>
              </w:rPr>
              <w:t>④</w:t>
            </w:r>
            <w:r>
              <w:rPr>
                <w:rFonts w:hint="eastAsia" w:ascii="宋体" w:hAnsi="宋体"/>
                <w:sz w:val="18"/>
                <w:szCs w:val="18"/>
              </w:rPr>
              <w:t>用工方式调整（请注明具体情况）</w:t>
            </w:r>
            <w:r>
              <w:rPr>
                <w:rFonts w:hint="eastAsia" w:ascii="宋体" w:hAnsi="宋体"/>
                <w:sz w:val="18"/>
                <w:szCs w:val="18"/>
                <w:u w:val="single"/>
              </w:rPr>
              <w:t xml:space="preserve">        </w:t>
            </w:r>
            <w:r>
              <w:rPr>
                <w:rFonts w:hint="eastAsia" w:ascii="宋体" w:hAnsi="宋体"/>
                <w:sz w:val="18"/>
                <w:szCs w:val="18"/>
              </w:rPr>
              <w:t xml:space="preserve">  </w:t>
            </w:r>
          </w:p>
          <w:p>
            <w:pPr>
              <w:snapToGrid w:val="0"/>
              <w:spacing w:line="240" w:lineRule="exact"/>
              <w:rPr>
                <w:rFonts w:hint="eastAsia" w:ascii="宋体" w:hAnsi="宋体"/>
                <w:sz w:val="18"/>
                <w:szCs w:val="18"/>
              </w:rPr>
            </w:pPr>
            <w:r>
              <w:rPr>
                <w:rFonts w:hint="eastAsia" w:ascii="宋体" w:hAnsi="宋体"/>
                <w:sz w:val="18"/>
              </w:rPr>
              <w:t>⑤</w:t>
            </w:r>
            <w:r>
              <w:rPr>
                <w:rFonts w:hint="eastAsia" w:ascii="宋体" w:hAnsi="宋体"/>
                <w:sz w:val="18"/>
                <w:szCs w:val="18"/>
              </w:rPr>
              <w:t>其他（请注明）</w:t>
            </w:r>
            <w:r>
              <w:rPr>
                <w:rFonts w:hint="eastAsia" w:ascii="宋体" w:hAnsi="宋体"/>
                <w:sz w:val="18"/>
                <w:szCs w:val="18"/>
                <w:u w:val="single"/>
              </w:rPr>
              <w:t xml:space="preserve">           </w:t>
            </w:r>
            <w:r>
              <w:rPr>
                <w:rFonts w:hint="eastAsia" w:ascii="宋体" w:hAnsi="宋体"/>
                <w:sz w:val="18"/>
                <w:szCs w:val="18"/>
              </w:rPr>
              <w:t xml:space="preserve"> </w:t>
            </w:r>
          </w:p>
          <w:p>
            <w:pPr>
              <w:snapToGrid w:val="0"/>
              <w:spacing w:line="240" w:lineRule="exact"/>
              <w:rPr>
                <w:rFonts w:hint="eastAsia" w:ascii="宋体" w:hAnsi="宋体"/>
                <w:sz w:val="18"/>
                <w:szCs w:val="18"/>
              </w:rPr>
            </w:pPr>
            <w:r>
              <w:rPr>
                <w:rFonts w:hint="eastAsia" w:ascii="宋体" w:hAnsi="宋体"/>
                <w:sz w:val="18"/>
                <w:szCs w:val="18"/>
              </w:rPr>
              <w:t xml:space="preserve">  B减少（请列出企业用工减少的前两位原因）：第一位原因   □     第二位原因（选填） □</w:t>
            </w:r>
          </w:p>
          <w:p>
            <w:pPr>
              <w:snapToGrid w:val="0"/>
              <w:spacing w:line="240" w:lineRule="exact"/>
              <w:rPr>
                <w:rFonts w:hint="eastAsia" w:ascii="宋体" w:hAnsi="宋体"/>
                <w:sz w:val="18"/>
                <w:szCs w:val="18"/>
              </w:rPr>
            </w:pPr>
            <w:r>
              <w:rPr>
                <w:rFonts w:hint="eastAsia" w:ascii="宋体" w:hAnsi="宋体"/>
                <w:sz w:val="18"/>
              </w:rPr>
              <w:t>①</w:t>
            </w:r>
            <w:r>
              <w:rPr>
                <w:rFonts w:hint="eastAsia" w:ascii="宋体" w:hAnsi="宋体"/>
                <w:sz w:val="18"/>
                <w:szCs w:val="18"/>
              </w:rPr>
              <w:t xml:space="preserve">企业经营收缩，生产任务或者业务量不足    </w:t>
            </w:r>
            <w:r>
              <w:rPr>
                <w:rFonts w:hint="eastAsia" w:ascii="宋体" w:hAnsi="宋体"/>
                <w:bCs/>
                <w:sz w:val="18"/>
                <w:szCs w:val="18"/>
              </w:rPr>
              <w:t>②</w:t>
            </w:r>
            <w:r>
              <w:rPr>
                <w:rFonts w:hint="eastAsia" w:ascii="宋体" w:hAnsi="宋体"/>
                <w:sz w:val="18"/>
                <w:szCs w:val="18"/>
              </w:rPr>
              <w:t xml:space="preserve">临时性或者季节性的用工减少              </w:t>
            </w:r>
          </w:p>
          <w:p>
            <w:pPr>
              <w:snapToGrid w:val="0"/>
              <w:spacing w:line="240" w:lineRule="exact"/>
              <w:rPr>
                <w:rFonts w:hint="eastAsia" w:ascii="宋体" w:hAnsi="宋体"/>
                <w:sz w:val="18"/>
                <w:szCs w:val="18"/>
              </w:rPr>
            </w:pPr>
            <w:r>
              <w:rPr>
                <w:rFonts w:hint="eastAsia" w:ascii="宋体" w:hAnsi="宋体"/>
                <w:bCs/>
                <w:sz w:val="18"/>
                <w:szCs w:val="18"/>
              </w:rPr>
              <w:t>③</w:t>
            </w:r>
            <w:r>
              <w:rPr>
                <w:rFonts w:hint="eastAsia" w:ascii="宋体" w:hAnsi="宋体"/>
                <w:sz w:val="18"/>
                <w:szCs w:val="18"/>
              </w:rPr>
              <w:t xml:space="preserve">技术升级，生产或经营效率提高            </w:t>
            </w:r>
            <w:r>
              <w:rPr>
                <w:rFonts w:hint="eastAsia" w:ascii="宋体" w:hAnsi="宋体"/>
                <w:bCs/>
                <w:sz w:val="18"/>
                <w:szCs w:val="18"/>
              </w:rPr>
              <w:t>④</w:t>
            </w:r>
            <w:r>
              <w:rPr>
                <w:rFonts w:hint="eastAsia" w:ascii="宋体" w:hAnsi="宋体"/>
                <w:sz w:val="18"/>
                <w:szCs w:val="18"/>
              </w:rPr>
              <w:t xml:space="preserve">经营正常，未及时对减员岗位进行招录补充  </w:t>
            </w:r>
          </w:p>
          <w:p>
            <w:pPr>
              <w:snapToGrid w:val="0"/>
              <w:spacing w:line="240" w:lineRule="exact"/>
              <w:rPr>
                <w:rFonts w:hint="eastAsia" w:ascii="宋体" w:hAnsi="宋体"/>
                <w:sz w:val="18"/>
                <w:szCs w:val="18"/>
              </w:rPr>
            </w:pPr>
            <w:r>
              <w:rPr>
                <w:rFonts w:hint="eastAsia" w:ascii="宋体" w:hAnsi="宋体"/>
                <w:sz w:val="18"/>
              </w:rPr>
              <w:t>⑤</w:t>
            </w:r>
            <w:r>
              <w:rPr>
                <w:rFonts w:hint="eastAsia" w:ascii="宋体" w:hAnsi="宋体"/>
                <w:sz w:val="18"/>
                <w:szCs w:val="18"/>
              </w:rPr>
              <w:t>用工方式调整（请注明具体情况）</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bCs/>
                <w:sz w:val="18"/>
                <w:szCs w:val="18"/>
              </w:rPr>
              <w:t>⑥</w:t>
            </w:r>
            <w:r>
              <w:rPr>
                <w:rFonts w:hint="eastAsia" w:ascii="宋体" w:hAnsi="宋体"/>
                <w:sz w:val="18"/>
                <w:szCs w:val="18"/>
              </w:rPr>
              <w:t>其他（请注明）</w:t>
            </w:r>
            <w:r>
              <w:rPr>
                <w:rFonts w:hint="eastAsia" w:ascii="宋体" w:hAnsi="宋体"/>
                <w:sz w:val="18"/>
                <w:szCs w:val="18"/>
                <w:u w:val="single"/>
              </w:rPr>
              <w:t xml:space="preserve">           </w:t>
            </w:r>
            <w:r>
              <w:rPr>
                <w:rFonts w:hint="eastAsia" w:ascii="宋体" w:hAnsi="宋体"/>
                <w:sz w:val="18"/>
                <w:szCs w:val="18"/>
              </w:rPr>
              <w:t xml:space="preserve">                </w:t>
            </w:r>
          </w:p>
          <w:p>
            <w:pPr>
              <w:snapToGrid w:val="0"/>
            </w:pPr>
            <w:r>
              <w:rPr>
                <w:rFonts w:hint="eastAsia"/>
              </w:rPr>
              <w:t xml:space="preserve">  </w:t>
            </w:r>
            <w:r>
              <w:rPr>
                <w:rFonts w:hint="eastAsia" w:ascii="宋体" w:hAnsi="宋体" w:cs="宋体"/>
                <w:sz w:val="18"/>
                <w:szCs w:val="21"/>
              </w:rPr>
              <w:t>C持平</w:t>
            </w:r>
          </w:p>
          <w:p>
            <w:pPr>
              <w:tabs>
                <w:tab w:val="center" w:pos="9031"/>
              </w:tabs>
              <w:snapToGrid w:val="0"/>
              <w:spacing w:line="240" w:lineRule="exact"/>
              <w:rPr>
                <w:rFonts w:hint="eastAsia" w:ascii="宋体" w:hAnsi="宋体"/>
                <w:sz w:val="18"/>
              </w:rPr>
            </w:pPr>
            <w:r>
              <w:rPr>
                <w:rFonts w:hint="eastAsia" w:ascii="宋体" w:hAnsi="宋体"/>
                <w:sz w:val="18"/>
              </w:rPr>
              <w:t xml:space="preserve">37普通员工（如普通工人、销售人员、普通服务人员等）的平均月底薪上涨给企业经营形成的压力                    </w:t>
            </w:r>
          </w:p>
          <w:p>
            <w:pPr>
              <w:snapToGrid w:val="0"/>
              <w:rPr>
                <w:rFonts w:hint="eastAsia" w:ascii="宋体" w:hAnsi="宋体"/>
                <w:bCs/>
                <w:sz w:val="18"/>
                <w:szCs w:val="18"/>
              </w:rPr>
            </w:pPr>
            <w:r>
              <w:rPr>
                <w:rFonts w:hint="eastAsia" w:ascii="宋体" w:hAnsi="宋体"/>
                <w:sz w:val="18"/>
              </w:rPr>
              <w:t xml:space="preserve">       </w:t>
            </w:r>
            <w:r>
              <w:rPr>
                <w:rFonts w:hint="eastAsia" w:ascii="宋体" w:hAnsi="宋体"/>
                <w:bCs/>
                <w:sz w:val="18"/>
                <w:szCs w:val="18"/>
              </w:rPr>
              <w:t>□</w:t>
            </w:r>
            <w:r>
              <w:rPr>
                <w:rFonts w:hint="eastAsia" w:ascii="宋体" w:hAnsi="宋体"/>
                <w:sz w:val="18"/>
              </w:rPr>
              <w:t>①明显增大               □</w:t>
            </w:r>
            <w:r>
              <w:rPr>
                <w:rFonts w:hint="eastAsia" w:ascii="宋体" w:hAnsi="宋体"/>
                <w:bCs/>
                <w:sz w:val="18"/>
                <w:szCs w:val="18"/>
              </w:rPr>
              <w:t>②</w:t>
            </w:r>
            <w:r>
              <w:rPr>
                <w:rFonts w:hint="eastAsia" w:ascii="宋体" w:hAnsi="宋体"/>
                <w:sz w:val="18"/>
              </w:rPr>
              <w:t>有一定压力，但能消化              □</w:t>
            </w:r>
            <w:r>
              <w:rPr>
                <w:rFonts w:hint="eastAsia" w:ascii="宋体" w:hAnsi="宋体"/>
                <w:bCs/>
                <w:sz w:val="18"/>
                <w:szCs w:val="18"/>
              </w:rPr>
              <w:t>③</w:t>
            </w:r>
            <w:r>
              <w:rPr>
                <w:rFonts w:hint="eastAsia" w:ascii="宋体" w:hAnsi="宋体"/>
                <w:sz w:val="18"/>
              </w:rPr>
              <w:t xml:space="preserve">压力较小或没有压力        </w:t>
            </w:r>
          </w:p>
        </w:tc>
      </w:tr>
      <w:tr>
        <w:tblPrEx>
          <w:tblCellMar>
            <w:top w:w="0" w:type="dxa"/>
            <w:left w:w="108" w:type="dxa"/>
            <w:bottom w:w="0" w:type="dxa"/>
            <w:right w:w="108" w:type="dxa"/>
          </w:tblCellMar>
        </w:tblPrEx>
        <w:trPr>
          <w:jc w:val="center"/>
        </w:trPr>
        <w:tc>
          <w:tcPr>
            <w:tcW w:w="9452" w:type="dxa"/>
            <w:tcBorders>
              <w:top w:val="dotted" w:color="auto" w:sz="4"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三、相关政策落实情况</w:t>
            </w:r>
          </w:p>
        </w:tc>
      </w:tr>
      <w:tr>
        <w:tblPrEx>
          <w:tblCellMar>
            <w:top w:w="0" w:type="dxa"/>
            <w:left w:w="108" w:type="dxa"/>
            <w:bottom w:w="0" w:type="dxa"/>
            <w:right w:w="108" w:type="dxa"/>
          </w:tblCellMar>
        </w:tblPrEx>
        <w:trPr>
          <w:trHeight w:val="1387" w:hRule="atLeast"/>
          <w:jc w:val="center"/>
        </w:trPr>
        <w:tc>
          <w:tcPr>
            <w:tcW w:w="9452" w:type="dxa"/>
            <w:tcBorders>
              <w:top w:val="single" w:color="auto" w:sz="2" w:space="0"/>
              <w:left w:val="double" w:color="auto" w:sz="4" w:space="0"/>
              <w:bottom w:val="double" w:color="auto" w:sz="4" w:space="0"/>
              <w:right w:val="double" w:color="auto" w:sz="4" w:space="0"/>
            </w:tcBorders>
            <w:noWrap w:val="0"/>
            <w:vAlign w:val="center"/>
          </w:tcPr>
          <w:p>
            <w:pPr>
              <w:snapToGrid w:val="0"/>
              <w:ind w:right="83"/>
              <w:rPr>
                <w:rFonts w:hint="eastAsia" w:ascii="宋体" w:hAnsi="宋体"/>
                <w:bCs/>
                <w:sz w:val="18"/>
                <w:szCs w:val="18"/>
              </w:rPr>
            </w:pPr>
            <w:r>
              <w:rPr>
                <w:rFonts w:hint="eastAsia" w:ascii="宋体" w:hAnsi="宋体"/>
                <w:bCs/>
                <w:sz w:val="18"/>
                <w:szCs w:val="18"/>
              </w:rPr>
              <w:t>41本季度</w:t>
            </w:r>
            <w:r>
              <w:rPr>
                <w:rFonts w:ascii="宋体" w:hAnsi="宋体"/>
                <w:bCs/>
                <w:sz w:val="18"/>
                <w:szCs w:val="18"/>
              </w:rPr>
              <w:t>是否</w:t>
            </w:r>
            <w:r>
              <w:rPr>
                <w:rFonts w:hint="eastAsia" w:ascii="宋体" w:hAnsi="宋体"/>
                <w:bCs/>
                <w:sz w:val="18"/>
                <w:szCs w:val="18"/>
              </w:rPr>
              <w:t>受益于相关政策</w:t>
            </w:r>
            <w:r>
              <w:rPr>
                <w:rFonts w:ascii="宋体" w:hAnsi="宋体"/>
                <w:bCs/>
                <w:sz w:val="18"/>
                <w:szCs w:val="18"/>
              </w:rPr>
              <w:t>的</w:t>
            </w:r>
            <w:r>
              <w:rPr>
                <w:rFonts w:hint="eastAsia" w:ascii="宋体" w:hAnsi="宋体"/>
                <w:bCs/>
                <w:sz w:val="18"/>
                <w:szCs w:val="18"/>
              </w:rPr>
              <w:t>帮助</w:t>
            </w:r>
            <w:r>
              <w:rPr>
                <w:rFonts w:ascii="宋体" w:hAnsi="宋体"/>
                <w:bCs/>
                <w:sz w:val="18"/>
                <w:szCs w:val="18"/>
              </w:rPr>
              <w:t>和支持</w:t>
            </w:r>
            <w:r>
              <w:rPr>
                <w:rFonts w:hint="eastAsia" w:ascii="宋体" w:hAnsi="宋体"/>
                <w:bCs/>
                <w:sz w:val="18"/>
                <w:szCs w:val="18"/>
              </w:rPr>
              <w:t>（如选</w:t>
            </w:r>
            <w:r>
              <w:rPr>
                <w:rFonts w:hint="eastAsia" w:ascii="宋体" w:hAnsi="宋体"/>
                <w:sz w:val="18"/>
                <w:szCs w:val="18"/>
              </w:rPr>
              <w:t>②</w:t>
            </w:r>
            <w:r>
              <w:rPr>
                <w:rFonts w:hint="eastAsia" w:ascii="宋体" w:hAnsi="宋体"/>
                <w:bCs/>
                <w:sz w:val="18"/>
                <w:szCs w:val="18"/>
              </w:rPr>
              <w:t>，跳过问题42）</w:t>
            </w:r>
          </w:p>
          <w:p>
            <w:pPr>
              <w:snapToGrid w:val="0"/>
              <w:ind w:right="83"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是                   □</w:t>
            </w:r>
            <w:r>
              <w:rPr>
                <w:rFonts w:hint="eastAsia" w:ascii="宋体" w:hAnsi="宋体"/>
                <w:sz w:val="18"/>
                <w:szCs w:val="18"/>
              </w:rPr>
              <w:t>②</w:t>
            </w:r>
            <w:r>
              <w:rPr>
                <w:rFonts w:hint="eastAsia" w:ascii="宋体" w:hAnsi="宋体"/>
                <w:bCs/>
                <w:sz w:val="18"/>
                <w:szCs w:val="18"/>
              </w:rPr>
              <w:t>否</w:t>
            </w:r>
          </w:p>
          <w:p>
            <w:pPr>
              <w:snapToGrid w:val="0"/>
              <w:ind w:right="83"/>
              <w:rPr>
                <w:rFonts w:ascii="宋体" w:hAnsi="宋体"/>
                <w:bCs/>
                <w:sz w:val="18"/>
                <w:szCs w:val="18"/>
              </w:rPr>
            </w:pPr>
            <w:r>
              <w:rPr>
                <w:rFonts w:hint="eastAsia" w:ascii="宋体" w:hAnsi="宋体"/>
                <w:bCs/>
                <w:sz w:val="18"/>
                <w:szCs w:val="18"/>
              </w:rPr>
              <w:t>42</w:t>
            </w:r>
            <w:r>
              <w:rPr>
                <w:rFonts w:ascii="宋体" w:hAnsi="宋体"/>
                <w:bCs/>
                <w:sz w:val="18"/>
                <w:szCs w:val="18"/>
              </w:rPr>
              <w:t>受益的</w:t>
            </w:r>
            <w:r>
              <w:rPr>
                <w:rFonts w:hint="eastAsia" w:ascii="宋体" w:hAnsi="宋体"/>
                <w:bCs/>
                <w:sz w:val="18"/>
                <w:szCs w:val="18"/>
              </w:rPr>
              <w:t>政策</w:t>
            </w:r>
            <w:r>
              <w:rPr>
                <w:rFonts w:ascii="宋体" w:hAnsi="宋体"/>
                <w:bCs/>
                <w:sz w:val="18"/>
                <w:szCs w:val="18"/>
              </w:rPr>
              <w:t>措施有哪些（</w:t>
            </w:r>
            <w:r>
              <w:rPr>
                <w:rFonts w:hint="eastAsia" w:ascii="宋体" w:hAnsi="宋体"/>
                <w:bCs/>
                <w:sz w:val="18"/>
                <w:szCs w:val="18"/>
              </w:rPr>
              <w:t>可</w:t>
            </w:r>
            <w:r>
              <w:rPr>
                <w:rFonts w:ascii="宋体" w:hAnsi="宋体"/>
                <w:bCs/>
                <w:sz w:val="18"/>
                <w:szCs w:val="18"/>
              </w:rPr>
              <w:t>多选</w:t>
            </w:r>
            <w:r>
              <w:rPr>
                <w:rFonts w:hint="eastAsia" w:ascii="宋体" w:hAnsi="宋体"/>
                <w:bCs/>
                <w:sz w:val="18"/>
                <w:szCs w:val="18"/>
              </w:rPr>
              <w:t>，</w:t>
            </w:r>
            <w:r>
              <w:rPr>
                <w:rFonts w:ascii="宋体" w:hAnsi="宋体"/>
                <w:bCs/>
                <w:sz w:val="18"/>
                <w:szCs w:val="18"/>
              </w:rPr>
              <w:t>最多选</w:t>
            </w:r>
            <w:r>
              <w:rPr>
                <w:rFonts w:hint="eastAsia" w:ascii="宋体" w:hAnsi="宋体"/>
                <w:bCs/>
                <w:sz w:val="18"/>
                <w:szCs w:val="18"/>
              </w:rPr>
              <w:t>3项）</w:t>
            </w:r>
          </w:p>
          <w:p>
            <w:pPr>
              <w:snapToGrid w:val="0"/>
              <w:ind w:right="83" w:firstLine="630" w:firstLineChars="3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简政放权</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w:t>
            </w:r>
            <w:r>
              <w:rPr>
                <w:rFonts w:hint="eastAsia" w:ascii="宋体" w:hAnsi="宋体"/>
                <w:sz w:val="18"/>
                <w:szCs w:val="18"/>
              </w:rPr>
              <w:t>②</w:t>
            </w:r>
            <w:r>
              <w:rPr>
                <w:rFonts w:hint="eastAsia" w:ascii="宋体" w:hAnsi="宋体"/>
                <w:bCs/>
                <w:sz w:val="18"/>
                <w:szCs w:val="18"/>
              </w:rPr>
              <w:t>减税降费               □</w:t>
            </w:r>
            <w:r>
              <w:rPr>
                <w:rFonts w:hint="eastAsia" w:ascii="宋体" w:hAnsi="宋体"/>
                <w:sz w:val="18"/>
                <w:szCs w:val="18"/>
              </w:rPr>
              <w:t>③</w:t>
            </w:r>
            <w:r>
              <w:rPr>
                <w:rFonts w:hint="eastAsia" w:ascii="宋体" w:hAnsi="宋体"/>
                <w:bCs/>
                <w:sz w:val="18"/>
                <w:szCs w:val="18"/>
              </w:rPr>
              <w:t>创新支持        □</w:t>
            </w:r>
            <w:r>
              <w:rPr>
                <w:rFonts w:hint="eastAsia" w:ascii="宋体" w:hAnsi="宋体"/>
                <w:sz w:val="18"/>
                <w:szCs w:val="18"/>
              </w:rPr>
              <w:t>④</w:t>
            </w:r>
            <w:r>
              <w:rPr>
                <w:rFonts w:hint="eastAsia" w:ascii="宋体" w:hAnsi="宋体"/>
                <w:bCs/>
                <w:sz w:val="18"/>
                <w:szCs w:val="18"/>
              </w:rPr>
              <w:t>财政补贴</w:t>
            </w:r>
          </w:p>
          <w:p>
            <w:pPr>
              <w:snapToGrid w:val="0"/>
              <w:ind w:right="83"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⑤</w:t>
            </w:r>
            <w:r>
              <w:rPr>
                <w:rFonts w:hint="eastAsia" w:ascii="宋体" w:hAnsi="宋体"/>
                <w:bCs/>
                <w:sz w:val="18"/>
                <w:szCs w:val="18"/>
              </w:rPr>
              <w:t>金融支持             □</w:t>
            </w:r>
            <w:r>
              <w:rPr>
                <w:rFonts w:hint="eastAsia" w:ascii="宋体" w:hAnsi="宋体"/>
                <w:sz w:val="18"/>
                <w:szCs w:val="18"/>
              </w:rPr>
              <w:t>⑥</w:t>
            </w:r>
            <w:r>
              <w:rPr>
                <w:rFonts w:hint="eastAsia" w:ascii="宋体" w:hAnsi="宋体"/>
                <w:bCs/>
                <w:sz w:val="18"/>
                <w:szCs w:val="18"/>
              </w:rPr>
              <w:t>促就业稳岗位           □</w:t>
            </w:r>
            <w:r>
              <w:rPr>
                <w:rFonts w:hint="eastAsia" w:ascii="宋体" w:hAnsi="宋体"/>
                <w:sz w:val="18"/>
                <w:szCs w:val="18"/>
              </w:rPr>
              <w:t>⑦</w:t>
            </w:r>
            <w:r>
              <w:rPr>
                <w:rFonts w:hint="eastAsia" w:ascii="宋体" w:hAnsi="宋体"/>
                <w:bCs/>
                <w:sz w:val="18"/>
                <w:szCs w:val="18"/>
              </w:rPr>
              <w:t>其他(请注明)</w:t>
            </w:r>
            <w:r>
              <w:rPr>
                <w:rFonts w:hint="eastAsia" w:ascii="宋体" w:hAnsi="宋体"/>
                <w:bCs/>
                <w:sz w:val="18"/>
                <w:szCs w:val="18"/>
                <w:u w:val="single"/>
              </w:rPr>
              <w:t xml:space="preserve">    </w:t>
            </w:r>
            <w:r>
              <w:rPr>
                <w:rFonts w:ascii="宋体" w:hAnsi="宋体"/>
                <w:bCs/>
                <w:sz w:val="18"/>
                <w:szCs w:val="18"/>
                <w:u w:val="single"/>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p>
        </w:tc>
      </w:tr>
    </w:tbl>
    <w:p>
      <w:r>
        <w:br w:type="page"/>
      </w:r>
    </w:p>
    <w:tbl>
      <w:tblPr>
        <w:tblStyle w:val="31"/>
        <w:tblW w:w="0" w:type="auto"/>
        <w:jc w:val="center"/>
        <w:tblLayout w:type="fixed"/>
        <w:tblCellMar>
          <w:top w:w="0" w:type="dxa"/>
          <w:left w:w="108" w:type="dxa"/>
          <w:bottom w:w="0" w:type="dxa"/>
          <w:right w:w="108" w:type="dxa"/>
        </w:tblCellMar>
      </w:tblPr>
      <w:tblGrid>
        <w:gridCol w:w="9452"/>
      </w:tblGrid>
      <w:tr>
        <w:tblPrEx>
          <w:tblCellMar>
            <w:top w:w="0" w:type="dxa"/>
            <w:left w:w="108" w:type="dxa"/>
            <w:bottom w:w="0" w:type="dxa"/>
            <w:right w:w="108" w:type="dxa"/>
          </w:tblCellMar>
        </w:tblPrEx>
        <w:trPr>
          <w:trHeight w:val="341" w:hRule="atLeast"/>
          <w:jc w:val="center"/>
        </w:trPr>
        <w:tc>
          <w:tcPr>
            <w:tcW w:w="9452" w:type="dxa"/>
            <w:tcBorders>
              <w:top w:val="double" w:color="auto" w:sz="4"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四、评价与预测</w:t>
            </w:r>
          </w:p>
        </w:tc>
      </w:tr>
      <w:tr>
        <w:tblPrEx>
          <w:tblCellMar>
            <w:top w:w="0" w:type="dxa"/>
            <w:left w:w="108" w:type="dxa"/>
            <w:bottom w:w="0" w:type="dxa"/>
            <w:right w:w="108" w:type="dxa"/>
          </w:tblCellMar>
        </w:tblPrEx>
        <w:trPr>
          <w:jc w:val="center"/>
        </w:trPr>
        <w:tc>
          <w:tcPr>
            <w:tcW w:w="9452" w:type="dxa"/>
            <w:tcBorders>
              <w:top w:val="single" w:color="auto" w:sz="2" w:space="0"/>
              <w:left w:val="double" w:color="auto" w:sz="4" w:space="0"/>
              <w:bottom w:val="double" w:color="auto" w:sz="4" w:space="0"/>
              <w:right w:val="double" w:color="auto" w:sz="4" w:space="0"/>
            </w:tcBorders>
            <w:noWrap w:val="0"/>
            <w:vAlign w:val="center"/>
          </w:tcPr>
          <w:p>
            <w:pPr>
              <w:snapToGrid w:val="0"/>
              <w:rPr>
                <w:rFonts w:hint="eastAsia" w:ascii="宋体" w:hAnsi="宋体"/>
                <w:bCs/>
                <w:sz w:val="18"/>
                <w:szCs w:val="18"/>
              </w:rPr>
            </w:pPr>
            <w:r>
              <w:rPr>
                <w:rFonts w:hint="eastAsia" w:ascii="宋体" w:hAnsi="宋体"/>
                <w:sz w:val="18"/>
                <w:szCs w:val="18"/>
              </w:rPr>
              <w:t>51您对</w:t>
            </w:r>
            <w:r>
              <w:rPr>
                <w:rFonts w:hint="eastAsia" w:ascii="宋体" w:hAnsi="宋体"/>
                <w:bCs/>
                <w:sz w:val="18"/>
                <w:szCs w:val="18"/>
              </w:rPr>
              <w:t>本季度</w:t>
            </w:r>
            <w:r>
              <w:rPr>
                <w:rFonts w:hint="eastAsia" w:ascii="宋体" w:hAnsi="宋体"/>
                <w:sz w:val="18"/>
                <w:szCs w:val="18"/>
              </w:rPr>
              <w:t>本企业</w:t>
            </w:r>
            <w:r>
              <w:rPr>
                <w:rFonts w:hint="eastAsia" w:ascii="宋体" w:hAnsi="宋体"/>
                <w:bCs/>
                <w:sz w:val="18"/>
                <w:szCs w:val="18"/>
              </w:rPr>
              <w:t>经营状况的综合评价</w:t>
            </w:r>
          </w:p>
          <w:p>
            <w:pPr>
              <w:snapToGrid w:val="0"/>
              <w:ind w:firstLine="540" w:firstLineChars="300"/>
              <w:rPr>
                <w:rFonts w:ascii="宋体" w:hAnsi="宋体"/>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良好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 xml:space="preserve">不佳 </w:t>
            </w:r>
          </w:p>
          <w:p>
            <w:pPr>
              <w:snapToGrid w:val="0"/>
              <w:rPr>
                <w:rFonts w:hint="eastAsia" w:ascii="宋体" w:hAnsi="宋体"/>
                <w:sz w:val="18"/>
                <w:szCs w:val="18"/>
              </w:rPr>
            </w:pPr>
            <w:r>
              <w:rPr>
                <w:rFonts w:hint="eastAsia" w:ascii="宋体" w:hAnsi="宋体"/>
                <w:sz w:val="18"/>
                <w:szCs w:val="18"/>
              </w:rPr>
              <w:t>52您对下季度本企业经营状况的合理预期</w:t>
            </w:r>
          </w:p>
          <w:p>
            <w:pPr>
              <w:snapToGrid w:val="0"/>
              <w:ind w:firstLine="540" w:firstLineChars="300"/>
              <w:rPr>
                <w:rFonts w:ascii="宋体" w:hAnsi="宋体"/>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乐观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 xml:space="preserve">不乐观 </w:t>
            </w:r>
          </w:p>
          <w:p>
            <w:pPr>
              <w:snapToGrid w:val="0"/>
              <w:rPr>
                <w:rFonts w:hint="eastAsia" w:ascii="宋体" w:hAnsi="宋体"/>
                <w:bCs/>
                <w:sz w:val="18"/>
                <w:szCs w:val="18"/>
              </w:rPr>
            </w:pPr>
            <w:r>
              <w:rPr>
                <w:rFonts w:hint="eastAsia" w:ascii="宋体" w:hAnsi="宋体"/>
                <w:bCs/>
                <w:sz w:val="18"/>
                <w:szCs w:val="18"/>
              </w:rPr>
              <w:t>53您对本季度本行业运行状况的总体评价</w:t>
            </w:r>
          </w:p>
          <w:p>
            <w:pPr>
              <w:snapToGrid w:val="0"/>
              <w:ind w:firstLine="540" w:firstLineChars="300"/>
              <w:rPr>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良好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 xml:space="preserve">不佳 </w:t>
            </w:r>
          </w:p>
          <w:p>
            <w:pPr>
              <w:snapToGrid w:val="0"/>
              <w:rPr>
                <w:rFonts w:hint="eastAsia" w:ascii="宋体" w:hAnsi="宋体"/>
                <w:i/>
                <w:sz w:val="18"/>
                <w:szCs w:val="18"/>
              </w:rPr>
            </w:pPr>
            <w:r>
              <w:rPr>
                <w:rFonts w:hint="eastAsia" w:ascii="宋体" w:hAnsi="宋体"/>
                <w:bCs/>
                <w:sz w:val="18"/>
                <w:szCs w:val="18"/>
              </w:rPr>
              <w:t>54您对</w:t>
            </w:r>
            <w:r>
              <w:rPr>
                <w:rFonts w:hint="eastAsia" w:ascii="宋体" w:hAnsi="宋体"/>
                <w:sz w:val="18"/>
                <w:szCs w:val="18"/>
              </w:rPr>
              <w:t>下季度本行业运行状况的合理预期</w:t>
            </w:r>
          </w:p>
          <w:p>
            <w:pPr>
              <w:snapToGrid w:val="0"/>
              <w:ind w:firstLine="540" w:firstLineChars="300"/>
              <w:rPr>
                <w:rFonts w:ascii="宋体" w:hAnsi="宋体"/>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乐观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 xml:space="preserve">不乐观 </w:t>
            </w:r>
          </w:p>
          <w:p>
            <w:pPr>
              <w:snapToGrid w:val="0"/>
              <w:rPr>
                <w:rFonts w:hint="eastAsia" w:ascii="宋体" w:hAnsi="宋体"/>
                <w:sz w:val="18"/>
                <w:szCs w:val="18"/>
              </w:rPr>
            </w:pPr>
            <w:r>
              <w:rPr>
                <w:rFonts w:hint="eastAsia" w:ascii="宋体" w:hAnsi="宋体"/>
                <w:bCs/>
                <w:sz w:val="18"/>
                <w:szCs w:val="18"/>
              </w:rPr>
              <w:t>55您对</w:t>
            </w:r>
            <w:r>
              <w:rPr>
                <w:rFonts w:hint="eastAsia" w:ascii="宋体" w:hAnsi="宋体"/>
                <w:sz w:val="18"/>
                <w:szCs w:val="18"/>
              </w:rPr>
              <w:t>下季度国内宏观经济形势的合理预期</w:t>
            </w:r>
          </w:p>
          <w:p>
            <w:pPr>
              <w:snapToGrid w:val="0"/>
              <w:ind w:firstLine="540" w:firstLineChars="300"/>
              <w:rPr>
                <w:rFonts w:hint="eastAsia"/>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乐观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不乐观</w:t>
            </w:r>
          </w:p>
        </w:tc>
      </w:tr>
    </w:tbl>
    <w:p>
      <w:pPr>
        <w:snapToGrid w:val="0"/>
        <w:spacing w:line="260" w:lineRule="exact"/>
        <w:rPr>
          <w:rFonts w:hint="eastAsia" w:ascii="宋体" w:hAnsi="宋体"/>
          <w:sz w:val="18"/>
          <w:szCs w:val="18"/>
        </w:rPr>
      </w:pPr>
      <w:r>
        <w:rPr>
          <w:rFonts w:hint="eastAsia" w:ascii="宋体" w:hAnsi="宋体"/>
          <w:sz w:val="18"/>
          <w:szCs w:val="18"/>
        </w:rPr>
        <w:t>单位负责人：          统计负责人：           填表人：          联系电话：         报出日期：２０  年  月  日</w:t>
      </w:r>
    </w:p>
    <w:p>
      <w:pPr>
        <w:snapToGrid w:val="0"/>
        <w:spacing w:line="260" w:lineRule="exact"/>
        <w:rPr>
          <w:rFonts w:hint="eastAsia" w:ascii="宋体" w:hAnsi="宋体"/>
          <w:sz w:val="18"/>
          <w:szCs w:val="18"/>
        </w:rPr>
      </w:pPr>
    </w:p>
    <w:p>
      <w:pPr>
        <w:snapToGrid w:val="0"/>
        <w:ind w:left="720" w:hanging="720" w:hangingChars="400"/>
        <w:jc w:val="left"/>
        <w:rPr>
          <w:rFonts w:hint="eastAsia" w:ascii="宋体" w:hAnsi="宋体"/>
          <w:sz w:val="18"/>
          <w:szCs w:val="18"/>
        </w:rPr>
      </w:pPr>
      <w:r>
        <w:rPr>
          <w:rFonts w:hint="eastAsia" w:ascii="宋体" w:hAnsi="宋体"/>
          <w:sz w:val="18"/>
          <w:szCs w:val="18"/>
        </w:rPr>
        <w:t>说明：1.本表由法人单位主要负责人（或主管经营负责人）填写。</w:t>
      </w:r>
    </w:p>
    <w:p>
      <w:pPr>
        <w:snapToGrid w:val="0"/>
        <w:ind w:left="720" w:hanging="720" w:hangingChars="400"/>
        <w:jc w:val="left"/>
        <w:rPr>
          <w:rFonts w:ascii="宋体" w:hAnsi="宋体"/>
          <w:sz w:val="18"/>
          <w:szCs w:val="18"/>
        </w:rPr>
      </w:pPr>
      <w:r>
        <w:rPr>
          <w:rFonts w:hint="eastAsia" w:ascii="宋体" w:hAnsi="宋体"/>
          <w:sz w:val="18"/>
          <w:szCs w:val="18"/>
        </w:rPr>
        <w:t xml:space="preserve">      2.统计范围：辖区内规模以上服务业法人企业（单位）。</w:t>
      </w:r>
    </w:p>
    <w:p>
      <w:pPr>
        <w:snapToGrid w:val="0"/>
        <w:ind w:left="720" w:hanging="720" w:hangingChars="400"/>
        <w:rPr>
          <w:rFonts w:hint="eastAsia" w:ascii="宋体" w:hAnsi="宋体"/>
          <w:sz w:val="18"/>
          <w:szCs w:val="18"/>
        </w:rPr>
      </w:pPr>
      <w:r>
        <w:rPr>
          <w:rFonts w:hint="eastAsia" w:ascii="宋体" w:hAnsi="宋体"/>
          <w:sz w:val="18"/>
          <w:szCs w:val="18"/>
        </w:rPr>
        <w:t xml:space="preserve">      3.</w:t>
      </w:r>
      <w:r>
        <w:rPr>
          <w:rFonts w:hint="eastAsia"/>
          <w:sz w:val="18"/>
          <w:szCs w:val="18"/>
        </w:rPr>
        <w:t>“</w:t>
      </w:r>
      <w:r>
        <w:rPr>
          <w:rFonts w:hint="eastAsia" w:ascii="宋体" w:hAnsi="宋体"/>
          <w:sz w:val="18"/>
          <w:szCs w:val="18"/>
        </w:rPr>
        <w:t>26本季度接到的业务预订量比上季度”一题仅由交通运输业（国民经济行业分类中大类行业“53”-“58”6个行业）、信息传输、软件和信息技术服务业（I门类）、租赁服务业（国民经济行业分类中大类行业“71”）、科学研究和技术服务业（M门类）企业回答，其他行业企业不作答。</w:t>
      </w:r>
    </w:p>
    <w:p>
      <w:pPr>
        <w:snapToGrid w:val="0"/>
        <w:ind w:left="720" w:hanging="720" w:hangingChars="400"/>
        <w:rPr>
          <w:rFonts w:ascii="宋体" w:hAnsi="宋体"/>
          <w:sz w:val="18"/>
          <w:szCs w:val="18"/>
        </w:rPr>
      </w:pPr>
      <w:r>
        <w:rPr>
          <w:rFonts w:hint="eastAsia" w:ascii="宋体" w:hAnsi="宋体"/>
          <w:sz w:val="18"/>
          <w:szCs w:val="18"/>
        </w:rPr>
        <w:t xml:space="preserve">      4.报送日期及方式：</w:t>
      </w:r>
      <w:r>
        <w:rPr>
          <w:rFonts w:ascii="宋体" w:hAnsi="宋体"/>
          <w:sz w:val="18"/>
          <w:szCs w:val="18"/>
        </w:rPr>
        <w:t>调查单位报送时间为</w:t>
      </w:r>
      <w:r>
        <w:rPr>
          <w:rFonts w:hint="eastAsia" w:ascii="宋体" w:hAnsi="宋体"/>
          <w:sz w:val="18"/>
          <w:szCs w:val="18"/>
        </w:rPr>
        <w:t>3、6、9、12月18日18:00</w:t>
      </w:r>
      <w:r>
        <w:rPr>
          <w:rFonts w:ascii="宋体" w:hAnsi="宋体"/>
          <w:sz w:val="18"/>
          <w:szCs w:val="18"/>
        </w:rPr>
        <w:t>前，</w:t>
      </w:r>
      <w:r>
        <w:rPr>
          <w:rFonts w:hint="eastAsia" w:ascii="宋体" w:hAnsi="宋体" w:eastAsia="宋体" w:cs="宋体"/>
          <w:kern w:val="0"/>
          <w:sz w:val="18"/>
          <w:szCs w:val="18"/>
        </w:rPr>
        <w:t>各区统计机构按“</w:t>
      </w:r>
      <w:r>
        <w:rPr>
          <w:rFonts w:hint="eastAsia" w:ascii="宋体" w:hAnsi="宋体" w:eastAsia="宋体" w:cs="宋体"/>
          <w:kern w:val="0"/>
          <w:sz w:val="18"/>
          <w:szCs w:val="18"/>
          <w:lang w:eastAsia="zh-CN"/>
        </w:rPr>
        <w:t>统计云工作</w:t>
      </w:r>
      <w:r>
        <w:rPr>
          <w:rFonts w:hint="eastAsia" w:ascii="宋体" w:hAnsi="宋体" w:eastAsia="宋体" w:cs="宋体"/>
          <w:kern w:val="0"/>
          <w:sz w:val="18"/>
          <w:szCs w:val="18"/>
        </w:rPr>
        <w:t>台”规定时间</w:t>
      </w:r>
      <w:r>
        <w:rPr>
          <w:rFonts w:hint="eastAsia" w:ascii="宋体" w:hAnsi="宋体" w:cs="宋体"/>
          <w:spacing w:val="-4"/>
          <w:sz w:val="18"/>
          <w:szCs w:val="18"/>
        </w:rPr>
        <w:t>完成数据审核、验收、上报</w:t>
      </w:r>
      <w:r>
        <w:rPr>
          <w:rFonts w:hint="eastAsia" w:ascii="宋体" w:hAnsi="宋体" w:cs="宋体"/>
          <w:sz w:val="18"/>
          <w:szCs w:val="18"/>
        </w:rPr>
        <w:t>。</w:t>
      </w:r>
    </w:p>
    <w:p>
      <w:pPr>
        <w:snapToGrid w:val="0"/>
        <w:ind w:left="720" w:hanging="720" w:hangingChars="400"/>
        <w:rPr>
          <w:rFonts w:hint="default"/>
          <w:lang w:val="en-US"/>
        </w:rPr>
      </w:pPr>
      <w:r>
        <w:rPr>
          <w:rFonts w:hint="eastAsia" w:ascii="宋体" w:hAnsi="宋体"/>
          <w:sz w:val="18"/>
          <w:szCs w:val="18"/>
          <w:lang w:val="en-US" w:eastAsia="zh-CN"/>
        </w:rPr>
        <w:t xml:space="preserve">      </w:t>
      </w:r>
      <w:r>
        <w:rPr>
          <w:rFonts w:hint="eastAsia" w:ascii="宋体" w:hAnsi="宋体"/>
          <w:sz w:val="18"/>
          <w:szCs w:val="18"/>
        </w:rPr>
        <w:t>5</w:t>
      </w:r>
      <w:r>
        <w:rPr>
          <w:rFonts w:ascii="宋体" w:hAnsi="宋体"/>
          <w:sz w:val="18"/>
          <w:szCs w:val="18"/>
        </w:rPr>
        <w:t>.</w:t>
      </w:r>
      <w:r>
        <w:rPr>
          <w:rFonts w:hint="eastAsia" w:ascii="宋体" w:hAnsi="宋体"/>
          <w:sz w:val="18"/>
        </w:rPr>
        <w:t>本表所列问题根据每季度服务业经济运行情况进行调整，调整范围一般不超过</w:t>
      </w:r>
      <w:r>
        <w:rPr>
          <w:rFonts w:ascii="宋体" w:hAnsi="宋体"/>
          <w:sz w:val="18"/>
        </w:rPr>
        <w:t>3-5</w:t>
      </w:r>
      <w:r>
        <w:rPr>
          <w:rFonts w:hint="eastAsia" w:ascii="宋体" w:hAnsi="宋体"/>
          <w:sz w:val="18"/>
        </w:rPr>
        <w:t>个问题。</w:t>
      </w:r>
    </w:p>
    <w:p>
      <w:pPr>
        <w:snapToGrid w:val="0"/>
        <w:spacing w:line="220" w:lineRule="exact"/>
        <w:ind w:left="2121" w:leftChars="260" w:hanging="1575" w:hangingChars="875"/>
        <w:rPr>
          <w:rFonts w:hint="eastAsia" w:ascii="宋体" w:hAnsi="宋体"/>
          <w:sz w:val="18"/>
        </w:rPr>
      </w:pPr>
    </w:p>
    <w:p>
      <w:pPr>
        <w:snapToGrid w:val="0"/>
        <w:spacing w:line="220" w:lineRule="exact"/>
        <w:ind w:left="2157" w:leftChars="260" w:hanging="1611" w:hangingChars="895"/>
        <w:rPr>
          <w:rFonts w:hint="eastAsia" w:ascii="宋体" w:hAnsi="宋体"/>
          <w:sz w:val="18"/>
          <w:szCs w:val="18"/>
        </w:rPr>
        <w:sectPr>
          <w:headerReference r:id="rId9" w:type="default"/>
          <w:footerReference r:id="rId10" w:type="default"/>
          <w:footerReference r:id="rId11" w:type="even"/>
          <w:pgSz w:w="11906" w:h="16838"/>
          <w:pgMar w:top="1418" w:right="1247" w:bottom="1247" w:left="1247" w:header="851" w:footer="851" w:gutter="0"/>
          <w:pgBorders>
            <w:top w:val="none" w:sz="0" w:space="0"/>
            <w:left w:val="none" w:sz="0" w:space="0"/>
            <w:bottom w:val="none" w:sz="0" w:space="0"/>
            <w:right w:val="none" w:sz="0" w:space="0"/>
          </w:pgBorders>
          <w:pgNumType w:fmt="numberInDash"/>
          <w:cols w:space="720" w:num="1"/>
          <w:docGrid w:linePitch="312" w:charSpace="0"/>
        </w:sectPr>
      </w:pP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9"/>
    <w:bookmarkEnd w:id="270"/>
    <w:bookmarkEnd w:id="280"/>
    <w:bookmarkEnd w:id="281"/>
    <w:bookmarkEnd w:id="282"/>
    <w:p>
      <w:pPr>
        <w:pStyle w:val="4"/>
        <w:numPr>
          <w:ilvl w:val="0"/>
          <w:numId w:val="0"/>
        </w:numPr>
        <w:spacing w:before="0" w:beforeLines="0" w:after="120" w:afterLines="50" w:line="240" w:lineRule="auto"/>
        <w:jc w:val="center"/>
        <w:rPr>
          <w:rFonts w:hint="eastAsia" w:ascii="Nimbus Roman No9 L" w:hAnsi="Nimbus Roman No9 L" w:cs="Nimbus Roman No9 L"/>
          <w:sz w:val="32"/>
          <w:szCs w:val="32"/>
          <w:lang w:val="en-US" w:eastAsia="zh-CN"/>
        </w:rPr>
      </w:pPr>
      <w:bookmarkStart w:id="284" w:name="_Toc18605"/>
      <w:bookmarkStart w:id="285" w:name="_Toc660036361"/>
      <w:bookmarkStart w:id="286" w:name="_Toc1706437712"/>
      <w:bookmarkStart w:id="287" w:name="_Toc1092238597"/>
      <w:bookmarkStart w:id="288" w:name="_Toc1944978004"/>
      <w:bookmarkStart w:id="289" w:name="_Toc4049"/>
      <w:bookmarkStart w:id="290" w:name="_Toc1549291522"/>
      <w:bookmarkStart w:id="291" w:name="_Toc606841981"/>
      <w:bookmarkStart w:id="292" w:name="_Toc1443612849"/>
      <w:bookmarkStart w:id="293" w:name="_Toc2113834402"/>
      <w:bookmarkStart w:id="294" w:name="_Toc1687303524"/>
      <w:bookmarkStart w:id="295" w:name="_Toc2130528737"/>
      <w:bookmarkStart w:id="296" w:name="_Toc463467483"/>
      <w:bookmarkStart w:id="297" w:name="_Toc1894761195"/>
      <w:bookmarkStart w:id="298" w:name="_Toc1690767052"/>
      <w:bookmarkStart w:id="299" w:name="_Toc541707666"/>
      <w:bookmarkStart w:id="300" w:name="_Toc119493281"/>
      <w:bookmarkStart w:id="301" w:name="_Toc1514983459"/>
      <w:bookmarkStart w:id="302" w:name="_Toc1549474081"/>
      <w:bookmarkStart w:id="303" w:name="_Toc162103950"/>
      <w:bookmarkStart w:id="304" w:name="_Toc621468696"/>
      <w:bookmarkStart w:id="305" w:name="_Toc2042767180"/>
      <w:bookmarkStart w:id="306" w:name="_Toc52895923"/>
      <w:bookmarkStart w:id="307" w:name="_Toc377100116"/>
      <w:bookmarkStart w:id="308" w:name="_Toc89699508"/>
      <w:bookmarkStart w:id="309" w:name="_Toc2098542972"/>
      <w:bookmarkStart w:id="310" w:name="_Toc1272377999"/>
      <w:bookmarkStart w:id="311" w:name="_Toc421854665"/>
      <w:bookmarkStart w:id="312" w:name="_Toc377367214"/>
      <w:bookmarkStart w:id="313" w:name="_Toc1627090852"/>
      <w:r>
        <w:rPr>
          <w:rFonts w:hint="eastAsia" w:ascii="Nimbus Roman No9 L" w:hAnsi="Nimbus Roman No9 L" w:cs="Nimbus Roman No9 L"/>
          <w:sz w:val="32"/>
          <w:szCs w:val="32"/>
          <w:lang w:val="en-US" w:eastAsia="zh-CN"/>
        </w:rPr>
        <w:t>四、附录</w:t>
      </w:r>
      <w:bookmarkEnd w:id="284"/>
    </w:p>
    <w:p>
      <w:pPr>
        <w:pStyle w:val="5"/>
        <w:spacing w:before="0" w:beforeLines="0" w:after="120" w:afterLines="50" w:line="240" w:lineRule="auto"/>
        <w:ind w:left="0" w:leftChars="0" w:firstLine="0" w:firstLineChars="0"/>
        <w:jc w:val="center"/>
        <w:rPr>
          <w:rFonts w:hint="default" w:ascii="Nimbus Roman No9 L" w:hAnsi="Nimbus Roman No9 L" w:cs="Nimbus Roman No9 L"/>
          <w:sz w:val="28"/>
          <w:szCs w:val="28"/>
          <w:lang w:val="en-US" w:eastAsia="zh-CN"/>
        </w:rPr>
      </w:pPr>
      <w:bookmarkStart w:id="314" w:name="_Toc27288"/>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一</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修订说明</w:t>
      </w:r>
      <w:bookmarkEnd w:id="314"/>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1.将</w:t>
      </w:r>
      <w:r>
        <w:rPr>
          <w:rFonts w:hint="eastAsia" w:ascii="宋体" w:hAnsi="宋体" w:eastAsia="宋体" w:cs="宋体"/>
          <w:sz w:val="21"/>
          <w:szCs w:val="21"/>
          <w:lang w:eastAsia="zh-CN"/>
        </w:rPr>
        <w:t>原《</w:t>
      </w:r>
      <w:r>
        <w:rPr>
          <w:rFonts w:hint="eastAsia" w:ascii="宋体" w:hAnsi="宋体" w:eastAsia="宋体" w:cs="宋体"/>
          <w:sz w:val="21"/>
          <w:szCs w:val="21"/>
        </w:rPr>
        <w:t>调查单位基本情况</w:t>
      </w:r>
      <w:r>
        <w:rPr>
          <w:rFonts w:hint="eastAsia" w:ascii="宋体" w:hAnsi="宋体" w:eastAsia="宋体" w:cs="宋体"/>
          <w:sz w:val="21"/>
          <w:szCs w:val="21"/>
          <w:lang w:eastAsia="zh-CN"/>
        </w:rPr>
        <w:t>》</w:t>
      </w:r>
      <w:r>
        <w:rPr>
          <w:rFonts w:hint="eastAsia" w:ascii="宋体" w:hAnsi="宋体" w:eastAsia="宋体" w:cs="宋体"/>
          <w:sz w:val="21"/>
          <w:szCs w:val="21"/>
        </w:rPr>
        <w:t>报表名称调整为</w:t>
      </w:r>
      <w:r>
        <w:rPr>
          <w:rFonts w:hint="eastAsia" w:ascii="宋体" w:hAnsi="宋体" w:eastAsia="宋体" w:cs="宋体"/>
          <w:sz w:val="21"/>
          <w:szCs w:val="21"/>
          <w:lang w:eastAsia="zh-CN"/>
        </w:rPr>
        <w:t>《</w:t>
      </w:r>
      <w:r>
        <w:rPr>
          <w:rFonts w:hint="eastAsia" w:ascii="宋体" w:hAnsi="宋体" w:eastAsia="宋体" w:cs="宋体"/>
          <w:sz w:val="21"/>
          <w:szCs w:val="21"/>
        </w:rPr>
        <w:t>一套表调查单位基本情况</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default" w:ascii="宋体" w:hAnsi="宋体" w:eastAsia="宋体" w:cs="宋体"/>
          <w:sz w:val="21"/>
          <w:szCs w:val="21"/>
          <w:lang w:val="en-US"/>
        </w:rPr>
        <w:t>-</w:t>
      </w:r>
      <w:r>
        <w:rPr>
          <w:rFonts w:hint="eastAsia" w:ascii="宋体" w:hAnsi="宋体" w:eastAsia="宋体" w:cs="宋体"/>
          <w:sz w:val="21"/>
          <w:szCs w:val="21"/>
        </w:rPr>
        <w:t>1表、201</w:t>
      </w:r>
      <w:r>
        <w:rPr>
          <w:rFonts w:hint="default" w:ascii="宋体" w:hAnsi="宋体" w:eastAsia="宋体" w:cs="宋体"/>
          <w:sz w:val="21"/>
          <w:szCs w:val="21"/>
          <w:lang w:val="en-US"/>
        </w:rPr>
        <w:t>-</w:t>
      </w:r>
      <w:r>
        <w:rPr>
          <w:rFonts w:hint="eastAsia" w:ascii="宋体" w:hAnsi="宋体" w:eastAsia="宋体" w:cs="宋体"/>
          <w:sz w:val="21"/>
          <w:szCs w:val="21"/>
        </w:rPr>
        <w:t>1表）</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一套表调查单位基本情况</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default" w:ascii="宋体" w:hAnsi="宋体" w:eastAsia="宋体" w:cs="宋体"/>
          <w:sz w:val="21"/>
          <w:szCs w:val="21"/>
          <w:lang w:val="en-US"/>
        </w:rPr>
        <w:t>-</w:t>
      </w:r>
      <w:r>
        <w:rPr>
          <w:rFonts w:hint="eastAsia" w:ascii="宋体" w:hAnsi="宋体" w:eastAsia="宋体" w:cs="宋体"/>
          <w:sz w:val="21"/>
          <w:szCs w:val="21"/>
        </w:rPr>
        <w:t>1表、201</w:t>
      </w:r>
      <w:r>
        <w:rPr>
          <w:rFonts w:hint="default" w:ascii="宋体" w:hAnsi="宋体" w:eastAsia="宋体" w:cs="宋体"/>
          <w:sz w:val="21"/>
          <w:szCs w:val="21"/>
          <w:lang w:val="en-US"/>
        </w:rPr>
        <w:t>-</w:t>
      </w:r>
      <w:r>
        <w:rPr>
          <w:rFonts w:hint="eastAsia" w:ascii="宋体" w:hAnsi="宋体" w:eastAsia="宋体" w:cs="宋体"/>
          <w:sz w:val="21"/>
          <w:szCs w:val="21"/>
        </w:rPr>
        <w:t>1表）</w:t>
      </w:r>
      <w:r>
        <w:rPr>
          <w:rFonts w:hint="eastAsia" w:ascii="宋体" w:hAnsi="宋体" w:eastAsia="宋体" w:cs="宋体"/>
          <w:sz w:val="21"/>
          <w:szCs w:val="21"/>
          <w:lang w:eastAsia="zh-CN"/>
        </w:rPr>
        <w:t>中：</w:t>
      </w:r>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增加指标“单位类型”；</w:t>
      </w:r>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取消指标</w:t>
      </w:r>
      <w:r>
        <w:rPr>
          <w:rFonts w:hint="eastAsia" w:ascii="宋体" w:hAnsi="宋体" w:eastAsia="宋体" w:cs="宋体"/>
          <w:sz w:val="21"/>
          <w:szCs w:val="21"/>
        </w:rPr>
        <w:t>“联系方式”中的“传真号码”和“邮政编码”；</w:t>
      </w:r>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取消指标</w:t>
      </w:r>
      <w:r>
        <w:rPr>
          <w:rFonts w:hint="eastAsia" w:ascii="宋体" w:hAnsi="宋体" w:eastAsia="宋体" w:cs="宋体"/>
          <w:sz w:val="21"/>
          <w:szCs w:val="21"/>
        </w:rPr>
        <w:t>单位所在园区及代码；</w:t>
      </w:r>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取消指标</w:t>
      </w:r>
      <w:r>
        <w:rPr>
          <w:rFonts w:hint="eastAsia" w:ascii="宋体" w:hAnsi="宋体" w:eastAsia="宋体" w:cs="宋体"/>
          <w:sz w:val="21"/>
          <w:szCs w:val="21"/>
        </w:rPr>
        <w:t>“登记注册统计类别”中的“900其他市场主体”；</w:t>
      </w:r>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取消指标</w:t>
      </w:r>
      <w:r>
        <w:rPr>
          <w:rFonts w:hint="eastAsia" w:ascii="宋体" w:hAnsi="宋体" w:eastAsia="宋体" w:cs="宋体"/>
          <w:sz w:val="21"/>
          <w:szCs w:val="21"/>
        </w:rPr>
        <w:t>“隶属关系”中的“90其他”；</w:t>
      </w:r>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取消指标</w:t>
      </w:r>
      <w:r>
        <w:rPr>
          <w:rFonts w:hint="eastAsia" w:ascii="宋体" w:hAnsi="宋体" w:eastAsia="宋体" w:cs="宋体"/>
          <w:sz w:val="21"/>
          <w:szCs w:val="21"/>
        </w:rPr>
        <w:t>“建筑业企业新资质等级编码”</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snapToGrid w:val="0"/>
        <w:spacing w:beforeAutospacing="0" w:afterAutospacing="0"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将法人单位所属产业活动单位情况（101</w:t>
      </w:r>
      <w:r>
        <w:rPr>
          <w:rFonts w:hint="eastAsia" w:ascii="宋体" w:hAnsi="宋体" w:eastAsia="宋体" w:cs="宋体"/>
          <w:sz w:val="21"/>
          <w:szCs w:val="21"/>
          <w:lang w:val="en-US"/>
        </w:rPr>
        <w:t>-</w:t>
      </w:r>
      <w:r>
        <w:rPr>
          <w:rFonts w:hint="eastAsia" w:ascii="宋体" w:hAnsi="宋体" w:eastAsia="宋体" w:cs="宋体"/>
          <w:sz w:val="21"/>
          <w:szCs w:val="21"/>
        </w:rPr>
        <w:t>2表）调整为企业组织结构调查表（108表）。</w:t>
      </w:r>
    </w:p>
    <w:p>
      <w:pPr>
        <w:keepNext w:val="0"/>
        <w:keepLines w:val="0"/>
        <w:pageBreakBefore w:val="0"/>
        <w:widowControl/>
        <w:suppressLineNumbers w:val="0"/>
        <w:kinsoku/>
        <w:wordWrap/>
        <w:overflowPunct/>
        <w:topLinePunct w:val="0"/>
        <w:autoSpaceDE/>
        <w:autoSpaceDN/>
        <w:bidi w:val="0"/>
        <w:snapToGrid w:val="0"/>
        <w:spacing w:beforeAutospacing="0" w:afterAutospacing="0" w:line="360" w:lineRule="exact"/>
        <w:ind w:left="0" w:right="0" w:firstLine="420" w:firstLineChars="200"/>
        <w:jc w:val="left"/>
        <w:rPr>
          <w:rFonts w:hint="eastAsia" w:ascii="宋体" w:hAnsi="宋体" w:cs="宋体"/>
          <w:szCs w:val="21"/>
        </w:rPr>
      </w:pPr>
      <w:r>
        <w:rPr>
          <w:rFonts w:hint="eastAsia" w:ascii="宋体" w:hAnsi="宋体" w:eastAsia="宋体" w:cs="宋体"/>
          <w:kern w:val="2"/>
          <w:sz w:val="21"/>
          <w:szCs w:val="21"/>
          <w:lang w:val="en-US" w:eastAsia="zh-CN" w:bidi="ar"/>
        </w:rPr>
        <w:t>4.《从业人员及工资总额》（102-1表）调整报表报送时间。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420" w:firstLineChars="200"/>
        <w:jc w:val="both"/>
        <w:textAlignment w:val="baseline"/>
        <w:rPr>
          <w:rFonts w:hint="eastAsia" w:ascii="宋体" w:hAnsi="宋体" w:eastAsia="宋体" w:cs="宋体"/>
          <w:kern w:val="2"/>
          <w:sz w:val="21"/>
          <w:szCs w:val="21"/>
          <w:lang w:val="en-US" w:eastAsia="zh-CN" w:bidi="ar"/>
        </w:rPr>
      </w:pPr>
      <w:r>
        <w:rPr>
          <w:rFonts w:hint="eastAsia" w:ascii="宋体" w:hAnsi="宋体" w:eastAsia="宋体" w:cs="宋体"/>
          <w:b w:val="0"/>
          <w:bCs w:val="0"/>
          <w:kern w:val="2"/>
          <w:sz w:val="21"/>
          <w:szCs w:val="21"/>
          <w:lang w:val="en-US" w:eastAsia="zh-CN" w:bidi="ar"/>
        </w:rPr>
        <w:t>5.</w:t>
      </w:r>
      <w:r>
        <w:rPr>
          <w:rFonts w:hint="eastAsia" w:ascii="宋体" w:hAnsi="宋体" w:eastAsia="宋体" w:cs="宋体"/>
          <w:kern w:val="2"/>
          <w:sz w:val="21"/>
          <w:szCs w:val="21"/>
          <w:lang w:val="en-US" w:eastAsia="zh-CN" w:bidi="ar"/>
        </w:rPr>
        <w:t>《从业人员及工资总额》（202-1表）报送范围由“辖区内规模以上服务业法人单位”调整为“辖区内规模以上服务业法人单位中抽中的样本法人单位”；增加从业人员期末人数、从业人员平均人数、从业人员工资总额、从业人员平均工资及其分组的“本季”和“1—本季”汇总指标。</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firstLine="420" w:firstLineChars="200"/>
        <w:textAlignment w:val="baseline"/>
        <w:rPr>
          <w:rFonts w:hint="default"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6.</w:t>
      </w:r>
      <w:r>
        <w:rPr>
          <w:rFonts w:hint="eastAsia" w:ascii="宋体" w:hAnsi="宋体" w:eastAsia="宋体" w:cs="宋体"/>
          <w:b w:val="0"/>
          <w:bCs w:val="0"/>
          <w:kern w:val="2"/>
          <w:sz w:val="21"/>
          <w:szCs w:val="21"/>
          <w:lang w:eastAsia="zh-CN"/>
        </w:rPr>
        <w:t>《</w:t>
      </w:r>
      <w:r>
        <w:rPr>
          <w:rFonts w:hint="eastAsia" w:ascii="宋体" w:hAnsi="宋体" w:eastAsia="宋体" w:cs="宋体"/>
          <w:b w:val="0"/>
          <w:bCs w:val="0"/>
          <w:kern w:val="2"/>
          <w:sz w:val="21"/>
          <w:szCs w:val="21"/>
        </w:rPr>
        <w:t>财务状况</w:t>
      </w:r>
      <w:r>
        <w:rPr>
          <w:rFonts w:hint="eastAsia" w:ascii="宋体" w:hAnsi="宋体" w:eastAsia="宋体" w:cs="宋体"/>
          <w:b w:val="0"/>
          <w:bCs w:val="0"/>
          <w:kern w:val="2"/>
          <w:sz w:val="21"/>
          <w:szCs w:val="21"/>
          <w:lang w:eastAsia="zh-CN"/>
        </w:rPr>
        <w:t>》</w:t>
      </w:r>
      <w:r>
        <w:rPr>
          <w:rFonts w:hint="eastAsia" w:ascii="宋体" w:hAnsi="宋体" w:eastAsia="宋体" w:cs="宋体"/>
          <w:kern w:val="2"/>
          <w:sz w:val="21"/>
          <w:szCs w:val="21"/>
        </w:rPr>
        <w:t>（F103表、F203表）指标“期末用工人数”调整为“平均用工人数”。</w:t>
      </w:r>
    </w:p>
    <w:p>
      <w:pPr>
        <w:keepNext w:val="0"/>
        <w:keepLines w:val="0"/>
        <w:pageBreakBefore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7.《</w:t>
      </w:r>
      <w:r>
        <w:rPr>
          <w:rFonts w:hint="eastAsia" w:ascii="宋体" w:hAnsi="宋体" w:eastAsia="宋体" w:cs="宋体"/>
          <w:sz w:val="21"/>
          <w:szCs w:val="21"/>
          <w:lang w:bidi="ar"/>
        </w:rPr>
        <w:t>企业研发活动及相关情况</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107-2</w:t>
      </w:r>
      <w:r>
        <w:rPr>
          <w:rFonts w:hint="eastAsia" w:ascii="宋体" w:hAnsi="宋体" w:eastAsia="宋体" w:cs="宋体"/>
          <w:b w:val="0"/>
          <w:bCs w:val="0"/>
          <w:kern w:val="2"/>
          <w:sz w:val="21"/>
          <w:szCs w:val="21"/>
          <w:lang w:val="en-US" w:eastAsia="zh-CN" w:bidi="ar"/>
        </w:rPr>
        <w:t>表）新增指标“企业研发准备金”，指标解释为“指报告期内企业为保障研发项目的资金需要，在开展研发活动前或研发过程中提前储备的专门用于研发项目、单独核算的资金。”</w:t>
      </w:r>
    </w:p>
    <w:p>
      <w:pPr>
        <w:keepNext w:val="0"/>
        <w:keepLines w:val="0"/>
        <w:pageBreakBefore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8.《</w:t>
      </w:r>
      <w:r>
        <w:rPr>
          <w:rFonts w:hint="eastAsia" w:ascii="宋体" w:hAnsi="宋体" w:eastAsia="宋体" w:cs="宋体"/>
          <w:sz w:val="21"/>
          <w:szCs w:val="21"/>
          <w:lang w:bidi="ar"/>
        </w:rPr>
        <w:t>企业研发活动及相关情况</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107-2</w:t>
      </w:r>
      <w:r>
        <w:rPr>
          <w:rFonts w:hint="eastAsia" w:ascii="宋体" w:hAnsi="宋体" w:eastAsia="宋体" w:cs="宋体"/>
          <w:b w:val="0"/>
          <w:bCs w:val="0"/>
          <w:kern w:val="2"/>
          <w:sz w:val="21"/>
          <w:szCs w:val="21"/>
          <w:lang w:val="en-US" w:eastAsia="zh-CN" w:bidi="ar"/>
        </w:rPr>
        <w:t>表）指标“新产品销售收入”指标解释增加对新产品的定义，增加内容为“新产品是指企业采用新技术原理、新设计构思研制的全新产品，或是在已有产品的基础上，对结构、材料、工艺、性能等方面有较大改进，较原产品有突破性变革，显著提升产品性能的产品。新产品既包括政府有关部门认定并在有效期内的新产品，也包括企业自行研制开发，未经政府部门认定，从投产之日起2年之内的新产品。”</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en-US" w:eastAsia="zh-CN" w:bidi="ar"/>
        </w:rPr>
        <w:t>《</w:t>
      </w:r>
      <w:r>
        <w:rPr>
          <w:rFonts w:hint="eastAsia" w:ascii="宋体" w:hAnsi="宋体" w:cs="宋体"/>
          <w:sz w:val="21"/>
          <w:szCs w:val="21"/>
          <w:lang w:bidi="ar"/>
        </w:rPr>
        <w:t>信息通信技术应用和数字化转型情况</w:t>
      </w:r>
      <w:r>
        <w:rPr>
          <w:rFonts w:hint="eastAsia" w:ascii="宋体" w:hAnsi="宋体" w:cs="宋体"/>
          <w:sz w:val="21"/>
          <w:szCs w:val="21"/>
          <w:lang w:eastAsia="zh-CN" w:bidi="ar"/>
        </w:rPr>
        <w:t>》</w:t>
      </w:r>
      <w:r>
        <w:rPr>
          <w:rFonts w:hint="eastAsia" w:ascii="宋体" w:hAnsi="宋体" w:eastAsia="宋体" w:cs="宋体"/>
          <w:szCs w:val="21"/>
          <w:lang w:val="en-US" w:eastAsia="zh-CN" w:bidi="ar"/>
        </w:rPr>
        <w:t>指</w:t>
      </w:r>
      <w:r>
        <w:rPr>
          <w:rFonts w:hint="eastAsia" w:ascii="宋体" w:hAnsi="宋体" w:eastAsia="宋体" w:cs="宋体"/>
          <w:szCs w:val="21"/>
          <w:lang w:val="en-US" w:eastAsia="zh-CN"/>
        </w:rPr>
        <w:t>标01“贵企业年末使用的计算机”改为“年末贵企业使用的计算机”；指标02新增“其中，从事数据相关业务的人员”</w:t>
      </w:r>
      <w:r>
        <w:rPr>
          <w:rFonts w:hint="eastAsia" w:ascii="宋体" w:hAnsi="宋体" w:eastAsia="宋体" w:cs="宋体"/>
          <w:sz w:val="21"/>
          <w:szCs w:val="21"/>
          <w:lang w:val="en-US" w:eastAsia="zh-CN"/>
        </w:rPr>
        <w:t>；</w:t>
      </w:r>
      <w:r>
        <w:rPr>
          <w:rFonts w:hint="eastAsia" w:ascii="宋体" w:hAnsi="宋体" w:eastAsia="宋体" w:cs="宋体"/>
          <w:szCs w:val="21"/>
          <w:lang w:val="en-US" w:eastAsia="zh-CN"/>
        </w:rPr>
        <w:t>指标03新增“其中，用于数据库运营和维护的费用”；删除原指标07“贵企业在生产经营中是否已进行数字化转型”；新增指标07“贵企业在生产经营中与数据要素有关的情况”。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420" w:firstLineChars="200"/>
        <w:jc w:val="both"/>
        <w:textAlignment w:val="baseline"/>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固定资产投资项目情况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bidi="ar"/>
        </w:rPr>
        <w:t>206表</w:t>
      </w:r>
      <w:r>
        <w:rPr>
          <w:rFonts w:hint="eastAsia" w:ascii="宋体" w:hAnsi="宋体" w:eastAsia="宋体" w:cs="宋体"/>
          <w:color w:val="000000"/>
          <w:sz w:val="21"/>
          <w:szCs w:val="21"/>
        </w:rPr>
        <w:t>）新增指标“已签订合同总额”</w:t>
      </w:r>
      <w:r>
        <w:rPr>
          <w:rFonts w:hint="eastAsia" w:ascii="宋体" w:hAnsi="宋体" w:eastAsia="宋体" w:cs="宋体"/>
          <w:color w:val="000000"/>
          <w:sz w:val="21"/>
          <w:szCs w:val="21"/>
          <w:lang w:eastAsia="zh-CN"/>
        </w:rPr>
        <w:t>；</w:t>
      </w:r>
      <w:r>
        <w:rPr>
          <w:rFonts w:hint="eastAsia" w:ascii="宋体" w:hAnsi="宋体" w:eastAsia="宋体" w:cs="宋体"/>
          <w:color w:val="000000"/>
          <w:kern w:val="2"/>
          <w:sz w:val="21"/>
          <w:szCs w:val="21"/>
          <w:lang w:val="en-US" w:eastAsia="zh-CN" w:bidi="ar"/>
        </w:rPr>
        <w:t>指标“棚户区改造项目”调整为“保障性住房项目”。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420" w:firstLineChars="200"/>
        <w:jc w:val="both"/>
        <w:textAlignment w:val="baseline"/>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11.</w:t>
      </w:r>
      <w:r>
        <w:rPr>
          <w:rFonts w:hint="eastAsia" w:ascii="宋体" w:hAnsi="宋体" w:eastAsia="宋体" w:cs="宋体"/>
          <w:color w:val="000000"/>
          <w:kern w:val="2"/>
          <w:sz w:val="21"/>
          <w:szCs w:val="21"/>
        </w:rPr>
        <w:t>生产经营景气状况</w:t>
      </w:r>
      <w:r>
        <w:rPr>
          <w:rFonts w:hint="eastAsia" w:ascii="宋体" w:hAnsi="宋体" w:eastAsia="宋体" w:cs="宋体"/>
          <w:b w:val="0"/>
          <w:bCs w:val="0"/>
          <w:color w:val="000000"/>
          <w:kern w:val="2"/>
          <w:sz w:val="21"/>
          <w:szCs w:val="21"/>
        </w:rPr>
        <w:t>（F210表）</w:t>
      </w:r>
      <w:r>
        <w:rPr>
          <w:rFonts w:hint="eastAsia" w:ascii="宋体" w:hAnsi="宋体" w:eastAsia="宋体" w:cs="宋体"/>
          <w:b w:val="0"/>
          <w:bCs w:val="0"/>
          <w:sz w:val="21"/>
          <w:szCs w:val="21"/>
        </w:rPr>
        <w:t>指标“本季度企业生产经营面临的突出问题”</w:t>
      </w:r>
      <w:r>
        <w:rPr>
          <w:rFonts w:hint="eastAsia" w:ascii="宋体" w:hAnsi="宋体" w:eastAsia="宋体" w:cs="宋体"/>
          <w:b w:val="0"/>
          <w:bCs w:val="0"/>
          <w:sz w:val="21"/>
          <w:szCs w:val="21"/>
          <w:lang w:eastAsia="zh-CN"/>
        </w:rPr>
        <w:t>取消</w:t>
      </w:r>
      <w:r>
        <w:rPr>
          <w:rFonts w:hint="eastAsia" w:ascii="宋体" w:hAnsi="宋体" w:eastAsia="宋体" w:cs="宋体"/>
          <w:b w:val="0"/>
          <w:bCs w:val="0"/>
          <w:sz w:val="21"/>
          <w:szCs w:val="21"/>
        </w:rPr>
        <w:t>补充说明“如未选5，跳过问题24”，指标</w:t>
      </w:r>
      <w:r>
        <w:rPr>
          <w:rFonts w:hint="eastAsia" w:ascii="宋体" w:hAnsi="宋体" w:eastAsia="宋体" w:cs="宋体"/>
          <w:b w:val="0"/>
          <w:bCs w:val="0"/>
          <w:color w:val="000000"/>
          <w:kern w:val="2"/>
          <w:sz w:val="21"/>
          <w:szCs w:val="21"/>
        </w:rPr>
        <w:t>“您认为是否存在‘招工难’问题”补充说明调整为“若选①，跳过问题33”。</w:t>
      </w:r>
    </w:p>
    <w:p>
      <w:pPr>
        <w:rPr>
          <w:rFonts w:hint="eastAsia"/>
        </w:rPr>
      </w:pPr>
      <w:r>
        <w:rPr>
          <w:rFonts w:hint="eastAsia"/>
        </w:rPr>
        <w:br w:type="page"/>
      </w:r>
    </w:p>
    <w:p>
      <w:pPr>
        <w:rPr>
          <w:rFonts w:hint="eastAsia"/>
        </w:rPr>
      </w:pPr>
    </w:p>
    <w:bookmarkEnd w:id="285"/>
    <w:bookmarkEnd w:id="286"/>
    <w:bookmarkEnd w:id="287"/>
    <w:bookmarkEnd w:id="288"/>
    <w:p>
      <w:pPr>
        <w:pStyle w:val="5"/>
        <w:spacing w:before="0" w:beforeLines="0" w:after="120" w:afterLines="50" w:line="240" w:lineRule="auto"/>
        <w:ind w:left="0" w:leftChars="0" w:firstLine="0" w:firstLineChars="0"/>
        <w:jc w:val="center"/>
        <w:rPr>
          <w:rFonts w:ascii="Nimbus Roman No9 L" w:hAnsi="Nimbus Roman No9 L" w:cs="Nimbus Roman No9 L"/>
          <w:szCs w:val="28"/>
        </w:rPr>
      </w:pPr>
      <w:bookmarkStart w:id="315" w:name="_Toc29759"/>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二</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指标解释</w:t>
      </w:r>
      <w:bookmarkEnd w:id="289"/>
      <w:bookmarkEnd w:id="290"/>
      <w:bookmarkEnd w:id="291"/>
      <w:bookmarkEnd w:id="292"/>
      <w:bookmarkEnd w:id="293"/>
      <w:bookmarkEnd w:id="294"/>
      <w:bookmarkEnd w:id="315"/>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Pr>
        <w:tabs>
          <w:tab w:val="left" w:pos="8280"/>
        </w:tabs>
        <w:snapToGrid w:val="0"/>
        <w:spacing w:before="240" w:beforeLines="100" w:after="240" w:afterLines="100"/>
        <w:jc w:val="center"/>
        <w:outlineLvl w:val="1"/>
        <w:rPr>
          <w:rFonts w:hint="eastAsia" w:ascii="黑体" w:hAnsi="黑体" w:eastAsia="黑体" w:cs="宋体"/>
          <w:bCs/>
          <w:sz w:val="28"/>
          <w:szCs w:val="28"/>
          <w:highlight w:val="yellow"/>
        </w:rPr>
      </w:pPr>
      <w:bookmarkStart w:id="316" w:name="_Toc26563"/>
      <w:bookmarkStart w:id="317" w:name="_Toc2087885216"/>
      <w:bookmarkStart w:id="318" w:name="_Toc1986490137"/>
      <w:bookmarkStart w:id="319" w:name="_Toc1227188320"/>
      <w:bookmarkStart w:id="320" w:name="_Toc44631854"/>
      <w:bookmarkStart w:id="321" w:name="_Toc813630408"/>
      <w:bookmarkStart w:id="322" w:name="_Toc467183571"/>
      <w:bookmarkStart w:id="323" w:name="_Toc1074101843"/>
      <w:bookmarkStart w:id="324" w:name="_Toc1649330292"/>
      <w:bookmarkStart w:id="325" w:name="_Toc32342264"/>
      <w:bookmarkStart w:id="326" w:name="_Toc1767065446"/>
      <w:bookmarkStart w:id="327" w:name="_Toc1441374489"/>
      <w:bookmarkStart w:id="328" w:name="_Toc1629738456"/>
      <w:bookmarkStart w:id="329" w:name="_Toc1085378783"/>
      <w:bookmarkStart w:id="330" w:name="_Toc394089321"/>
      <w:bookmarkStart w:id="331" w:name="_Toc547074030"/>
      <w:bookmarkStart w:id="332" w:name="_Toc737977614"/>
      <w:bookmarkStart w:id="333" w:name="_Toc1843804735"/>
      <w:bookmarkStart w:id="334" w:name="_Toc1728607154"/>
      <w:bookmarkStart w:id="335" w:name="_Toc1390285733"/>
      <w:bookmarkStart w:id="336" w:name="_Toc1510103043"/>
      <w:bookmarkStart w:id="337" w:name="_Toc369629727"/>
      <w:bookmarkStart w:id="338" w:name="_Toc1583253394"/>
      <w:bookmarkStart w:id="339" w:name="_Toc1508706307"/>
      <w:bookmarkStart w:id="340" w:name="_Toc1398770605"/>
      <w:bookmarkStart w:id="341" w:name="_Toc234546936"/>
      <w:bookmarkStart w:id="342" w:name="_Toc1257077978"/>
      <w:bookmarkStart w:id="343" w:name="_Toc408829549"/>
      <w:bookmarkStart w:id="344" w:name="_Toc842690095"/>
      <w:bookmarkStart w:id="345" w:name="_Toc1366379631"/>
      <w:bookmarkStart w:id="346" w:name="_Toc78452545"/>
      <w:bookmarkStart w:id="347" w:name="_Toc1735256142"/>
      <w:bookmarkStart w:id="348" w:name="_Toc449961801"/>
      <w:bookmarkStart w:id="349" w:name="_Toc5137491"/>
      <w:bookmarkStart w:id="350" w:name="_Toc336435276"/>
      <w:bookmarkStart w:id="351" w:name="_Toc1414353502"/>
      <w:bookmarkStart w:id="352" w:name="_Toc64473090"/>
      <w:bookmarkStart w:id="353" w:name="_Toc874457974"/>
      <w:bookmarkStart w:id="354" w:name="_Toc1089061666"/>
      <w:bookmarkStart w:id="355" w:name="_Toc2114503709"/>
      <w:bookmarkStart w:id="356" w:name="_Toc1630261174"/>
      <w:bookmarkStart w:id="357" w:name="_Toc958349903"/>
      <w:bookmarkStart w:id="358" w:name="_Toc1586997182"/>
      <w:bookmarkStart w:id="359" w:name="_Toc1469996151"/>
      <w:bookmarkStart w:id="360" w:name="_Toc1661652593"/>
      <w:bookmarkStart w:id="361" w:name="_Toc419860614"/>
      <w:bookmarkStart w:id="362" w:name="_Toc1028942075"/>
      <w:bookmarkStart w:id="363" w:name="_Toc516852320"/>
      <w:bookmarkStart w:id="364" w:name="_Toc1771732990"/>
      <w:bookmarkStart w:id="365" w:name="_Toc1349591734"/>
      <w:bookmarkStart w:id="366" w:name="_Toc1226089026"/>
      <w:bookmarkStart w:id="367" w:name="_Toc1232555067"/>
      <w:bookmarkStart w:id="368" w:name="_Toc1747690986"/>
      <w:bookmarkStart w:id="369" w:name="_Toc366936398"/>
      <w:bookmarkStart w:id="370" w:name="_Toc1073171769"/>
      <w:bookmarkStart w:id="371" w:name="_Toc1832793869"/>
      <w:bookmarkStart w:id="372" w:name="_Toc457667863"/>
      <w:bookmarkStart w:id="373" w:name="_Toc985299199"/>
      <w:bookmarkStart w:id="374" w:name="_Toc1355030732"/>
      <w:bookmarkStart w:id="375" w:name="_Toc312528772"/>
      <w:bookmarkStart w:id="376" w:name="_Toc671003170"/>
      <w:bookmarkStart w:id="377" w:name="_Toc2103534652"/>
      <w:bookmarkStart w:id="378" w:name="_Toc465341682"/>
      <w:bookmarkStart w:id="379" w:name="_Toc636870352"/>
      <w:bookmarkStart w:id="380" w:name="_Toc1292444992"/>
      <w:bookmarkStart w:id="381" w:name="_Toc50901357"/>
      <w:bookmarkStart w:id="382" w:name="_Toc1765825953"/>
      <w:bookmarkStart w:id="383" w:name="_Toc1154899586"/>
      <w:bookmarkStart w:id="384" w:name="_Toc1139516657"/>
      <w:bookmarkStart w:id="385" w:name="_Toc432222321"/>
      <w:bookmarkStart w:id="386" w:name="_Toc903432233"/>
      <w:bookmarkStart w:id="387" w:name="_Toc471540976"/>
      <w:bookmarkStart w:id="388" w:name="_Toc58775831"/>
      <w:bookmarkStart w:id="389" w:name="_Toc2062892824"/>
      <w:bookmarkStart w:id="390" w:name="_Toc809295519"/>
      <w:bookmarkStart w:id="391" w:name="_Toc1247578811"/>
      <w:bookmarkStart w:id="392" w:name="_Toc810361956"/>
      <w:bookmarkStart w:id="393" w:name="_Toc1104035965"/>
      <w:bookmarkStart w:id="394" w:name="_Toc1693022113"/>
      <w:bookmarkStart w:id="395" w:name="_Toc226932771"/>
      <w:bookmarkStart w:id="396" w:name="_Toc305878199"/>
      <w:bookmarkStart w:id="397" w:name="_Toc1988294329"/>
      <w:bookmarkStart w:id="398" w:name="_Toc1271269557"/>
      <w:bookmarkStart w:id="399" w:name="_Toc1640642103"/>
      <w:bookmarkStart w:id="400" w:name="_Toc1502807122"/>
      <w:bookmarkStart w:id="401" w:name="_Toc1746456742"/>
      <w:bookmarkStart w:id="402" w:name="_Toc2059131339"/>
      <w:bookmarkStart w:id="403" w:name="_Toc907748017"/>
      <w:bookmarkStart w:id="404" w:name="_Toc1106153452"/>
      <w:bookmarkStart w:id="405" w:name="_Toc1485346508"/>
      <w:bookmarkStart w:id="406" w:name="_Toc521113510"/>
      <w:bookmarkStart w:id="407" w:name="_Toc2046414667"/>
      <w:bookmarkStart w:id="408" w:name="_Toc907954298"/>
      <w:bookmarkStart w:id="409" w:name="_Toc577796741"/>
      <w:bookmarkStart w:id="410" w:name="_Toc1938891250"/>
      <w:bookmarkStart w:id="411" w:name="_Toc341639299"/>
      <w:bookmarkStart w:id="412" w:name="_Toc507161758"/>
      <w:bookmarkStart w:id="413" w:name="_Toc375157488"/>
      <w:bookmarkStart w:id="414" w:name="_Toc357452175"/>
      <w:bookmarkStart w:id="415" w:name="_Toc1298488554"/>
      <w:bookmarkStart w:id="416" w:name="_Toc1928943600"/>
      <w:bookmarkStart w:id="417" w:name="_Toc822951694"/>
      <w:bookmarkStart w:id="418" w:name="_Toc1393480053"/>
      <w:bookmarkStart w:id="419" w:name="_Toc948116348"/>
      <w:bookmarkStart w:id="420" w:name="_Toc784669257"/>
      <w:bookmarkStart w:id="421" w:name="_Toc1229511402"/>
      <w:bookmarkStart w:id="422" w:name="_Toc1603851034"/>
      <w:bookmarkStart w:id="423" w:name="_Toc611727031"/>
      <w:bookmarkStart w:id="424" w:name="_Toc934753511"/>
      <w:bookmarkStart w:id="425" w:name="_Toc1820945742"/>
      <w:bookmarkStart w:id="426" w:name="_Toc349600894"/>
      <w:bookmarkStart w:id="427" w:name="_Toc1709776628"/>
      <w:bookmarkStart w:id="428" w:name="_Toc105225061"/>
      <w:bookmarkStart w:id="429" w:name="_Toc2070172603"/>
      <w:bookmarkStart w:id="430" w:name="_Toc949292763"/>
      <w:bookmarkStart w:id="431" w:name="_Toc797706608"/>
      <w:bookmarkStart w:id="432" w:name="_Toc1499981908"/>
      <w:bookmarkStart w:id="433" w:name="_Toc1260301890"/>
      <w:bookmarkStart w:id="434" w:name="_Toc1862590808"/>
      <w:bookmarkStart w:id="435" w:name="_Toc688465491"/>
      <w:bookmarkStart w:id="436" w:name="_Toc760282225"/>
      <w:bookmarkStart w:id="437" w:name="_Toc352537905"/>
      <w:bookmarkStart w:id="438" w:name="_Toc1943099479"/>
      <w:bookmarkStart w:id="439" w:name="_Toc1189033866"/>
      <w:bookmarkStart w:id="440" w:name="_Toc378044914"/>
      <w:bookmarkStart w:id="441" w:name="_Toc1658989127"/>
      <w:bookmarkStart w:id="442" w:name="_Toc1851291597"/>
      <w:bookmarkStart w:id="443" w:name="_Toc1168194740"/>
      <w:bookmarkStart w:id="444" w:name="_Toc1883074071"/>
      <w:bookmarkStart w:id="445" w:name="_Toc146615425"/>
      <w:bookmarkStart w:id="446" w:name="_Toc382666136"/>
      <w:bookmarkStart w:id="447" w:name="_Toc881425191"/>
      <w:bookmarkStart w:id="448" w:name="_Toc776923986"/>
      <w:bookmarkStart w:id="449" w:name="_Toc453551352"/>
      <w:bookmarkStart w:id="450" w:name="_Toc1986583619"/>
      <w:bookmarkStart w:id="451" w:name="_Toc844176711"/>
      <w:bookmarkStart w:id="452" w:name="_Toc1351574579"/>
      <w:bookmarkStart w:id="453" w:name="_Toc1018132475"/>
      <w:bookmarkStart w:id="454" w:name="_Toc1880811373"/>
      <w:bookmarkStart w:id="455" w:name="_Toc1297193025"/>
      <w:bookmarkStart w:id="456" w:name="_Toc207041971"/>
      <w:bookmarkStart w:id="457" w:name="_Toc1269070059"/>
      <w:bookmarkStart w:id="458" w:name="_Toc1485188914"/>
      <w:bookmarkStart w:id="459" w:name="_Toc515234918"/>
      <w:bookmarkStart w:id="460" w:name="_Toc1472610785"/>
      <w:bookmarkStart w:id="461" w:name="_Toc1417341939"/>
      <w:bookmarkStart w:id="462" w:name="_Toc1198917522"/>
      <w:bookmarkStart w:id="463" w:name="_Toc661074673"/>
      <w:bookmarkStart w:id="464" w:name="_Toc1604335621"/>
      <w:bookmarkStart w:id="465" w:name="_Toc231771116"/>
      <w:bookmarkStart w:id="466" w:name="_Toc536046467"/>
      <w:bookmarkStart w:id="467" w:name="_Toc456719597"/>
      <w:bookmarkStart w:id="468" w:name="_Toc1894627578"/>
      <w:bookmarkStart w:id="469" w:name="_Toc393724110"/>
      <w:bookmarkStart w:id="470" w:name="_Toc613662333"/>
      <w:bookmarkStart w:id="471" w:name="_Toc210565233"/>
      <w:bookmarkStart w:id="472" w:name="_Toc1666569797"/>
      <w:bookmarkStart w:id="473" w:name="_Toc512510746"/>
      <w:bookmarkStart w:id="474" w:name="_Toc1660299770"/>
      <w:bookmarkStart w:id="475" w:name="_Toc656662113"/>
      <w:bookmarkStart w:id="476" w:name="_Toc117435258"/>
      <w:bookmarkStart w:id="477" w:name="_Toc1340664023"/>
      <w:bookmarkStart w:id="478" w:name="_Toc211482227"/>
      <w:bookmarkStart w:id="479" w:name="_Toc264873472"/>
      <w:bookmarkStart w:id="480" w:name="_Toc1498116447"/>
      <w:bookmarkStart w:id="481" w:name="_Toc536727850"/>
      <w:bookmarkStart w:id="482" w:name="_Toc840892506"/>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单位基本情况</w:t>
      </w:r>
      <w:bookmarkEnd w:id="316"/>
    </w:p>
    <w:p>
      <w:pPr>
        <w:snapToGrid w:val="0"/>
        <w:spacing w:line="360" w:lineRule="exact"/>
        <w:ind w:firstLine="420" w:firstLineChars="200"/>
        <w:rPr>
          <w:rFonts w:hint="eastAsia" w:ascii="宋体" w:hAnsi="宋体" w:eastAsia="宋体" w:cs="宋体"/>
          <w:i/>
          <w:iCs/>
          <w:szCs w:val="21"/>
        </w:rPr>
      </w:pPr>
      <w:r>
        <w:rPr>
          <w:rFonts w:ascii="Nimbus Roman No9 L" w:hAnsi="Nimbus Roman No9 L" w:eastAsia="黑体" w:cs="Nimbus Roman No9 L"/>
          <w:szCs w:val="21"/>
        </w:rPr>
        <w:t xml:space="preserve">单位类型  </w:t>
      </w:r>
      <w:r>
        <w:rPr>
          <w:rFonts w:hint="eastAsia" w:ascii="宋体" w:hAnsi="宋体" w:eastAsia="宋体" w:cs="宋体"/>
          <w:szCs w:val="21"/>
        </w:rPr>
        <w:t>单位类型分为法人单位</w:t>
      </w:r>
      <w:r>
        <w:rPr>
          <w:rFonts w:hint="eastAsia" w:ascii="宋体" w:hAnsi="宋体" w:eastAsia="宋体" w:cs="宋体"/>
          <w:szCs w:val="21"/>
          <w:lang w:eastAsia="zh-CN"/>
        </w:rPr>
        <w:t>、产业活动单位和个体经营户</w:t>
      </w:r>
      <w:r>
        <w:rPr>
          <w:rFonts w:hint="eastAsia" w:ascii="宋体" w:hAnsi="宋体" w:eastAsia="宋体" w:cs="宋体"/>
          <w:szCs w:val="21"/>
        </w:rPr>
        <w:t>。</w:t>
      </w:r>
    </w:p>
    <w:p>
      <w:pPr>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1.法人单位：指有权拥有资产、承担负债，并独立从事社会经济活动（或与其他单位进行交易）的组织。法人单位应同时具备以下条件：</w:t>
      </w:r>
    </w:p>
    <w:p>
      <w:pPr>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（1）依法成立，有自己的名称、组织机构和场所，能够独立承担负债和其他民事责任；</w:t>
      </w:r>
    </w:p>
    <w:p>
      <w:pPr>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（2）独立拥有和使用（或</w:t>
      </w:r>
      <w:r>
        <w:rPr>
          <w:rFonts w:hint="eastAsia" w:ascii="宋体" w:hAnsi="宋体" w:eastAsia="宋体" w:cs="宋体"/>
          <w:sz w:val="21"/>
          <w:szCs w:val="21"/>
          <w:lang w:eastAsia="zh-CN"/>
        </w:rPr>
        <w:t>受</w:t>
      </w:r>
      <w:r>
        <w:rPr>
          <w:rFonts w:hint="eastAsia" w:ascii="宋体" w:hAnsi="宋体" w:eastAsia="宋体" w:cs="宋体"/>
          <w:sz w:val="21"/>
          <w:szCs w:val="21"/>
        </w:rPr>
        <w:t>权使用）资产，有权与其他单位签订合同；</w:t>
      </w:r>
    </w:p>
    <w:p>
      <w:pPr>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（3）会计上独立核算，能够编制资产负债表等会计报表。</w:t>
      </w:r>
    </w:p>
    <w:p>
      <w:pPr>
        <w:spacing w:line="360" w:lineRule="exact"/>
        <w:ind w:firstLine="420" w:firstLineChars="200"/>
        <w:rPr>
          <w:rFonts w:hint="eastAsia" w:ascii="宋体" w:hAnsi="宋体" w:cs="宋体"/>
          <w:lang w:val="en-US" w:eastAsia="zh-CN"/>
        </w:rPr>
      </w:pPr>
      <w:r>
        <w:rPr>
          <w:rFonts w:hint="eastAsia" w:ascii="宋体" w:hAnsi="宋体" w:cs="宋体"/>
          <w:lang w:val="en-US" w:eastAsia="zh-CN"/>
        </w:rPr>
        <w:t>2.产业活动单位：指位于一个地点，从事一种或主要从事一种社会经济活动的组织或组织的一部分。产业活动单位应同时具备以下条件：</w:t>
      </w:r>
    </w:p>
    <w:p>
      <w:pPr>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在一个场所从事一种或主要从事一种社会经济活动</w:t>
      </w:r>
      <w:r>
        <w:rPr>
          <w:rFonts w:hint="eastAsia" w:ascii="宋体" w:hAnsi="宋体" w:eastAsia="宋体" w:cs="宋体"/>
          <w:sz w:val="21"/>
          <w:szCs w:val="21"/>
        </w:rPr>
        <w:t>；</w:t>
      </w:r>
    </w:p>
    <w:p>
      <w:pPr>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相对</w:t>
      </w:r>
      <w:r>
        <w:rPr>
          <w:rFonts w:hint="eastAsia" w:ascii="宋体" w:hAnsi="宋体" w:eastAsia="宋体" w:cs="宋体"/>
          <w:sz w:val="21"/>
          <w:szCs w:val="21"/>
        </w:rPr>
        <w:t>独立</w:t>
      </w:r>
      <w:r>
        <w:rPr>
          <w:rFonts w:hint="eastAsia" w:ascii="宋体" w:hAnsi="宋体" w:cs="宋体"/>
          <w:sz w:val="21"/>
          <w:szCs w:val="21"/>
          <w:lang w:eastAsia="zh-CN"/>
        </w:rPr>
        <w:t>地组织生产活动或经营活动</w:t>
      </w:r>
      <w:r>
        <w:rPr>
          <w:rFonts w:hint="eastAsia" w:ascii="宋体" w:hAnsi="宋体" w:eastAsia="宋体" w:cs="宋体"/>
          <w:sz w:val="21"/>
          <w:szCs w:val="21"/>
        </w:rPr>
        <w:t>；</w:t>
      </w:r>
    </w:p>
    <w:p>
      <w:pPr>
        <w:snapToGrid w:val="0"/>
        <w:spacing w:line="360" w:lineRule="exact"/>
        <w:ind w:firstLine="420" w:firstLineChars="200"/>
        <w:rPr>
          <w:rFonts w:hint="default"/>
          <w:lang w:val="en-US" w:eastAsia="zh-CN"/>
        </w:rPr>
      </w:pPr>
      <w:r>
        <w:rPr>
          <w:rFonts w:hint="eastAsia" w:ascii="宋体" w:hAnsi="宋体" w:eastAsia="宋体" w:cs="宋体"/>
          <w:sz w:val="21"/>
          <w:szCs w:val="21"/>
        </w:rPr>
        <w:t>（3）</w:t>
      </w:r>
      <w:r>
        <w:rPr>
          <w:rFonts w:hint="eastAsia" w:ascii="宋体" w:hAnsi="宋体" w:cs="宋体"/>
          <w:sz w:val="21"/>
          <w:szCs w:val="21"/>
          <w:lang w:eastAsia="zh-CN"/>
        </w:rPr>
        <w:t>能提供收入或者支出等相关资料</w:t>
      </w:r>
      <w:r>
        <w:rPr>
          <w:rFonts w:hint="eastAsia" w:ascii="宋体" w:hAnsi="宋体" w:eastAsia="宋体" w:cs="宋体"/>
          <w:sz w:val="21"/>
          <w:szCs w:val="21"/>
        </w:rPr>
        <w:t>。</w:t>
      </w:r>
    </w:p>
    <w:p>
      <w:pPr>
        <w:spacing w:line="36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3.个体经营户：包括个体工商户和其他个体经营户。</w:t>
      </w:r>
    </w:p>
    <w:p>
      <w:pPr>
        <w:spacing w:line="36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个体工商户是指依照《中华人民共和国市场主体登记管理条例》《促进个体工商户发展条例》等法律、行政法规规定，经经营主体登记机关登记注册，从事工商业经营的个人和家庭。</w:t>
      </w:r>
    </w:p>
    <w:p>
      <w:pPr>
        <w:spacing w:line="36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其他个体经营户是指未在经营主体登记机关登记注册，但是有相对固定场所、一年内实际从事第二产业、第三产业个体经营活动累计三个月以上的个人和家庭，不包括以辅助劳力或者利用农闲时间进行兼营性工业、商业及其他活动的农民和农民家庭。</w:t>
      </w:r>
    </w:p>
    <w:p>
      <w:pPr>
        <w:spacing w:line="360" w:lineRule="exact"/>
        <w:ind w:firstLine="420" w:firstLineChars="200"/>
      </w:pPr>
      <w:r>
        <w:rPr>
          <w:rFonts w:hint="eastAsia" w:ascii="黑体" w:eastAsia="黑体"/>
        </w:rPr>
        <w:t>统一社会信用代码</w:t>
      </w:r>
      <w:r>
        <w:rPr>
          <w:rFonts w:ascii="黑体" w:hAnsi="宋体" w:eastAsia="黑体" w:cs="黑体"/>
        </w:rPr>
        <w:t xml:space="preserve">  </w:t>
      </w:r>
      <w:r>
        <w:rPr>
          <w:rFonts w:hint="eastAsia" w:ascii="宋体"/>
          <w:kern w:val="0"/>
        </w:rPr>
        <w:t>指按照《国务院关于批转发展改革委等部门法人和其他组织统一社会信用代码制度建设总体方案的通知》（国发〔2015〕33号）规定，由赋码主管部门给</w:t>
      </w:r>
      <w:r>
        <w:rPr>
          <w:rFonts w:hint="eastAsia"/>
        </w:rPr>
        <w:t>每一个法人单位和其他组织颁发的在全国范围内唯一的、终身不变的法定身份识别码。</w:t>
      </w:r>
    </w:p>
    <w:p>
      <w:pPr>
        <w:spacing w:line="360" w:lineRule="exact"/>
        <w:ind w:firstLine="420" w:firstLineChars="200"/>
        <w:rPr>
          <w:rFonts w:hint="eastAsia" w:ascii="宋体" w:hAnsi="宋体"/>
        </w:rPr>
      </w:pPr>
      <w:r>
        <w:rPr>
          <w:rFonts w:hint="eastAsia" w:ascii="宋体" w:hAnsi="宋体"/>
        </w:rPr>
        <w:t>统一社会信用代码由18位阿拉伯数字或大写英文字母（不使用I、O、Z、S、V）组成，第1位为登记管理部门代码、第2位为机构类别代码、第3-8位为登记管理机关行政区划码、第9-17位为组织机构代码、第18位为校验码。</w:t>
      </w:r>
    </w:p>
    <w:p>
      <w:pPr>
        <w:spacing w:line="360" w:lineRule="exact"/>
        <w:ind w:firstLine="420" w:firstLineChars="200"/>
        <w:rPr>
          <w:rFonts w:hint="eastAsia" w:ascii="宋体" w:hAnsi="宋体"/>
          <w:spacing w:val="4"/>
        </w:rPr>
      </w:pPr>
      <w:r>
        <w:rPr>
          <w:rFonts w:hint="eastAsia" w:ascii="宋体" w:hAnsi="宋体"/>
        </w:rPr>
        <w:t>第1位：</w:t>
      </w:r>
      <w:r>
        <w:rPr>
          <w:rFonts w:hint="eastAsia" w:ascii="宋体" w:hAnsi="宋体"/>
          <w:spacing w:val="4"/>
        </w:rPr>
        <w:t>登记管理部门代码，使用阿拉伯数字或英文字母表示。分为1机构编制；2外交；3司法行政；4文化；5民政；6旅游；7宗教；8工会；9</w:t>
      </w:r>
      <w:r>
        <w:rPr>
          <w:rFonts w:hint="eastAsia" w:ascii="宋体" w:hAnsi="宋体"/>
          <w:spacing w:val="4"/>
          <w:lang w:eastAsia="zh-CN"/>
        </w:rPr>
        <w:t>市场监管</w:t>
      </w:r>
      <w:r>
        <w:rPr>
          <w:rFonts w:hint="eastAsia" w:ascii="宋体" w:hAnsi="宋体"/>
          <w:spacing w:val="4"/>
        </w:rPr>
        <w:t>；A中央军委改革和编制办公室；N农业；Y其他。</w:t>
      </w:r>
    </w:p>
    <w:p>
      <w:pPr>
        <w:spacing w:line="360" w:lineRule="exact"/>
        <w:ind w:firstLine="420" w:firstLineChars="200"/>
        <w:rPr>
          <w:rFonts w:hint="eastAsia" w:ascii="宋体" w:hAnsi="宋体"/>
        </w:rPr>
      </w:pPr>
      <w:r>
        <w:rPr>
          <w:rFonts w:hint="eastAsia" w:ascii="宋体" w:hAnsi="宋体"/>
        </w:rPr>
        <w:t>第2位：机构类别代码，使用阿拉伯数字表示。分为：</w:t>
      </w:r>
    </w:p>
    <w:p>
      <w:pPr>
        <w:spacing w:line="360" w:lineRule="exact"/>
        <w:ind w:firstLine="420" w:firstLineChars="200"/>
        <w:rPr>
          <w:rFonts w:hint="eastAsia" w:ascii="宋体" w:hAnsi="宋体"/>
        </w:rPr>
      </w:pPr>
      <w:r>
        <w:rPr>
          <w:rFonts w:hint="eastAsia" w:ascii="宋体" w:hAnsi="宋体"/>
        </w:rPr>
        <w:t>1机构编制：1机关，2事业单位，3中央编办直接管理机构编制的群众团体，9其他；</w:t>
      </w:r>
    </w:p>
    <w:p>
      <w:pPr>
        <w:spacing w:line="360" w:lineRule="exact"/>
        <w:ind w:firstLine="420" w:firstLineChars="200"/>
        <w:rPr>
          <w:rFonts w:hint="eastAsia" w:ascii="宋体" w:hAnsi="宋体"/>
        </w:rPr>
      </w:pPr>
      <w:r>
        <w:rPr>
          <w:rFonts w:hint="eastAsia" w:ascii="宋体" w:hAnsi="宋体"/>
        </w:rPr>
        <w:t>2外交：1外国常驻新闻机构，9其他；</w:t>
      </w:r>
    </w:p>
    <w:p>
      <w:pPr>
        <w:spacing w:line="360" w:lineRule="exact"/>
        <w:ind w:firstLine="420" w:firstLineChars="200"/>
        <w:rPr>
          <w:rFonts w:hint="eastAsia" w:ascii="宋体" w:hAnsi="宋体"/>
        </w:rPr>
      </w:pPr>
      <w:r>
        <w:rPr>
          <w:rFonts w:hint="eastAsia" w:ascii="宋体" w:hAnsi="宋体"/>
        </w:rPr>
        <w:t>3司法行政：1律师执业机构，2公证处，3基层法律服务所，4司法鉴定机构，5仲裁委员会，9其他；</w:t>
      </w:r>
    </w:p>
    <w:p>
      <w:pPr>
        <w:spacing w:line="360" w:lineRule="exact"/>
        <w:ind w:firstLine="420" w:firstLineChars="200"/>
        <w:rPr>
          <w:rFonts w:hint="eastAsia" w:ascii="宋体" w:hAnsi="宋体"/>
        </w:rPr>
      </w:pPr>
      <w:r>
        <w:rPr>
          <w:rFonts w:hint="eastAsia" w:ascii="宋体" w:hAnsi="宋体"/>
        </w:rPr>
        <w:t>4文化：1外国在华文化中心，9其他；</w:t>
      </w:r>
    </w:p>
    <w:p>
      <w:pPr>
        <w:spacing w:line="360" w:lineRule="exact"/>
        <w:ind w:firstLine="420" w:firstLineChars="200"/>
        <w:rPr>
          <w:rFonts w:hint="eastAsia" w:ascii="宋体" w:hAnsi="宋体"/>
        </w:rPr>
      </w:pPr>
      <w:r>
        <w:rPr>
          <w:rFonts w:hint="eastAsia" w:ascii="宋体" w:hAnsi="宋体"/>
        </w:rPr>
        <w:t>5民政：1社会团体，2民办非企业单位，3基金会，9其他；</w:t>
      </w:r>
    </w:p>
    <w:p>
      <w:pPr>
        <w:spacing w:line="360" w:lineRule="exact"/>
        <w:ind w:firstLine="420" w:firstLineChars="200"/>
        <w:rPr>
          <w:rFonts w:hint="eastAsia" w:ascii="宋体" w:hAnsi="宋体"/>
        </w:rPr>
      </w:pPr>
      <w:r>
        <w:rPr>
          <w:rFonts w:hint="eastAsia" w:ascii="宋体" w:hAnsi="宋体"/>
        </w:rPr>
        <w:t>6旅游：1外国旅游部门常驻代表机构，2港澳台地区旅游部门常驻内地（大陆）代表机构，9其他；</w:t>
      </w:r>
    </w:p>
    <w:p>
      <w:pPr>
        <w:spacing w:line="360" w:lineRule="exact"/>
        <w:ind w:firstLine="420" w:firstLineChars="200"/>
        <w:rPr>
          <w:rFonts w:hint="eastAsia" w:ascii="宋体" w:hAnsi="宋体"/>
        </w:rPr>
      </w:pPr>
      <w:r>
        <w:rPr>
          <w:rFonts w:hint="eastAsia" w:ascii="宋体" w:hAnsi="宋体"/>
        </w:rPr>
        <w:t>7宗教：1宗教活动场所，2宗教院校，9其他；</w:t>
      </w:r>
    </w:p>
    <w:p>
      <w:pPr>
        <w:spacing w:line="360" w:lineRule="exact"/>
        <w:ind w:firstLine="420" w:firstLineChars="200"/>
        <w:rPr>
          <w:rFonts w:hint="eastAsia" w:ascii="宋体" w:hAnsi="宋体"/>
        </w:rPr>
      </w:pPr>
      <w:r>
        <w:rPr>
          <w:rFonts w:hint="eastAsia" w:ascii="宋体" w:hAnsi="宋体"/>
        </w:rPr>
        <w:t>8工会：1基层工会，9其他；</w:t>
      </w:r>
    </w:p>
    <w:p>
      <w:pPr>
        <w:spacing w:line="360" w:lineRule="exact"/>
        <w:ind w:firstLine="420" w:firstLineChars="200"/>
        <w:rPr>
          <w:rFonts w:hint="eastAsia" w:ascii="宋体" w:hAnsi="宋体"/>
        </w:rPr>
      </w:pPr>
      <w:r>
        <w:rPr>
          <w:rFonts w:hint="eastAsia" w:ascii="宋体" w:hAnsi="宋体"/>
        </w:rPr>
        <w:t>9市场监管：1企业，2个体工商户，3农民专业合作社；</w:t>
      </w:r>
    </w:p>
    <w:p>
      <w:pPr>
        <w:spacing w:line="360" w:lineRule="exact"/>
        <w:ind w:firstLine="420" w:firstLineChars="200"/>
        <w:rPr>
          <w:rFonts w:hint="eastAsia" w:ascii="宋体" w:hAnsi="宋体"/>
        </w:rPr>
      </w:pPr>
      <w:r>
        <w:rPr>
          <w:rFonts w:hint="eastAsia" w:ascii="宋体" w:hAnsi="宋体"/>
        </w:rPr>
        <w:t>A中央军委改革和编制办公室：1军队事业单位，9其他；</w:t>
      </w:r>
    </w:p>
    <w:p>
      <w:pPr>
        <w:spacing w:line="360" w:lineRule="exact"/>
        <w:ind w:firstLine="420" w:firstLineChars="200"/>
        <w:rPr>
          <w:rFonts w:hint="eastAsia" w:ascii="宋体" w:hAnsi="宋体"/>
        </w:rPr>
      </w:pPr>
      <w:r>
        <w:rPr>
          <w:rFonts w:hint="eastAsia" w:ascii="宋体" w:hAnsi="宋体"/>
        </w:rPr>
        <w:t>N农业：1组级集体经济组织，2村级集体经济组织，3乡镇级集体经济组织，9其他；</w:t>
      </w:r>
    </w:p>
    <w:p>
      <w:pPr>
        <w:spacing w:line="360" w:lineRule="exact"/>
        <w:ind w:firstLine="420" w:firstLineChars="200"/>
        <w:rPr>
          <w:rFonts w:hint="eastAsia" w:ascii="宋体" w:hAnsi="宋体"/>
        </w:rPr>
      </w:pPr>
      <w:r>
        <w:rPr>
          <w:rFonts w:hint="eastAsia" w:ascii="宋体" w:hAnsi="宋体"/>
        </w:rPr>
        <w:t>Y其他：不再具体划分机构类别，统一用1表示。</w:t>
      </w:r>
    </w:p>
    <w:p>
      <w:pPr>
        <w:spacing w:line="360" w:lineRule="exact"/>
        <w:ind w:firstLine="420" w:firstLineChars="200"/>
        <w:rPr>
          <w:rFonts w:hint="eastAsia" w:ascii="宋体" w:hAnsi="宋体"/>
        </w:rPr>
      </w:pPr>
      <w:r>
        <w:rPr>
          <w:rFonts w:hint="eastAsia" w:ascii="宋体" w:hAnsi="宋体"/>
        </w:rPr>
        <w:t>第3-8位：登记管理机关行政区划码，使用阿拉伯数字表示。（参照《中华人民共和国行政区划代码》〔GB/T 2260〕）。</w:t>
      </w:r>
    </w:p>
    <w:p>
      <w:pPr>
        <w:spacing w:line="360" w:lineRule="exact"/>
        <w:ind w:firstLine="420" w:firstLineChars="200"/>
        <w:rPr>
          <w:rFonts w:hint="eastAsia" w:ascii="宋体" w:hAnsi="宋体"/>
        </w:rPr>
      </w:pPr>
      <w:r>
        <w:rPr>
          <w:rFonts w:hint="eastAsia" w:ascii="宋体" w:hAnsi="宋体"/>
        </w:rPr>
        <w:t>第9-17位：主体标识码（组织机构代码），使用阿拉伯数字或英文字母表示。（参照《全国组织机构代码编制规则》〔GB 11714〕）。</w:t>
      </w:r>
    </w:p>
    <w:p>
      <w:pPr>
        <w:spacing w:line="360" w:lineRule="exact"/>
        <w:ind w:firstLine="420" w:firstLineChars="200"/>
        <w:rPr>
          <w:rFonts w:hint="eastAsia" w:ascii="宋体" w:hAnsi="宋体"/>
        </w:rPr>
      </w:pPr>
      <w:r>
        <w:rPr>
          <w:rFonts w:hint="eastAsia" w:ascii="宋体" w:hAnsi="宋体"/>
        </w:rPr>
        <w:t>第18位：校验码，使用阿拉伯数字或英文字母表示。</w:t>
      </w:r>
    </w:p>
    <w:p>
      <w:pPr>
        <w:spacing w:line="360" w:lineRule="exact"/>
        <w:ind w:firstLine="420" w:firstLineChars="200"/>
        <w:rPr>
          <w:rFonts w:ascii="宋体" w:hAnsi="宋体"/>
        </w:rPr>
      </w:pPr>
      <w:r>
        <w:rPr>
          <w:rFonts w:hint="eastAsia" w:ascii="宋体" w:hAnsi="宋体"/>
        </w:rPr>
        <w:t>已经领取了统一社会信用代码的单位必须填写统一社会信用代码。在填写时，要按照《营业执照》或其他证照上的统一社会信用代码填写。尚未领取统一社会信用代码的单位，由统计部门赋予统计用临时代码。</w:t>
      </w:r>
    </w:p>
    <w:p>
      <w:pPr>
        <w:snapToGrid w:val="0"/>
        <w:spacing w:line="360" w:lineRule="exact"/>
        <w:ind w:firstLine="420" w:firstLineChars="200"/>
        <w:rPr>
          <w:rFonts w:ascii="宋体"/>
        </w:rPr>
      </w:pPr>
      <w:r>
        <w:rPr>
          <w:rFonts w:hint="eastAsia" w:ascii="黑体" w:hAnsi="宋体" w:eastAsia="黑体" w:cs="黑体"/>
        </w:rPr>
        <w:t>单位详细名称</w:t>
      </w:r>
      <w:r>
        <w:rPr>
          <w:rFonts w:ascii="黑体" w:hAnsi="宋体" w:eastAsia="黑体" w:cs="黑体"/>
        </w:rPr>
        <w:t xml:space="preserve">  </w:t>
      </w:r>
      <w:r>
        <w:rPr>
          <w:rFonts w:hint="eastAsia" w:ascii="宋体" w:hAnsi="宋体" w:cs="宋体"/>
        </w:rPr>
        <w:t>指经有关部门批准正式使用的单位全称。</w:t>
      </w:r>
    </w:p>
    <w:p>
      <w:pPr>
        <w:snapToGrid w:val="0"/>
        <w:spacing w:line="360" w:lineRule="exact"/>
        <w:ind w:firstLine="420" w:firstLineChars="200"/>
        <w:rPr>
          <w:rFonts w:ascii="宋体"/>
          <w:i/>
          <w:iCs/>
          <w:u w:val="single"/>
        </w:rPr>
      </w:pPr>
      <w:r>
        <w:rPr>
          <w:rFonts w:hint="eastAsia" w:ascii="宋体" w:hAnsi="宋体" w:cs="宋体"/>
        </w:rPr>
        <w:t>企业的详细名称按市场监管部门登记的名称填写；机关、事业单位的详细名称按编制部门登记、批准的名称填写；社会团体、民办非企业单位、基金会</w:t>
      </w:r>
      <w:r>
        <w:rPr>
          <w:rFonts w:hint="eastAsia" w:ascii="宋体" w:hAnsi="宋体" w:cs="宋体"/>
          <w:lang w:eastAsia="zh-CN"/>
        </w:rPr>
        <w:t>、宗教活动场所法人</w:t>
      </w:r>
      <w:r>
        <w:rPr>
          <w:rFonts w:hint="eastAsia" w:ascii="宋体" w:hAnsi="宋体" w:cs="宋体"/>
        </w:rPr>
        <w:t>和基层群众自治组织的详细名称按民政部门登记、批准的名称填写。其他</w:t>
      </w:r>
      <w:r>
        <w:rPr>
          <w:rFonts w:ascii="宋体" w:hAnsi="宋体" w:cs="宋体"/>
        </w:rPr>
        <w:t>单位按相关部门登记、批准的</w:t>
      </w:r>
      <w:r>
        <w:rPr>
          <w:rFonts w:hint="eastAsia" w:ascii="宋体" w:hAnsi="宋体" w:cs="宋体"/>
        </w:rPr>
        <w:t>名称</w:t>
      </w:r>
      <w:r>
        <w:rPr>
          <w:rFonts w:ascii="宋体" w:hAnsi="宋体" w:cs="宋体"/>
        </w:rPr>
        <w:t>填写。</w:t>
      </w:r>
      <w:r>
        <w:rPr>
          <w:rFonts w:hint="eastAsia" w:ascii="宋体" w:hAnsi="宋体" w:cs="宋体"/>
        </w:rPr>
        <w:t>填写时</w:t>
      </w:r>
      <w:r>
        <w:rPr>
          <w:rFonts w:hint="eastAsia" w:ascii="宋体" w:hAnsi="宋体" w:cs="宋体"/>
          <w:lang w:eastAsia="zh-CN"/>
        </w:rPr>
        <w:t>应</w:t>
      </w:r>
      <w:r>
        <w:rPr>
          <w:rFonts w:hint="eastAsia" w:ascii="宋体" w:hAnsi="宋体" w:cs="宋体"/>
        </w:rPr>
        <w:t>使用规范化</w:t>
      </w:r>
      <w:r>
        <w:rPr>
          <w:rFonts w:hint="eastAsia" w:ascii="宋体" w:hAnsi="宋体" w:cs="宋体"/>
          <w:lang w:eastAsia="zh-CN"/>
        </w:rPr>
        <w:t>中文</w:t>
      </w:r>
      <w:r>
        <w:rPr>
          <w:rFonts w:hint="eastAsia" w:ascii="宋体" w:hAnsi="宋体" w:cs="宋体"/>
        </w:rPr>
        <w:t>，并与单位公章所使用的名称完全一致，</w:t>
      </w:r>
      <w:r>
        <w:rPr>
          <w:rFonts w:ascii="宋体" w:hAnsi="宋体" w:cs="宋体"/>
        </w:rPr>
        <w:t>不得使用简称、缩写等</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凡经登记主管机关核准或批准，具有两个或两个以上名称的单位，</w:t>
      </w:r>
      <w:r>
        <w:rPr>
          <w:rFonts w:hint="eastAsia" w:ascii="宋体" w:hAnsi="宋体" w:cs="宋体"/>
          <w:lang w:eastAsia="zh-CN"/>
        </w:rPr>
        <w:t>应</w:t>
      </w:r>
      <w:r>
        <w:rPr>
          <w:rFonts w:hint="eastAsia" w:ascii="宋体" w:hAnsi="宋体" w:cs="宋体"/>
        </w:rPr>
        <w:t>填写一个单位名称，同时用括号注明其余的单位名称。</w:t>
      </w:r>
    </w:p>
    <w:p>
      <w:pPr>
        <w:snapToGrid w:val="0"/>
        <w:spacing w:line="360" w:lineRule="exact"/>
        <w:ind w:firstLine="420" w:firstLineChars="200"/>
        <w:rPr>
          <w:rFonts w:ascii="宋体"/>
        </w:rPr>
      </w:pPr>
      <w:r>
        <w:rPr>
          <w:rFonts w:hint="eastAsia" w:ascii="黑体" w:hAnsi="宋体" w:eastAsia="黑体" w:cs="黑体"/>
        </w:rPr>
        <w:t>法定代表人（单位负责人）</w:t>
      </w:r>
      <w:r>
        <w:rPr>
          <w:rFonts w:ascii="黑体" w:hAnsi="宋体" w:eastAsia="黑体" w:cs="黑体"/>
        </w:rPr>
        <w:t xml:space="preserve">  </w:t>
      </w:r>
      <w:r>
        <w:rPr>
          <w:rFonts w:hint="eastAsia" w:ascii="宋体" w:hAnsi="宋体" w:cs="宋体"/>
        </w:rPr>
        <w:t>指依照法律或者法人组织章程规定，代表法人行使职权的负责人。</w:t>
      </w:r>
    </w:p>
    <w:p>
      <w:pPr>
        <w:snapToGrid w:val="0"/>
        <w:spacing w:line="360" w:lineRule="exact"/>
        <w:ind w:firstLine="420" w:firstLineChars="200"/>
        <w:rPr>
          <w:rFonts w:ascii="宋体"/>
        </w:rPr>
      </w:pPr>
      <w:r>
        <w:rPr>
          <w:rFonts w:hint="eastAsia" w:ascii="宋体" w:hAnsi="宋体" w:cs="宋体"/>
        </w:rPr>
        <w:t>企业、事业单位、社会团体、民办非企业单位、基金会</w:t>
      </w:r>
      <w:r>
        <w:rPr>
          <w:rFonts w:hint="eastAsia" w:ascii="宋体" w:hAnsi="宋体" w:cs="宋体"/>
          <w:lang w:eastAsia="zh-CN"/>
        </w:rPr>
        <w:t>、宗教活动场所</w:t>
      </w:r>
      <w:r>
        <w:rPr>
          <w:rFonts w:hint="eastAsia" w:ascii="宋体" w:hAnsi="宋体" w:cs="宋体"/>
        </w:rPr>
        <w:t>和农民</w:t>
      </w:r>
      <w:r>
        <w:rPr>
          <w:rFonts w:ascii="宋体" w:hAnsi="宋体" w:cs="宋体"/>
        </w:rPr>
        <w:t>专业合作社</w:t>
      </w:r>
      <w:r>
        <w:rPr>
          <w:rFonts w:hint="eastAsia" w:ascii="宋体" w:hAnsi="宋体" w:cs="宋体"/>
        </w:rPr>
        <w:t>法人</w:t>
      </w:r>
      <w:r>
        <w:rPr>
          <w:rFonts w:ascii="宋体" w:hAnsi="宋体" w:cs="宋体"/>
        </w:rPr>
        <w:t>的</w:t>
      </w:r>
      <w:r>
        <w:rPr>
          <w:rFonts w:hint="eastAsia" w:ascii="宋体" w:hAnsi="宋体" w:cs="宋体"/>
        </w:rPr>
        <w:t>法定代表人分别按</w:t>
      </w:r>
      <w:r>
        <w:rPr>
          <w:rFonts w:hint="eastAsia" w:ascii="宋体" w:hAnsi="宋体" w:cs="宋体"/>
          <w:lang w:eastAsia="zh-CN"/>
        </w:rPr>
        <w:t>照</w:t>
      </w:r>
      <w:r>
        <w:rPr>
          <w:rFonts w:hint="eastAsia" w:ascii="宋体" w:hAnsi="宋体" w:cs="宋体"/>
        </w:rPr>
        <w:t>《企业法人营业执照》（或新版《营业执照》）、《事业单位法人证书》《社会团体法人登记证书》、《民办非企业单位登记证书》《基金会法人登记证书》</w:t>
      </w:r>
      <w:r>
        <w:rPr>
          <w:rFonts w:hint="eastAsia" w:ascii="宋体" w:hAnsi="宋体" w:cs="宋体"/>
          <w:lang w:eastAsia="zh-CN"/>
        </w:rPr>
        <w:t>《宗教活动场所法人登记证书》</w:t>
      </w:r>
      <w:r>
        <w:rPr>
          <w:rFonts w:ascii="宋体" w:hAnsi="宋体" w:cs="宋体"/>
        </w:rPr>
        <w:t>《农民专业合作社</w:t>
      </w:r>
      <w:r>
        <w:rPr>
          <w:rFonts w:hint="eastAsia" w:ascii="宋体" w:hAnsi="宋体" w:cs="宋体"/>
        </w:rPr>
        <w:t>法人</w:t>
      </w:r>
      <w:r>
        <w:rPr>
          <w:rFonts w:ascii="宋体" w:hAnsi="宋体" w:cs="宋体"/>
        </w:rPr>
        <w:t>营业执照》</w:t>
      </w:r>
      <w:r>
        <w:rPr>
          <w:rFonts w:hint="eastAsia" w:ascii="宋体" w:hAnsi="宋体" w:cs="宋体"/>
        </w:rPr>
        <w:t>（或</w:t>
      </w:r>
      <w:r>
        <w:rPr>
          <w:rFonts w:ascii="宋体" w:hAnsi="宋体" w:cs="宋体"/>
        </w:rPr>
        <w:t>新版《</w:t>
      </w:r>
      <w:r>
        <w:rPr>
          <w:rFonts w:hint="eastAsia" w:ascii="宋体" w:hAnsi="宋体" w:cs="宋体"/>
        </w:rPr>
        <w:t>营业</w:t>
      </w:r>
      <w:r>
        <w:rPr>
          <w:rFonts w:ascii="宋体" w:hAnsi="宋体" w:cs="宋体"/>
        </w:rPr>
        <w:t>执照》</w:t>
      </w:r>
      <w:r>
        <w:rPr>
          <w:rFonts w:hint="eastAsia" w:ascii="宋体" w:hAnsi="宋体" w:cs="宋体"/>
        </w:rPr>
        <w:t>）填写，机关法定代表人填写单位主要负责人。产业活动单位填写本单位的主要负责人。</w:t>
      </w:r>
    </w:p>
    <w:p>
      <w:pPr>
        <w:snapToGrid w:val="0"/>
        <w:spacing w:line="360" w:lineRule="exact"/>
        <w:ind w:firstLine="420" w:firstLineChars="200"/>
        <w:rPr>
          <w:rFonts w:ascii="宋体"/>
        </w:rPr>
      </w:pPr>
      <w:r>
        <w:rPr>
          <w:rFonts w:hint="eastAsia" w:ascii="黑体" w:hAnsi="宋体" w:eastAsia="黑体" w:cs="黑体"/>
        </w:rPr>
        <w:t>单位所在地区划及</w:t>
      </w:r>
      <w:r>
        <w:rPr>
          <w:rFonts w:ascii="黑体" w:hAnsi="宋体" w:eastAsia="黑体" w:cs="黑体"/>
        </w:rPr>
        <w:t xml:space="preserve">详细地址  </w:t>
      </w:r>
      <w:r>
        <w:rPr>
          <w:rFonts w:hint="eastAsia" w:ascii="宋体" w:hAnsi="宋体" w:cs="宋体"/>
        </w:rPr>
        <w:t>指单位主要经营地所处的详细地址等。本栏分两部分填写：</w:t>
      </w:r>
    </w:p>
    <w:p>
      <w:pPr>
        <w:snapToGrid w:val="0"/>
        <w:spacing w:line="360" w:lineRule="exact"/>
        <w:ind w:firstLine="420" w:firstLineChars="200"/>
        <w:rPr>
          <w:rFonts w:ascii="宋体"/>
        </w:rPr>
      </w:pPr>
      <w:r>
        <w:rPr>
          <w:rFonts w:hint="eastAsia" w:ascii="宋体" w:hAnsi="宋体" w:cs="宋体"/>
        </w:rPr>
        <w:t>第一部分：单位主要</w:t>
      </w:r>
      <w:r>
        <w:rPr>
          <w:rFonts w:ascii="宋体" w:hAnsi="宋体" w:cs="宋体"/>
        </w:rPr>
        <w:t>经营地</w:t>
      </w:r>
      <w:r>
        <w:rPr>
          <w:rFonts w:hint="eastAsia" w:ascii="宋体" w:hAnsi="宋体" w:cs="宋体"/>
        </w:rPr>
        <w:t>所处的详细地址。要写明单位主要经营地所在的省</w:t>
      </w:r>
      <w:r>
        <w:rPr>
          <w:rFonts w:ascii="宋体" w:hAnsi="宋体" w:cs="宋体"/>
        </w:rPr>
        <w:t>（</w:t>
      </w:r>
      <w:r>
        <w:rPr>
          <w:rFonts w:hint="eastAsia" w:ascii="宋体" w:hAnsi="宋体" w:cs="宋体"/>
        </w:rPr>
        <w:t>自治区、直辖市</w:t>
      </w:r>
      <w:r>
        <w:rPr>
          <w:rFonts w:ascii="宋体" w:hAnsi="宋体" w:cs="宋体"/>
        </w:rPr>
        <w:t>）</w:t>
      </w:r>
      <w:r>
        <w:rPr>
          <w:rFonts w:hint="eastAsia" w:ascii="宋体" w:hAnsi="宋体" w:cs="宋体"/>
        </w:rPr>
        <w:t>、地</w:t>
      </w:r>
      <w:r>
        <w:rPr>
          <w:rFonts w:ascii="宋体" w:hAnsi="宋体" w:cs="宋体"/>
        </w:rPr>
        <w:t>（</w:t>
      </w:r>
      <w:r>
        <w:rPr>
          <w:rFonts w:hint="eastAsia" w:ascii="宋体" w:hAnsi="宋体" w:cs="宋体"/>
        </w:rPr>
        <w:t>市、州、盟</w:t>
      </w:r>
      <w:r>
        <w:rPr>
          <w:rFonts w:ascii="宋体" w:hAnsi="宋体" w:cs="宋体"/>
        </w:rPr>
        <w:t>）</w:t>
      </w:r>
      <w:r>
        <w:rPr>
          <w:rFonts w:hint="eastAsia" w:ascii="宋体" w:hAnsi="宋体" w:cs="宋体"/>
        </w:rPr>
        <w:t>、县</w:t>
      </w:r>
      <w:r>
        <w:rPr>
          <w:rFonts w:ascii="宋体" w:hAnsi="宋体" w:cs="宋体"/>
        </w:rPr>
        <w:t>（</w:t>
      </w:r>
      <w:r>
        <w:rPr>
          <w:rFonts w:hint="eastAsia" w:ascii="宋体" w:hAnsi="宋体" w:cs="宋体"/>
        </w:rPr>
        <w:t>市、区、旗</w:t>
      </w:r>
      <w:r>
        <w:rPr>
          <w:rFonts w:ascii="宋体" w:hAnsi="宋体" w:cs="宋体"/>
        </w:rPr>
        <w:t>）</w:t>
      </w:r>
      <w:r>
        <w:rPr>
          <w:rFonts w:hint="eastAsia" w:ascii="宋体" w:hAnsi="宋体" w:cs="宋体"/>
        </w:rPr>
        <w:t>、乡</w:t>
      </w:r>
      <w:r>
        <w:rPr>
          <w:rFonts w:ascii="宋体" w:hAnsi="宋体" w:cs="宋体"/>
        </w:rPr>
        <w:t>（</w:t>
      </w:r>
      <w:r>
        <w:rPr>
          <w:rFonts w:hint="eastAsia" w:ascii="宋体" w:hAnsi="宋体" w:cs="宋体"/>
        </w:rPr>
        <w:t>镇、街道</w:t>
      </w:r>
      <w:r>
        <w:rPr>
          <w:rFonts w:ascii="宋体" w:hAnsi="宋体" w:cs="宋体"/>
        </w:rPr>
        <w:t>）</w:t>
      </w:r>
      <w:r>
        <w:rPr>
          <w:rFonts w:hint="eastAsia" w:ascii="宋体" w:hAnsi="宋体" w:cs="宋体"/>
        </w:rPr>
        <w:t>、村（居）委会以及具体街（路）的名称和详细的门牌号码，不能填写通讯号码或通讯信箱号码。</w:t>
      </w:r>
    </w:p>
    <w:p>
      <w:pPr>
        <w:snapToGrid w:val="0"/>
        <w:spacing w:line="360" w:lineRule="exact"/>
        <w:ind w:firstLine="420" w:firstLineChars="200"/>
        <w:rPr>
          <w:rFonts w:ascii="宋体"/>
        </w:rPr>
      </w:pPr>
      <w:r>
        <w:rPr>
          <w:rFonts w:hint="eastAsia" w:ascii="宋体" w:hAnsi="宋体" w:cs="宋体"/>
        </w:rPr>
        <w:t>第二部分：区划代码</w:t>
      </w:r>
      <w:r>
        <w:rPr>
          <w:rFonts w:hint="eastAsia" w:ascii="宋体" w:hAnsi="宋体" w:cs="宋体"/>
          <w:lang w:eastAsia="zh-CN"/>
        </w:rPr>
        <w:t>和城乡代码</w:t>
      </w:r>
      <w:r>
        <w:rPr>
          <w:rFonts w:hint="eastAsia" w:ascii="宋体" w:hAnsi="宋体" w:cs="宋体"/>
        </w:rPr>
        <w:t>，按2</w:t>
      </w:r>
      <w:r>
        <w:rPr>
          <w:rFonts w:ascii="宋体" w:hAnsi="宋体" w:cs="宋体"/>
        </w:rPr>
        <w:t>02</w:t>
      </w:r>
      <w:r>
        <w:rPr>
          <w:rFonts w:hint="eastAsia" w:ascii="宋体" w:hAnsi="宋体" w:cs="宋体"/>
          <w:lang w:val="en-US" w:eastAsia="zh-CN"/>
        </w:rPr>
        <w:t>3</w:t>
      </w:r>
      <w:r>
        <w:rPr>
          <w:rFonts w:hint="eastAsia" w:ascii="宋体" w:hAnsi="宋体" w:cs="宋体"/>
        </w:rPr>
        <w:t>年《统计用</w:t>
      </w:r>
      <w:r>
        <w:rPr>
          <w:rFonts w:ascii="宋体" w:hAnsi="宋体" w:cs="宋体"/>
        </w:rPr>
        <w:t>区划代码</w:t>
      </w:r>
      <w:r>
        <w:rPr>
          <w:rFonts w:hint="eastAsia" w:ascii="宋体" w:hAnsi="宋体" w:cs="宋体"/>
        </w:rPr>
        <w:t>和</w:t>
      </w:r>
      <w:r>
        <w:rPr>
          <w:rFonts w:ascii="宋体" w:hAnsi="宋体" w:cs="宋体"/>
        </w:rPr>
        <w:t>城乡</w:t>
      </w:r>
      <w:r>
        <w:rPr>
          <w:rFonts w:hint="eastAsia" w:ascii="宋体" w:hAnsi="宋体" w:cs="宋体"/>
        </w:rPr>
        <w:t>划分</w:t>
      </w:r>
      <w:r>
        <w:rPr>
          <w:rFonts w:ascii="宋体" w:hAnsi="宋体" w:cs="宋体"/>
        </w:rPr>
        <w:t>代码》</w:t>
      </w:r>
      <w:r>
        <w:rPr>
          <w:rFonts w:hint="eastAsia" w:ascii="宋体" w:hAnsi="宋体" w:cs="宋体"/>
        </w:rPr>
        <w:t>填写，</w:t>
      </w:r>
      <w:r>
        <w:rPr>
          <w:rFonts w:hint="eastAsia" w:ascii="宋体" w:hAnsi="宋体" w:cs="宋体"/>
          <w:u w:val="single"/>
        </w:rPr>
        <w:t>由所在地统计机构统一填写，填报单位免填</w:t>
      </w:r>
      <w:r>
        <w:rPr>
          <w:rFonts w:hint="eastAsia" w:ascii="宋体" w:hAnsi="宋体" w:cs="宋体"/>
        </w:rPr>
        <w:t>。</w:t>
      </w:r>
    </w:p>
    <w:p>
      <w:pPr>
        <w:snapToGrid w:val="0"/>
        <w:spacing w:line="360" w:lineRule="exact"/>
        <w:ind w:firstLine="420" w:firstLineChars="200"/>
        <w:rPr>
          <w:rFonts w:ascii="宋体"/>
        </w:rPr>
      </w:pPr>
      <w:r>
        <w:rPr>
          <w:rFonts w:hint="eastAsia" w:ascii="黑体" w:hAnsi="宋体" w:eastAsia="黑体" w:cs="黑体"/>
        </w:rPr>
        <w:t>单位注册地址区划及</w:t>
      </w:r>
      <w:r>
        <w:rPr>
          <w:rFonts w:ascii="黑体" w:hAnsi="宋体" w:eastAsia="黑体" w:cs="黑体"/>
        </w:rPr>
        <w:t xml:space="preserve">详细地址  </w:t>
      </w:r>
      <w:r>
        <w:rPr>
          <w:rFonts w:hint="eastAsia" w:ascii="宋体" w:hAnsi="宋体" w:cs="宋体"/>
        </w:rPr>
        <w:t>指单位在审批登记部门登记注册的地址。本栏分为两部分填写：</w:t>
      </w:r>
    </w:p>
    <w:p>
      <w:pPr>
        <w:snapToGrid w:val="0"/>
        <w:spacing w:line="360" w:lineRule="exact"/>
        <w:ind w:firstLine="420" w:firstLineChars="200"/>
        <w:rPr>
          <w:rFonts w:ascii="宋体"/>
          <w:u w:val="single"/>
        </w:rPr>
      </w:pPr>
      <w:r>
        <w:rPr>
          <w:rFonts w:hint="eastAsia" w:ascii="宋体" w:hAnsi="宋体" w:cs="宋体"/>
        </w:rPr>
        <w:t>第一部分：单位注册的详细地址，</w:t>
      </w:r>
      <w:r>
        <w:rPr>
          <w:rFonts w:hint="eastAsia" w:ascii="宋体" w:hAnsi="宋体" w:cs="宋体"/>
          <w:u w:val="single"/>
        </w:rPr>
        <w:t>建筑业单位必须填写；</w:t>
      </w:r>
      <w:r>
        <w:rPr>
          <w:rFonts w:hint="eastAsia" w:ascii="宋体" w:hAnsi="宋体" w:cs="宋体"/>
        </w:rPr>
        <w:t>其他行业单位注册地与经营地不一致的需填写本项，地址相同的可免填。要写明单位注册地所在的省</w:t>
      </w:r>
      <w:r>
        <w:rPr>
          <w:rFonts w:ascii="宋体" w:hAnsi="宋体" w:cs="宋体"/>
        </w:rPr>
        <w:t>（</w:t>
      </w:r>
      <w:r>
        <w:rPr>
          <w:rFonts w:hint="eastAsia" w:ascii="宋体" w:hAnsi="宋体" w:cs="宋体"/>
        </w:rPr>
        <w:t>自治区、直辖市</w:t>
      </w:r>
      <w:r>
        <w:rPr>
          <w:rFonts w:ascii="宋体" w:hAnsi="宋体" w:cs="宋体"/>
        </w:rPr>
        <w:t>）</w:t>
      </w:r>
      <w:r>
        <w:rPr>
          <w:rFonts w:hint="eastAsia" w:ascii="宋体" w:hAnsi="宋体" w:cs="宋体"/>
        </w:rPr>
        <w:t>、地</w:t>
      </w:r>
      <w:r>
        <w:rPr>
          <w:rFonts w:ascii="宋体" w:hAnsi="宋体" w:cs="宋体"/>
        </w:rPr>
        <w:t>（</w:t>
      </w:r>
      <w:r>
        <w:rPr>
          <w:rFonts w:hint="eastAsia" w:ascii="宋体" w:hAnsi="宋体" w:cs="宋体"/>
        </w:rPr>
        <w:t>市、州、盟</w:t>
      </w:r>
      <w:r>
        <w:rPr>
          <w:rFonts w:ascii="宋体" w:hAnsi="宋体" w:cs="宋体"/>
        </w:rPr>
        <w:t>）</w:t>
      </w:r>
      <w:r>
        <w:rPr>
          <w:rFonts w:hint="eastAsia" w:ascii="宋体" w:hAnsi="宋体" w:cs="宋体"/>
        </w:rPr>
        <w:t>、县</w:t>
      </w:r>
      <w:r>
        <w:rPr>
          <w:rFonts w:ascii="宋体" w:hAnsi="宋体" w:cs="宋体"/>
        </w:rPr>
        <w:t>（</w:t>
      </w:r>
      <w:r>
        <w:rPr>
          <w:rFonts w:hint="eastAsia" w:ascii="宋体" w:hAnsi="宋体" w:cs="宋体"/>
        </w:rPr>
        <w:t>市、区、旗</w:t>
      </w:r>
      <w:r>
        <w:rPr>
          <w:rFonts w:ascii="宋体" w:hAnsi="宋体" w:cs="宋体"/>
        </w:rPr>
        <w:t>）</w:t>
      </w:r>
      <w:r>
        <w:rPr>
          <w:rFonts w:hint="eastAsia" w:ascii="宋体" w:hAnsi="宋体" w:cs="宋体"/>
        </w:rPr>
        <w:t>、乡</w:t>
      </w:r>
      <w:r>
        <w:rPr>
          <w:rFonts w:ascii="宋体" w:hAnsi="宋体" w:cs="宋体"/>
        </w:rPr>
        <w:t>（</w:t>
      </w:r>
      <w:r>
        <w:rPr>
          <w:rFonts w:hint="eastAsia" w:ascii="宋体" w:hAnsi="宋体" w:cs="宋体"/>
        </w:rPr>
        <w:t>镇、街道</w:t>
      </w:r>
      <w:r>
        <w:rPr>
          <w:rFonts w:ascii="宋体" w:hAnsi="宋体" w:cs="宋体"/>
        </w:rPr>
        <w:t>）</w:t>
      </w:r>
      <w:r>
        <w:rPr>
          <w:rFonts w:hint="eastAsia" w:ascii="宋体" w:hAnsi="宋体" w:cs="宋体"/>
        </w:rPr>
        <w:t>、村（居）委会以及具体街（路）的名称和详细的门牌号码，不能填写通讯号码或通讯信箱号码。</w:t>
      </w:r>
    </w:p>
    <w:p>
      <w:pPr>
        <w:snapToGrid w:val="0"/>
        <w:spacing w:line="360" w:lineRule="exact"/>
        <w:ind w:firstLine="420" w:firstLineChars="200"/>
        <w:rPr>
          <w:rFonts w:ascii="宋体"/>
        </w:rPr>
      </w:pPr>
      <w:r>
        <w:rPr>
          <w:rFonts w:hint="eastAsia" w:ascii="宋体" w:hAnsi="宋体" w:cs="宋体"/>
        </w:rPr>
        <w:t>第二部分：区划代码</w:t>
      </w:r>
      <w:r>
        <w:rPr>
          <w:rFonts w:hint="eastAsia" w:ascii="宋体" w:hAnsi="宋体" w:cs="宋体"/>
          <w:lang w:eastAsia="zh-CN"/>
        </w:rPr>
        <w:t>和城乡代码</w:t>
      </w:r>
      <w:r>
        <w:rPr>
          <w:rFonts w:hint="eastAsia" w:ascii="宋体" w:hAnsi="宋体" w:cs="宋体"/>
        </w:rPr>
        <w:t>，按2</w:t>
      </w:r>
      <w:r>
        <w:rPr>
          <w:rFonts w:ascii="宋体" w:hAnsi="宋体" w:cs="宋体"/>
        </w:rPr>
        <w:t>02</w:t>
      </w:r>
      <w:r>
        <w:rPr>
          <w:rFonts w:hint="eastAsia" w:ascii="宋体" w:hAnsi="宋体" w:cs="宋体"/>
          <w:lang w:val="en-US" w:eastAsia="zh-CN"/>
        </w:rPr>
        <w:t>3</w:t>
      </w:r>
      <w:r>
        <w:rPr>
          <w:rFonts w:hint="eastAsia" w:ascii="宋体" w:hAnsi="宋体" w:cs="宋体"/>
        </w:rPr>
        <w:t>年《统计用</w:t>
      </w:r>
      <w:r>
        <w:rPr>
          <w:rFonts w:ascii="宋体" w:hAnsi="宋体" w:cs="宋体"/>
        </w:rPr>
        <w:t>区划代码</w:t>
      </w:r>
      <w:r>
        <w:rPr>
          <w:rFonts w:hint="eastAsia" w:ascii="宋体" w:hAnsi="宋体" w:cs="宋体"/>
        </w:rPr>
        <w:t>和</w:t>
      </w:r>
      <w:r>
        <w:rPr>
          <w:rFonts w:ascii="宋体" w:hAnsi="宋体" w:cs="宋体"/>
        </w:rPr>
        <w:t>城乡</w:t>
      </w:r>
      <w:r>
        <w:rPr>
          <w:rFonts w:hint="eastAsia" w:ascii="宋体" w:hAnsi="宋体" w:cs="宋体"/>
        </w:rPr>
        <w:t>划分</w:t>
      </w:r>
      <w:r>
        <w:rPr>
          <w:rFonts w:ascii="宋体" w:hAnsi="宋体" w:cs="宋体"/>
        </w:rPr>
        <w:t>代码》</w:t>
      </w:r>
      <w:r>
        <w:rPr>
          <w:rFonts w:hint="eastAsia" w:ascii="宋体" w:hAnsi="宋体" w:cs="宋体"/>
        </w:rPr>
        <w:t>填写，</w:t>
      </w:r>
      <w:r>
        <w:rPr>
          <w:rFonts w:hint="eastAsia" w:ascii="宋体" w:hAnsi="宋体" w:cs="宋体"/>
          <w:u w:val="single"/>
        </w:rPr>
        <w:t>由所在地统计机构统一填写，填报单位免填</w:t>
      </w:r>
      <w:r>
        <w:rPr>
          <w:rFonts w:hint="eastAsia" w:ascii="宋体" w:hAnsi="宋体" w:cs="宋体"/>
        </w:rPr>
        <w:t>。</w:t>
      </w:r>
    </w:p>
    <w:p>
      <w:pPr>
        <w:snapToGrid w:val="0"/>
        <w:spacing w:line="360" w:lineRule="exact"/>
        <w:ind w:firstLine="420" w:firstLineChars="200"/>
        <w:rPr>
          <w:rFonts w:ascii="宋体"/>
        </w:rPr>
      </w:pPr>
      <w:r>
        <w:rPr>
          <w:rFonts w:hint="eastAsia" w:ascii="黑体" w:hAnsi="宋体" w:eastAsia="黑体" w:cs="黑体"/>
        </w:rPr>
        <w:t>联系</w:t>
      </w:r>
      <w:r>
        <w:rPr>
          <w:rFonts w:hint="eastAsia" w:ascii="黑体" w:hAnsi="宋体" w:eastAsia="黑体" w:cs="黑体"/>
          <w:lang w:eastAsia="zh-CN"/>
        </w:rPr>
        <w:t>电话</w:t>
      </w:r>
      <w:r>
        <w:rPr>
          <w:rFonts w:ascii="黑体" w:hAnsi="宋体" w:eastAsia="黑体" w:cs="黑体"/>
        </w:rPr>
        <w:t xml:space="preserve">  </w:t>
      </w:r>
      <w:r>
        <w:rPr>
          <w:rFonts w:hint="eastAsia" w:ascii="宋体" w:hAnsi="宋体" w:cs="宋体"/>
        </w:rPr>
        <w:t>包括固定电话</w:t>
      </w:r>
      <w:r>
        <w:rPr>
          <w:rFonts w:hint="eastAsia" w:ascii="宋体" w:hAnsi="宋体" w:cs="宋体"/>
          <w:lang w:eastAsia="zh-CN"/>
        </w:rPr>
        <w:t>和</w:t>
      </w:r>
      <w:r>
        <w:rPr>
          <w:rFonts w:hint="eastAsia" w:ascii="宋体" w:hAnsi="宋体" w:cs="宋体"/>
        </w:rPr>
        <w:t>移动电话等能够与单位取得联系的信息。</w:t>
      </w:r>
    </w:p>
    <w:p>
      <w:pPr>
        <w:snapToGrid w:val="0"/>
        <w:spacing w:line="360" w:lineRule="exact"/>
        <w:ind w:firstLine="420" w:firstLineChars="200"/>
        <w:rPr>
          <w:rFonts w:ascii="宋体"/>
        </w:rPr>
      </w:pPr>
      <w:r>
        <w:rPr>
          <w:rFonts w:hint="eastAsia" w:ascii="宋体" w:hAnsi="宋体" w:cs="宋体"/>
        </w:rPr>
        <w:t>电话号码以填写固定电话号码为主，对于确实没有固定电话号码的单位，可以填写主要负责人的移动电话号码。</w:t>
      </w:r>
    </w:p>
    <w:p>
      <w:pPr>
        <w:snapToGrid w:val="0"/>
        <w:spacing w:line="360" w:lineRule="exact"/>
        <w:ind w:firstLine="420" w:firstLineChars="200"/>
        <w:rPr>
          <w:rFonts w:ascii="宋体"/>
        </w:rPr>
      </w:pPr>
      <w:r>
        <w:rPr>
          <w:rFonts w:hint="eastAsia" w:ascii="黑体" w:hAnsi="宋体" w:eastAsia="黑体" w:cs="黑体"/>
        </w:rPr>
        <w:t>行业类别</w:t>
      </w:r>
      <w:r>
        <w:rPr>
          <w:rFonts w:ascii="黑体" w:hAnsi="宋体" w:eastAsia="黑体" w:cs="黑体"/>
        </w:rPr>
        <w:t xml:space="preserve">  </w:t>
      </w:r>
      <w:r>
        <w:rPr>
          <w:rFonts w:hint="eastAsia" w:ascii="宋体" w:hAnsi="宋体" w:cs="黑体"/>
        </w:rPr>
        <w:t>指</w:t>
      </w:r>
      <w:r>
        <w:rPr>
          <w:rFonts w:hint="eastAsia" w:ascii="宋体" w:hAnsi="宋体" w:cs="宋体"/>
        </w:rPr>
        <w:t>根据其从事的社会经济活动性质对各类单位进行的分类。本项分两部分填写：</w:t>
      </w:r>
    </w:p>
    <w:p>
      <w:pPr>
        <w:snapToGrid w:val="0"/>
        <w:spacing w:line="360" w:lineRule="exact"/>
        <w:ind w:firstLine="420" w:firstLineChars="200"/>
        <w:rPr>
          <w:rFonts w:hint="eastAsia" w:ascii="宋体"/>
        </w:rPr>
      </w:pPr>
      <w:r>
        <w:rPr>
          <w:rFonts w:hint="eastAsia" w:ascii="宋体" w:hAnsi="宋体" w:cs="宋体"/>
        </w:rPr>
        <w:t>第一部分：</w:t>
      </w:r>
      <w:r>
        <w:rPr>
          <w:rFonts w:hint="eastAsia" w:ascii="宋体" w:hAnsi="宋体" w:eastAsia="宋体" w:cs="宋体"/>
          <w:sz w:val="21"/>
          <w:szCs w:val="21"/>
        </w:rPr>
        <w:t>主要业务活动</w:t>
      </w:r>
      <w:r>
        <w:rPr>
          <w:rFonts w:hint="eastAsia" w:ascii="宋体" w:hAnsi="宋体" w:eastAsia="宋体" w:cs="宋体"/>
          <w:sz w:val="21"/>
          <w:szCs w:val="21"/>
          <w:lang w:eastAsia="zh-CN"/>
        </w:rPr>
        <w:t>，指企业为完成经营目标而从事的日常业务活动中的主要活动</w:t>
      </w:r>
      <w:r>
        <w:rPr>
          <w:rFonts w:hint="eastAsia" w:ascii="宋体" w:hAnsi="宋体" w:eastAsia="宋体" w:cs="宋体"/>
          <w:sz w:val="21"/>
          <w:szCs w:val="21"/>
        </w:rPr>
        <w:t>。具体填写各单位的一至三种主要业务活动名称，并按</w:t>
      </w:r>
      <w:r>
        <w:rPr>
          <w:rFonts w:hint="eastAsia" w:ascii="宋体" w:hAnsi="宋体" w:eastAsia="宋体" w:cs="宋体"/>
          <w:sz w:val="21"/>
          <w:szCs w:val="21"/>
          <w:lang w:eastAsia="zh-CN"/>
        </w:rPr>
        <w:t>各项业务活动</w:t>
      </w:r>
      <w:r>
        <w:rPr>
          <w:rFonts w:hint="eastAsia" w:ascii="宋体" w:hAnsi="宋体" w:eastAsia="宋体" w:cs="宋体"/>
          <w:sz w:val="21"/>
          <w:szCs w:val="21"/>
        </w:rPr>
        <w:t>增加值所占比重，从大到小顺序排列。</w:t>
      </w:r>
      <w:r>
        <w:rPr>
          <w:rFonts w:hint="eastAsia" w:ascii="宋体" w:hAnsi="宋体" w:eastAsia="宋体" w:cs="宋体"/>
          <w:sz w:val="21"/>
          <w:szCs w:val="21"/>
          <w:lang w:eastAsia="zh-CN"/>
        </w:rPr>
        <w:t>如果</w:t>
      </w:r>
      <w:r>
        <w:rPr>
          <w:rFonts w:hint="eastAsia" w:ascii="宋体" w:hAnsi="宋体" w:eastAsia="宋体" w:cs="宋体"/>
          <w:kern w:val="0"/>
          <w:sz w:val="21"/>
          <w:szCs w:val="21"/>
          <w:lang w:val="en-US" w:eastAsia="zh-CN" w:bidi="ar"/>
        </w:rPr>
        <w:t>无法用增加值确定单位的主要活动，按照</w:t>
      </w:r>
      <w:r>
        <w:rPr>
          <w:rFonts w:hint="eastAsia" w:ascii="宋体" w:hAnsi="宋体" w:eastAsia="宋体" w:cs="宋体"/>
          <w:sz w:val="21"/>
          <w:szCs w:val="21"/>
        </w:rPr>
        <w:t>《国民经济行业分类》（GB/T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4754－2017）</w:t>
      </w:r>
      <w:r>
        <w:rPr>
          <w:rFonts w:hint="eastAsia" w:ascii="宋体" w:hAnsi="宋体" w:eastAsia="宋体" w:cs="宋体"/>
          <w:sz w:val="21"/>
          <w:szCs w:val="21"/>
          <w:lang w:eastAsia="zh-CN"/>
        </w:rPr>
        <w:t>相关规定填写，依据销售收入、营业收入或从业人员来确定。</w:t>
      </w:r>
      <w:r>
        <w:rPr>
          <w:rFonts w:hint="eastAsia" w:ascii="宋体" w:hAnsi="宋体" w:cs="宋体"/>
        </w:rPr>
        <w:t>填写时</w:t>
      </w:r>
      <w:r>
        <w:rPr>
          <w:rFonts w:ascii="宋体" w:hAnsi="宋体" w:cs="宋体"/>
        </w:rPr>
        <w:t>，按照“动词</w:t>
      </w:r>
      <w:r>
        <w:rPr>
          <w:rFonts w:hint="eastAsia" w:ascii="宋体" w:hAnsi="宋体" w:cs="宋体"/>
        </w:rPr>
        <w:t>+（修饰性定语）名词</w:t>
      </w:r>
      <w:r>
        <w:rPr>
          <w:rFonts w:ascii="宋体" w:hAnsi="宋体" w:cs="宋体"/>
        </w:rPr>
        <w:t>”或“</w:t>
      </w:r>
      <w:r>
        <w:rPr>
          <w:rFonts w:hint="eastAsia" w:ascii="宋体" w:hAnsi="宋体" w:cs="宋体"/>
        </w:rPr>
        <w:t>（修饰性定语）名词+动词</w:t>
      </w:r>
      <w:r>
        <w:rPr>
          <w:rFonts w:ascii="宋体" w:hAnsi="宋体" w:cs="宋体"/>
        </w:rPr>
        <w:t>”</w:t>
      </w:r>
      <w:r>
        <w:rPr>
          <w:rFonts w:hint="eastAsia" w:ascii="宋体" w:hAnsi="宋体" w:cs="宋体"/>
        </w:rPr>
        <w:t>的</w:t>
      </w:r>
      <w:r>
        <w:rPr>
          <w:rFonts w:ascii="宋体" w:hAnsi="宋体" w:cs="宋体"/>
        </w:rPr>
        <w:t>形式填写，动词用于描述业务活动的类型，名词用于描述</w:t>
      </w:r>
      <w:r>
        <w:rPr>
          <w:rFonts w:hint="eastAsia" w:ascii="宋体" w:hAnsi="宋体" w:cs="宋体"/>
        </w:rPr>
        <w:t>商品</w:t>
      </w:r>
      <w:r>
        <w:rPr>
          <w:rFonts w:ascii="宋体" w:hAnsi="宋体" w:cs="宋体"/>
        </w:rPr>
        <w:t>或服务的名称，</w:t>
      </w:r>
      <w:r>
        <w:rPr>
          <w:rFonts w:hint="eastAsia" w:ascii="宋体" w:hAnsi="宋体" w:cs="宋体"/>
        </w:rPr>
        <w:t>如“铝</w:t>
      </w:r>
      <w:r>
        <w:rPr>
          <w:rFonts w:ascii="宋体" w:hAnsi="宋体" w:cs="宋体"/>
        </w:rPr>
        <w:t>矿采掘”“</w:t>
      </w:r>
      <w:r>
        <w:rPr>
          <w:rFonts w:hint="eastAsia" w:ascii="宋体" w:hAnsi="宋体" w:cs="宋体"/>
        </w:rPr>
        <w:t>纯棉</w:t>
      </w:r>
      <w:r>
        <w:rPr>
          <w:rFonts w:ascii="宋体" w:hAnsi="宋体" w:cs="宋体"/>
        </w:rPr>
        <w:t>服装加工”“</w:t>
      </w:r>
      <w:r>
        <w:rPr>
          <w:rFonts w:hint="eastAsia" w:ascii="宋体" w:hAnsi="宋体" w:cs="宋体"/>
        </w:rPr>
        <w:t>市政</w:t>
      </w:r>
      <w:r>
        <w:rPr>
          <w:rFonts w:ascii="宋体" w:hAnsi="宋体" w:cs="宋体"/>
        </w:rPr>
        <w:t>道路施工”“</w:t>
      </w:r>
      <w:r>
        <w:rPr>
          <w:rFonts w:hint="eastAsia" w:ascii="宋体" w:hAnsi="宋体" w:cs="宋体"/>
        </w:rPr>
        <w:t>房地产</w:t>
      </w:r>
      <w:r>
        <w:rPr>
          <w:rFonts w:ascii="宋体" w:hAnsi="宋体" w:cs="宋体"/>
        </w:rPr>
        <w:t>开发经营”“</w:t>
      </w:r>
      <w:r>
        <w:rPr>
          <w:rFonts w:hint="eastAsia" w:ascii="宋体" w:hAnsi="宋体" w:cs="宋体"/>
        </w:rPr>
        <w:t>五金制品批发</w:t>
      </w:r>
      <w:r>
        <w:rPr>
          <w:rFonts w:ascii="宋体" w:hAnsi="宋体" w:cs="宋体"/>
        </w:rPr>
        <w:t>”“</w:t>
      </w:r>
      <w:r>
        <w:rPr>
          <w:rFonts w:hint="eastAsia" w:ascii="宋体" w:hAnsi="宋体" w:cs="宋体"/>
        </w:rPr>
        <w:t>普通</w:t>
      </w:r>
      <w:r>
        <w:rPr>
          <w:rFonts w:ascii="宋体" w:hAnsi="宋体" w:cs="宋体"/>
        </w:rPr>
        <w:t>小学教育”</w:t>
      </w:r>
      <w:r>
        <w:rPr>
          <w:rFonts w:hint="eastAsia" w:ascii="宋体" w:hAnsi="宋体" w:cs="宋体"/>
        </w:rPr>
        <w:t>等</w:t>
      </w:r>
      <w:r>
        <w:rPr>
          <w:rFonts w:ascii="宋体" w:hAnsi="宋体" w:cs="宋体"/>
        </w:rPr>
        <w:t>。</w:t>
      </w:r>
    </w:p>
    <w:p>
      <w:pPr>
        <w:snapToGrid w:val="0"/>
        <w:spacing w:line="360" w:lineRule="exact"/>
        <w:ind w:firstLine="420" w:firstLineChars="200"/>
        <w:rPr>
          <w:rFonts w:ascii="宋体"/>
        </w:rPr>
      </w:pPr>
      <w:r>
        <w:rPr>
          <w:rFonts w:hint="eastAsia" w:ascii="宋体" w:hAnsi="宋体" w:cs="宋体"/>
        </w:rPr>
        <w:t>筹建单位按建成投产</w:t>
      </w:r>
      <w:r>
        <w:rPr>
          <w:rFonts w:ascii="宋体" w:hAnsi="宋体" w:cs="宋体"/>
        </w:rPr>
        <w:t>（</w:t>
      </w:r>
      <w:r>
        <w:rPr>
          <w:rFonts w:hint="eastAsia" w:ascii="宋体" w:hAnsi="宋体" w:cs="宋体"/>
        </w:rPr>
        <w:t>营业</w:t>
      </w:r>
      <w:r>
        <w:rPr>
          <w:rFonts w:ascii="宋体" w:hAnsi="宋体" w:cs="宋体"/>
        </w:rPr>
        <w:t>）</w:t>
      </w:r>
      <w:r>
        <w:rPr>
          <w:rFonts w:hint="eastAsia" w:ascii="宋体" w:hAnsi="宋体" w:cs="宋体"/>
        </w:rPr>
        <w:t>后活动性质填写主要业务活动名称。</w:t>
      </w:r>
    </w:p>
    <w:p>
      <w:pPr>
        <w:snapToGrid w:val="0"/>
        <w:spacing w:line="360" w:lineRule="exact"/>
        <w:ind w:firstLine="420" w:firstLineChars="200"/>
        <w:rPr>
          <w:rFonts w:ascii="宋体"/>
        </w:rPr>
      </w:pPr>
      <w:r>
        <w:rPr>
          <w:rFonts w:hint="eastAsia" w:ascii="宋体" w:hAnsi="宋体" w:cs="宋体"/>
        </w:rPr>
        <w:t>第二部分：行业代码，填报单位免填。由</w:t>
      </w:r>
      <w:r>
        <w:rPr>
          <w:rFonts w:hint="eastAsia" w:ascii="宋体" w:hAnsi="宋体" w:cs="宋体"/>
          <w:u w:val="single"/>
        </w:rPr>
        <w:t>所在地统计机构</w:t>
      </w:r>
      <w:r>
        <w:rPr>
          <w:rFonts w:hint="eastAsia" w:ascii="宋体" w:hAnsi="宋体" w:cs="宋体"/>
        </w:rPr>
        <w:t>根据各单位填写的主要业务活动，对照《国民经济行业分类》</w:t>
      </w:r>
      <w:r>
        <w:rPr>
          <w:rFonts w:ascii="宋体" w:hAnsi="宋体" w:cs="宋体"/>
        </w:rPr>
        <w:t>（GB/T</w:t>
      </w:r>
      <w:r>
        <w:rPr>
          <w:rFonts w:hint="eastAsia" w:ascii="宋体" w:hAnsi="宋体" w:cs="宋体"/>
        </w:rPr>
        <w:t xml:space="preserve"> </w:t>
      </w:r>
      <w:r>
        <w:rPr>
          <w:rFonts w:ascii="宋体" w:hAnsi="宋体" w:cs="宋体"/>
        </w:rPr>
        <w:t>4754</w:t>
      </w:r>
      <w:r>
        <w:rPr>
          <w:rFonts w:hint="eastAsia" w:ascii="宋体" w:hAnsi="宋体" w:cs="宋体"/>
        </w:rPr>
        <w:t>－</w:t>
      </w:r>
      <w:r>
        <w:rPr>
          <w:rFonts w:ascii="宋体" w:hAnsi="宋体" w:cs="宋体"/>
        </w:rPr>
        <w:t>2017）</w:t>
      </w:r>
      <w:r>
        <w:rPr>
          <w:rFonts w:hint="eastAsia" w:ascii="宋体" w:hAnsi="宋体" w:cs="宋体"/>
          <w:u w:val="single"/>
        </w:rPr>
        <w:t>填写行业小类代码</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筹建单位按建成投产</w:t>
      </w:r>
      <w:r>
        <w:rPr>
          <w:rFonts w:ascii="宋体" w:hAnsi="宋体" w:cs="宋体"/>
        </w:rPr>
        <w:t>（</w:t>
      </w:r>
      <w:r>
        <w:rPr>
          <w:rFonts w:hint="eastAsia" w:ascii="宋体" w:hAnsi="宋体" w:cs="宋体"/>
        </w:rPr>
        <w:t>营业</w:t>
      </w:r>
      <w:r>
        <w:rPr>
          <w:rFonts w:ascii="宋体" w:hAnsi="宋体" w:cs="宋体"/>
        </w:rPr>
        <w:t>）</w:t>
      </w:r>
      <w:r>
        <w:rPr>
          <w:rFonts w:hint="eastAsia" w:ascii="宋体" w:hAnsi="宋体" w:cs="宋体"/>
        </w:rPr>
        <w:t>后的活动性质填写行业小类代码。</w:t>
      </w:r>
    </w:p>
    <w:p>
      <w:pPr>
        <w:snapToGrid w:val="0"/>
        <w:spacing w:line="360" w:lineRule="exact"/>
        <w:ind w:firstLine="420" w:firstLineChars="200"/>
        <w:rPr>
          <w:rFonts w:ascii="宋体" w:hAnsi="宋体" w:eastAsia="宋体" w:cs="宋体"/>
          <w:szCs w:val="21"/>
        </w:rPr>
      </w:pPr>
      <w:r>
        <w:rPr>
          <w:rFonts w:ascii="宋体" w:hAnsi="宋体" w:eastAsia="黑体" w:cs="宋体"/>
          <w:szCs w:val="21"/>
        </w:rPr>
        <w:t xml:space="preserve">报表类别 </w:t>
      </w:r>
      <w:r>
        <w:rPr>
          <w:rFonts w:ascii="宋体" w:hAnsi="宋体" w:eastAsia="宋体" w:cs="宋体"/>
          <w:szCs w:val="21"/>
        </w:rPr>
        <w:t xml:space="preserve"> 指</w:t>
      </w:r>
      <w:r>
        <w:rPr>
          <w:rFonts w:hint="eastAsia" w:ascii="宋体" w:hAnsi="宋体" w:eastAsia="宋体" w:cs="宋体"/>
          <w:szCs w:val="21"/>
          <w:lang w:eastAsia="zh-CN"/>
        </w:rPr>
        <w:t>一套表</w:t>
      </w:r>
      <w:r>
        <w:rPr>
          <w:rFonts w:ascii="宋体" w:hAnsi="宋体" w:eastAsia="宋体" w:cs="宋体"/>
          <w:szCs w:val="21"/>
        </w:rPr>
        <w:t>调查单位需要填报某一行业报表的类别，包括农业、规模以上工业、规模以下工业、建筑业、批发和零售业、住宿和餐饮业、房地产开发经营业、规模以上服务业、投资和其他。</w:t>
      </w:r>
      <w:r>
        <w:rPr>
          <w:rFonts w:hint="eastAsia" w:ascii="宋体" w:hAnsi="宋体" w:eastAsia="宋体" w:cs="宋体"/>
          <w:szCs w:val="21"/>
          <w:lang w:eastAsia="zh-CN"/>
        </w:rPr>
        <w:t>一套表</w:t>
      </w:r>
      <w:r>
        <w:rPr>
          <w:rFonts w:ascii="宋体" w:hAnsi="宋体" w:eastAsia="宋体" w:cs="宋体"/>
          <w:szCs w:val="21"/>
        </w:rPr>
        <w:t>调查单位通过报表类别来确定需要填报的报表内容。</w:t>
      </w:r>
    </w:p>
    <w:p>
      <w:pPr>
        <w:snapToGrid w:val="0"/>
        <w:spacing w:line="360" w:lineRule="exact"/>
        <w:ind w:firstLine="420" w:firstLineChars="200"/>
        <w:rPr>
          <w:rFonts w:ascii="黑体" w:hAnsi="宋体" w:eastAsia="黑体"/>
        </w:rPr>
      </w:pPr>
      <w:r>
        <w:rPr>
          <w:rFonts w:hint="eastAsia" w:ascii="黑体" w:hAnsi="宋体" w:eastAsia="黑体" w:cs="黑体"/>
        </w:rPr>
        <w:t>机构类型</w:t>
      </w:r>
      <w:r>
        <w:rPr>
          <w:rFonts w:ascii="黑体" w:hAnsi="宋体" w:eastAsia="黑体" w:cs="黑体"/>
        </w:rPr>
        <w:t xml:space="preserve">  </w:t>
      </w:r>
      <w:r>
        <w:rPr>
          <w:rFonts w:hint="eastAsia" w:ascii="宋体" w:hAnsi="宋体" w:cs="宋体"/>
        </w:rPr>
        <w:t>分为企业、事业单位、机关、社会团体、民办非企业单位、基金会、居委会、村委会、</w:t>
      </w:r>
      <w:r>
        <w:rPr>
          <w:rFonts w:ascii="宋体" w:hAnsi="宋体" w:cs="宋体"/>
        </w:rPr>
        <w:t>农民专业合作社</w:t>
      </w:r>
      <w:r>
        <w:rPr>
          <w:rFonts w:hint="eastAsia" w:ascii="宋体" w:hAnsi="宋体" w:cs="宋体"/>
        </w:rPr>
        <w:t>、</w:t>
      </w:r>
      <w:r>
        <w:rPr>
          <w:rFonts w:ascii="宋体" w:hAnsi="宋体" w:cs="宋体"/>
        </w:rPr>
        <w:t>农村集体经济组织</w:t>
      </w:r>
      <w:r>
        <w:rPr>
          <w:rFonts w:hint="eastAsia" w:ascii="宋体" w:hAnsi="宋体" w:cs="宋体"/>
        </w:rPr>
        <w:t>和其他组织机构。</w:t>
      </w:r>
    </w:p>
    <w:p>
      <w:pPr>
        <w:snapToGrid w:val="0"/>
        <w:spacing w:line="360" w:lineRule="exact"/>
        <w:ind w:firstLine="420" w:firstLineChars="200"/>
        <w:rPr>
          <w:rFonts w:ascii="宋体"/>
        </w:rPr>
      </w:pPr>
      <w:r>
        <w:rPr>
          <w:rFonts w:hint="eastAsia" w:ascii="宋体" w:hAnsi="宋体" w:cs="宋体"/>
        </w:rPr>
        <w:t>1.企业：包括（1）领取《企业法人营业执照》（或新版《营业执照》）的各类企业法人；（2）个人独资企业、合伙企业；（3）领取《营业执照》的企业法人分支</w:t>
      </w:r>
      <w:r>
        <w:rPr>
          <w:rFonts w:ascii="宋体" w:hAnsi="宋体" w:cs="宋体"/>
        </w:rPr>
        <w:t>机构</w:t>
      </w:r>
      <w:r>
        <w:rPr>
          <w:rFonts w:hint="eastAsia" w:ascii="宋体" w:hAnsi="宋体" w:cs="宋体"/>
        </w:rPr>
        <w:t>或经营单位，</w:t>
      </w:r>
      <w:r>
        <w:rPr>
          <w:rFonts w:ascii="宋体" w:hAnsi="宋体"/>
        </w:rPr>
        <w:t>个人独资企业和</w:t>
      </w:r>
      <w:r>
        <w:rPr>
          <w:rFonts w:hint="eastAsia" w:ascii="宋体" w:hAnsi="宋体"/>
        </w:rPr>
        <w:t>合伙</w:t>
      </w:r>
      <w:r>
        <w:rPr>
          <w:rFonts w:ascii="宋体" w:hAnsi="宋体"/>
        </w:rPr>
        <w:t>企业的分支机构</w:t>
      </w:r>
      <w:r>
        <w:rPr>
          <w:rFonts w:hint="eastAsia" w:ascii="宋体" w:hAnsi="宋体" w:cs="宋体"/>
        </w:rPr>
        <w:t>；（4）未经有关部门批准但实际从事生产经营活动、且符合产业活动单位条件的企业法人的组成部分。</w:t>
      </w:r>
    </w:p>
    <w:p>
      <w:pPr>
        <w:snapToGrid w:val="0"/>
        <w:spacing w:line="360" w:lineRule="exact"/>
        <w:ind w:firstLine="420" w:firstLineChars="200"/>
        <w:rPr>
          <w:sz w:val="24"/>
          <w:szCs w:val="24"/>
        </w:rPr>
      </w:pPr>
      <w:r>
        <w:rPr>
          <w:rFonts w:hint="eastAsia" w:ascii="宋体" w:hAnsi="宋体" w:cs="宋体"/>
        </w:rPr>
        <w:t>2.事业单位：包括（1）经机构编制部门批准成立和登记或备案，领取《事业单位法人证书》，取得法人资格的单位；（2）</w:t>
      </w:r>
      <w:r>
        <w:rPr>
          <w:rFonts w:hint="eastAsia" w:cs="宋体"/>
        </w:rPr>
        <w:t>事业法人单位的本部及分支机构或派出机构。</w:t>
      </w:r>
    </w:p>
    <w:p>
      <w:pPr>
        <w:snapToGrid w:val="0"/>
        <w:spacing w:line="360" w:lineRule="exact"/>
        <w:ind w:firstLine="420" w:firstLineChars="200"/>
        <w:rPr>
          <w:rFonts w:ascii="宋体"/>
        </w:rPr>
      </w:pPr>
      <w:r>
        <w:rPr>
          <w:rFonts w:hint="eastAsia" w:ascii="宋体" w:hAnsi="宋体" w:cs="宋体"/>
        </w:rPr>
        <w:t>3.机关：包括国家权力机关、国家行政机关、国家</w:t>
      </w:r>
      <w:r>
        <w:rPr>
          <w:rFonts w:ascii="宋体" w:hAnsi="宋体" w:cs="宋体"/>
        </w:rPr>
        <w:t>监察</w:t>
      </w:r>
      <w:r>
        <w:rPr>
          <w:rFonts w:hint="eastAsia" w:ascii="宋体" w:hAnsi="宋体" w:cs="宋体"/>
        </w:rPr>
        <w:t>机关、司法机关、政党机关、政协组织和其他机关法人；机关法人单位的本部，以及国家权力机关分支机构、国家行政机关分支或派出机构、监察机关分支机构、人民法院分支机构、人民检察院分支机构等。</w:t>
      </w:r>
    </w:p>
    <w:p>
      <w:pPr>
        <w:snapToGrid w:val="0"/>
        <w:spacing w:line="360" w:lineRule="exact"/>
        <w:ind w:firstLine="420" w:firstLineChars="200"/>
        <w:rPr>
          <w:rFonts w:ascii="宋体"/>
        </w:rPr>
      </w:pPr>
      <w:r>
        <w:rPr>
          <w:rFonts w:hint="eastAsia" w:ascii="宋体" w:hAnsi="宋体" w:cs="宋体"/>
        </w:rPr>
        <w:t>（1）国家权力机关：指全国人民代表大会及其常务委员会、地方各级人民代表大会及其常务委员会和办事机构。</w:t>
      </w:r>
    </w:p>
    <w:p>
      <w:pPr>
        <w:snapToGrid w:val="0"/>
        <w:spacing w:line="360" w:lineRule="exact"/>
        <w:ind w:firstLine="420" w:firstLineChars="200"/>
        <w:rPr>
          <w:rFonts w:ascii="宋体"/>
        </w:rPr>
      </w:pPr>
      <w:r>
        <w:rPr>
          <w:rFonts w:hint="eastAsia" w:ascii="宋体" w:hAnsi="宋体" w:cs="宋体"/>
        </w:rPr>
        <w:t>（2）国家行政机关：指国务院和地方各级人民政府及其工作部门，以及地区行政行署。</w:t>
      </w:r>
    </w:p>
    <w:p>
      <w:pPr>
        <w:snapToGrid w:val="0"/>
        <w:spacing w:line="360" w:lineRule="exact"/>
        <w:ind w:firstLine="420" w:firstLineChars="200"/>
        <w:rPr>
          <w:rFonts w:ascii="宋体" w:hAnsi="宋体" w:cs="宋体"/>
        </w:rPr>
      </w:pPr>
      <w:r>
        <w:rPr>
          <w:rFonts w:hint="eastAsia" w:ascii="宋体" w:hAnsi="宋体" w:cs="宋体"/>
        </w:rPr>
        <w:t>（3）</w:t>
      </w:r>
      <w:r>
        <w:rPr>
          <w:rFonts w:hint="eastAsia" w:ascii="宋体" w:hAnsi="宋体"/>
        </w:rPr>
        <w:t>国家</w:t>
      </w:r>
      <w:r>
        <w:rPr>
          <w:rFonts w:ascii="宋体" w:hAnsi="宋体"/>
        </w:rPr>
        <w:t>监察机关：指行使监察</w:t>
      </w:r>
      <w:r>
        <w:rPr>
          <w:rFonts w:hint="eastAsia" w:ascii="宋体" w:hAnsi="宋体"/>
        </w:rPr>
        <w:t>职能</w:t>
      </w:r>
      <w:r>
        <w:rPr>
          <w:rFonts w:ascii="宋体" w:hAnsi="宋体"/>
        </w:rPr>
        <w:t>的</w:t>
      </w:r>
      <w:r>
        <w:rPr>
          <w:rFonts w:hint="eastAsia" w:ascii="宋体" w:hAnsi="宋体"/>
        </w:rPr>
        <w:t>机关</w:t>
      </w:r>
      <w:r>
        <w:rPr>
          <w:rFonts w:ascii="宋体" w:hAnsi="宋体"/>
        </w:rPr>
        <w:t>。</w:t>
      </w:r>
    </w:p>
    <w:p>
      <w:pPr>
        <w:snapToGrid w:val="0"/>
        <w:spacing w:line="360" w:lineRule="exact"/>
        <w:ind w:firstLine="420" w:firstLineChars="200"/>
        <w:rPr>
          <w:rFonts w:ascii="宋体"/>
        </w:rPr>
      </w:pPr>
      <w:r>
        <w:rPr>
          <w:rFonts w:hint="eastAsia" w:ascii="宋体" w:hAnsi="宋体" w:cs="宋体"/>
        </w:rPr>
        <w:t>（4）国家司法机关：指国家审判机关和检察机关。</w:t>
      </w:r>
    </w:p>
    <w:p>
      <w:pPr>
        <w:snapToGrid w:val="0"/>
        <w:spacing w:line="360" w:lineRule="exact"/>
        <w:ind w:firstLine="420" w:firstLineChars="200"/>
        <w:rPr>
          <w:rFonts w:ascii="宋体"/>
        </w:rPr>
      </w:pPr>
      <w:r>
        <w:rPr>
          <w:rFonts w:hint="eastAsia" w:ascii="宋体" w:hAnsi="宋体" w:cs="宋体"/>
        </w:rPr>
        <w:t>（5）政党机关：指中国共产党各级机关和所属办事机构、各民主党派各级机关和办事机构。</w:t>
      </w:r>
    </w:p>
    <w:p>
      <w:pPr>
        <w:snapToGrid w:val="0"/>
        <w:spacing w:line="360" w:lineRule="exact"/>
        <w:ind w:firstLine="420" w:firstLineChars="200"/>
        <w:rPr>
          <w:rFonts w:ascii="宋体"/>
        </w:rPr>
      </w:pPr>
      <w:r>
        <w:rPr>
          <w:rFonts w:hint="eastAsia" w:ascii="宋体" w:hAnsi="宋体" w:cs="宋体"/>
        </w:rPr>
        <w:t>（6）政协组织：指中国人民政治协商会议全国委员会和地方各级委员会及其办事机构。</w:t>
      </w:r>
    </w:p>
    <w:p>
      <w:pPr>
        <w:snapToGrid w:val="0"/>
        <w:spacing w:line="360" w:lineRule="exact"/>
        <w:ind w:firstLine="420" w:firstLineChars="200"/>
        <w:rPr>
          <w:rFonts w:ascii="宋体"/>
        </w:rPr>
      </w:pPr>
      <w:r>
        <w:rPr>
          <w:rFonts w:hint="eastAsia" w:ascii="宋体" w:hAnsi="宋体" w:cs="宋体"/>
        </w:rPr>
        <w:t>4.社会团体：指中国公民自愿组成，为实现会员共同意愿，按照其章程开展活动的非营利性社会组织。包括</w:t>
      </w:r>
      <w:r>
        <w:rPr>
          <w:rFonts w:hint="eastAsia" w:ascii="宋体" w:hAnsi="宋体" w:cs="宋体"/>
          <w:lang w:eastAsia="zh-CN"/>
        </w:rPr>
        <w:t>（1）</w:t>
      </w:r>
      <w:r>
        <w:rPr>
          <w:rFonts w:hint="eastAsia" w:ascii="宋体" w:hAnsi="宋体" w:cs="宋体"/>
        </w:rPr>
        <w:t>经各级民政部门核准登记，领取《社会团体法人登记证书》的各类社会团体；</w:t>
      </w:r>
      <w:r>
        <w:rPr>
          <w:rFonts w:hint="eastAsia" w:ascii="宋体" w:hAnsi="宋体" w:cs="宋体"/>
          <w:lang w:eastAsia="zh-CN"/>
        </w:rPr>
        <w:t>（2）</w:t>
      </w:r>
      <w:r>
        <w:rPr>
          <w:rFonts w:hint="eastAsia" w:ascii="宋体" w:hAnsi="宋体" w:cs="宋体"/>
        </w:rPr>
        <w:t>由各级机构编制管理部门直接管理其机构编制的群众团体；</w:t>
      </w:r>
      <w:r>
        <w:rPr>
          <w:rFonts w:ascii="宋体" w:hAnsi="宋体" w:cs="宋体"/>
        </w:rPr>
        <w:t>（</w:t>
      </w:r>
      <w:r>
        <w:rPr>
          <w:rFonts w:hint="eastAsia" w:ascii="宋体" w:hAnsi="宋体" w:cs="宋体"/>
          <w:lang w:val="en-US" w:eastAsia="zh-CN"/>
        </w:rPr>
        <w:t>3</w:t>
      </w:r>
      <w:r>
        <w:rPr>
          <w:rFonts w:ascii="宋体" w:hAnsi="宋体" w:cs="宋体"/>
        </w:rPr>
        <w:t>）</w:t>
      </w:r>
      <w:r>
        <w:rPr>
          <w:rFonts w:hint="eastAsia" w:ascii="宋体" w:hAnsi="宋体" w:cs="宋体"/>
        </w:rPr>
        <w:t>经国务院批准可以免于登记的社会团体。</w:t>
      </w:r>
    </w:p>
    <w:p>
      <w:pPr>
        <w:snapToGrid w:val="0"/>
        <w:spacing w:line="360" w:lineRule="exact"/>
        <w:ind w:firstLine="420" w:firstLineChars="200"/>
        <w:rPr>
          <w:rFonts w:ascii="宋体"/>
        </w:rPr>
      </w:pPr>
      <w:r>
        <w:rPr>
          <w:rFonts w:hint="eastAsia" w:ascii="宋体" w:hAnsi="宋体" w:cs="宋体"/>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snapToGrid w:val="0"/>
        <w:spacing w:line="360" w:lineRule="exact"/>
        <w:ind w:firstLine="420" w:firstLineChars="200"/>
        <w:rPr>
          <w:sz w:val="24"/>
          <w:szCs w:val="24"/>
        </w:rPr>
      </w:pPr>
      <w:r>
        <w:rPr>
          <w:rFonts w:hint="eastAsia" w:ascii="宋体" w:hAnsi="宋体" w:cs="宋体"/>
        </w:rPr>
        <w:t>6.基金会：指民政部门核准登记的，颁发《基金会法人登记证书》的基金会。</w:t>
      </w:r>
    </w:p>
    <w:p>
      <w:pPr>
        <w:snapToGrid w:val="0"/>
        <w:spacing w:line="360" w:lineRule="exact"/>
        <w:ind w:firstLine="420" w:firstLineChars="200"/>
        <w:rPr>
          <w:rFonts w:ascii="宋体"/>
        </w:rPr>
      </w:pPr>
      <w:r>
        <w:rPr>
          <w:rFonts w:hint="eastAsia" w:ascii="宋体" w:hAnsi="宋体" w:cs="宋体"/>
        </w:rPr>
        <w:t>7.居民委员会：由不设区的市、市辖区的人民政府决定设立的社区（居委会）。</w:t>
      </w:r>
    </w:p>
    <w:p>
      <w:pPr>
        <w:snapToGrid w:val="0"/>
        <w:spacing w:line="360" w:lineRule="exact"/>
        <w:ind w:firstLine="420" w:firstLineChars="200"/>
        <w:rPr>
          <w:rFonts w:ascii="宋体"/>
        </w:rPr>
      </w:pPr>
      <w:r>
        <w:rPr>
          <w:rFonts w:hint="eastAsia" w:ascii="宋体" w:hAnsi="宋体" w:cs="宋体"/>
        </w:rPr>
        <w:t>8.村民委员会：由乡、民族乡、镇的人民政府提出，经村民会议讨论同意后，报县级人民政府批准，设立的村民委员会。</w:t>
      </w:r>
    </w:p>
    <w:p>
      <w:pPr>
        <w:snapToGrid w:val="0"/>
        <w:spacing w:line="360" w:lineRule="exact"/>
        <w:ind w:firstLine="420" w:firstLineChars="200"/>
        <w:rPr>
          <w:rFonts w:ascii="宋体" w:hAnsi="宋体" w:cs="宋体"/>
        </w:rPr>
      </w:pPr>
      <w:r>
        <w:rPr>
          <w:rFonts w:hint="eastAsia" w:ascii="宋体" w:hAnsi="宋体" w:cs="宋体"/>
        </w:rPr>
        <w:t>9.</w:t>
      </w:r>
      <w:r>
        <w:rPr>
          <w:rFonts w:hint="eastAsia" w:ascii="宋体" w:hAnsi="宋体"/>
        </w:rPr>
        <w:t>农民</w:t>
      </w:r>
      <w:r>
        <w:rPr>
          <w:rFonts w:ascii="宋体" w:hAnsi="宋体"/>
        </w:rPr>
        <w:t>专业合作社：</w:t>
      </w:r>
      <w:r>
        <w:rPr>
          <w:rFonts w:hint="eastAsia" w:ascii="宋体" w:hAnsi="宋体"/>
        </w:rPr>
        <w:t>指</w:t>
      </w:r>
      <w:r>
        <w:rPr>
          <w:rFonts w:ascii="宋体" w:hAnsi="宋体"/>
        </w:rPr>
        <w:t>以农村</w:t>
      </w:r>
      <w:r>
        <w:rPr>
          <w:rFonts w:ascii="宋体" w:hAnsi="宋体"/>
          <w:color w:val="auto"/>
          <w:u w:val="none"/>
        </w:rPr>
        <w:t>家庭承包经营</w:t>
      </w:r>
      <w:r>
        <w:rPr>
          <w:rFonts w:ascii="宋体" w:hAnsi="宋体"/>
        </w:rPr>
        <w:t>为基础，通过提供农产品的销售、加工、运输、</w:t>
      </w:r>
      <w:r>
        <w:rPr>
          <w:rFonts w:ascii="宋体" w:hAnsi="宋体"/>
          <w:color w:val="auto"/>
          <w:u w:val="none"/>
        </w:rPr>
        <w:t>贮藏</w:t>
      </w:r>
      <w:r>
        <w:rPr>
          <w:rFonts w:ascii="宋体" w:hAnsi="宋体"/>
        </w:rPr>
        <w:t>以及与农业生产经营有关的技术、信息等服务来实现成员互助目的的组织</w:t>
      </w:r>
      <w:r>
        <w:rPr>
          <w:rFonts w:hint="eastAsia" w:ascii="宋体" w:hAnsi="宋体"/>
        </w:rPr>
        <w:t>。</w:t>
      </w:r>
      <w:r>
        <w:rPr>
          <w:rFonts w:hint="eastAsia" w:ascii="宋体" w:hAnsi="宋体" w:cs="宋体"/>
        </w:rPr>
        <w:t>包括</w:t>
      </w:r>
      <w:r>
        <w:rPr>
          <w:rFonts w:hint="eastAsia" w:ascii="宋体" w:hAnsi="宋体" w:cs="宋体"/>
          <w:lang w:eastAsia="zh-CN"/>
        </w:rPr>
        <w:t>（1）</w:t>
      </w:r>
      <w:r>
        <w:rPr>
          <w:rFonts w:hint="eastAsia" w:ascii="宋体" w:hAnsi="宋体"/>
        </w:rPr>
        <w:t>经</w:t>
      </w:r>
      <w:r>
        <w:rPr>
          <w:rFonts w:ascii="宋体" w:hAnsi="宋体"/>
        </w:rPr>
        <w:t>各级</w:t>
      </w:r>
      <w:r>
        <w:rPr>
          <w:rFonts w:hint="eastAsia" w:ascii="宋体" w:hAnsi="宋体"/>
        </w:rPr>
        <w:t>市场监管</w:t>
      </w:r>
      <w:r>
        <w:rPr>
          <w:rFonts w:ascii="宋体" w:hAnsi="宋体"/>
        </w:rPr>
        <w:t>部门核准登记，</w:t>
      </w:r>
      <w:r>
        <w:rPr>
          <w:rFonts w:hint="eastAsia" w:ascii="宋体" w:hAnsi="宋体"/>
        </w:rPr>
        <w:t>领</w:t>
      </w:r>
      <w:r>
        <w:rPr>
          <w:rFonts w:ascii="宋体" w:hAnsi="宋体"/>
        </w:rPr>
        <w:t>取《农民专业合作社</w:t>
      </w:r>
      <w:r>
        <w:rPr>
          <w:rFonts w:hint="eastAsia" w:ascii="宋体" w:hAnsi="宋体"/>
        </w:rPr>
        <w:t>法人</w:t>
      </w:r>
      <w:r>
        <w:rPr>
          <w:rFonts w:ascii="宋体" w:hAnsi="宋体"/>
        </w:rPr>
        <w:t>营业执照》</w:t>
      </w:r>
      <w:r>
        <w:rPr>
          <w:rFonts w:hint="eastAsia" w:ascii="宋体" w:hAnsi="宋体" w:cs="宋体"/>
        </w:rPr>
        <w:t>或新版《营业执照》</w:t>
      </w:r>
      <w:r>
        <w:rPr>
          <w:rFonts w:ascii="宋体" w:hAnsi="宋体"/>
        </w:rPr>
        <w:t>的</w:t>
      </w:r>
      <w:r>
        <w:rPr>
          <w:rFonts w:hint="eastAsia" w:ascii="宋体" w:hAnsi="宋体"/>
        </w:rPr>
        <w:t>农民专业合作社法人，</w:t>
      </w:r>
      <w:r>
        <w:rPr>
          <w:rFonts w:ascii="宋体" w:hAnsi="宋体"/>
        </w:rPr>
        <w:t>领取新版《</w:t>
      </w:r>
      <w:r>
        <w:rPr>
          <w:rFonts w:hint="eastAsia" w:ascii="宋体" w:hAnsi="宋体"/>
        </w:rPr>
        <w:t>营业</w:t>
      </w:r>
      <w:r>
        <w:rPr>
          <w:rFonts w:ascii="宋体" w:hAnsi="宋体"/>
        </w:rPr>
        <w:t>执照》</w:t>
      </w:r>
      <w:r>
        <w:rPr>
          <w:rFonts w:hint="eastAsia" w:ascii="宋体" w:hAnsi="宋体"/>
        </w:rPr>
        <w:t>的</w:t>
      </w:r>
      <w:r>
        <w:rPr>
          <w:rFonts w:ascii="宋体" w:hAnsi="宋体"/>
        </w:rPr>
        <w:t>农民专业合作社联合社法人</w:t>
      </w:r>
      <w:r>
        <w:rPr>
          <w:rFonts w:hint="eastAsia" w:ascii="宋体" w:hAnsi="宋体"/>
        </w:rPr>
        <w:t>；</w:t>
      </w:r>
      <w:r>
        <w:rPr>
          <w:rFonts w:hint="eastAsia" w:ascii="宋体" w:hAnsi="宋体" w:cs="宋体"/>
          <w:lang w:eastAsia="zh-CN"/>
        </w:rPr>
        <w:t>（2）</w:t>
      </w:r>
      <w:r>
        <w:rPr>
          <w:rFonts w:hint="eastAsia" w:ascii="宋体" w:hAnsi="宋体" w:cs="宋体"/>
        </w:rPr>
        <w:t>经</w:t>
      </w:r>
      <w:r>
        <w:rPr>
          <w:rFonts w:ascii="宋体" w:hAnsi="宋体" w:cs="宋体"/>
        </w:rPr>
        <w:t>各级</w:t>
      </w:r>
      <w:r>
        <w:rPr>
          <w:rFonts w:hint="eastAsia" w:ascii="宋体" w:hAnsi="宋体" w:cs="宋体"/>
        </w:rPr>
        <w:t>市场监管</w:t>
      </w:r>
      <w:r>
        <w:rPr>
          <w:rFonts w:ascii="宋体" w:hAnsi="宋体" w:cs="宋体"/>
        </w:rPr>
        <w:t>部门核准登记</w:t>
      </w:r>
      <w:r>
        <w:rPr>
          <w:rFonts w:hint="eastAsia" w:ascii="宋体" w:hAnsi="宋体" w:cs="宋体"/>
        </w:rPr>
        <w:t>的农民专业合作社（或</w:t>
      </w:r>
      <w:r>
        <w:rPr>
          <w:rFonts w:ascii="宋体" w:hAnsi="宋体" w:cs="宋体"/>
        </w:rPr>
        <w:t>农民专业合作社联合社</w:t>
      </w:r>
      <w:r>
        <w:rPr>
          <w:rFonts w:hint="eastAsia" w:ascii="宋体" w:hAnsi="宋体" w:cs="宋体"/>
        </w:rPr>
        <w:t>）分支机构。</w:t>
      </w:r>
    </w:p>
    <w:p>
      <w:pPr>
        <w:snapToGrid w:val="0"/>
        <w:spacing w:line="360" w:lineRule="exact"/>
        <w:ind w:firstLine="420" w:firstLineChars="200"/>
        <w:rPr>
          <w:rFonts w:hint="eastAsia" w:ascii="宋体" w:hAnsi="宋体" w:cs="宋体"/>
        </w:rPr>
      </w:pPr>
      <w:r>
        <w:rPr>
          <w:rFonts w:hint="eastAsia" w:ascii="宋体" w:hAnsi="宋体" w:cs="宋体"/>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snapToGrid w:val="0"/>
        <w:spacing w:line="360" w:lineRule="exact"/>
        <w:ind w:firstLine="420" w:firstLineChars="200"/>
        <w:rPr>
          <w:rFonts w:ascii="宋体" w:hAnsi="宋体" w:cs="宋体"/>
        </w:rPr>
      </w:pPr>
      <w:r>
        <w:rPr>
          <w:rFonts w:hint="eastAsia" w:ascii="宋体" w:hAnsi="宋体" w:cs="宋体"/>
        </w:rPr>
        <w:t>11.其他组织机构：指除企业、事业单位、机关、社会团体、民办非企业单位、基金会、居民委员会、村民委员会、</w:t>
      </w:r>
      <w:r>
        <w:rPr>
          <w:rFonts w:ascii="宋体" w:hAnsi="宋体" w:cs="宋体"/>
        </w:rPr>
        <w:t>农民</w:t>
      </w:r>
      <w:r>
        <w:rPr>
          <w:rFonts w:hint="eastAsia" w:ascii="宋体" w:hAnsi="宋体" w:cs="宋体"/>
        </w:rPr>
        <w:t>专业</w:t>
      </w:r>
      <w:r>
        <w:rPr>
          <w:rFonts w:ascii="宋体" w:hAnsi="宋体" w:cs="宋体"/>
        </w:rPr>
        <w:t>合作社</w:t>
      </w:r>
      <w:r>
        <w:rPr>
          <w:rFonts w:hint="eastAsia" w:ascii="宋体" w:hAnsi="宋体" w:cs="宋体"/>
        </w:rPr>
        <w:t>和</w:t>
      </w:r>
      <w:r>
        <w:rPr>
          <w:rFonts w:ascii="宋体" w:hAnsi="宋体" w:cs="宋体"/>
        </w:rPr>
        <w:t>农村集体经济组织</w:t>
      </w:r>
      <w:r>
        <w:rPr>
          <w:rFonts w:hint="eastAsia" w:ascii="宋体" w:hAnsi="宋体" w:cs="宋体"/>
        </w:rPr>
        <w:t>以外的其他符合法人和产业活动单位条件的机构。包括：律师事务所</w:t>
      </w:r>
      <w:r>
        <w:rPr>
          <w:rFonts w:hint="eastAsia" w:ascii="宋体" w:hAnsi="宋体" w:cs="宋体"/>
          <w:lang w:eastAsia="zh-CN"/>
        </w:rPr>
        <w:t>、基层法律服务机构</w:t>
      </w:r>
      <w:r>
        <w:rPr>
          <w:rFonts w:hint="eastAsia" w:ascii="宋体" w:hAnsi="宋体" w:cs="宋体"/>
        </w:rPr>
        <w:t>和各类</w:t>
      </w:r>
      <w:r>
        <w:rPr>
          <w:rFonts w:hint="eastAsia" w:ascii="宋体" w:hAnsi="宋体" w:cs="宋体"/>
          <w:lang w:eastAsia="zh-CN"/>
        </w:rPr>
        <w:t>宗教活动场所</w:t>
      </w:r>
      <w:r>
        <w:rPr>
          <w:rFonts w:hint="eastAsia" w:ascii="宋体" w:hAnsi="宋体" w:cs="宋体"/>
        </w:rPr>
        <w:t>等。</w:t>
      </w:r>
    </w:p>
    <w:p>
      <w:pPr>
        <w:snapToGrid w:val="0"/>
        <w:spacing w:line="360" w:lineRule="exact"/>
        <w:ind w:firstLine="420" w:firstLineChars="200"/>
        <w:rPr>
          <w:rFonts w:ascii="宋体"/>
        </w:rPr>
      </w:pPr>
      <w:r>
        <w:rPr>
          <w:rFonts w:hint="eastAsia" w:ascii="黑体" w:hAnsi="宋体" w:eastAsia="黑体" w:cs="黑体"/>
        </w:rPr>
        <w:t>登记注册</w:t>
      </w:r>
      <w:r>
        <w:rPr>
          <w:rFonts w:hint="eastAsia" w:ascii="黑体" w:hAnsi="宋体" w:eastAsia="黑体" w:cs="黑体"/>
          <w:lang w:eastAsia="zh-CN"/>
        </w:rPr>
        <w:t>统计类别</w:t>
      </w:r>
      <w:r>
        <w:rPr>
          <w:rFonts w:hint="eastAsia" w:ascii="黑体" w:hAnsi="宋体" w:eastAsia="黑体" w:cs="黑体"/>
          <w:lang w:val="en-US" w:eastAsia="zh-CN"/>
        </w:rPr>
        <w:t xml:space="preserve">  </w:t>
      </w:r>
      <w:r>
        <w:rPr>
          <w:rFonts w:hint="eastAsia" w:ascii="宋体" w:hAnsi="宋体" w:cs="宋体"/>
        </w:rPr>
        <w:t>企业单位的登记注册</w:t>
      </w:r>
      <w:r>
        <w:rPr>
          <w:rFonts w:hint="eastAsia" w:ascii="宋体" w:hAnsi="宋体" w:cs="宋体"/>
          <w:lang w:val="en-US" w:eastAsia="zh-CN"/>
        </w:rPr>
        <w:t>统计类别</w:t>
      </w:r>
      <w:r>
        <w:rPr>
          <w:rFonts w:hint="eastAsia" w:ascii="宋体" w:hAnsi="宋体" w:cs="宋体"/>
        </w:rPr>
        <w:t>，依据</w:t>
      </w:r>
      <w:r>
        <w:rPr>
          <w:rFonts w:hint="eastAsia" w:ascii="宋体" w:hAnsi="宋体" w:cs="宋体"/>
          <w:lang w:eastAsia="zh-CN"/>
        </w:rPr>
        <w:t>《关于市场主体统计分类的划分规定》填写</w:t>
      </w:r>
      <w:r>
        <w:rPr>
          <w:rFonts w:hint="eastAsia" w:ascii="宋体" w:hAnsi="宋体" w:cs="宋体"/>
        </w:rPr>
        <w:t>。机关、事业单位和社会团体及其他组织的登记注册</w:t>
      </w:r>
      <w:r>
        <w:rPr>
          <w:rFonts w:hint="eastAsia" w:ascii="宋体" w:hAnsi="宋体" w:cs="宋体"/>
          <w:lang w:eastAsia="zh-CN"/>
        </w:rPr>
        <w:t>统计类别</w:t>
      </w:r>
      <w:r>
        <w:rPr>
          <w:rFonts w:hint="eastAsia" w:ascii="宋体" w:hAnsi="宋体" w:cs="宋体"/>
        </w:rPr>
        <w:t>，依据主要经费来源和管理方式，根据实际情况，比照</w:t>
      </w:r>
      <w:r>
        <w:rPr>
          <w:rFonts w:hint="eastAsia" w:ascii="宋体" w:hAnsi="宋体" w:cs="宋体"/>
          <w:lang w:eastAsia="zh-CN"/>
        </w:rPr>
        <w:t>《关于市场主体统计分类的划分规定》</w:t>
      </w:r>
      <w:r>
        <w:rPr>
          <w:rFonts w:hint="eastAsia" w:ascii="宋体" w:hAnsi="宋体" w:cs="宋体"/>
        </w:rPr>
        <w:t>确定。</w:t>
      </w:r>
    </w:p>
    <w:p>
      <w:pPr>
        <w:snapToGrid w:val="0"/>
        <w:spacing w:line="360" w:lineRule="exact"/>
        <w:ind w:firstLine="420" w:firstLineChars="200"/>
        <w:rPr>
          <w:rFonts w:ascii="宋体"/>
        </w:rPr>
      </w:pPr>
      <w:r>
        <w:rPr>
          <w:rFonts w:hint="eastAsia" w:ascii="宋体" w:hAnsi="宋体" w:cs="宋体"/>
        </w:rPr>
        <w:t>在具体填报时应注意：</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（1）企业参照《营业执照》中的“类型”“公司类型”“合伙企业类型”“经营范围及方式”等填写，无法直接根据登记事项填写的，需根据投资人情况填写。</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登记注册为“有限责任公司（国有独资）”“有限责任公司分公司（国有独资）”，选填“111国有独资公司”。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登记注册为“全民所有制”“国有事业单位营业”“国有社团法人营业”“全民所有制分支机构（非法人）”“国有经营单位（非法人）”，选填“131全民所有制企业（国有企业）”。</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登记注册为“集体所有制”“集体事业单位营业”“集体社团法人营业”“集体分支机构（非法人）”“集体经营单位（非法人）”，选填“132集体所有制企业（集体企业）”。</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登记注册为“股份合作制”“股份合作制分支机构”，选填“133股份合作企业”。</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登记注册为“联营”，选填“134联营企业”。</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登记注册为“个人独资企业”“个人独资企业分支机构”，选填“140个人独资企业”。</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登记注册为“股份制”“股份制分支机构”“股份制企业（非法人）”，选填“190其他内资企业”。</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有限责任公司(港澳台与境内合资)”“有限责任公司(港澳台与境内合作)”“有限责任公司(港澳台合资)”“有限责任公司(港澳台自然人独资)”“有限责任公司(港澳台法人独资)”“有限责任公司(港澳台非法人经济组织独资)”“有限责任公司(港澳台与外国投资者合资)”“有限责任公司(港澳台投资、非独资)”，选填“210港澳台投资有限责任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股份有限公司(港澳台与境内合资、未上市)”“股份有限公司(港澳台与境内合资、上市)”“股份有限公司(港澳台合资、未上市)”“股份有限公司(港澳台合资、上市)”“股份有限公司(港澳台与外国投资者合资、未上市)”“股份有限公司(港澳台与外国投资者合资、上市)”“股份有限公司(港澳台投资、未上市)”“股份有限公司(港澳台投资、上市)”，选填“220港澳台投资股份有限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登记注册为“非公司港、澳、台企业(港澳台与境内合作)”“非公司港、澳、台企业(港澳台合资)”“非公司港、澳、台投资企业分支机构”，选填“290其他港澳台投资企业”。</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有限责任公司(中外合资)”“有限责任公司(中外合作)”“有限责任公司(外商合资)”“有限责任公司(外国自然人独资)”“有限责任公司(外国法人独资)”“有限责任公司(外国非法人经济组织独资)”“有限责任公司(外商投资、非独资)”“外国(地区)有限责任公司分支机构”，选填“310外商投资有限责任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pPr>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pPr>
        <w:numPr>
          <w:ilvl w:val="0"/>
          <w:numId w:val="1"/>
        </w:numPr>
        <w:snapToGrid w:val="0"/>
        <w:spacing w:line="360" w:lineRule="exact"/>
        <w:ind w:firstLine="420" w:firstLineChars="200"/>
        <w:rPr>
          <w:rFonts w:hint="eastAsia" w:ascii="宋体" w:hAnsi="宋体" w:cs="宋体"/>
          <w:lang w:eastAsia="zh-CN"/>
        </w:rPr>
      </w:pPr>
      <w:r>
        <w:rPr>
          <w:rFonts w:hint="eastAsia" w:ascii="宋体" w:hAnsi="宋体" w:cs="宋体"/>
        </w:rPr>
        <w:t>机关、事业单位、机构编制部门管理的群众团体，应选填“</w:t>
      </w:r>
      <w:r>
        <w:rPr>
          <w:rFonts w:hint="eastAsia" w:ascii="宋体" w:hAnsi="宋体" w:cs="宋体"/>
          <w:lang w:val="en-US" w:eastAsia="zh-CN"/>
        </w:rPr>
        <w:t>131全民所有制企业（</w:t>
      </w:r>
      <w:r>
        <w:rPr>
          <w:rFonts w:hint="eastAsia" w:ascii="宋体" w:hAnsi="宋体" w:cs="宋体"/>
        </w:rPr>
        <w:t>国有</w:t>
      </w:r>
      <w:r>
        <w:rPr>
          <w:rFonts w:hint="eastAsia" w:ascii="宋体" w:hAnsi="宋体" w:cs="宋体"/>
          <w:lang w:eastAsia="zh-CN"/>
        </w:rPr>
        <w:t>企业</w:t>
      </w:r>
      <w:r>
        <w:rPr>
          <w:rFonts w:hint="eastAsia" w:ascii="宋体" w:hAnsi="宋体" w:cs="宋体"/>
          <w:lang w:val="en-US" w:eastAsia="zh-CN"/>
        </w:rPr>
        <w:t>）</w:t>
      </w:r>
      <w:r>
        <w:rPr>
          <w:rFonts w:hint="eastAsia" w:ascii="宋体" w:hAnsi="宋体" w:cs="宋体"/>
        </w:rPr>
        <w:t>”</w:t>
      </w:r>
      <w:r>
        <w:rPr>
          <w:rFonts w:hint="eastAsia" w:ascii="宋体" w:hAnsi="宋体" w:cs="宋体"/>
          <w:lang w:eastAsia="zh-CN"/>
        </w:rPr>
        <w:t>；</w:t>
      </w:r>
    </w:p>
    <w:p>
      <w:pPr>
        <w:numPr>
          <w:ilvl w:val="0"/>
          <w:numId w:val="1"/>
        </w:numPr>
        <w:snapToGrid w:val="0"/>
        <w:spacing w:line="360" w:lineRule="exact"/>
        <w:ind w:firstLine="420" w:firstLineChars="200"/>
        <w:rPr>
          <w:rFonts w:hint="eastAsia" w:ascii="宋体" w:hAnsi="宋体" w:cs="宋体"/>
          <w:lang w:eastAsia="zh-CN"/>
        </w:rPr>
      </w:pPr>
      <w:r>
        <w:rPr>
          <w:rFonts w:hint="eastAsia" w:ascii="宋体" w:hAnsi="宋体" w:eastAsia="宋体" w:cs="宋体"/>
          <w:szCs w:val="21"/>
          <w:lang w:val="en-US" w:eastAsia="zh-CN"/>
        </w:rPr>
        <w:t>登记注册为</w:t>
      </w:r>
      <w:r>
        <w:rPr>
          <w:rFonts w:hint="eastAsia" w:ascii="宋体" w:hAnsi="宋体" w:eastAsia="宋体" w:cs="宋体"/>
          <w:szCs w:val="21"/>
        </w:rPr>
        <w:t>“农民专业合作社”“农民专业合作社分支机构”</w:t>
      </w:r>
      <w:r>
        <w:rPr>
          <w:rFonts w:hint="eastAsia" w:ascii="宋体" w:hAnsi="宋体" w:eastAsia="宋体" w:cs="宋体"/>
          <w:szCs w:val="21"/>
          <w:lang w:val="en-US" w:eastAsia="zh-CN"/>
        </w:rPr>
        <w:t>，选填“400</w:t>
      </w:r>
      <w:r>
        <w:rPr>
          <w:rFonts w:hint="eastAsia" w:ascii="宋体" w:hAnsi="宋体" w:eastAsia="宋体" w:cs="宋体"/>
          <w:szCs w:val="21"/>
        </w:rPr>
        <w:t>农民专业合作社（联合社）</w:t>
      </w:r>
      <w:r>
        <w:rPr>
          <w:rFonts w:hint="eastAsia" w:ascii="宋体" w:hAnsi="宋体" w:eastAsia="宋体" w:cs="宋体"/>
          <w:szCs w:val="21"/>
          <w:lang w:val="en-US" w:eastAsia="zh-CN"/>
        </w:rPr>
        <w:t>”。</w:t>
      </w:r>
    </w:p>
    <w:p>
      <w:pPr>
        <w:snapToGrid w:val="0"/>
        <w:spacing w:line="360" w:lineRule="exact"/>
        <w:ind w:firstLine="420" w:firstLineChars="200"/>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4</w:t>
      </w:r>
      <w:r>
        <w:rPr>
          <w:rFonts w:hint="eastAsia" w:ascii="宋体" w:hAnsi="宋体" w:cs="宋体"/>
        </w:rPr>
        <w:t>）农村</w:t>
      </w:r>
      <w:r>
        <w:rPr>
          <w:rFonts w:ascii="宋体" w:hAnsi="宋体" w:cs="宋体"/>
        </w:rPr>
        <w:t>集体经济组织</w:t>
      </w:r>
      <w:r>
        <w:rPr>
          <w:rFonts w:hint="eastAsia" w:ascii="宋体" w:hAnsi="宋体" w:cs="宋体"/>
          <w:lang w:eastAsia="zh-CN"/>
        </w:rPr>
        <w:t>、</w:t>
      </w:r>
      <w:r>
        <w:rPr>
          <w:rFonts w:hint="eastAsia" w:ascii="宋体" w:hAnsi="宋体" w:cs="宋体"/>
        </w:rPr>
        <w:t>社区（居委会）、村委会</w:t>
      </w:r>
      <w:r>
        <w:rPr>
          <w:rFonts w:hint="eastAsia" w:ascii="宋体" w:hAnsi="宋体" w:cs="宋体"/>
          <w:lang w:eastAsia="zh-CN"/>
        </w:rPr>
        <w:t>应选填</w:t>
      </w:r>
      <w:r>
        <w:rPr>
          <w:rFonts w:ascii="宋体" w:hAnsi="宋体" w:cs="宋体"/>
        </w:rPr>
        <w:t>“</w:t>
      </w:r>
      <w:r>
        <w:rPr>
          <w:rFonts w:hint="eastAsia" w:ascii="宋体" w:hAnsi="宋体" w:cs="宋体"/>
          <w:lang w:val="en-US" w:eastAsia="zh-CN"/>
        </w:rPr>
        <w:t>132</w:t>
      </w:r>
      <w:r>
        <w:rPr>
          <w:rFonts w:hint="eastAsia" w:ascii="宋体" w:hAnsi="宋体" w:cs="宋体"/>
        </w:rPr>
        <w:t>集体</w:t>
      </w:r>
      <w:r>
        <w:rPr>
          <w:rFonts w:hint="eastAsia" w:ascii="宋体" w:hAnsi="宋体" w:cs="宋体"/>
          <w:lang w:eastAsia="zh-CN"/>
        </w:rPr>
        <w:t>所有制企业（集体企业）</w:t>
      </w:r>
      <w:r>
        <w:rPr>
          <w:rFonts w:ascii="宋体" w:hAnsi="宋体" w:cs="宋体"/>
        </w:rPr>
        <w:t>”</w:t>
      </w:r>
      <w:r>
        <w:rPr>
          <w:rFonts w:hint="eastAsia" w:ascii="宋体" w:hAnsi="宋体" w:cs="宋体"/>
          <w:lang w:eastAsia="zh-CN"/>
        </w:rPr>
        <w:t>；</w:t>
      </w:r>
    </w:p>
    <w:p>
      <w:pPr>
        <w:snapToGrid w:val="0"/>
        <w:spacing w:line="360" w:lineRule="exact"/>
        <w:ind w:firstLine="420" w:firstLineChars="200"/>
        <w:rPr>
          <w:rFonts w:ascii="宋体"/>
        </w:rPr>
      </w:pPr>
      <w:r>
        <w:rPr>
          <w:rFonts w:hint="eastAsia" w:ascii="宋体" w:hAnsi="宋体" w:cs="宋体"/>
        </w:rPr>
        <w:t>（</w:t>
      </w:r>
      <w:r>
        <w:rPr>
          <w:rFonts w:hint="eastAsia" w:ascii="宋体" w:hAnsi="宋体" w:cs="宋体"/>
          <w:lang w:val="en-US" w:eastAsia="zh-CN"/>
        </w:rPr>
        <w:t>5</w:t>
      </w:r>
      <w:r>
        <w:rPr>
          <w:rFonts w:hint="eastAsia" w:ascii="宋体" w:hAnsi="宋体" w:cs="宋体"/>
        </w:rPr>
        <w:t>）</w:t>
      </w:r>
      <w:r>
        <w:rPr>
          <w:rFonts w:hint="eastAsia" w:ascii="宋体" w:hAnsi="宋体" w:cs="宋体"/>
          <w:lang w:eastAsia="zh-CN"/>
        </w:rPr>
        <w:t>其他非企业单位根据主要经费来源和管理方式填写；</w:t>
      </w:r>
      <w:r>
        <w:rPr>
          <w:rFonts w:hint="eastAsia" w:ascii="宋体" w:hAnsi="宋体" w:eastAsia="宋体" w:cs="宋体"/>
          <w:szCs w:val="21"/>
        </w:rPr>
        <w:t>国家</w:t>
      </w:r>
      <w:r>
        <w:rPr>
          <w:rFonts w:hint="eastAsia" w:ascii="宋体" w:hAnsi="宋体" w:eastAsia="宋体" w:cs="宋体"/>
          <w:szCs w:val="21"/>
          <w:lang w:eastAsia="zh-CN"/>
        </w:rPr>
        <w:t>负</w:t>
      </w:r>
      <w:r>
        <w:rPr>
          <w:rFonts w:hint="eastAsia" w:ascii="宋体" w:hAnsi="宋体" w:eastAsia="宋体" w:cs="宋体"/>
          <w:szCs w:val="21"/>
        </w:rPr>
        <w:t>担经费或管理的，应选填“131全民所有制企业（国有企业）”；集体</w:t>
      </w:r>
      <w:r>
        <w:rPr>
          <w:rFonts w:hint="eastAsia" w:ascii="宋体" w:hAnsi="宋体" w:eastAsia="宋体" w:cs="宋体"/>
          <w:szCs w:val="21"/>
          <w:lang w:eastAsia="zh-CN"/>
        </w:rPr>
        <w:t>负</w:t>
      </w:r>
      <w:r>
        <w:rPr>
          <w:rFonts w:hint="eastAsia" w:ascii="宋体" w:hAnsi="宋体" w:eastAsia="宋体" w:cs="宋体"/>
          <w:szCs w:val="21"/>
        </w:rPr>
        <w:t>担经费或管理的，应选填“132集体所有制企业（集体企业）”；个人</w:t>
      </w:r>
      <w:r>
        <w:rPr>
          <w:rFonts w:hint="eastAsia" w:ascii="宋体" w:hAnsi="宋体" w:eastAsia="宋体" w:cs="宋体"/>
          <w:szCs w:val="21"/>
          <w:lang w:eastAsia="zh-CN"/>
        </w:rPr>
        <w:t>负</w:t>
      </w:r>
      <w:r>
        <w:rPr>
          <w:rFonts w:hint="eastAsia" w:ascii="宋体" w:hAnsi="宋体" w:eastAsia="宋体" w:cs="宋体"/>
          <w:szCs w:val="21"/>
        </w:rPr>
        <w:t>担经费或管理的，应选填“140个人独资企业”；合伙</w:t>
      </w:r>
      <w:r>
        <w:rPr>
          <w:rFonts w:hint="eastAsia" w:ascii="宋体" w:hAnsi="宋体" w:eastAsia="宋体" w:cs="宋体"/>
          <w:szCs w:val="21"/>
          <w:lang w:eastAsia="zh-CN"/>
        </w:rPr>
        <w:t>负</w:t>
      </w:r>
      <w:r>
        <w:rPr>
          <w:rFonts w:hint="eastAsia" w:ascii="宋体" w:hAnsi="宋体" w:eastAsia="宋体" w:cs="宋体"/>
          <w:szCs w:val="21"/>
        </w:rPr>
        <w:t>担经费或管理的，应选填“150合伙企业”；无法识别经费来源或管理方的，应选填“900其他市场主体”。</w:t>
      </w:r>
    </w:p>
    <w:p>
      <w:pPr>
        <w:snapToGrid w:val="0"/>
        <w:spacing w:line="360" w:lineRule="exact"/>
        <w:ind w:firstLine="420" w:firstLineChars="200"/>
        <w:rPr>
          <w:rFonts w:ascii="宋体"/>
        </w:rPr>
      </w:pPr>
      <w:r>
        <w:rPr>
          <w:rFonts w:hint="eastAsia" w:ascii="宋体" w:hAnsi="宋体" w:cs="宋体"/>
        </w:rPr>
        <w:t>（</w:t>
      </w:r>
      <w:r>
        <w:rPr>
          <w:rFonts w:hint="eastAsia" w:ascii="宋体" w:hAnsi="宋体" w:cs="宋体"/>
          <w:lang w:val="en-US" w:eastAsia="zh-CN"/>
        </w:rPr>
        <w:t>6</w:t>
      </w:r>
      <w:r>
        <w:rPr>
          <w:rFonts w:hint="eastAsia" w:ascii="宋体" w:hAnsi="宋体" w:cs="宋体"/>
        </w:rPr>
        <w:t>）如单位登记注册</w:t>
      </w:r>
      <w:r>
        <w:rPr>
          <w:rFonts w:hint="eastAsia" w:ascii="宋体" w:hAnsi="宋体" w:cs="宋体"/>
          <w:lang w:eastAsia="zh-CN"/>
        </w:rPr>
        <w:t>统计类别</w:t>
      </w:r>
      <w:r>
        <w:rPr>
          <w:rFonts w:hint="eastAsia" w:ascii="宋体" w:hAnsi="宋体" w:cs="宋体"/>
        </w:rPr>
        <w:t>改变，但未重新办理变更登记，应按原登记注册</w:t>
      </w:r>
      <w:r>
        <w:rPr>
          <w:rFonts w:hint="eastAsia" w:ascii="宋体" w:hAnsi="宋体" w:cs="宋体"/>
          <w:lang w:eastAsia="zh-CN"/>
        </w:rPr>
        <w:t>统计类别</w:t>
      </w:r>
      <w:r>
        <w:rPr>
          <w:rFonts w:hint="eastAsia" w:ascii="宋体" w:hAnsi="宋体" w:cs="宋体"/>
        </w:rPr>
        <w:t>填写。</w:t>
      </w:r>
    </w:p>
    <w:p>
      <w:pPr>
        <w:snapToGrid w:val="0"/>
        <w:spacing w:line="360" w:lineRule="exact"/>
        <w:ind w:firstLine="420" w:firstLineChars="200"/>
        <w:rPr>
          <w:rFonts w:ascii="宋体" w:hAnsi="宋体" w:eastAsia="宋体" w:cs="宋体"/>
          <w:szCs w:val="21"/>
        </w:rPr>
      </w:pPr>
      <w:r>
        <w:rPr>
          <w:rFonts w:ascii="宋体" w:hAnsi="宋体" w:eastAsia="黑体" w:cs="宋体"/>
          <w:szCs w:val="21"/>
        </w:rPr>
        <w:t xml:space="preserve">港澳台商投资情况  </w:t>
      </w:r>
      <w:r>
        <w:rPr>
          <w:rFonts w:ascii="宋体" w:hAnsi="宋体" w:eastAsia="宋体" w:cs="宋体"/>
          <w:szCs w:val="21"/>
        </w:rPr>
        <w:t>港商投资、澳商投资和台商投资分别指香港地区、澳门地区和台湾地区投资者依照相关法律规定在中国内地进行各种直接投资的形式。限全部港澳台投资企业填写。</w:t>
      </w:r>
    </w:p>
    <w:p>
      <w:pPr>
        <w:snapToGrid w:val="0"/>
        <w:spacing w:line="360" w:lineRule="exact"/>
        <w:ind w:firstLine="420" w:firstLineChars="200"/>
        <w:rPr>
          <w:rFonts w:ascii="宋体" w:hAnsi="宋体" w:eastAsia="宋体" w:cs="宋体"/>
          <w:szCs w:val="21"/>
        </w:rPr>
      </w:pPr>
      <w:r>
        <w:rPr>
          <w:rFonts w:ascii="宋体" w:hAnsi="宋体" w:eastAsia="宋体" w:cs="宋体"/>
          <w:szCs w:val="21"/>
        </w:rPr>
        <w:t>暂未投资，是指单位在市场监管部门登记注册的类型是港澳台商投资单位，但是尚未有港、澳、台商的资金投入。</w:t>
      </w:r>
    </w:p>
    <w:p>
      <w:pPr>
        <w:snapToGrid w:val="0"/>
        <w:spacing w:line="360" w:lineRule="exact"/>
        <w:ind w:firstLine="420" w:firstLineChars="200"/>
        <w:rPr>
          <w:rFonts w:ascii="宋体"/>
        </w:rPr>
      </w:pPr>
      <w:r>
        <w:rPr>
          <w:rFonts w:hint="eastAsia" w:ascii="黑体" w:hAnsi="宋体" w:eastAsia="黑体" w:cs="黑体"/>
        </w:rPr>
        <w:t>企业控股情况</w:t>
      </w:r>
      <w:r>
        <w:rPr>
          <w:rFonts w:ascii="黑体" w:hAnsi="宋体" w:eastAsia="黑体" w:cs="黑体"/>
        </w:rPr>
        <w:t xml:space="preserve">  </w:t>
      </w:r>
      <w:r>
        <w:rPr>
          <w:rFonts w:hint="eastAsia" w:ascii="宋体" w:hAnsi="宋体" w:cs="宋体"/>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宋体" w:hAnsi="宋体" w:cs="宋体"/>
          <w:u w:val="none"/>
        </w:rPr>
        <w:t>限企业法人填写</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1.国有控股：包括</w:t>
      </w:r>
      <w:r>
        <w:rPr>
          <w:rFonts w:hint="eastAsia" w:cs="宋体"/>
          <w:sz w:val="21"/>
          <w:szCs w:val="21"/>
          <w:lang w:eastAsia="zh-CN"/>
        </w:rPr>
        <w:t>（1）</w:t>
      </w:r>
      <w:r>
        <w:rPr>
          <w:rFonts w:hint="eastAsia" w:ascii="宋体" w:hAnsi="宋体" w:cs="宋体"/>
        </w:rPr>
        <w:t>在企业的全部实收资本中，国有经济成分的出资人拥有的实收资本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的国有绝对控股；</w:t>
      </w:r>
      <w:r>
        <w:rPr>
          <w:rFonts w:hint="eastAsia" w:cs="宋体"/>
          <w:sz w:val="21"/>
          <w:szCs w:val="21"/>
          <w:lang w:eastAsia="zh-CN"/>
        </w:rPr>
        <w:t>（2）</w:t>
      </w:r>
      <w:r>
        <w:rPr>
          <w:rFonts w:hint="eastAsia" w:ascii="宋体" w:hAnsi="宋体" w:cs="宋体"/>
        </w:rPr>
        <w:t>在企业的全部实收资本中，国有经济成分的出资人拥有的实收资本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，但相对大于其他任何一方经济成分的出资人所占比例的国有相对控股；或者虽不大于其他经济成分，但根据协议规定拥有企业实际控制权的国有协议控股</w:t>
      </w: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投资双方各占</w:t>
      </w:r>
      <w:r>
        <w:rPr>
          <w:rFonts w:ascii="宋体" w:hAnsi="宋体" w:cs="宋体"/>
        </w:rPr>
        <w:t>50%</w:t>
      </w:r>
      <w:r>
        <w:rPr>
          <w:rFonts w:hint="eastAsia" w:ascii="宋体" w:hAnsi="宋体" w:cs="宋体"/>
        </w:rPr>
        <w:t>，且未明确由谁绝对控股的企业，若其中一方为国有经济成分的，一律按国有控股处理。</w:t>
      </w:r>
    </w:p>
    <w:p>
      <w:pPr>
        <w:snapToGrid w:val="0"/>
        <w:spacing w:line="360" w:lineRule="exact"/>
        <w:ind w:firstLine="420" w:firstLineChars="200"/>
        <w:rPr>
          <w:rFonts w:ascii="宋体"/>
        </w:rPr>
      </w:pPr>
      <w:r>
        <w:rPr>
          <w:rFonts w:hint="eastAsia" w:ascii="宋体" w:hAnsi="宋体" w:cs="宋体"/>
        </w:rPr>
        <w:t>2.集体控股：包括</w:t>
      </w:r>
      <w:r>
        <w:rPr>
          <w:rFonts w:hint="eastAsia" w:cs="宋体"/>
          <w:sz w:val="21"/>
          <w:szCs w:val="21"/>
          <w:lang w:eastAsia="zh-CN"/>
        </w:rPr>
        <w:t>（1）</w:t>
      </w:r>
      <w:r>
        <w:rPr>
          <w:rFonts w:hint="eastAsia" w:ascii="宋体" w:hAnsi="宋体" w:cs="宋体"/>
        </w:rPr>
        <w:t>在企业的全部实收资本中，集体经济成分的出资人拥有的实收资本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的集体绝对控股；</w:t>
      </w:r>
      <w:r>
        <w:rPr>
          <w:rFonts w:hint="eastAsia" w:cs="宋体"/>
          <w:sz w:val="21"/>
          <w:szCs w:val="21"/>
          <w:lang w:eastAsia="zh-CN"/>
        </w:rPr>
        <w:t>（2）</w:t>
      </w:r>
      <w:r>
        <w:rPr>
          <w:rFonts w:hint="eastAsia" w:ascii="宋体" w:hAnsi="宋体" w:cs="宋体"/>
        </w:rPr>
        <w:t>在企业的全部实收资本中，集体经济成分的出资人拥有的实收资本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ascii="宋体"/>
        </w:rPr>
      </w:pPr>
      <w:r>
        <w:rPr>
          <w:rFonts w:hint="eastAsia" w:ascii="宋体" w:hAnsi="宋体" w:cs="宋体"/>
        </w:rPr>
        <w:t>3.私人控股：包括</w:t>
      </w:r>
      <w:r>
        <w:rPr>
          <w:rFonts w:hint="eastAsia" w:cs="宋体"/>
          <w:sz w:val="21"/>
          <w:szCs w:val="21"/>
          <w:lang w:eastAsia="zh-CN"/>
        </w:rPr>
        <w:t>（1）</w:t>
      </w:r>
      <w:r>
        <w:rPr>
          <w:rFonts w:hint="eastAsia" w:ascii="宋体" w:hAnsi="宋体" w:cs="宋体"/>
        </w:rPr>
        <w:t>在企业的全部实收资本中，私人经济成分的出资人拥有的实收资本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的私人绝对控股；</w:t>
      </w:r>
      <w:r>
        <w:rPr>
          <w:rFonts w:hint="eastAsia" w:cs="宋体"/>
          <w:sz w:val="21"/>
          <w:szCs w:val="21"/>
          <w:lang w:eastAsia="zh-CN"/>
        </w:rPr>
        <w:t>（2）</w:t>
      </w:r>
      <w:r>
        <w:rPr>
          <w:rFonts w:hint="eastAsia" w:ascii="宋体" w:hAnsi="宋体" w:cs="宋体"/>
        </w:rPr>
        <w:t>在企业的全部实收资本中，私人经济成分的出资人拥有的实收资本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ascii="宋体"/>
        </w:rPr>
      </w:pPr>
      <w:r>
        <w:rPr>
          <w:rFonts w:hint="eastAsia" w:ascii="宋体" w:hAnsi="宋体" w:cs="宋体"/>
        </w:rPr>
        <w:t>4.港澳台商控股：包括</w:t>
      </w:r>
      <w:r>
        <w:rPr>
          <w:rFonts w:hint="eastAsia" w:cs="宋体"/>
          <w:sz w:val="21"/>
          <w:szCs w:val="21"/>
          <w:lang w:eastAsia="zh-CN"/>
        </w:rPr>
        <w:t>（1）</w:t>
      </w:r>
      <w:r>
        <w:rPr>
          <w:rFonts w:hint="eastAsia" w:ascii="宋体" w:hAnsi="宋体" w:cs="宋体"/>
        </w:rPr>
        <w:t>在企业的全部实收资本中，港澳台商经济成分的出资人拥有的实收资本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的港澳台商绝对控股；</w:t>
      </w:r>
      <w:r>
        <w:rPr>
          <w:rFonts w:hint="eastAsia" w:cs="宋体"/>
          <w:sz w:val="21"/>
          <w:szCs w:val="21"/>
          <w:lang w:eastAsia="zh-CN"/>
        </w:rPr>
        <w:t>（2）</w:t>
      </w:r>
      <w:r>
        <w:rPr>
          <w:rFonts w:hint="eastAsia" w:ascii="宋体" w:hAnsi="宋体" w:cs="宋体"/>
        </w:rPr>
        <w:t>在企业的全部实收资本中，港澳台商经济成分的出资人拥有的实收资本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ascii="宋体"/>
        </w:rPr>
      </w:pPr>
      <w:r>
        <w:rPr>
          <w:rFonts w:hint="eastAsia" w:ascii="宋体" w:hAnsi="宋体" w:cs="宋体"/>
        </w:rPr>
        <w:t>5.外商控股：包括</w:t>
      </w:r>
      <w:r>
        <w:rPr>
          <w:rFonts w:hint="eastAsia" w:cs="宋体"/>
          <w:sz w:val="21"/>
          <w:szCs w:val="21"/>
          <w:lang w:eastAsia="zh-CN"/>
        </w:rPr>
        <w:t>（1）</w:t>
      </w:r>
      <w:r>
        <w:rPr>
          <w:rFonts w:hint="eastAsia" w:ascii="宋体" w:hAnsi="宋体" w:cs="宋体"/>
        </w:rPr>
        <w:t>在企业的全部实收资本中，外商经济成分的出资人拥有的实收资本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所占企业全部实收资本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的比例大于</w:t>
      </w:r>
      <w:r>
        <w:rPr>
          <w:rFonts w:ascii="宋体" w:hAnsi="宋体" w:cs="宋体"/>
        </w:rPr>
        <w:t>50%</w:t>
      </w:r>
      <w:r>
        <w:rPr>
          <w:rFonts w:hint="eastAsia" w:ascii="宋体" w:hAnsi="宋体" w:cs="宋体"/>
        </w:rPr>
        <w:t>的外商绝对控股；</w:t>
      </w:r>
      <w:r>
        <w:rPr>
          <w:rFonts w:hint="eastAsia" w:cs="宋体"/>
          <w:sz w:val="21"/>
          <w:szCs w:val="21"/>
          <w:lang w:eastAsia="zh-CN"/>
        </w:rPr>
        <w:t>（2）</w:t>
      </w:r>
      <w:r>
        <w:rPr>
          <w:rFonts w:hint="eastAsia" w:ascii="宋体" w:hAnsi="宋体" w:cs="宋体"/>
        </w:rPr>
        <w:t>在企业的全部实收资本中，外商经济成分的出资人拥有的实收资本</w:t>
      </w:r>
      <w:r>
        <w:rPr>
          <w:rFonts w:ascii="宋体" w:hAnsi="宋体" w:cs="宋体"/>
        </w:rPr>
        <w:t>（</w:t>
      </w:r>
      <w:r>
        <w:rPr>
          <w:rFonts w:hint="eastAsia" w:ascii="宋体" w:hAnsi="宋体" w:cs="宋体"/>
        </w:rPr>
        <w:t>股本</w:t>
      </w:r>
      <w:r>
        <w:rPr>
          <w:rFonts w:ascii="宋体" w:hAnsi="宋体" w:cs="宋体"/>
        </w:rPr>
        <w:t>）</w:t>
      </w:r>
      <w:r>
        <w:rPr>
          <w:rFonts w:hint="eastAsia" w:ascii="宋体" w:hAnsi="宋体" w:cs="宋体"/>
        </w:rPr>
        <w:t>所占比例虽未大于</w:t>
      </w:r>
      <w:r>
        <w:rPr>
          <w:rFonts w:ascii="宋体" w:hAnsi="宋体" w:cs="宋体"/>
        </w:rPr>
        <w:t>50%</w:t>
      </w:r>
      <w:r>
        <w:rPr>
          <w:rFonts w:hint="eastAsia" w:ascii="宋体" w:hAnsi="宋体" w:cs="宋体"/>
        </w:rPr>
        <w:t>，但相对大于其他任何一方经济成分的出资人所占比例的外商相对控股；或者虽不大于其他经济成分，但根据协议规定拥有企业实际控制权的外商协议控股。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ascii="宋体"/>
        </w:rPr>
      </w:pPr>
      <w:r>
        <w:rPr>
          <w:rFonts w:hint="eastAsia" w:ascii="宋体" w:hAnsi="宋体" w:cs="宋体"/>
        </w:rPr>
        <w:t>6.其他：除上述五类以外的企业控股情况。</w:t>
      </w:r>
    </w:p>
    <w:p>
      <w:pPr>
        <w:snapToGrid w:val="0"/>
        <w:spacing w:line="360" w:lineRule="exact"/>
        <w:ind w:firstLine="420" w:firstLineChars="200"/>
        <w:rPr>
          <w:rFonts w:ascii="宋体"/>
        </w:rPr>
      </w:pPr>
      <w:r>
        <w:rPr>
          <w:rFonts w:hint="eastAsia" w:ascii="黑体" w:hAnsi="宋体" w:eastAsia="黑体" w:cs="黑体"/>
        </w:rPr>
        <w:t>隶属关系</w:t>
      </w:r>
      <w:r>
        <w:rPr>
          <w:rFonts w:ascii="黑体" w:hAnsi="宋体" w:eastAsia="黑体" w:cs="黑体"/>
        </w:rPr>
        <w:t xml:space="preserve">  </w:t>
      </w:r>
      <w:r>
        <w:rPr>
          <w:rFonts w:hint="eastAsia" w:ascii="宋体" w:hAnsi="宋体" w:cs="宋体"/>
        </w:rPr>
        <w:t>指本单位隶属于哪一级行政管理单位，</w:t>
      </w:r>
      <w:r>
        <w:rPr>
          <w:rFonts w:hint="eastAsia" w:ascii="宋体" w:hAnsi="宋体"/>
        </w:rPr>
        <w:t>分</w:t>
      </w:r>
      <w:r>
        <w:rPr>
          <w:rFonts w:hint="eastAsia" w:ascii="宋体" w:hAnsi="宋体"/>
          <w:highlight w:val="none"/>
        </w:rPr>
        <w:t>为中央和地方。</w:t>
      </w:r>
      <w:r>
        <w:rPr>
          <w:rFonts w:hint="eastAsia" w:ascii="宋体" w:hAnsi="宋体" w:cs="宋体"/>
        </w:rPr>
        <w:t>中央与地方双重领导的单位，以领导为主的一方来划分</w:t>
      </w:r>
      <w:r>
        <w:rPr>
          <w:rFonts w:hint="eastAsia" w:ascii="宋体" w:hAnsi="宋体" w:cs="宋体"/>
          <w:lang w:eastAsia="zh-CN"/>
        </w:rPr>
        <w:t>隶属</w:t>
      </w:r>
      <w:r>
        <w:rPr>
          <w:rFonts w:hint="eastAsia" w:ascii="宋体" w:hAnsi="宋体" w:cs="宋体"/>
        </w:rPr>
        <w:t>中央或地方。</w:t>
      </w:r>
      <w:r>
        <w:rPr>
          <w:rFonts w:hint="eastAsia" w:ascii="宋体" w:hAnsi="宋体" w:cs="宋体"/>
          <w:lang w:eastAsia="zh-CN"/>
        </w:rPr>
        <w:t>限</w:t>
      </w:r>
      <w:r>
        <w:rPr>
          <w:rFonts w:hint="eastAsia" w:ascii="宋体" w:hAnsi="宋体" w:cs="宋体"/>
        </w:rPr>
        <w:t>国有控股企业法人单位填写</w:t>
      </w:r>
      <w:r>
        <w:rPr>
          <w:rFonts w:ascii="宋体" w:hAnsi="宋体"/>
        </w:rPr>
        <w:t>。</w:t>
      </w:r>
    </w:p>
    <w:p>
      <w:pPr>
        <w:snapToGrid w:val="0"/>
        <w:spacing w:line="360" w:lineRule="exact"/>
        <w:ind w:firstLine="424" w:firstLineChars="202"/>
        <w:rPr>
          <w:rFonts w:hint="eastAsia" w:ascii="宋体" w:hAnsi="宋体" w:eastAsia="宋体" w:cs="宋体"/>
          <w:spacing w:val="4"/>
        </w:rPr>
      </w:pPr>
      <w:r>
        <w:rPr>
          <w:rFonts w:hint="eastAsia" w:ascii="黑体" w:hAnsi="宋体" w:eastAsia="黑体" w:cs="黑体"/>
        </w:rPr>
        <w:t>成立时间</w:t>
      </w:r>
      <w:r>
        <w:rPr>
          <w:rFonts w:ascii="黑体" w:hAnsi="宋体" w:eastAsia="黑体" w:cs="黑体"/>
        </w:rPr>
        <w:t xml:space="preserve"> </w:t>
      </w:r>
      <w:r>
        <w:rPr>
          <w:rFonts w:ascii="宋体" w:hAnsi="宋体"/>
        </w:rPr>
        <w:t xml:space="preserve"> </w:t>
      </w:r>
      <w:r>
        <w:rPr>
          <w:rFonts w:hint="eastAsia" w:ascii="宋体" w:hAnsi="宋体" w:eastAsia="宋体" w:cs="宋体"/>
          <w:spacing w:val="4"/>
        </w:rPr>
        <w:t>指单位登记注册成立或行政管理部门批准成立的具体年月。</w:t>
      </w:r>
    </w:p>
    <w:p>
      <w:pPr>
        <w:snapToGrid w:val="0"/>
        <w:spacing w:line="360" w:lineRule="exact"/>
        <w:ind w:firstLine="42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中华人民共和国成立前</w:t>
      </w:r>
      <w:r>
        <w:rPr>
          <w:rFonts w:hint="eastAsia" w:ascii="宋体" w:hAnsi="宋体" w:eastAsia="宋体" w:cs="宋体"/>
        </w:rPr>
        <w:t>成立的单位填写最早开工或成立的年月；</w:t>
      </w:r>
      <w:r>
        <w:rPr>
          <w:rFonts w:hint="eastAsia" w:ascii="宋体" w:hAnsi="宋体" w:eastAsia="宋体" w:cs="宋体"/>
          <w:lang w:eastAsia="zh-CN"/>
        </w:rPr>
        <w:t>中华人民共和国成立后</w:t>
      </w:r>
      <w:r>
        <w:rPr>
          <w:rFonts w:hint="eastAsia" w:ascii="宋体" w:hAnsi="宋体" w:eastAsia="宋体" w:cs="宋体"/>
        </w:rPr>
        <w:t>成立的单位填写批准成立或登记注册成立的时间，如实际开业时间早于注册成立时间，填写最早开业年月。</w:t>
      </w:r>
    </w:p>
    <w:p>
      <w:pPr>
        <w:snapToGrid w:val="0"/>
        <w:spacing w:line="360" w:lineRule="exact"/>
        <w:ind w:firstLine="420" w:firstLineChars="200"/>
        <w:rPr>
          <w:rFonts w:hint="eastAsia" w:ascii="宋体" w:hAnsi="宋体" w:eastAsia="宋体" w:cs="宋体"/>
        </w:rPr>
      </w:pPr>
      <w:r>
        <w:rPr>
          <w:rFonts w:hint="eastAsia" w:ascii="宋体" w:hAnsi="宋体" w:eastAsia="宋体" w:cs="宋体"/>
        </w:rPr>
        <w:t>2.机关、事业单位的成立时间分三种情况：</w:t>
      </w:r>
      <w:r>
        <w:rPr>
          <w:rFonts w:hint="eastAsia" w:ascii="宋体" w:hAnsi="宋体" w:eastAsia="宋体" w:cs="宋体"/>
          <w:lang w:eastAsia="zh-CN"/>
        </w:rPr>
        <w:t>（1）</w:t>
      </w:r>
      <w:r>
        <w:rPr>
          <w:rFonts w:hint="eastAsia" w:ascii="宋体" w:hAnsi="宋体" w:eastAsia="宋体" w:cs="宋体"/>
        </w:rPr>
        <w:t>新设立的单位成立时间填新设立时间；</w:t>
      </w:r>
      <w:r>
        <w:rPr>
          <w:rFonts w:hint="eastAsia" w:ascii="宋体" w:hAnsi="宋体" w:eastAsia="宋体" w:cs="宋体"/>
          <w:lang w:eastAsia="zh-CN"/>
        </w:rPr>
        <w:t>（2）</w:t>
      </w:r>
      <w:r>
        <w:rPr>
          <w:rFonts w:hint="eastAsia" w:ascii="宋体" w:hAnsi="宋体" w:eastAsia="宋体" w:cs="宋体"/>
        </w:rPr>
        <w:t>恢复设立的单位（指中间因某种原因停顿，后又恢复的单位）成立时间填以前设立的时间；</w:t>
      </w:r>
      <w:r>
        <w:rPr>
          <w:rFonts w:ascii="宋体" w:hAnsi="宋体" w:cs="宋体"/>
        </w:rPr>
        <w:t>（</w:t>
      </w:r>
      <w:r>
        <w:rPr>
          <w:rFonts w:hint="eastAsia" w:ascii="宋体" w:hAnsi="宋体" w:cs="宋体"/>
          <w:lang w:val="en-US" w:eastAsia="zh-CN"/>
        </w:rPr>
        <w:t>3</w:t>
      </w:r>
      <w:r>
        <w:rPr>
          <w:rFonts w:ascii="宋体" w:hAnsi="宋体" w:cs="宋体"/>
        </w:rPr>
        <w:t>）</w:t>
      </w:r>
      <w:r>
        <w:rPr>
          <w:rFonts w:hint="eastAsia" w:ascii="宋体" w:hAnsi="宋体" w:eastAsia="宋体" w:cs="宋体"/>
        </w:rPr>
        <w:t>机构改革中，因合并或分立新设的单位，其成立时间填新设立时间，继续存在的单位，填原成立时间，改革后有些单位虽然名称有变化，但其基本职能未变，成立时间要填写最早成立时间。</w:t>
      </w:r>
    </w:p>
    <w:p>
      <w:pPr>
        <w:snapToGrid w:val="0"/>
        <w:spacing w:line="360" w:lineRule="exact"/>
        <w:ind w:firstLine="420" w:firstLineChars="200"/>
        <w:rPr>
          <w:rFonts w:hint="eastAsia" w:ascii="宋体" w:hAnsi="宋体" w:eastAsia="宋体" w:cs="宋体"/>
        </w:rPr>
      </w:pPr>
      <w:r>
        <w:rPr>
          <w:rFonts w:hint="eastAsia" w:ascii="宋体" w:hAnsi="宋体" w:eastAsia="宋体" w:cs="宋体"/>
        </w:rPr>
        <w:t>3.乡镇</w:t>
      </w:r>
      <w:r>
        <w:rPr>
          <w:rFonts w:hint="eastAsia" w:ascii="宋体" w:hAnsi="宋体" w:eastAsia="宋体" w:cs="宋体"/>
          <w:lang w:eastAsia="zh-CN"/>
        </w:rPr>
        <w:t>人民政府</w:t>
      </w:r>
      <w:r>
        <w:rPr>
          <w:rFonts w:hint="eastAsia" w:ascii="宋体" w:hAnsi="宋体" w:eastAsia="宋体" w:cs="宋体"/>
        </w:rPr>
        <w:t>、街道、居委会、村委会，如管辖区域基本未改变，其成立时间按原成立时间填写；否则，按新成立时间填写。</w:t>
      </w:r>
    </w:p>
    <w:p>
      <w:pPr>
        <w:snapToGrid w:val="0"/>
        <w:spacing w:line="360" w:lineRule="exact"/>
        <w:ind w:firstLine="420" w:firstLineChars="200"/>
        <w:rPr>
          <w:rFonts w:hint="eastAsia" w:ascii="宋体" w:hAnsi="宋体" w:eastAsia="宋体" w:cs="宋体"/>
        </w:rPr>
      </w:pPr>
      <w:r>
        <w:rPr>
          <w:rFonts w:hint="eastAsia" w:ascii="宋体" w:hAnsi="宋体" w:eastAsia="宋体" w:cs="宋体"/>
        </w:rPr>
        <w:t>4.改制企业的成立时间按原成立时间填写。</w:t>
      </w:r>
    </w:p>
    <w:p>
      <w:pPr>
        <w:snapToGrid w:val="0"/>
        <w:spacing w:line="360" w:lineRule="exact"/>
        <w:ind w:firstLine="420" w:firstLineChars="200"/>
        <w:rPr>
          <w:rFonts w:hint="eastAsia" w:ascii="宋体" w:hAnsi="宋体" w:eastAsia="宋体" w:cs="宋体"/>
        </w:rPr>
      </w:pPr>
      <w:r>
        <w:rPr>
          <w:rFonts w:hint="eastAsia" w:ascii="宋体" w:hAnsi="宋体" w:eastAsia="宋体" w:cs="宋体"/>
        </w:rPr>
        <w:t>5.企业分立、合并分两种情况：一种是因合并或分立而新设的企业，其成立时间按市场监管部门重新登记后的成立时间填写；另一种是合并或分立后继续存在的企业，填写原企业的成立时间。</w:t>
      </w:r>
    </w:p>
    <w:p>
      <w:pPr>
        <w:snapToGrid w:val="0"/>
        <w:spacing w:line="360" w:lineRule="exact"/>
        <w:ind w:firstLine="420" w:firstLineChars="200"/>
        <w:rPr>
          <w:rFonts w:ascii="黑体" w:hAnsi="宋体" w:eastAsia="黑体" w:cs="黑体"/>
        </w:rPr>
      </w:pPr>
      <w:r>
        <w:rPr>
          <w:rFonts w:hint="eastAsia" w:ascii="黑体" w:hAnsi="宋体" w:eastAsia="黑体" w:cs="黑体"/>
        </w:rPr>
        <w:t xml:space="preserve">开业时间 </w:t>
      </w:r>
      <w:r>
        <w:rPr>
          <w:rFonts w:hint="eastAsia" w:ascii="宋体" w:hAnsi="宋体"/>
        </w:rPr>
        <w:t>指</w:t>
      </w:r>
      <w:r>
        <w:rPr>
          <w:rFonts w:ascii="宋体" w:hAnsi="宋体"/>
        </w:rPr>
        <w:t>企业</w:t>
      </w:r>
      <w:r>
        <w:rPr>
          <w:rFonts w:hint="eastAsia" w:ascii="宋体" w:hAnsi="宋体"/>
        </w:rPr>
        <w:t>在市场</w:t>
      </w:r>
      <w:r>
        <w:rPr>
          <w:rFonts w:ascii="宋体" w:hAnsi="宋体"/>
        </w:rPr>
        <w:t>监管部门登记注册</w:t>
      </w:r>
      <w:r>
        <w:rPr>
          <w:rFonts w:hint="eastAsia" w:ascii="宋体" w:hAnsi="宋体"/>
          <w:lang w:eastAsia="zh-CN"/>
        </w:rPr>
        <w:t>后</w:t>
      </w:r>
      <w:r>
        <w:rPr>
          <w:rFonts w:ascii="宋体" w:hAnsi="宋体"/>
        </w:rPr>
        <w:t>，</w:t>
      </w:r>
      <w:r>
        <w:rPr>
          <w:rFonts w:hint="eastAsia" w:ascii="宋体" w:hAnsi="宋体"/>
        </w:rPr>
        <w:t>经过</w:t>
      </w:r>
      <w:r>
        <w:rPr>
          <w:rFonts w:ascii="宋体" w:hAnsi="宋体"/>
        </w:rPr>
        <w:t>一系列筹建工作</w:t>
      </w:r>
      <w:r>
        <w:rPr>
          <w:rFonts w:hint="eastAsia" w:ascii="宋体" w:hAnsi="宋体"/>
        </w:rPr>
        <w:t>，</w:t>
      </w:r>
      <w:r>
        <w:rPr>
          <w:rFonts w:ascii="宋体" w:hAnsi="宋体"/>
        </w:rPr>
        <w:t>正式</w:t>
      </w:r>
      <w:r>
        <w:rPr>
          <w:rFonts w:hint="eastAsia" w:ascii="宋体" w:hAnsi="宋体"/>
        </w:rPr>
        <w:t>开始投入</w:t>
      </w:r>
      <w:r>
        <w:rPr>
          <w:rFonts w:ascii="宋体" w:hAnsi="宋体"/>
        </w:rPr>
        <w:t>运营</w:t>
      </w:r>
      <w:r>
        <w:rPr>
          <w:rFonts w:hint="eastAsia" w:ascii="宋体" w:hAnsi="宋体"/>
        </w:rPr>
        <w:t>的具体</w:t>
      </w:r>
      <w:r>
        <w:rPr>
          <w:rFonts w:ascii="宋体" w:hAnsi="宋体"/>
        </w:rPr>
        <w:t>年月</w:t>
      </w:r>
      <w:r>
        <w:rPr>
          <w:rFonts w:hint="eastAsia" w:ascii="宋体" w:hAnsi="宋体"/>
        </w:rPr>
        <w:t>。</w:t>
      </w:r>
      <w:r>
        <w:rPr>
          <w:rFonts w:hint="eastAsia" w:ascii="宋体" w:hAnsi="宋体"/>
          <w:lang w:eastAsia="zh-CN"/>
        </w:rPr>
        <w:t>限</w:t>
      </w:r>
      <w:r>
        <w:rPr>
          <w:rFonts w:hint="eastAsia" w:ascii="宋体" w:hAnsi="宋体" w:cs="宋体"/>
          <w:u w:val="single"/>
        </w:rPr>
        <w:t>筹建企业</w:t>
      </w:r>
      <w:r>
        <w:rPr>
          <w:rFonts w:hint="eastAsia" w:ascii="宋体" w:hAnsi="宋体" w:cs="宋体"/>
          <w:u w:val="single"/>
          <w:lang w:eastAsia="zh-CN"/>
        </w:rPr>
        <w:t>以</w:t>
      </w:r>
      <w:r>
        <w:rPr>
          <w:rFonts w:hint="eastAsia" w:ascii="宋体" w:hAnsi="宋体" w:cs="宋体"/>
          <w:u w:val="single"/>
        </w:rPr>
        <w:t>外</w:t>
      </w:r>
      <w:r>
        <w:rPr>
          <w:rFonts w:hint="eastAsia" w:ascii="宋体" w:hAnsi="宋体" w:cs="宋体"/>
          <w:u w:val="single"/>
          <w:lang w:eastAsia="zh-CN"/>
        </w:rPr>
        <w:t>的</w:t>
      </w:r>
      <w:r>
        <w:rPr>
          <w:rFonts w:hint="eastAsia" w:ascii="宋体" w:hAnsi="宋体" w:cs="宋体"/>
          <w:u w:val="single"/>
        </w:rPr>
        <w:t>企业填写。</w:t>
      </w:r>
    </w:p>
    <w:p>
      <w:pPr>
        <w:snapToGrid w:val="0"/>
        <w:spacing w:line="360" w:lineRule="exact"/>
        <w:ind w:firstLine="420" w:firstLineChars="200"/>
        <w:rPr>
          <w:rFonts w:ascii="宋体"/>
          <w:u w:val="single"/>
        </w:rPr>
      </w:pPr>
      <w:r>
        <w:rPr>
          <w:rFonts w:hint="eastAsia" w:ascii="黑体" w:hAnsi="宋体" w:eastAsia="黑体" w:cs="黑体"/>
        </w:rPr>
        <w:t>运营状态</w:t>
      </w:r>
      <w:r>
        <w:rPr>
          <w:rFonts w:ascii="黑体" w:hAnsi="宋体" w:eastAsia="黑体" w:cs="黑体"/>
        </w:rPr>
        <w:t xml:space="preserve">  </w:t>
      </w:r>
      <w:r>
        <w:rPr>
          <w:rFonts w:hint="eastAsia" w:ascii="宋体" w:hAnsi="宋体" w:cs="宋体"/>
        </w:rPr>
        <w:t>指企业</w:t>
      </w:r>
      <w:r>
        <w:rPr>
          <w:rFonts w:ascii="宋体" w:hAnsi="宋体" w:cs="宋体"/>
        </w:rPr>
        <w:t>（</w:t>
      </w:r>
      <w:r>
        <w:rPr>
          <w:rFonts w:hint="eastAsia" w:ascii="宋体" w:hAnsi="宋体" w:cs="宋体"/>
        </w:rPr>
        <w:t>单位</w:t>
      </w:r>
      <w:r>
        <w:rPr>
          <w:rFonts w:ascii="宋体" w:hAnsi="宋体" w:cs="宋体"/>
        </w:rPr>
        <w:t>）</w:t>
      </w:r>
      <w:r>
        <w:rPr>
          <w:rFonts w:hint="eastAsia" w:ascii="宋体" w:hAnsi="宋体" w:cs="宋体"/>
        </w:rPr>
        <w:t>的经济活动状态。</w:t>
      </w:r>
    </w:p>
    <w:p>
      <w:pPr>
        <w:snapToGrid w:val="0"/>
        <w:spacing w:line="360" w:lineRule="exact"/>
        <w:ind w:firstLine="420" w:firstLineChars="200"/>
        <w:rPr>
          <w:rFonts w:ascii="宋体"/>
        </w:rPr>
      </w:pPr>
      <w:r>
        <w:rPr>
          <w:rFonts w:hint="eastAsia" w:ascii="宋体" w:hAnsi="宋体" w:cs="宋体"/>
        </w:rPr>
        <w:t>1.正常运营：指正常运转的单位，全年正常开业的企业（</w:t>
      </w:r>
      <w:r>
        <w:rPr>
          <w:rFonts w:ascii="宋体" w:hAnsi="宋体" w:cs="宋体"/>
        </w:rPr>
        <w:t>单位）</w:t>
      </w:r>
      <w:r>
        <w:rPr>
          <w:rFonts w:hint="eastAsia" w:ascii="宋体" w:hAnsi="宋体" w:cs="宋体"/>
        </w:rPr>
        <w:t>和季节性生产开工三个月以上的企业（</w:t>
      </w:r>
      <w:r>
        <w:rPr>
          <w:rFonts w:ascii="宋体" w:hAnsi="宋体" w:cs="宋体"/>
        </w:rPr>
        <w:t>单位）</w:t>
      </w:r>
      <w:r>
        <w:rPr>
          <w:rFonts w:hint="eastAsia" w:ascii="宋体" w:hAnsi="宋体" w:cs="宋体"/>
        </w:rPr>
        <w:t>。包括部分投产的新建企业（</w:t>
      </w:r>
      <w:r>
        <w:rPr>
          <w:rFonts w:ascii="宋体" w:hAnsi="宋体" w:cs="宋体"/>
        </w:rPr>
        <w:t>单位）</w:t>
      </w:r>
      <w:r>
        <w:rPr>
          <w:rFonts w:hint="eastAsia" w:ascii="宋体" w:hAnsi="宋体" w:cs="宋体"/>
        </w:rPr>
        <w:t>，临时性停产和季节性停产的企业（</w:t>
      </w:r>
      <w:r>
        <w:rPr>
          <w:rFonts w:ascii="宋体" w:hAnsi="宋体" w:cs="宋体"/>
        </w:rPr>
        <w:t>单位）</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2.停业</w:t>
      </w:r>
      <w:r>
        <w:rPr>
          <w:rFonts w:ascii="宋体" w:hAnsi="宋体" w:cs="宋体"/>
        </w:rPr>
        <w:t>（</w:t>
      </w:r>
      <w:r>
        <w:rPr>
          <w:rFonts w:hint="eastAsia" w:ascii="宋体" w:hAnsi="宋体" w:cs="宋体"/>
        </w:rPr>
        <w:t>歇业</w:t>
      </w:r>
      <w:r>
        <w:rPr>
          <w:rFonts w:ascii="宋体" w:hAnsi="宋体" w:cs="宋体"/>
        </w:rPr>
        <w:t>）</w:t>
      </w:r>
      <w:r>
        <w:rPr>
          <w:rFonts w:hint="eastAsia" w:ascii="宋体" w:hAnsi="宋体" w:cs="宋体"/>
        </w:rPr>
        <w:t>：指由于某种原因已处于停止经营或活动的状态，待条件改变后将恢复经营或活动的企业（</w:t>
      </w:r>
      <w:r>
        <w:rPr>
          <w:rFonts w:ascii="宋体" w:hAnsi="宋体" w:cs="宋体"/>
        </w:rPr>
        <w:t>单位）</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3.筹建：指已经在行政登记管理部门注册登记，正在进行经营或</w:t>
      </w:r>
      <w:r>
        <w:rPr>
          <w:rFonts w:ascii="宋体" w:hAnsi="宋体" w:cs="宋体"/>
        </w:rPr>
        <w:t>活动前</w:t>
      </w:r>
      <w:r>
        <w:rPr>
          <w:rFonts w:hint="eastAsia" w:ascii="宋体" w:hAnsi="宋体" w:cs="宋体"/>
        </w:rPr>
        <w:t>筹建工作的企业</w:t>
      </w:r>
      <w:r>
        <w:rPr>
          <w:rFonts w:ascii="宋体" w:hAnsi="宋体" w:cs="宋体"/>
        </w:rPr>
        <w:t>（单位</w:t>
      </w:r>
      <w:r>
        <w:rPr>
          <w:rFonts w:hint="eastAsia" w:ascii="宋体" w:hAnsi="宋体" w:cs="宋体"/>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napToGrid w:val="0"/>
        <w:spacing w:line="360" w:lineRule="exact"/>
        <w:ind w:firstLine="420" w:firstLineChars="200"/>
        <w:rPr>
          <w:rFonts w:ascii="宋体" w:hAnsi="宋体" w:cs="宋体"/>
        </w:rPr>
      </w:pPr>
      <w:r>
        <w:rPr>
          <w:rFonts w:hint="eastAsia" w:ascii="宋体" w:hAnsi="宋体" w:cs="宋体"/>
        </w:rPr>
        <w:t>4.当年关闭：指当年因某种原因终止经营或</w:t>
      </w:r>
      <w:r>
        <w:rPr>
          <w:rFonts w:ascii="宋体" w:hAnsi="宋体" w:cs="宋体"/>
        </w:rPr>
        <w:t>活动</w:t>
      </w:r>
      <w:r>
        <w:rPr>
          <w:rFonts w:hint="eastAsia" w:ascii="宋体" w:hAnsi="宋体" w:cs="宋体"/>
        </w:rPr>
        <w:t>的企业（</w:t>
      </w:r>
      <w:r>
        <w:rPr>
          <w:rFonts w:ascii="宋体" w:hAnsi="宋体" w:cs="宋体"/>
        </w:rPr>
        <w:t>单位）</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5.当年破产：指当年依照《</w:t>
      </w:r>
      <w:r>
        <w:rPr>
          <w:rFonts w:hint="eastAsia" w:ascii="宋体" w:hAnsi="宋体" w:cs="宋体"/>
          <w:lang w:eastAsia="zh-CN"/>
        </w:rPr>
        <w:t>中华人民共和国企业</w:t>
      </w:r>
      <w:r>
        <w:rPr>
          <w:rFonts w:hint="eastAsia" w:ascii="宋体" w:hAnsi="宋体" w:cs="宋体"/>
        </w:rPr>
        <w:t>破产法》或相关法律法规宣布破产的企业</w:t>
      </w:r>
      <w:r>
        <w:rPr>
          <w:rFonts w:hint="eastAsia" w:ascii="宋体" w:hAnsi="宋体" w:cs="宋体"/>
          <w:lang w:eastAsia="zh-CN"/>
        </w:rPr>
        <w:t>（单位）</w:t>
      </w:r>
      <w:r>
        <w:rPr>
          <w:rFonts w:hint="eastAsia" w:ascii="宋体" w:hAnsi="宋体" w:cs="宋体"/>
        </w:rPr>
        <w:t>。</w:t>
      </w:r>
    </w:p>
    <w:p>
      <w:pPr>
        <w:snapToGrid w:val="0"/>
        <w:spacing w:line="360" w:lineRule="exact"/>
        <w:ind w:firstLine="420" w:firstLineChars="200"/>
        <w:rPr>
          <w:rFonts w:ascii="宋体" w:hAnsi="宋体" w:cs="宋体"/>
        </w:rPr>
      </w:pPr>
      <w:r>
        <w:rPr>
          <w:rFonts w:hint="eastAsia" w:ascii="宋体" w:hAnsi="宋体" w:cs="宋体"/>
        </w:rPr>
        <w:t>6.当</w:t>
      </w:r>
      <w:r>
        <w:rPr>
          <w:rFonts w:ascii="宋体" w:hAnsi="宋体" w:cs="宋体"/>
        </w:rPr>
        <w:t>年注销：</w:t>
      </w:r>
      <w:r>
        <w:rPr>
          <w:rFonts w:hint="eastAsia" w:ascii="宋体" w:hAnsi="宋体"/>
        </w:rPr>
        <w:t>指当</w:t>
      </w:r>
      <w:r>
        <w:rPr>
          <w:rFonts w:ascii="宋体" w:hAnsi="宋体"/>
        </w:rPr>
        <w:t>年</w:t>
      </w:r>
      <w:r>
        <w:rPr>
          <w:rFonts w:hint="eastAsia" w:ascii="宋体" w:hAnsi="宋体"/>
        </w:rPr>
        <w:t>因歇业、宣告破产、自行解散或因其他原因终止活动，在行政登记管理部门主动申请退出的企业（单位）。</w:t>
      </w:r>
    </w:p>
    <w:p>
      <w:pPr>
        <w:snapToGrid w:val="0"/>
        <w:spacing w:line="360" w:lineRule="exact"/>
        <w:ind w:firstLine="420" w:firstLineChars="200"/>
        <w:rPr>
          <w:rFonts w:ascii="宋体" w:hAnsi="宋体" w:cs="宋体"/>
        </w:rPr>
      </w:pPr>
      <w:r>
        <w:rPr>
          <w:rFonts w:hint="eastAsia" w:ascii="宋体" w:hAnsi="宋体" w:cs="宋体"/>
        </w:rPr>
        <w:t>7.</w:t>
      </w:r>
      <w:r>
        <w:rPr>
          <w:rFonts w:ascii="宋体" w:hAnsi="宋体" w:cs="宋体"/>
        </w:rPr>
        <w:t>当年</w:t>
      </w:r>
      <w:r>
        <w:rPr>
          <w:rFonts w:hint="eastAsia" w:ascii="宋体" w:hAnsi="宋体" w:cs="宋体"/>
        </w:rPr>
        <w:t>撤</w:t>
      </w:r>
      <w:r>
        <w:rPr>
          <w:rFonts w:ascii="宋体" w:hAnsi="宋体" w:cs="宋体"/>
        </w:rPr>
        <w:t>（吊）销：</w:t>
      </w:r>
      <w:r>
        <w:rPr>
          <w:rFonts w:hint="eastAsia" w:ascii="宋体" w:hAnsi="宋体" w:cs="宋体"/>
        </w:rPr>
        <w:t>指</w:t>
      </w:r>
      <w:r>
        <w:rPr>
          <w:rFonts w:hint="eastAsia" w:ascii="宋体" w:hAnsi="宋体"/>
        </w:rPr>
        <w:t>当年被</w:t>
      </w:r>
      <w:r>
        <w:rPr>
          <w:rFonts w:hint="eastAsia"/>
          <w:color w:val="auto"/>
          <w:u w:val="none"/>
        </w:rPr>
        <w:t>行政登记管理部门</w:t>
      </w:r>
      <w:r>
        <w:rPr>
          <w:rFonts w:hint="eastAsia" w:ascii="宋体" w:hAnsi="宋体"/>
        </w:rPr>
        <w:t>根据国家相关法律法规，</w:t>
      </w:r>
      <w:r>
        <w:rPr>
          <w:rFonts w:ascii="宋体" w:hAnsi="宋体"/>
        </w:rPr>
        <w:t>对其</w:t>
      </w:r>
      <w:r>
        <w:rPr>
          <w:rFonts w:hint="eastAsia" w:ascii="宋体" w:hAnsi="宋体"/>
        </w:rPr>
        <w:t>进行吊销营业执照（证书）行政处罚的企业（单位）或撤销登记的企业（单位）</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8.其他：指上述情况以外的其他企业（</w:t>
      </w:r>
      <w:r>
        <w:rPr>
          <w:rFonts w:ascii="宋体" w:hAnsi="宋体" w:cs="宋体"/>
        </w:rPr>
        <w:t>单位）</w:t>
      </w:r>
      <w:r>
        <w:rPr>
          <w:rFonts w:hint="eastAsia" w:ascii="宋体" w:hAnsi="宋体" w:cs="宋体"/>
        </w:rPr>
        <w:t>。</w:t>
      </w:r>
    </w:p>
    <w:p>
      <w:pPr>
        <w:snapToGrid w:val="0"/>
        <w:spacing w:line="360" w:lineRule="exact"/>
        <w:ind w:firstLine="420" w:firstLineChars="200"/>
        <w:rPr>
          <w:rFonts w:ascii="宋体" w:hAnsi="宋体"/>
          <w:u w:val="single"/>
        </w:rPr>
      </w:pPr>
      <w:r>
        <w:rPr>
          <w:rFonts w:hint="eastAsia" w:ascii="黑体" w:hAnsi="宋体" w:eastAsia="黑体" w:cs="黑体"/>
        </w:rPr>
        <w:t>执行会计标准类别</w:t>
      </w:r>
      <w:r>
        <w:rPr>
          <w:rFonts w:ascii="黑体" w:hAnsi="宋体" w:eastAsia="黑体" w:cs="黑体"/>
        </w:rPr>
        <w:t xml:space="preserve">  </w:t>
      </w:r>
      <w:r>
        <w:rPr>
          <w:rFonts w:hint="eastAsia" w:ascii="宋体" w:hAnsi="宋体" w:cs="宋体"/>
        </w:rPr>
        <w:t>分为执行企业会计准则制度、政府会计准则制度、民间非营利组织会计制度和其他四种情况。</w:t>
      </w:r>
      <w:r>
        <w:rPr>
          <w:rFonts w:ascii="宋体" w:hAnsi="宋体"/>
          <w:u w:val="single"/>
        </w:rPr>
        <w:t>限</w:t>
      </w:r>
      <w:r>
        <w:rPr>
          <w:rFonts w:hint="eastAsia" w:ascii="宋体" w:hAnsi="宋体"/>
          <w:u w:val="single"/>
        </w:rPr>
        <w:t>法人</w:t>
      </w:r>
      <w:r>
        <w:rPr>
          <w:rFonts w:ascii="宋体" w:hAnsi="宋体"/>
          <w:u w:val="single"/>
        </w:rPr>
        <w:t>单位填写</w:t>
      </w:r>
      <w:r>
        <w:rPr>
          <w:rFonts w:ascii="宋体" w:hAnsi="宋体"/>
        </w:rPr>
        <w:t>。</w:t>
      </w:r>
    </w:p>
    <w:p>
      <w:pPr>
        <w:snapToGrid w:val="0"/>
        <w:spacing w:line="360" w:lineRule="exact"/>
        <w:ind w:firstLine="420" w:firstLineChars="200"/>
        <w:rPr>
          <w:rFonts w:ascii="宋体"/>
        </w:rPr>
      </w:pPr>
      <w:r>
        <w:rPr>
          <w:rFonts w:hint="eastAsia" w:ascii="宋体" w:hAnsi="宋体" w:cs="宋体"/>
        </w:rPr>
        <w:t>1.企业会计准则制度：执行企业会计准则、小企业会计准则和企业会计制度的企业选填此项。包括已纳入企业财务管理体系的单位。</w:t>
      </w:r>
    </w:p>
    <w:p>
      <w:pPr>
        <w:snapToGrid w:val="0"/>
        <w:spacing w:line="360" w:lineRule="exact"/>
        <w:ind w:firstLine="420" w:firstLineChars="200"/>
        <w:rPr>
          <w:rFonts w:hint="eastAsia" w:ascii="宋体" w:hAnsi="宋体" w:cs="宋体"/>
        </w:rPr>
      </w:pPr>
      <w:r>
        <w:rPr>
          <w:rFonts w:hint="eastAsia" w:ascii="宋体" w:hAnsi="宋体" w:cs="宋体"/>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napToGrid w:val="0"/>
        <w:spacing w:line="360" w:lineRule="exact"/>
        <w:ind w:firstLine="420" w:firstLineChars="200"/>
        <w:rPr>
          <w:rFonts w:ascii="宋体"/>
        </w:rPr>
      </w:pPr>
      <w:r>
        <w:rPr>
          <w:rFonts w:hint="eastAsia" w:ascii="宋体" w:hAnsi="宋体" w:cs="宋体"/>
        </w:rPr>
        <w:t>3.民间非营利组织会计制度：执行民间非营利组织会计制度的单位选填此项。包括执行民间非营利组织会计制度的社会团体、基金会、民办非企业单位和寺院、宫、观、清真寺、教堂等。</w:t>
      </w:r>
    </w:p>
    <w:p>
      <w:pPr>
        <w:snapToGrid w:val="0"/>
        <w:spacing w:line="360" w:lineRule="exact"/>
        <w:ind w:firstLine="420" w:firstLineChars="200"/>
        <w:rPr>
          <w:rFonts w:ascii="宋体" w:hAnsi="宋体" w:cs="宋体"/>
        </w:rPr>
      </w:pPr>
      <w:r>
        <w:rPr>
          <w:rFonts w:hint="eastAsia" w:ascii="宋体" w:hAnsi="宋体" w:cs="宋体"/>
        </w:rPr>
        <w:t>4.其他：不执行以上三类会计制度的单位选填此项。</w:t>
      </w:r>
    </w:p>
    <w:p>
      <w:pPr>
        <w:spacing w:line="360" w:lineRule="exact"/>
        <w:ind w:firstLine="359" w:firstLineChars="171"/>
        <w:rPr>
          <w:rFonts w:ascii="宋体" w:hAnsi="宋体" w:cs="宋体"/>
        </w:rPr>
      </w:pPr>
      <w:r>
        <w:rPr>
          <w:rFonts w:hint="eastAsia" w:ascii="黑体" w:hAnsi="宋体" w:eastAsia="黑体" w:cs="黑体"/>
        </w:rPr>
        <w:t>执行企业会计准则</w:t>
      </w:r>
      <w:r>
        <w:rPr>
          <w:rFonts w:hint="eastAsia" w:ascii="黑体" w:hAnsi="宋体" w:eastAsia="黑体" w:cs="黑体"/>
          <w:lang w:eastAsia="zh-CN"/>
        </w:rPr>
        <w:t>制度</w:t>
      </w:r>
      <w:r>
        <w:rPr>
          <w:rFonts w:hint="eastAsia" w:ascii="黑体" w:hAnsi="宋体" w:eastAsia="黑体" w:cs="黑体"/>
        </w:rPr>
        <w:t>情况</w:t>
      </w:r>
      <w:r>
        <w:rPr>
          <w:rFonts w:ascii="黑体" w:hAnsi="宋体" w:eastAsia="黑体" w:cs="黑体"/>
        </w:rPr>
        <w:t xml:space="preserve">  </w:t>
      </w:r>
      <w:r>
        <w:rPr>
          <w:rFonts w:hint="eastAsia" w:ascii="宋体" w:hAnsi="宋体" w:cs="宋体"/>
          <w:u w:val="single"/>
        </w:rPr>
        <w:t>执行企业会计准则制度的法人单位</w:t>
      </w:r>
      <w:r>
        <w:rPr>
          <w:rFonts w:hint="eastAsia" w:ascii="宋体" w:hAnsi="宋体" w:cs="宋体"/>
        </w:rPr>
        <w:t>按相应分类</w:t>
      </w:r>
      <w:r>
        <w:rPr>
          <w:rFonts w:hint="eastAsia" w:ascii="宋体" w:hAnsi="宋体" w:cs="宋体"/>
          <w:u w:val="single"/>
        </w:rPr>
        <w:t>填写</w:t>
      </w:r>
      <w:r>
        <w:rPr>
          <w:rFonts w:hint="eastAsia" w:ascii="宋体" w:hAnsi="宋体" w:cs="宋体"/>
        </w:rPr>
        <w:t>代码，具体的分类及代码是：</w:t>
      </w:r>
      <w:r>
        <w:rPr>
          <w:rFonts w:ascii="宋体" w:hAnsi="宋体" w:cs="宋体"/>
        </w:rPr>
        <w:t>1.</w:t>
      </w:r>
      <w:r>
        <w:rPr>
          <w:rFonts w:hint="eastAsia" w:ascii="宋体" w:hAnsi="宋体" w:cs="宋体"/>
        </w:rPr>
        <w:t>执行《企业会计准则》</w:t>
      </w:r>
      <w:r>
        <w:rPr>
          <w:rFonts w:hint="eastAsia" w:ascii="宋体" w:hAnsi="宋体" w:cs="宋体"/>
          <w:lang w:eastAsia="zh-CN"/>
        </w:rPr>
        <w:t>（《企业会计准则</w:t>
      </w:r>
      <w:r>
        <w:rPr>
          <w:rFonts w:hint="eastAsia" w:ascii="宋体" w:hAnsi="宋体" w:cs="宋体"/>
          <w:lang w:val="en-US" w:eastAsia="zh-CN"/>
        </w:rPr>
        <w:t>--基本准则</w:t>
      </w:r>
      <w:r>
        <w:rPr>
          <w:rFonts w:hint="eastAsia" w:ascii="宋体" w:hAnsi="宋体" w:cs="宋体"/>
          <w:lang w:eastAsia="zh-CN"/>
        </w:rPr>
        <w:t>》）</w:t>
      </w:r>
      <w:r>
        <w:rPr>
          <w:rFonts w:hint="eastAsia" w:ascii="宋体" w:hAnsi="宋体" w:cs="宋体"/>
        </w:rPr>
        <w:t>见财政部第</w:t>
      </w:r>
      <w:r>
        <w:rPr>
          <w:rFonts w:hint="eastAsia" w:ascii="宋体" w:hAnsi="宋体" w:cs="宋体"/>
          <w:lang w:val="en-US" w:eastAsia="zh-CN"/>
        </w:rPr>
        <w:t>76</w:t>
      </w:r>
      <w:r>
        <w:rPr>
          <w:rFonts w:hint="eastAsia" w:ascii="宋体" w:hAnsi="宋体" w:cs="宋体"/>
        </w:rPr>
        <w:t>号令</w:t>
      </w:r>
      <w:r>
        <w:rPr>
          <w:rFonts w:hint="eastAsia" w:ascii="宋体" w:hAnsi="宋体" w:cs="宋体"/>
          <w:lang w:eastAsia="zh-CN"/>
        </w:rPr>
        <w:t>，各项具体准则、准则解释等见财政部有关财会字文件</w:t>
      </w:r>
      <w:r>
        <w:rPr>
          <w:rFonts w:hint="eastAsia" w:ascii="宋体" w:hAnsi="宋体" w:cs="宋体"/>
        </w:rPr>
        <w:t>）</w:t>
      </w:r>
      <w:r>
        <w:rPr>
          <w:rFonts w:hint="eastAsia" w:ascii="宋体" w:hAnsi="宋体" w:cs="宋体"/>
          <w:lang w:eastAsia="zh-CN"/>
        </w:rPr>
        <w:t>；</w:t>
      </w:r>
      <w:r>
        <w:rPr>
          <w:rFonts w:ascii="宋体" w:hAnsi="宋体" w:cs="宋体"/>
        </w:rPr>
        <w:t>2.</w:t>
      </w:r>
      <w:r>
        <w:rPr>
          <w:rFonts w:hint="eastAsia" w:ascii="宋体" w:hAnsi="宋体" w:cs="宋体"/>
        </w:rPr>
        <w:t>执行《小企业会计准则》（见财政部财会</w:t>
      </w:r>
      <w:r>
        <w:rPr>
          <w:rFonts w:hint="eastAsia" w:ascii="方正隶书_GBK" w:hAnsi="方正隶书_GBK" w:eastAsia="方正隶书_GBK" w:cs="方正隶书_GBK"/>
        </w:rPr>
        <w:t>〔</w:t>
      </w:r>
      <w:r>
        <w:rPr>
          <w:rFonts w:ascii="宋体" w:hAnsi="宋体" w:cs="宋体"/>
        </w:rPr>
        <w:t>2011</w:t>
      </w:r>
      <w:r>
        <w:rPr>
          <w:rFonts w:hint="eastAsia" w:ascii="方正隶书_GBK" w:hAnsi="方正隶书_GBK" w:eastAsia="方正隶书_GBK" w:cs="方正隶书_GBK"/>
        </w:rPr>
        <w:t>〕</w:t>
      </w:r>
      <w:r>
        <w:rPr>
          <w:rFonts w:ascii="宋体" w:hAnsi="宋体" w:cs="宋体"/>
        </w:rPr>
        <w:t>17</w:t>
      </w:r>
      <w:r>
        <w:rPr>
          <w:rFonts w:hint="eastAsia" w:ascii="宋体" w:hAnsi="宋体" w:cs="宋体"/>
        </w:rPr>
        <w:t>号文）</w:t>
      </w:r>
      <w:r>
        <w:rPr>
          <w:rFonts w:hint="eastAsia" w:ascii="宋体" w:hAnsi="宋体" w:cs="宋体"/>
          <w:lang w:eastAsia="zh-CN"/>
        </w:rPr>
        <w:t>；</w:t>
      </w:r>
      <w:r>
        <w:rPr>
          <w:rFonts w:hint="eastAsia" w:ascii="宋体" w:hAnsi="宋体" w:cs="宋体"/>
          <w:lang w:val="en-US" w:eastAsia="zh-CN"/>
        </w:rPr>
        <w:t>3.执行《企业会计制度》（见财政部财会</w:t>
      </w:r>
      <w:r>
        <w:rPr>
          <w:rFonts w:hint="eastAsia" w:ascii="方正隶书_GBK" w:hAnsi="方正隶书_GBK" w:eastAsia="方正隶书_GBK" w:cs="方正隶书_GBK"/>
        </w:rPr>
        <w:t>〔</w:t>
      </w:r>
      <w:r>
        <w:rPr>
          <w:rFonts w:ascii="宋体" w:hAnsi="宋体" w:cs="宋体"/>
        </w:rPr>
        <w:t>20</w:t>
      </w:r>
      <w:r>
        <w:rPr>
          <w:rFonts w:hint="eastAsia" w:ascii="宋体" w:hAnsi="宋体" w:cs="宋体"/>
          <w:lang w:val="en-US" w:eastAsia="zh-CN"/>
        </w:rPr>
        <w:t>00</w:t>
      </w:r>
      <w:r>
        <w:rPr>
          <w:rFonts w:hint="eastAsia" w:ascii="方正隶书_GBK" w:hAnsi="方正隶书_GBK" w:eastAsia="方正隶书_GBK" w:cs="方正隶书_GBK"/>
        </w:rPr>
        <w:t>〕</w:t>
      </w:r>
      <w:r>
        <w:rPr>
          <w:rFonts w:hint="eastAsia" w:ascii="宋体" w:hAnsi="宋体" w:eastAsia="方正隶书_GBK" w:cs="宋体"/>
          <w:lang w:val="en-US" w:eastAsia="zh-CN"/>
        </w:rPr>
        <w:t>25</w:t>
      </w:r>
      <w:r>
        <w:rPr>
          <w:rFonts w:hint="eastAsia" w:ascii="宋体" w:hAnsi="宋体" w:cs="宋体"/>
        </w:rPr>
        <w:t>号文</w:t>
      </w:r>
      <w:r>
        <w:rPr>
          <w:rFonts w:hint="eastAsia" w:ascii="宋体" w:hAnsi="宋体" w:cs="宋体"/>
          <w:lang w:val="en-US" w:eastAsia="zh-CN"/>
        </w:rPr>
        <w:t>）</w:t>
      </w:r>
      <w:r>
        <w:rPr>
          <w:rFonts w:hint="eastAsia" w:ascii="宋体" w:hAnsi="宋体" w:cs="宋体"/>
        </w:rPr>
        <w:t>。</w:t>
      </w:r>
    </w:p>
    <w:p>
      <w:pPr>
        <w:snapToGrid w:val="0"/>
        <w:spacing w:line="360" w:lineRule="exact"/>
        <w:ind w:firstLine="420" w:firstLineChars="200"/>
        <w:rPr>
          <w:rFonts w:ascii="宋体"/>
        </w:rPr>
      </w:pPr>
      <w:r>
        <w:rPr>
          <w:rFonts w:hint="eastAsia" w:ascii="黑体" w:hAnsi="宋体" w:eastAsia="黑体" w:cs="黑体"/>
        </w:rPr>
        <w:t>产业活动单位数</w:t>
      </w:r>
      <w:r>
        <w:rPr>
          <w:rFonts w:ascii="黑体" w:hAnsi="宋体" w:eastAsia="黑体" w:cs="黑体"/>
        </w:rPr>
        <w:t xml:space="preserve">  </w:t>
      </w:r>
      <w:r>
        <w:rPr>
          <w:rFonts w:hint="eastAsia" w:ascii="宋体" w:hAnsi="宋体" w:cs="宋体"/>
        </w:rPr>
        <w:t>填写法人单位所属的全部产业活动单位数。</w:t>
      </w:r>
    </w:p>
    <w:p>
      <w:pPr>
        <w:spacing w:line="360" w:lineRule="exact"/>
        <w:ind w:firstLine="420" w:firstLineChars="200"/>
        <w:rPr>
          <w:rFonts w:hint="eastAsia" w:ascii="宋体" w:hAnsi="宋体"/>
        </w:rPr>
      </w:pPr>
      <w:r>
        <w:rPr>
          <w:rFonts w:hint="eastAsia" w:ascii="黑体" w:hAnsi="宋体" w:eastAsia="黑体" w:cs="黑体"/>
        </w:rPr>
        <w:t>从业人员期末人数</w:t>
      </w:r>
      <w:r>
        <w:rPr>
          <w:rFonts w:ascii="黑体" w:hAnsi="宋体" w:eastAsia="黑体" w:cs="黑体"/>
        </w:rPr>
        <w:t xml:space="preserve">  </w:t>
      </w:r>
      <w:r>
        <w:rPr>
          <w:rFonts w:hint="eastAsia" w:ascii="宋体" w:hAnsi="宋体"/>
        </w:rPr>
        <w:t>指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snapToGrid w:val="0"/>
        <w:spacing w:line="360" w:lineRule="exact"/>
        <w:ind w:firstLine="420" w:firstLineChars="200"/>
        <w:rPr>
          <w:rFonts w:ascii="宋体"/>
        </w:rPr>
      </w:pPr>
      <w:r>
        <w:rPr>
          <w:rFonts w:hint="eastAsia" w:ascii="黑体" w:hAnsi="宋体" w:eastAsia="黑体" w:cs="黑体"/>
        </w:rPr>
        <w:t>企业主要经济指标</w:t>
      </w:r>
      <w:r>
        <w:rPr>
          <w:rFonts w:ascii="黑体" w:hAnsi="宋体" w:eastAsia="黑体" w:cs="黑体"/>
        </w:rPr>
        <w:t xml:space="preserve">  </w:t>
      </w:r>
      <w:r>
        <w:rPr>
          <w:rFonts w:hint="eastAsia" w:ascii="宋体" w:hAnsi="宋体" w:cs="宋体"/>
          <w:u w:val="single"/>
        </w:rPr>
        <w:t>限</w:t>
      </w:r>
      <w:r>
        <w:rPr>
          <w:rFonts w:hint="eastAsia" w:cs="宋体"/>
          <w:u w:val="single"/>
        </w:rPr>
        <w:t>企业法人、</w:t>
      </w:r>
      <w:r>
        <w:rPr>
          <w:rFonts w:cs="宋体"/>
          <w:u w:val="single"/>
        </w:rPr>
        <w:t>农民专业合作社</w:t>
      </w:r>
      <w:r>
        <w:rPr>
          <w:rFonts w:hint="eastAsia" w:cs="宋体"/>
          <w:u w:val="single"/>
        </w:rPr>
        <w:t>法人、</w:t>
      </w:r>
      <w:r>
        <w:rPr>
          <w:rFonts w:cs="宋体"/>
          <w:u w:val="single"/>
        </w:rPr>
        <w:t>农村集体经济组织</w:t>
      </w:r>
      <w:r>
        <w:rPr>
          <w:rFonts w:hint="eastAsia" w:cs="宋体"/>
          <w:u w:val="single"/>
        </w:rPr>
        <w:t>法人及其他执行企业会计</w:t>
      </w:r>
      <w:r>
        <w:rPr>
          <w:rFonts w:hint="eastAsia" w:cs="宋体"/>
          <w:u w:val="single"/>
          <w:lang w:eastAsia="zh-CN"/>
        </w:rPr>
        <w:t>准则</w:t>
      </w:r>
      <w:r>
        <w:rPr>
          <w:rFonts w:hint="eastAsia" w:cs="宋体"/>
          <w:u w:val="single"/>
        </w:rPr>
        <w:t>制度的法人单位</w:t>
      </w:r>
      <w:r>
        <w:rPr>
          <w:rFonts w:hint="eastAsia" w:ascii="宋体" w:hAnsi="宋体" w:cs="宋体"/>
          <w:u w:val="single"/>
        </w:rPr>
        <w:t>填写</w:t>
      </w:r>
      <w:r>
        <w:rPr>
          <w:rFonts w:hint="eastAsia" w:ascii="宋体" w:hAnsi="宋体" w:cs="宋体"/>
        </w:rPr>
        <w:t>。</w:t>
      </w:r>
    </w:p>
    <w:p>
      <w:pPr>
        <w:snapToGrid w:val="0"/>
        <w:spacing w:line="360" w:lineRule="exact"/>
        <w:ind w:firstLine="420" w:firstLineChars="200"/>
        <w:rPr>
          <w:rFonts w:ascii="宋体" w:hAnsi="宋体"/>
        </w:rPr>
      </w:pPr>
      <w:r>
        <w:rPr>
          <w:rFonts w:hint="eastAsia" w:ascii="黑体" w:hAnsi="宋体" w:eastAsia="黑体"/>
        </w:rPr>
        <w:t>营业收入</w:t>
      </w:r>
      <w:r>
        <w:rPr>
          <w:rFonts w:ascii="黑体" w:hAnsi="宋体" w:eastAsia="黑体" w:cs="黑体"/>
        </w:rPr>
        <w:t xml:space="preserve">  </w:t>
      </w:r>
      <w:r>
        <w:rPr>
          <w:rFonts w:hint="eastAsia" w:ascii="宋体" w:hAnsi="宋体" w:cs="宋体"/>
        </w:rPr>
        <w:t>指企业从事销售商品、提供劳务和让渡资产使用权等生产经营活动形成的经济利益流入。包括“主营业务收入”和“其他业务收入”。根据会计“利润表”中“营业收入”项目的本年累计数填报。</w:t>
      </w:r>
    </w:p>
    <w:p>
      <w:pPr>
        <w:snapToGrid w:val="0"/>
        <w:spacing w:line="360" w:lineRule="exact"/>
        <w:ind w:firstLine="420" w:firstLineChars="200"/>
        <w:rPr>
          <w:rFonts w:ascii="宋体" w:hAnsi="宋体" w:cs="宋体"/>
        </w:rPr>
      </w:pPr>
      <w:r>
        <w:rPr>
          <w:rFonts w:hint="eastAsia" w:ascii="黑体" w:hAnsi="宋体" w:eastAsia="黑体"/>
        </w:rPr>
        <w:t>主营业务收入</w:t>
      </w:r>
      <w:r>
        <w:rPr>
          <w:rFonts w:hint="eastAsia" w:ascii="宋体" w:hAnsi="宋体"/>
        </w:rPr>
        <w:t xml:space="preserve">  </w:t>
      </w:r>
      <w:r>
        <w:rPr>
          <w:rFonts w:hint="eastAsia" w:ascii="宋体" w:hAnsi="宋体" w:cs="宋体"/>
        </w:rPr>
        <w:t>指企业经营主要业务所实现的收入。如果会计“利润表”列示“主营业务收入”项目，则根据其本年累计数填报；或者，根据会计“主营业务收入”科目的</w:t>
      </w:r>
      <w:r>
        <w:rPr>
          <w:rFonts w:hint="eastAsia" w:ascii="宋体" w:hAnsi="Calibri" w:cs="宋体"/>
        </w:rPr>
        <w:t>本年各月贷方余额（结转前）之和</w:t>
      </w:r>
      <w:r>
        <w:rPr>
          <w:rFonts w:hint="eastAsia" w:ascii="宋体" w:hAnsi="宋体" w:cs="宋体"/>
        </w:rPr>
        <w:t>填报，如未设置该科目，以“营业收入”代替填报。</w:t>
      </w:r>
    </w:p>
    <w:p>
      <w:pPr>
        <w:snapToGrid w:val="0"/>
        <w:spacing w:line="360" w:lineRule="exact"/>
        <w:ind w:firstLine="420" w:firstLineChars="200"/>
        <w:rPr>
          <w:rFonts w:ascii="宋体"/>
          <w:u w:val="single"/>
        </w:rPr>
      </w:pPr>
      <w:r>
        <w:rPr>
          <w:rFonts w:hint="eastAsia" w:ascii="黑体" w:hAnsi="宋体" w:eastAsia="黑体" w:cs="黑体"/>
        </w:rPr>
        <w:t>非企业单位主要经济指标</w:t>
      </w:r>
      <w:r>
        <w:rPr>
          <w:rFonts w:ascii="黑体" w:hAnsi="宋体" w:eastAsia="黑体" w:cs="黑体"/>
        </w:rPr>
        <w:t xml:space="preserve">  </w:t>
      </w:r>
      <w:r>
        <w:rPr>
          <w:rFonts w:hint="eastAsia" w:ascii="宋体" w:hAnsi="宋体" w:cs="宋体"/>
          <w:u w:val="single"/>
        </w:rPr>
        <w:t>限</w:t>
      </w:r>
      <w:r>
        <w:rPr>
          <w:rFonts w:hint="eastAsia" w:cs="宋体"/>
          <w:u w:val="single"/>
        </w:rPr>
        <w:t>机关法人、社团法人、居村委会，以及不执行企业会计准则制度的其他法人</w:t>
      </w:r>
      <w:r>
        <w:rPr>
          <w:rFonts w:hint="eastAsia" w:ascii="宋体" w:hAnsi="宋体" w:cs="宋体"/>
          <w:u w:val="single"/>
        </w:rPr>
        <w:t>单位填写。</w:t>
      </w:r>
    </w:p>
    <w:p>
      <w:pPr>
        <w:snapToGrid w:val="0"/>
        <w:spacing w:line="360" w:lineRule="exact"/>
        <w:ind w:firstLine="420" w:firstLineChars="200"/>
        <w:rPr>
          <w:rFonts w:ascii="宋体"/>
        </w:rPr>
      </w:pPr>
      <w:r>
        <w:rPr>
          <w:rFonts w:hint="eastAsia" w:ascii="宋体" w:hAnsi="宋体" w:cs="宋体"/>
        </w:rPr>
        <w:t>非企业单位支出（费用）：行政事业单位填报“本年支出合计”，指行政事业单位本年度全部支出。根据行政事业单位“收入支出决算总表”中的“本年支出合计”项目填报。社团、民办非企业单位、基金会及其他单位填报“本年费用合计”，指民间非盈利</w:t>
      </w:r>
      <w:r>
        <w:rPr>
          <w:rFonts w:ascii="宋体" w:hAnsi="宋体" w:cs="宋体"/>
        </w:rPr>
        <w:t>组织</w:t>
      </w:r>
      <w:r>
        <w:rPr>
          <w:rFonts w:hint="eastAsia" w:ascii="宋体" w:hAnsi="宋体" w:cs="宋体"/>
        </w:rPr>
        <w:t>为</w:t>
      </w:r>
      <w:r>
        <w:rPr>
          <w:rFonts w:ascii="宋体" w:hAnsi="宋体" w:cs="宋体"/>
        </w:rPr>
        <w:t>开展业务活动所发生的、导致本期净资产减少的经济利益或者服务潜力的流出</w:t>
      </w:r>
      <w:r>
        <w:rPr>
          <w:rFonts w:hint="eastAsia" w:ascii="宋体" w:hAnsi="宋体" w:cs="宋体"/>
        </w:rPr>
        <w:t>，按照其</w:t>
      </w:r>
      <w:r>
        <w:rPr>
          <w:rFonts w:ascii="宋体" w:hAnsi="宋体" w:cs="宋体"/>
        </w:rPr>
        <w:t>功能分为</w:t>
      </w:r>
      <w:r>
        <w:rPr>
          <w:rFonts w:hint="eastAsia" w:ascii="宋体" w:hAnsi="宋体" w:cs="宋体"/>
        </w:rPr>
        <w:t>业务活动成本、管理费用、筹资费用和其他费用等</w:t>
      </w:r>
      <w:r>
        <w:rPr>
          <w:rFonts w:ascii="宋体" w:hAnsi="宋体" w:cs="宋体"/>
        </w:rPr>
        <w:t>，根据会计“</w:t>
      </w:r>
      <w:r>
        <w:rPr>
          <w:rFonts w:hint="eastAsia" w:ascii="宋体" w:hAnsi="宋体" w:cs="宋体"/>
        </w:rPr>
        <w:t>业务</w:t>
      </w:r>
      <w:r>
        <w:rPr>
          <w:rFonts w:ascii="宋体" w:hAnsi="宋体" w:cs="宋体"/>
        </w:rPr>
        <w:t>活动表”</w:t>
      </w:r>
      <w:r>
        <w:rPr>
          <w:rFonts w:hint="eastAsia" w:ascii="宋体" w:hAnsi="宋体" w:cs="宋体"/>
        </w:rPr>
        <w:t>中</w:t>
      </w:r>
      <w:r>
        <w:rPr>
          <w:rFonts w:ascii="宋体" w:hAnsi="宋体" w:cs="宋体"/>
        </w:rPr>
        <w:t>“</w:t>
      </w:r>
      <w:r>
        <w:rPr>
          <w:rFonts w:hint="eastAsia" w:ascii="宋体" w:hAnsi="宋体" w:cs="宋体"/>
        </w:rPr>
        <w:t>费用</w:t>
      </w:r>
      <w:r>
        <w:rPr>
          <w:rFonts w:ascii="宋体" w:hAnsi="宋体" w:cs="宋体"/>
        </w:rPr>
        <w:t>合计”</w:t>
      </w:r>
      <w:r>
        <w:rPr>
          <w:rFonts w:hint="eastAsia" w:ascii="宋体" w:hAnsi="宋体" w:cs="宋体"/>
        </w:rPr>
        <w:t>项目</w:t>
      </w:r>
      <w:r>
        <w:rPr>
          <w:rFonts w:ascii="宋体" w:hAnsi="宋体" w:cs="宋体"/>
        </w:rPr>
        <w:t>填报</w:t>
      </w:r>
      <w:r>
        <w:rPr>
          <w:rFonts w:hint="eastAsia" w:ascii="宋体" w:hAnsi="宋体" w:cs="宋体"/>
        </w:rPr>
        <w:t>。</w:t>
      </w:r>
    </w:p>
    <w:p>
      <w:pPr>
        <w:snapToGrid w:val="0"/>
        <w:spacing w:line="360" w:lineRule="exact"/>
        <w:ind w:firstLine="420" w:firstLineChars="200"/>
        <w:rPr>
          <w:rFonts w:ascii="宋体" w:hAnsi="宋体" w:eastAsia="宋体" w:cs="宋体"/>
          <w:szCs w:val="21"/>
        </w:rPr>
      </w:pPr>
      <w:r>
        <w:rPr>
          <w:rFonts w:ascii="宋体" w:hAnsi="宋体" w:eastAsia="黑体" w:cs="宋体"/>
          <w:szCs w:val="21"/>
        </w:rPr>
        <w:t xml:space="preserve">单位规模 </w:t>
      </w:r>
      <w:r>
        <w:rPr>
          <w:rFonts w:ascii="宋体" w:hAnsi="宋体" w:eastAsia="宋体" w:cs="宋体"/>
          <w:szCs w:val="21"/>
        </w:rPr>
        <w:t xml:space="preserve"> 根据《统计上大中小微型企业划分办法（2017）》规定，依据从业人员、营业收入、资产总额等指标或替代指标将单位划分为大型、中型、小型和微型。</w:t>
      </w:r>
      <w:r>
        <w:rPr>
          <w:rFonts w:hint="eastAsia" w:ascii="宋体" w:hAnsi="宋体" w:eastAsia="宋体" w:cs="宋体"/>
          <w:szCs w:val="21"/>
          <w:lang w:eastAsia="zh-CN"/>
        </w:rPr>
        <w:t>本项</w:t>
      </w:r>
      <w:r>
        <w:rPr>
          <w:rFonts w:ascii="宋体" w:hAnsi="宋体" w:eastAsia="宋体" w:cs="宋体"/>
          <w:szCs w:val="21"/>
        </w:rPr>
        <w:t>为计算指标，</w:t>
      </w:r>
      <w:r>
        <w:rPr>
          <w:rFonts w:hint="eastAsia" w:ascii="宋体" w:hAnsi="宋体" w:eastAsia="宋体" w:cs="宋体"/>
          <w:szCs w:val="21"/>
          <w:lang w:eastAsia="zh-CN"/>
        </w:rPr>
        <w:t>调查</w:t>
      </w:r>
      <w:r>
        <w:rPr>
          <w:rFonts w:ascii="宋体" w:hAnsi="宋体" w:eastAsia="宋体" w:cs="宋体"/>
          <w:szCs w:val="21"/>
        </w:rPr>
        <w:t>单位免填。</w:t>
      </w:r>
    </w:p>
    <w:p>
      <w:pPr>
        <w:snapToGrid w:val="0"/>
        <w:spacing w:line="360" w:lineRule="exact"/>
        <w:ind w:firstLine="420" w:firstLineChars="200"/>
        <w:rPr>
          <w:rFonts w:ascii="宋体"/>
        </w:rPr>
      </w:pPr>
      <w:r>
        <w:rPr>
          <w:rFonts w:hint="eastAsia" w:ascii="黑体" w:hAnsi="宋体" w:eastAsia="黑体" w:cs="黑体"/>
        </w:rPr>
        <w:t>企业集团情况</w:t>
      </w:r>
      <w:r>
        <w:rPr>
          <w:rFonts w:ascii="黑体" w:hAnsi="宋体" w:eastAsia="黑体" w:cs="黑体"/>
        </w:rPr>
        <w:t xml:space="preserve">  </w:t>
      </w:r>
      <w:r>
        <w:rPr>
          <w:rFonts w:hint="eastAsia" w:ascii="宋体" w:hAnsi="宋体" w:cs="宋体"/>
          <w:u w:val="single"/>
        </w:rPr>
        <w:t>限企业集团母公司及成员企业填写</w:t>
      </w:r>
      <w:r>
        <w:rPr>
          <w:rFonts w:hint="eastAsia" w:ascii="宋体" w:hAnsi="宋体" w:cs="宋体"/>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Pr>
          <w:rFonts w:ascii="Arial" w:hAnsi="Arial" w:cs="Arial"/>
          <w:shd w:val="clear" w:color="auto" w:fill="FFFFFF"/>
        </w:rPr>
        <w:t>企业集团的其他成员应当是母公司对其参股或者与母</w:t>
      </w:r>
      <w:r>
        <w:rPr>
          <w:rFonts w:hint="eastAsia" w:ascii="Arial" w:hAnsi="Arial" w:cs="Arial"/>
          <w:shd w:val="clear" w:color="auto" w:fill="FFFFFF"/>
        </w:rPr>
        <w:t>、</w:t>
      </w:r>
      <w:r>
        <w:rPr>
          <w:rFonts w:ascii="Arial" w:hAnsi="Arial" w:cs="Arial"/>
          <w:shd w:val="clear" w:color="auto" w:fill="FFFFFF"/>
        </w:rPr>
        <w:t>子公司形成生产经营、协作联系的其他企业法人、事业单位法人或者社会团体法人。</w:t>
      </w:r>
    </w:p>
    <w:p>
      <w:pPr>
        <w:snapToGrid w:val="0"/>
        <w:spacing w:line="360" w:lineRule="exact"/>
        <w:ind w:firstLine="420" w:firstLineChars="200"/>
        <w:rPr>
          <w:rFonts w:ascii="宋体"/>
        </w:rPr>
      </w:pPr>
      <w:r>
        <w:rPr>
          <w:rFonts w:hint="eastAsia" w:ascii="宋体" w:hAnsi="宋体" w:cs="宋体"/>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w:t>
      </w:r>
      <w:r>
        <w:rPr>
          <w:rFonts w:ascii="宋体" w:hAnsi="宋体" w:cs="宋体"/>
        </w:rPr>
        <w:t>5000</w:t>
      </w:r>
      <w:r>
        <w:rPr>
          <w:rFonts w:hint="eastAsia" w:ascii="宋体" w:hAnsi="宋体" w:cs="宋体"/>
        </w:rPr>
        <w:t>万元人民币以上，并至少拥有</w:t>
      </w:r>
      <w:r>
        <w:rPr>
          <w:rFonts w:ascii="宋体" w:hAnsi="宋体" w:cs="宋体"/>
        </w:rPr>
        <w:t>5</w:t>
      </w:r>
      <w:r>
        <w:rPr>
          <w:rFonts w:hint="eastAsia" w:ascii="宋体" w:hAnsi="宋体" w:cs="宋体"/>
        </w:rPr>
        <w:t>家子公司。母公司和其子公司的注册资本总和在</w:t>
      </w:r>
      <w:r>
        <w:rPr>
          <w:rFonts w:ascii="宋体" w:hAnsi="宋体" w:cs="宋体"/>
        </w:rPr>
        <w:t>1</w:t>
      </w:r>
      <w:r>
        <w:rPr>
          <w:rFonts w:hint="eastAsia" w:ascii="宋体" w:hAnsi="宋体" w:cs="宋体"/>
        </w:rPr>
        <w:t>亿元人民币以上，集团成员单位均具有法人资格。</w:t>
      </w:r>
    </w:p>
    <w:p>
      <w:pPr>
        <w:snapToGrid w:val="0"/>
        <w:spacing w:line="360" w:lineRule="exact"/>
        <w:ind w:firstLine="420" w:firstLineChars="200"/>
        <w:rPr>
          <w:rFonts w:ascii="宋体"/>
        </w:rPr>
      </w:pPr>
      <w:r>
        <w:rPr>
          <w:rFonts w:hint="eastAsia" w:ascii="黑体" w:hAnsi="宋体" w:eastAsia="黑体" w:cs="黑体"/>
        </w:rPr>
        <w:t>建筑业及房地产业企业资质等级</w:t>
      </w:r>
      <w:r>
        <w:rPr>
          <w:rFonts w:ascii="黑体" w:hAnsi="宋体" w:eastAsia="黑体" w:cs="黑体"/>
        </w:rPr>
        <w:t xml:space="preserve">  </w:t>
      </w:r>
      <w:r>
        <w:rPr>
          <w:rFonts w:hint="eastAsia" w:ascii="宋体" w:hAnsi="宋体" w:cs="宋体"/>
        </w:rPr>
        <w:t>根据企业的人员素质、管理水平、资金数量、承包能力和建设业绩进行综合评价划分的等级。</w:t>
      </w:r>
    </w:p>
    <w:p>
      <w:pPr>
        <w:spacing w:line="360" w:lineRule="exact"/>
        <w:ind w:firstLine="424" w:firstLineChars="202"/>
        <w:rPr>
          <w:rFonts w:hint="eastAsia" w:ascii="宋体" w:hAnsi="宋体" w:cs="宋体"/>
        </w:rPr>
      </w:pPr>
      <w:r>
        <w:rPr>
          <w:rFonts w:hint="eastAsia" w:ascii="宋体" w:hAnsi="宋体" w:cs="宋体"/>
          <w:lang w:val="en-US" w:eastAsia="zh-CN"/>
        </w:rPr>
        <w:t>1.</w:t>
      </w:r>
      <w:r>
        <w:rPr>
          <w:rFonts w:hint="eastAsia" w:ascii="宋体" w:hAnsi="宋体"/>
          <w:snapToGrid w:val="0"/>
          <w:kern w:val="0"/>
        </w:rPr>
        <w:t>建筑业企业资质等级编码</w:t>
      </w:r>
      <w:r>
        <w:rPr>
          <w:rFonts w:hint="eastAsia" w:ascii="宋体" w:hAnsi="宋体" w:cs="宋体"/>
        </w:rPr>
        <w:t>：</w:t>
      </w:r>
      <w:r>
        <w:rPr>
          <w:rFonts w:hint="eastAsia" w:ascii="宋体" w:hAnsi="宋体"/>
        </w:rPr>
        <w:t>根据企业的人员素质、管理水平、资金数量、承包能力和建设业绩进行综合评价划分的等级。</w:t>
      </w:r>
      <w:r>
        <w:rPr>
          <w:rFonts w:hint="eastAsia" w:ascii="宋体" w:hAnsi="宋体" w:cs="宋体"/>
        </w:rPr>
        <w:t>依据《建筑业企业资质管理规定》（</w:t>
      </w:r>
      <w:r>
        <w:rPr>
          <w:rFonts w:ascii="宋体" w:hAnsi="宋体" w:cs="宋体"/>
        </w:rPr>
        <w:t>中华人民共和国住房和城乡建设部令</w:t>
      </w:r>
      <w:r>
        <w:rPr>
          <w:rFonts w:hint="eastAsia" w:ascii="宋体" w:hAnsi="宋体" w:cs="宋体"/>
        </w:rPr>
        <w:t>2015年第22号）和《建筑业企业资质标准》（建市</w:t>
      </w:r>
      <w:r>
        <w:rPr>
          <w:rFonts w:hint="eastAsia" w:ascii="方正隶书_GBK" w:hAnsi="方正隶书_GBK" w:eastAsia="方正隶书_GBK" w:cs="方正隶书_GBK"/>
        </w:rPr>
        <w:t>〔</w:t>
      </w:r>
      <w:r>
        <w:rPr>
          <w:rFonts w:hint="eastAsia" w:ascii="宋体" w:hAnsi="宋体" w:cs="宋体"/>
        </w:rPr>
        <w:t>2014</w:t>
      </w:r>
      <w:r>
        <w:rPr>
          <w:rFonts w:hint="eastAsia" w:ascii="方正隶书_GBK" w:hAnsi="方正隶书_GBK" w:eastAsia="方正隶书_GBK" w:cs="方正隶书_GBK"/>
        </w:rPr>
        <w:t>〕</w:t>
      </w:r>
      <w:r>
        <w:rPr>
          <w:rFonts w:hint="eastAsia" w:ascii="宋体" w:hAnsi="宋体" w:cs="宋体"/>
        </w:rPr>
        <w:t>159号）已领取新版《建筑业企业资质证书》的企业，需根据新版证书的主项资质等级项中的文字，暂仍对照《建筑业企业资质等级标准》（建建</w:t>
      </w:r>
      <w:r>
        <w:rPr>
          <w:rFonts w:hint="eastAsia" w:ascii="方正隶书_GBK" w:hAnsi="方正隶书_GBK" w:eastAsia="方正隶书_GBK" w:cs="方正隶书_GBK"/>
        </w:rPr>
        <w:t>〔</w:t>
      </w:r>
      <w:r>
        <w:rPr>
          <w:rFonts w:hint="eastAsia" w:ascii="宋体" w:hAnsi="宋体" w:cs="宋体"/>
        </w:rPr>
        <w:t>2001</w:t>
      </w:r>
      <w:r>
        <w:rPr>
          <w:rFonts w:hint="eastAsia" w:ascii="方正隶书_GBK" w:hAnsi="方正隶书_GBK" w:eastAsia="方正隶书_GBK" w:cs="方正隶书_GBK"/>
        </w:rPr>
        <w:t>〕</w:t>
      </w:r>
      <w:r>
        <w:rPr>
          <w:rFonts w:hint="eastAsia" w:ascii="宋体" w:hAnsi="宋体" w:cs="宋体"/>
        </w:rPr>
        <w:t>82号）的资质等级填列4位资质等级编码（劳务资质证书的劳务分包建筑业企业填报C990）。限</w:t>
      </w:r>
      <w:r>
        <w:rPr>
          <w:rFonts w:ascii="宋体" w:hAnsi="宋体" w:cs="宋体"/>
        </w:rPr>
        <w:t>建筑业企业填写。</w:t>
      </w:r>
    </w:p>
    <w:p>
      <w:pPr>
        <w:snapToGrid/>
        <w:spacing w:line="360" w:lineRule="exact"/>
        <w:ind w:firstLine="424" w:firstLineChars="202"/>
        <w:rPr>
          <w:rFonts w:ascii="宋体" w:hAnsi="宋体"/>
        </w:rPr>
      </w:pPr>
      <w:r>
        <w:rPr>
          <w:rFonts w:hint="eastAsia" w:ascii="宋体" w:hAnsi="宋体" w:cs="宋体"/>
          <w:lang w:val="en-US" w:eastAsia="zh-CN"/>
        </w:rPr>
        <w:t>2.</w:t>
      </w:r>
      <w:r>
        <w:rPr>
          <w:rFonts w:hint="eastAsia" w:ascii="宋体" w:hAnsi="宋体" w:cs="宋体"/>
        </w:rPr>
        <w:t>房地产开发经营业企业资质等级：</w:t>
      </w:r>
      <w:r>
        <w:rPr>
          <w:rFonts w:hint="eastAsia" w:ascii="宋体" w:hAnsi="宋体"/>
        </w:rPr>
        <w:t>根据企业的人员素质、管理水平、资金数量、承包能力和建设业绩进行综合评价划分的等级。</w:t>
      </w:r>
      <w:r>
        <w:rPr>
          <w:rFonts w:hint="eastAsia" w:ascii="宋体" w:hAnsi="宋体" w:cs="宋体"/>
        </w:rPr>
        <w:t>依据建设部《房地产开发企业资质管理规定》（中华人民共和国建设部令</w:t>
      </w:r>
      <w:r>
        <w:rPr>
          <w:rFonts w:hint="eastAsia" w:ascii="方正隶书_GBK" w:hAnsi="方正隶书_GBK" w:eastAsia="方正隶书_GBK" w:cs="方正隶书_GBK"/>
        </w:rPr>
        <w:t>〔</w:t>
      </w:r>
      <w:r>
        <w:rPr>
          <w:rFonts w:ascii="宋体" w:hAnsi="宋体"/>
        </w:rPr>
        <w:t>2000</w:t>
      </w:r>
      <w:r>
        <w:rPr>
          <w:rFonts w:hint="eastAsia" w:ascii="方正隶书_GBK" w:hAnsi="方正隶书_GBK" w:eastAsia="方正隶书_GBK" w:cs="方正隶书_GBK"/>
        </w:rPr>
        <w:t>〕</w:t>
      </w:r>
      <w:r>
        <w:rPr>
          <w:rFonts w:hint="eastAsia" w:ascii="宋体" w:hAnsi="宋体" w:cs="宋体"/>
        </w:rPr>
        <w:t>年第</w:t>
      </w:r>
      <w:r>
        <w:rPr>
          <w:rFonts w:ascii="宋体" w:hAnsi="宋体"/>
        </w:rPr>
        <w:t>77</w:t>
      </w:r>
      <w:r>
        <w:rPr>
          <w:rFonts w:hint="eastAsia" w:ascii="宋体" w:hAnsi="宋体" w:cs="宋体"/>
        </w:rPr>
        <w:t>号）划分为一级、二级、三级、四级、暂定级，没有级别的填写“</w:t>
      </w:r>
      <w:r>
        <w:rPr>
          <w:rFonts w:ascii="宋体" w:hAnsi="宋体"/>
        </w:rPr>
        <w:t>9</w:t>
      </w:r>
      <w:r>
        <w:rPr>
          <w:rFonts w:hint="eastAsia" w:ascii="宋体" w:hAnsi="宋体" w:cs="宋体"/>
        </w:rPr>
        <w:t>其他”。</w:t>
      </w:r>
      <w:r>
        <w:rPr>
          <w:rFonts w:hint="eastAsia" w:ascii="宋体" w:hAnsi="宋体"/>
          <w:u w:val="single"/>
        </w:rPr>
        <w:t>限</w:t>
      </w:r>
      <w:r>
        <w:rPr>
          <w:rFonts w:ascii="宋体" w:hAnsi="宋体"/>
          <w:u w:val="single"/>
        </w:rPr>
        <w:t>房地产开发经营企业填写</w:t>
      </w:r>
      <w:r>
        <w:rPr>
          <w:rFonts w:ascii="宋体" w:hAnsi="宋体"/>
        </w:rPr>
        <w:t>。</w:t>
      </w:r>
    </w:p>
    <w:p>
      <w:pPr>
        <w:snapToGrid w:val="0"/>
        <w:spacing w:line="360" w:lineRule="exact"/>
        <w:ind w:firstLine="420" w:firstLineChars="200"/>
        <w:rPr>
          <w:rFonts w:ascii="宋体"/>
        </w:rPr>
      </w:pPr>
      <w:r>
        <w:rPr>
          <w:rFonts w:hint="eastAsia" w:ascii="黑体" w:hAnsi="宋体" w:eastAsia="黑体" w:cs="黑体"/>
        </w:rPr>
        <w:t>批发和零售业、</w:t>
      </w:r>
      <w:r>
        <w:rPr>
          <w:rFonts w:ascii="黑体" w:hAnsi="宋体" w:eastAsia="黑体" w:cs="黑体"/>
        </w:rPr>
        <w:t>住宿</w:t>
      </w:r>
      <w:r>
        <w:rPr>
          <w:rFonts w:hint="eastAsia" w:ascii="黑体" w:hAnsi="宋体" w:eastAsia="黑体" w:cs="黑体"/>
        </w:rPr>
        <w:t>和</w:t>
      </w:r>
      <w:r>
        <w:rPr>
          <w:rFonts w:ascii="黑体" w:hAnsi="宋体" w:eastAsia="黑体" w:cs="黑体"/>
        </w:rPr>
        <w:t>餐饮</w:t>
      </w:r>
      <w:r>
        <w:rPr>
          <w:rFonts w:hint="eastAsia" w:ascii="黑体" w:hAnsi="宋体" w:eastAsia="黑体" w:cs="黑体"/>
        </w:rPr>
        <w:t>业单位经营形式</w:t>
      </w:r>
      <w:r>
        <w:rPr>
          <w:rFonts w:ascii="黑体" w:hAnsi="宋体" w:eastAsia="黑体" w:cs="黑体"/>
        </w:rPr>
        <w:t xml:space="preserve">  </w:t>
      </w:r>
      <w:r>
        <w:rPr>
          <w:rFonts w:hint="eastAsia" w:cs="宋体"/>
          <w:u w:val="single"/>
        </w:rPr>
        <w:t>限批发和零售业、</w:t>
      </w:r>
      <w:r>
        <w:rPr>
          <w:rFonts w:cs="宋体"/>
          <w:u w:val="single"/>
        </w:rPr>
        <w:t>住宿</w:t>
      </w:r>
      <w:r>
        <w:rPr>
          <w:rFonts w:hint="eastAsia" w:cs="宋体"/>
          <w:u w:val="single"/>
        </w:rPr>
        <w:t>和</w:t>
      </w:r>
      <w:r>
        <w:rPr>
          <w:rFonts w:cs="宋体"/>
          <w:u w:val="single"/>
        </w:rPr>
        <w:t>餐饮</w:t>
      </w:r>
      <w:r>
        <w:rPr>
          <w:rFonts w:hint="eastAsia" w:cs="宋体"/>
          <w:u w:val="single"/>
        </w:rPr>
        <w:t>业单位填写</w:t>
      </w:r>
      <w:r>
        <w:rPr>
          <w:rFonts w:hint="eastAsia" w:cs="宋体"/>
        </w:rPr>
        <w:t>。</w:t>
      </w:r>
      <w:r>
        <w:rPr>
          <w:rFonts w:hint="eastAsia" w:ascii="宋体" w:hAnsi="宋体" w:cs="宋体"/>
        </w:rPr>
        <w:t>批发和零售业、</w:t>
      </w:r>
      <w:r>
        <w:rPr>
          <w:rFonts w:ascii="宋体" w:hAnsi="宋体" w:cs="宋体"/>
        </w:rPr>
        <w:t>住宿</w:t>
      </w:r>
      <w:r>
        <w:rPr>
          <w:rFonts w:hint="eastAsia" w:ascii="宋体" w:hAnsi="宋体" w:cs="宋体"/>
        </w:rPr>
        <w:t>和</w:t>
      </w:r>
      <w:r>
        <w:rPr>
          <w:rFonts w:ascii="宋体" w:hAnsi="宋体" w:cs="宋体"/>
        </w:rPr>
        <w:t>餐饮</w:t>
      </w:r>
      <w:r>
        <w:rPr>
          <w:rFonts w:hint="eastAsia" w:ascii="宋体" w:hAnsi="宋体" w:cs="宋体"/>
        </w:rPr>
        <w:t>业单位经营的基本形式，包括：</w:t>
      </w:r>
    </w:p>
    <w:p>
      <w:pPr>
        <w:spacing w:line="360" w:lineRule="exact"/>
        <w:ind w:firstLine="424" w:firstLineChars="202"/>
        <w:rPr>
          <w:rFonts w:ascii="宋体"/>
        </w:rPr>
      </w:pPr>
      <w:r>
        <w:rPr>
          <w:rFonts w:hint="eastAsia" w:ascii="宋体" w:hAnsi="宋体" w:cs="宋体"/>
        </w:rPr>
        <w:t>1.独立门店：以相对独立的店铺形式，单独组织批发和零售、</w:t>
      </w:r>
      <w:r>
        <w:rPr>
          <w:rFonts w:ascii="宋体" w:hAnsi="宋体" w:cs="宋体"/>
        </w:rPr>
        <w:t>住宿</w:t>
      </w:r>
      <w:r>
        <w:rPr>
          <w:rFonts w:hint="eastAsia" w:ascii="宋体" w:hAnsi="宋体" w:cs="宋体"/>
        </w:rPr>
        <w:t>和</w:t>
      </w:r>
      <w:r>
        <w:rPr>
          <w:rFonts w:ascii="宋体" w:hAnsi="宋体" w:cs="宋体"/>
        </w:rPr>
        <w:t>餐饮</w:t>
      </w:r>
      <w:r>
        <w:rPr>
          <w:rFonts w:hint="eastAsia" w:ascii="宋体" w:hAnsi="宋体" w:cs="宋体"/>
          <w:lang w:eastAsia="zh-CN"/>
        </w:rPr>
        <w:t>业</w:t>
      </w:r>
      <w:r>
        <w:rPr>
          <w:rFonts w:hint="eastAsia" w:ascii="宋体" w:hAnsi="宋体" w:cs="宋体"/>
        </w:rPr>
        <w:t>经营活动的企业。</w:t>
      </w:r>
    </w:p>
    <w:p>
      <w:pPr>
        <w:spacing w:line="360" w:lineRule="exact"/>
        <w:ind w:firstLine="424" w:firstLineChars="202"/>
        <w:rPr>
          <w:rFonts w:ascii="宋体"/>
        </w:rPr>
      </w:pPr>
      <w:r>
        <w:rPr>
          <w:rFonts w:hint="eastAsia" w:ascii="宋体" w:hAnsi="宋体" w:cs="宋体"/>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w:t>
      </w:r>
      <w:r>
        <w:rPr>
          <w:rFonts w:hint="eastAsia" w:ascii="宋体" w:hAnsi="宋体"/>
        </w:rPr>
        <w:t>，</w:t>
      </w:r>
      <w:r>
        <w:rPr>
          <w:rFonts w:ascii="宋体" w:hAnsi="宋体"/>
        </w:rPr>
        <w:t>包括直营连锁、特许连锁</w:t>
      </w:r>
      <w:r>
        <w:rPr>
          <w:rFonts w:hint="eastAsia" w:ascii="宋体" w:hAnsi="宋体"/>
        </w:rPr>
        <w:t>和自愿</w:t>
      </w:r>
      <w:r>
        <w:rPr>
          <w:rFonts w:ascii="宋体" w:hAnsi="宋体"/>
        </w:rPr>
        <w:t>连锁三种形式</w:t>
      </w:r>
      <w:r>
        <w:rPr>
          <w:rFonts w:hint="eastAsia" w:ascii="宋体" w:hAnsi="宋体" w:cs="宋体"/>
        </w:rPr>
        <w:t>。</w:t>
      </w:r>
    </w:p>
    <w:p>
      <w:pPr>
        <w:spacing w:line="360" w:lineRule="exact"/>
        <w:ind w:firstLine="424" w:firstLineChars="202"/>
        <w:rPr>
          <w:rFonts w:hint="eastAsia" w:ascii="宋体" w:hAnsi="宋体" w:cs="宋体"/>
        </w:rPr>
      </w:pPr>
      <w:r>
        <w:rPr>
          <w:rFonts w:hint="eastAsia" w:ascii="宋体" w:hAnsi="宋体" w:cs="宋体"/>
        </w:rPr>
        <w:t>3.连锁直营店：由连锁企业总部投资开设，按连锁经营管理模式，由总店</w:t>
      </w:r>
      <w:r>
        <w:rPr>
          <w:rFonts w:hint="eastAsia" w:ascii="宋体" w:hAnsi="宋体"/>
        </w:rPr>
        <w:t>（</w:t>
      </w:r>
      <w:r>
        <w:rPr>
          <w:rFonts w:hint="eastAsia" w:ascii="宋体" w:hAnsi="宋体" w:cs="宋体"/>
        </w:rPr>
        <w:t>总部</w:t>
      </w:r>
      <w:r>
        <w:rPr>
          <w:rFonts w:hint="eastAsia" w:ascii="宋体" w:hAnsi="宋体"/>
        </w:rPr>
        <w:t>）</w:t>
      </w:r>
      <w:r>
        <w:rPr>
          <w:rFonts w:hint="eastAsia" w:ascii="宋体" w:hAnsi="宋体" w:cs="宋体"/>
        </w:rPr>
        <w:t>统一管理，按照总店</w:t>
      </w:r>
      <w:r>
        <w:rPr>
          <w:rFonts w:hint="eastAsia" w:ascii="宋体" w:hAnsi="宋体"/>
        </w:rPr>
        <w:t>（</w:t>
      </w:r>
      <w:r>
        <w:rPr>
          <w:rFonts w:hint="eastAsia" w:ascii="宋体" w:hAnsi="宋体" w:cs="宋体"/>
        </w:rPr>
        <w:t>总部</w:t>
      </w:r>
      <w:r>
        <w:rPr>
          <w:rFonts w:hint="eastAsia" w:ascii="宋体" w:hAnsi="宋体"/>
        </w:rPr>
        <w:t>）</w:t>
      </w:r>
      <w:r>
        <w:rPr>
          <w:rFonts w:hint="eastAsia" w:ascii="宋体" w:hAnsi="宋体" w:cs="宋体"/>
        </w:rPr>
        <w:t>的指示和服务规范要求，承担日常销售业务的店铺。</w:t>
      </w:r>
    </w:p>
    <w:p>
      <w:pPr>
        <w:spacing w:line="360" w:lineRule="exact"/>
        <w:ind w:firstLine="424" w:firstLineChars="202"/>
        <w:rPr>
          <w:rFonts w:ascii="宋体" w:hAnsi="宋体" w:cs="宋体"/>
        </w:rPr>
      </w:pPr>
      <w:r>
        <w:rPr>
          <w:rFonts w:hint="eastAsia" w:ascii="宋体" w:hAnsi="宋体" w:cs="宋体"/>
        </w:rPr>
        <w:t>4.连锁加盟店：在特许连锁中，被特许人获得特许人授权后，使用其商标、商号、经营模式、专利和专有技术等经营资源建立的，按照总店</w:t>
      </w:r>
      <w:r>
        <w:rPr>
          <w:rFonts w:hint="eastAsia" w:ascii="宋体" w:hAnsi="宋体"/>
        </w:rPr>
        <w:t>（</w:t>
      </w:r>
      <w:r>
        <w:rPr>
          <w:rFonts w:hint="eastAsia" w:ascii="宋体" w:hAnsi="宋体" w:cs="宋体"/>
        </w:rPr>
        <w:t>总部</w:t>
      </w:r>
      <w:r>
        <w:rPr>
          <w:rFonts w:hint="eastAsia" w:ascii="宋体" w:hAnsi="宋体"/>
        </w:rPr>
        <w:t>）</w:t>
      </w:r>
      <w:r>
        <w:rPr>
          <w:rFonts w:hint="eastAsia" w:ascii="宋体" w:hAnsi="宋体" w:cs="宋体"/>
        </w:rPr>
        <w:t>的指示和服务规范要求，承担日常销售业务的店铺，也包括自愿连锁的成员店。</w:t>
      </w:r>
    </w:p>
    <w:p>
      <w:pPr>
        <w:spacing w:line="360" w:lineRule="exact"/>
        <w:ind w:firstLine="424" w:firstLineChars="202"/>
        <w:rPr>
          <w:rFonts w:ascii="宋体" w:hAnsi="宋体" w:cs="宋体"/>
        </w:rPr>
      </w:pPr>
      <w:r>
        <w:rPr>
          <w:rFonts w:hint="eastAsia" w:ascii="宋体" w:hAnsi="宋体" w:cs="宋体"/>
        </w:rPr>
        <w:t>5.其他：指不属于上述经营形式的</w:t>
      </w:r>
      <w:r>
        <w:rPr>
          <w:rFonts w:hint="eastAsia" w:ascii="宋体" w:hAnsi="宋体" w:cs="宋体"/>
          <w:lang w:eastAsia="zh-CN"/>
        </w:rPr>
        <w:t>单位</w:t>
      </w:r>
      <w:r>
        <w:rPr>
          <w:rFonts w:hint="eastAsia" w:ascii="宋体" w:hAnsi="宋体" w:cs="宋体"/>
        </w:rPr>
        <w:t>，如</w:t>
      </w:r>
      <w:r>
        <w:rPr>
          <w:rFonts w:ascii="宋体" w:hAnsi="宋体" w:cs="宋体"/>
        </w:rPr>
        <w:t>摊位。</w:t>
      </w:r>
    </w:p>
    <w:p>
      <w:pPr>
        <w:spacing w:line="360" w:lineRule="exact"/>
        <w:ind w:firstLine="424" w:firstLineChars="202"/>
        <w:rPr>
          <w:rFonts w:hint="eastAsia" w:ascii="宋体"/>
        </w:rPr>
      </w:pPr>
      <w:r>
        <w:rPr>
          <w:rFonts w:hint="eastAsia" w:ascii="黑体" w:hAnsi="黑体" w:eastAsia="黑体"/>
        </w:rPr>
        <w:t>连锁品牌（商标或商号名称）</w:t>
      </w:r>
      <w:r>
        <w:rPr>
          <w:rFonts w:hint="eastAsia" w:ascii="宋体"/>
          <w:lang w:val="en-US" w:eastAsia="zh-CN"/>
        </w:rPr>
        <w:t xml:space="preserve"> </w:t>
      </w:r>
      <w:r>
        <w:rPr>
          <w:rFonts w:hint="eastAsia" w:ascii="宋体"/>
          <w:u w:val="single"/>
        </w:rPr>
        <w:t>限连锁总店（总部）、连锁直营店、连锁加盟店填写。</w:t>
      </w:r>
      <w:r>
        <w:rPr>
          <w:rFonts w:hint="eastAsia" w:ascii="宋体"/>
        </w:rPr>
        <w:t>指连锁经营使用的统一的商号或商标名称，如“国美电器”、“麦当劳”、“汉庭酒店”等，拥有多个品牌的连锁总店（总部）应填写所属全部品牌。</w:t>
      </w:r>
    </w:p>
    <w:p>
      <w:pPr>
        <w:snapToGrid w:val="0"/>
        <w:spacing w:line="360" w:lineRule="exact"/>
        <w:ind w:firstLine="420" w:firstLineChars="200"/>
        <w:rPr>
          <w:rFonts w:hint="eastAsia" w:ascii="宋体" w:hAnsi="宋体"/>
          <w:szCs w:val="21"/>
        </w:rPr>
      </w:pPr>
      <w:r>
        <w:rPr>
          <w:rFonts w:hint="eastAsia" w:ascii="黑体" w:hAnsi="宋体" w:eastAsia="黑体" w:cs="黑体"/>
        </w:rPr>
        <w:t>零售业态</w:t>
      </w:r>
      <w:r>
        <w:rPr>
          <w:rFonts w:ascii="黑体" w:hAnsi="宋体" w:eastAsia="黑体" w:cs="黑体"/>
        </w:rPr>
        <w:t xml:space="preserve">  </w:t>
      </w:r>
      <w:r>
        <w:rPr>
          <w:rFonts w:hint="eastAsia" w:ascii="宋体" w:hAnsi="宋体"/>
          <w:szCs w:val="21"/>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p>
    <w:p>
      <w:pPr>
        <w:snapToGrid w:val="0"/>
        <w:spacing w:line="360" w:lineRule="exact"/>
        <w:ind w:firstLine="420" w:firstLineChars="200"/>
        <w:rPr>
          <w:rFonts w:ascii="宋体" w:hAnsi="宋体"/>
          <w:szCs w:val="21"/>
        </w:rPr>
      </w:pPr>
      <w:r>
        <w:rPr>
          <w:rFonts w:hint="eastAsia" w:ascii="宋体" w:hAnsi="宋体"/>
          <w:szCs w:val="21"/>
        </w:rPr>
        <w:t>零售业态从总体上可以分为有店铺零售业态和无店铺零售业态两类。有店铺零售业态分为便利店、超市、折扣店、仓储会员店、百货店、购物中心、专业店、品牌专卖店、集合店、无人值守商店等；无店铺零售业态分为网络零售、电视/广播零售、邮寄零售、无人售货设备零售、电话零售、直销、流动货摊零售、其他等。</w:t>
      </w:r>
    </w:p>
    <w:p>
      <w:pPr>
        <w:snapToGrid w:val="0"/>
        <w:spacing w:line="360" w:lineRule="exact"/>
        <w:ind w:firstLine="420" w:firstLineChars="200"/>
        <w:rPr>
          <w:rFonts w:ascii="宋体" w:hAnsi="宋体"/>
          <w:szCs w:val="21"/>
        </w:rPr>
      </w:pPr>
      <w:r>
        <w:rPr>
          <w:rFonts w:hint="eastAsia" w:ascii="宋体" w:hAnsi="宋体" w:eastAsia="宋体" w:cs="宋体"/>
          <w:bCs w:val="0"/>
          <w:szCs w:val="21"/>
        </w:rPr>
        <w:t xml:space="preserve">有店铺零售  </w:t>
      </w:r>
      <w:r>
        <w:rPr>
          <w:rFonts w:hint="eastAsia" w:ascii="宋体" w:hAnsi="宋体" w:eastAsia="宋体" w:cs="宋体"/>
          <w:szCs w:val="21"/>
        </w:rPr>
        <w:t>有相对固定的、进行商品陈列、展示和销售的场所和设施，并且消费者的购买行为主要在这一场所内完成的零售活动。</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便利店：以销售即食商品为主，满足顾客即时性、服务性等便利需求为主要目的的小型综合零售形式的业态。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eastAsia="zh-CN"/>
        </w:rPr>
        <w:t>超市：</w:t>
      </w:r>
      <w:r>
        <w:rPr>
          <w:rFonts w:hint="eastAsia" w:ascii="宋体" w:hAnsi="宋体" w:eastAsia="宋体" w:cs="宋体"/>
          <w:szCs w:val="21"/>
        </w:rPr>
        <w:t>以销售食品、日用品为主，满足消费者日常生活需要的零售业态。通常采取开架销售，也可同时采取在线销售。门店内可提供食品现场加工服务及现场就餐服务。</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折扣店：店铺装修简单、提供有限服务、商品价格低廉的一种小型超市业态，通常拥有不到2000个单品，自有品牌商品数量高于普通超市的自有品牌商品数量。</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仓储会员店：以会员为目标顾客，实行储销一体、批零兼营，以提供基本服务、优惠价格和大包装商品为主要特征的零售业态。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百货店：以经营品牌服装服饰、化妆品、家居用品、箱包、鞋品、珠宝、钟表等为主，统一经营，满足顾客对品质商品多样化需求的零售业态。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eastAsia="zh-CN"/>
        </w:rPr>
        <w:t>购物中心：</w:t>
      </w:r>
      <w:r>
        <w:rPr>
          <w:rFonts w:hint="eastAsia" w:ascii="宋体" w:hAnsi="宋体" w:eastAsia="宋体" w:cs="宋体"/>
          <w:szCs w:val="21"/>
        </w:rPr>
        <w:t>由不同类型的零售、餐饮、休闲娱乐及提供其他服务的商铺按照统一规划，在一个相对固定的建筑空间或区域内，统一运营的商业集合体。</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专业店：经营某一类或相关品类商品及服务的零售业态。如办公用品专业店（office supply）、家电专业店（home appliance）、药品专业店（drug store）、服饰店（apparel shop）、体育用品专业店（sporting goods store）和家居建材商店（home center）等。</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val="en-US" w:eastAsia="zh-CN"/>
        </w:rPr>
        <w:t>品牌专卖店：</w:t>
      </w:r>
      <w:r>
        <w:rPr>
          <w:rFonts w:hint="eastAsia" w:ascii="宋体" w:hAnsi="宋体" w:eastAsia="宋体" w:cs="宋体"/>
          <w:szCs w:val="21"/>
        </w:rPr>
        <w:t>经营或被授权经营某一品牌商品的零售业态。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val="en-US" w:eastAsia="zh-CN"/>
        </w:rPr>
        <w:t>集合店：</w:t>
      </w:r>
      <w:r>
        <w:rPr>
          <w:rFonts w:hint="eastAsia" w:ascii="宋体" w:hAnsi="宋体" w:eastAsia="宋体" w:cs="宋体"/>
          <w:szCs w:val="21"/>
        </w:rPr>
        <w:t>汇集多个品牌及多个系列的商品，可涵盖服饰、鞋、包、文具、电子产品、食品等多种品类的零售店。</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val="en-US" w:eastAsia="zh-CN"/>
        </w:rPr>
        <w:t>无人值守商店：</w:t>
      </w:r>
      <w:r>
        <w:rPr>
          <w:rFonts w:hint="eastAsia" w:ascii="宋体" w:hAnsi="宋体" w:eastAsia="宋体" w:cs="宋体"/>
          <w:szCs w:val="21"/>
        </w:rPr>
        <w:t>在营业现场无人工服务的情况下，自助完成商品销售或服务的零售店。</w:t>
      </w:r>
    </w:p>
    <w:p>
      <w:pPr>
        <w:adjustRightInd w:val="0"/>
        <w:snapToGrid w:val="0"/>
        <w:spacing w:line="360" w:lineRule="exact"/>
        <w:ind w:firstLine="420" w:firstLineChars="200"/>
        <w:textAlignment w:val="baseline"/>
        <w:rPr>
          <w:rFonts w:ascii="宋体" w:hAnsi="宋体"/>
          <w:szCs w:val="21"/>
        </w:rPr>
      </w:pPr>
      <w:r>
        <w:rPr>
          <w:rFonts w:hint="eastAsia" w:ascii="宋体" w:hAnsi="宋体" w:eastAsia="宋体" w:cs="宋体"/>
          <w:bCs w:val="0"/>
          <w:szCs w:val="21"/>
        </w:rPr>
        <w:t xml:space="preserve">无店铺零售  </w:t>
      </w:r>
      <w:r>
        <w:rPr>
          <w:rFonts w:hint="eastAsia" w:ascii="宋体" w:hAnsi="宋体" w:eastAsia="宋体" w:cs="宋体"/>
          <w:szCs w:val="21"/>
        </w:rPr>
        <w:t>通过互联网、电视/广播、邮寄、无人售货设备、流动售货车或直销等，将自营或合作经营的商品，通过物流配送、或消费者自提、或面对面销售等方式送达消费者的零售活动。</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eastAsia="zh-CN"/>
        </w:rPr>
        <w:t>网络零售：</w:t>
      </w:r>
      <w:r>
        <w:rPr>
          <w:rFonts w:hint="eastAsia" w:ascii="宋体" w:hAnsi="宋体" w:eastAsia="宋体" w:cs="宋体"/>
          <w:szCs w:val="21"/>
        </w:rPr>
        <w:t>通过电子商务平台、物联网设备等开展商品零售的活动。</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eastAsia="zh-CN"/>
        </w:rPr>
        <w:t>电视</w:t>
      </w:r>
      <w:r>
        <w:rPr>
          <w:rFonts w:hint="eastAsia" w:ascii="宋体" w:hAnsi="宋体" w:eastAsia="宋体" w:cs="宋体"/>
          <w:szCs w:val="21"/>
          <w:lang w:val="en-US" w:eastAsia="zh-CN"/>
        </w:rPr>
        <w:t>/广播零售：</w:t>
      </w:r>
      <w:r>
        <w:rPr>
          <w:rFonts w:hint="eastAsia" w:ascii="宋体" w:hAnsi="宋体" w:eastAsia="宋体" w:cs="宋体"/>
          <w:szCs w:val="21"/>
        </w:rPr>
        <w:t>以电视、广播作为商品展示、推介渠道，提供使用效果、方法等推介内容并取得订单的零售业态。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val="en-US" w:eastAsia="zh-CN"/>
        </w:rPr>
        <w:t>邮寄零售：</w:t>
      </w:r>
      <w:r>
        <w:rPr>
          <w:rFonts w:hint="eastAsia" w:ascii="宋体" w:hAnsi="宋体" w:eastAsia="宋体" w:cs="宋体"/>
          <w:szCs w:val="21"/>
        </w:rPr>
        <w:t>以邮寄商品目录为主，向消费者进行商品展示、推介，并通过邮寄等方式将商品送达给消费者的零售业态。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val="en-US" w:eastAsia="zh-CN"/>
        </w:rPr>
        <w:t>无人售货设备零售：</w:t>
      </w:r>
      <w:r>
        <w:rPr>
          <w:rFonts w:hint="eastAsia" w:ascii="宋体" w:hAnsi="宋体" w:eastAsia="宋体" w:cs="宋体"/>
          <w:szCs w:val="21"/>
        </w:rPr>
        <w:t>通过售货设备、智能货柜或贴有支付码的货架等进行商品售卖的零售业态。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val="en-US" w:eastAsia="zh-CN"/>
        </w:rPr>
        <w:t>电话零售：</w:t>
      </w:r>
      <w:r>
        <w:rPr>
          <w:rFonts w:hint="eastAsia" w:ascii="宋体" w:hAnsi="宋体" w:eastAsia="宋体" w:cs="宋体"/>
          <w:szCs w:val="21"/>
        </w:rPr>
        <w:t>通过电话完成销售的零售业态。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val="en-US" w:eastAsia="zh-CN"/>
        </w:rPr>
        <w:t>直销：</w:t>
      </w:r>
      <w:r>
        <w:rPr>
          <w:rFonts w:hint="eastAsia" w:ascii="宋体" w:hAnsi="宋体" w:eastAsia="宋体" w:cs="宋体"/>
          <w:szCs w:val="21"/>
        </w:rPr>
        <w:t>在固定营业场所之外，直销企业招募的直销员直接向最终消费者推销产品的零售业态。</w:t>
      </w:r>
    </w:p>
    <w:p>
      <w:pPr>
        <w:numPr>
          <w:ilvl w:val="1"/>
          <w:numId w:val="2"/>
        </w:numPr>
        <w:adjustRightInd w:val="0"/>
        <w:snapToGrid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lang w:val="en-US" w:eastAsia="zh-CN"/>
        </w:rPr>
        <w:t>流动货摊销售：</w:t>
      </w:r>
      <w:r>
        <w:rPr>
          <w:rFonts w:hint="eastAsia" w:ascii="宋体" w:hAnsi="宋体" w:eastAsia="宋体" w:cs="宋体"/>
          <w:szCs w:val="21"/>
        </w:rPr>
        <w:t>通过移动售货车或其他展示、陈列工具销售食品、饮料、服饰、鞋帽等日常消费品的零售形式。</w:t>
      </w:r>
    </w:p>
    <w:p>
      <w:pPr>
        <w:numPr>
          <w:ilvl w:val="0"/>
          <w:numId w:val="0"/>
        </w:numPr>
        <w:tabs>
          <w:tab w:val="left" w:pos="902"/>
        </w:tabs>
        <w:adjustRightInd/>
        <w:snapToGrid/>
        <w:spacing w:line="360" w:lineRule="exact"/>
        <w:ind w:firstLine="424" w:firstLineChars="202"/>
        <w:textAlignment w:val="auto"/>
        <w:rPr>
          <w:sz w:val="18"/>
          <w:szCs w:val="18"/>
        </w:rPr>
      </w:pPr>
      <w:r>
        <w:rPr>
          <w:rFonts w:hint="eastAsia" w:ascii="宋体" w:hAnsi="宋体" w:eastAsia="宋体" w:cs="宋体"/>
          <w:szCs w:val="21"/>
        </w:rPr>
        <w:t>其他：以上未提及的无店铺零售业态。</w:t>
      </w:r>
    </w:p>
    <w:p>
      <w:pPr>
        <w:snapToGrid w:val="0"/>
        <w:spacing w:line="360" w:lineRule="exact"/>
        <w:ind w:firstLine="420" w:firstLineChars="200"/>
        <w:rPr>
          <w:rFonts w:ascii="宋体"/>
          <w:u w:val="single"/>
        </w:rPr>
      </w:pPr>
      <w:r>
        <w:rPr>
          <w:rFonts w:hint="eastAsia" w:ascii="黑体" w:hAnsi="宋体" w:eastAsia="黑体" w:cs="黑体"/>
        </w:rPr>
        <w:t>住宿业单位星级评定情况</w:t>
      </w:r>
      <w:r>
        <w:rPr>
          <w:rFonts w:ascii="黑体" w:hAnsi="宋体" w:eastAsia="黑体" w:cs="黑体"/>
        </w:rPr>
        <w:t xml:space="preserve"> </w:t>
      </w:r>
      <w:r>
        <w:rPr>
          <w:rFonts w:hint="eastAsia" w:ascii="宋体" w:hAnsi="宋体" w:cs="宋体"/>
          <w:u w:val="single"/>
        </w:rPr>
        <w:t>限住宿业法人及</w:t>
      </w:r>
      <w:r>
        <w:rPr>
          <w:rFonts w:ascii="宋体" w:hAnsi="宋体" w:cs="宋体"/>
          <w:u w:val="single"/>
        </w:rPr>
        <w:t>产业活动单位</w:t>
      </w:r>
      <w:r>
        <w:rPr>
          <w:rFonts w:hint="eastAsia" w:ascii="宋体" w:hAnsi="宋体" w:cs="宋体"/>
          <w:u w:val="single"/>
        </w:rPr>
        <w:t>填写</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星级等级指根据《旅游饭店星级的</w:t>
      </w:r>
      <w:r>
        <w:rPr>
          <w:rFonts w:ascii="宋体" w:hAnsi="宋体" w:cs="宋体"/>
        </w:rPr>
        <w:t>划分</w:t>
      </w:r>
      <w:r>
        <w:rPr>
          <w:rFonts w:hint="eastAsia" w:ascii="宋体" w:hAnsi="宋体" w:cs="宋体"/>
        </w:rPr>
        <w:t>与评定》（</w:t>
      </w:r>
      <w:r>
        <w:rPr>
          <w:rFonts w:ascii="宋体" w:hAnsi="宋体" w:cs="宋体"/>
        </w:rPr>
        <w:t>GB/T14308-2010</w:t>
      </w:r>
      <w:r>
        <w:rPr>
          <w:rFonts w:hint="eastAsia" w:ascii="宋体" w:hAnsi="宋体" w:cs="宋体"/>
        </w:rPr>
        <w:t>）标准，经过有关旅游管理权威部门评定（验收）后授予的“星级”称号填写</w:t>
      </w:r>
      <w:r>
        <w:rPr>
          <w:rFonts w:hint="eastAsia" w:ascii="宋体" w:hAnsi="宋体"/>
        </w:rPr>
        <w:t>，分为一星级到五星级5个标准。</w:t>
      </w:r>
      <w:r>
        <w:rPr>
          <w:rFonts w:hint="eastAsia" w:ascii="宋体" w:hAnsi="宋体" w:cs="宋体"/>
        </w:rPr>
        <w:t>没有星级等级的填写“</w:t>
      </w:r>
      <w:r>
        <w:rPr>
          <w:rFonts w:ascii="宋体" w:hAnsi="宋体" w:cs="宋体"/>
        </w:rPr>
        <w:t>9</w:t>
      </w:r>
      <w:r>
        <w:rPr>
          <w:rFonts w:hint="eastAsia" w:ascii="宋体" w:hAnsi="宋体" w:cs="宋体"/>
        </w:rPr>
        <w:t>其他”。</w:t>
      </w:r>
    </w:p>
    <w:p>
      <w:pPr>
        <w:snapToGrid w:val="0"/>
        <w:spacing w:line="360" w:lineRule="exact"/>
        <w:ind w:firstLine="420" w:firstLineChars="200"/>
        <w:rPr>
          <w:rFonts w:ascii="宋体"/>
          <w:i/>
          <w:iCs/>
        </w:rPr>
      </w:pPr>
      <w:r>
        <w:rPr>
          <w:rFonts w:hint="eastAsia" w:ascii="黑体" w:hAnsi="宋体" w:eastAsia="黑体" w:cs="黑体"/>
          <w:lang w:eastAsia="zh-CN"/>
        </w:rPr>
        <w:t>产业活动</w:t>
      </w:r>
      <w:r>
        <w:rPr>
          <w:rFonts w:hint="eastAsia" w:ascii="黑体" w:hAnsi="宋体" w:eastAsia="黑体" w:cs="黑体"/>
        </w:rPr>
        <w:t>单位类别</w:t>
      </w:r>
      <w:r>
        <w:rPr>
          <w:rFonts w:ascii="黑体" w:hAnsi="宋体" w:eastAsia="黑体" w:cs="黑体"/>
        </w:rPr>
        <w:t xml:space="preserve">  </w:t>
      </w:r>
      <w:r>
        <w:rPr>
          <w:rFonts w:hint="eastAsia" w:ascii="宋体" w:hAnsi="宋体" w:cs="宋体"/>
        </w:rPr>
        <w:t>产业活动单位分为法人单位本部和分支机构。</w:t>
      </w:r>
      <w:r>
        <w:rPr>
          <w:rFonts w:hint="eastAsia" w:ascii="宋体" w:hAnsi="宋体" w:cs="宋体"/>
          <w:u w:val="single"/>
        </w:rPr>
        <w:t>所有产业活动单位均填写</w:t>
      </w:r>
      <w:r>
        <w:rPr>
          <w:rFonts w:hint="eastAsia" w:ascii="宋体" w:hAnsi="宋体" w:cs="宋体"/>
        </w:rPr>
        <w:t>。</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法人单位本部</w:t>
      </w:r>
      <w:r>
        <w:rPr>
          <w:rFonts w:ascii="宋体" w:hAnsi="宋体" w:cs="宋体"/>
        </w:rPr>
        <w:t>（</w:t>
      </w:r>
      <w:r>
        <w:rPr>
          <w:rFonts w:hint="eastAsia" w:ascii="宋体" w:hAnsi="宋体" w:cs="宋体"/>
          <w:lang w:eastAsia="zh-CN"/>
        </w:rPr>
        <w:t>有分支机构的法人单位的</w:t>
      </w:r>
      <w:r>
        <w:rPr>
          <w:rFonts w:hint="eastAsia" w:ascii="宋体" w:hAnsi="宋体" w:cs="宋体"/>
        </w:rPr>
        <w:t>总部、本店、本所等</w:t>
      </w:r>
      <w:r>
        <w:rPr>
          <w:rFonts w:ascii="宋体" w:hAnsi="宋体" w:cs="宋体"/>
        </w:rPr>
        <w:t>）</w:t>
      </w:r>
      <w:r>
        <w:rPr>
          <w:rFonts w:hint="eastAsia" w:ascii="宋体" w:hAnsi="宋体" w:cs="宋体"/>
        </w:rPr>
        <w:t>：指法人单位中起领导和核心作用的产业活动单位。</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法人单位分支机构</w:t>
      </w:r>
      <w:r>
        <w:rPr>
          <w:rFonts w:ascii="宋体" w:hAnsi="宋体" w:cs="宋体"/>
        </w:rPr>
        <w:t>（</w:t>
      </w:r>
      <w:r>
        <w:rPr>
          <w:rFonts w:hint="eastAsia" w:ascii="宋体" w:hAnsi="宋体" w:cs="宋体"/>
          <w:lang w:eastAsia="zh-CN"/>
        </w:rPr>
        <w:t>法人单位下设的</w:t>
      </w:r>
      <w:r>
        <w:rPr>
          <w:rFonts w:hint="eastAsia" w:ascii="宋体" w:hAnsi="宋体" w:cs="宋体"/>
        </w:rPr>
        <w:t>分部、分厂、分店、支所等</w:t>
      </w:r>
      <w:r>
        <w:rPr>
          <w:rFonts w:ascii="宋体" w:hAnsi="宋体" w:cs="宋体"/>
        </w:rPr>
        <w:t>）</w:t>
      </w:r>
      <w:r>
        <w:rPr>
          <w:rFonts w:hint="eastAsia" w:ascii="宋体" w:hAnsi="宋体" w:cs="宋体"/>
        </w:rPr>
        <w:t>：指法人单位中符合产业活动单位条件的除本部以外的其他产业活动单位。</w:t>
      </w:r>
    </w:p>
    <w:p>
      <w:pPr>
        <w:snapToGrid w:val="0"/>
        <w:spacing w:line="360" w:lineRule="exact"/>
        <w:ind w:firstLine="420" w:firstLineChars="200"/>
        <w:rPr>
          <w:rFonts w:ascii="宋体"/>
        </w:rPr>
      </w:pPr>
      <w:r>
        <w:rPr>
          <w:rFonts w:hint="eastAsia" w:ascii="黑体" w:hAnsi="宋体" w:eastAsia="黑体" w:cs="黑体"/>
        </w:rPr>
        <w:t>经营性单位收入</w:t>
      </w:r>
      <w:r>
        <w:rPr>
          <w:rFonts w:ascii="黑体" w:hAnsi="宋体" w:eastAsia="黑体" w:cs="黑体"/>
        </w:rPr>
        <w:t xml:space="preserve">  </w:t>
      </w:r>
      <w:r>
        <w:rPr>
          <w:rFonts w:hint="eastAsia" w:ascii="宋体" w:hAnsi="宋体" w:cs="宋体"/>
        </w:rPr>
        <w:t>指经营性产业活动单位在全年生产经营活动中取得的收入。</w:t>
      </w:r>
      <w:r>
        <w:rPr>
          <w:rFonts w:hint="eastAsia" w:ascii="宋体" w:hAnsi="宋体" w:cs="宋体"/>
          <w:u w:val="single"/>
        </w:rPr>
        <w:t>限经营性产业活动单位填写</w:t>
      </w:r>
      <w:r>
        <w:rPr>
          <w:rFonts w:hint="eastAsia" w:ascii="宋体" w:hAnsi="宋体" w:cs="宋体"/>
        </w:rPr>
        <w:t>。</w:t>
      </w:r>
    </w:p>
    <w:p>
      <w:pPr>
        <w:snapToGrid w:val="0"/>
        <w:spacing w:line="360" w:lineRule="exact"/>
        <w:ind w:firstLine="420" w:firstLineChars="200"/>
        <w:rPr>
          <w:rFonts w:ascii="黑体" w:hAnsi="宋体" w:eastAsia="黑体"/>
        </w:rPr>
      </w:pPr>
      <w:r>
        <w:rPr>
          <w:rFonts w:hint="eastAsia" w:ascii="黑体" w:hAnsi="宋体" w:eastAsia="黑体" w:cs="黑体"/>
        </w:rPr>
        <w:t>非经营性单位支出（费用）</w:t>
      </w:r>
      <w:r>
        <w:rPr>
          <w:rFonts w:ascii="黑体" w:hAnsi="宋体" w:eastAsia="黑体" w:cs="黑体"/>
        </w:rPr>
        <w:t xml:space="preserve"> </w:t>
      </w:r>
      <w:r>
        <w:rPr>
          <w:rFonts w:hint="eastAsia" w:ascii="宋体" w:hAnsi="宋体" w:cs="宋体"/>
          <w:u w:val="single"/>
        </w:rPr>
        <w:t>限事业、机关、居村委会等非</w:t>
      </w:r>
      <w:r>
        <w:rPr>
          <w:rFonts w:ascii="宋体" w:hAnsi="宋体" w:cs="宋体"/>
          <w:u w:val="single"/>
        </w:rPr>
        <w:t>经营性</w:t>
      </w:r>
      <w:r>
        <w:rPr>
          <w:rFonts w:hint="eastAsia" w:ascii="宋体" w:hAnsi="宋体" w:cs="宋体"/>
          <w:u w:val="single"/>
        </w:rPr>
        <w:t>产业活动单位填写</w:t>
      </w:r>
      <w:r>
        <w:rPr>
          <w:rFonts w:hint="eastAsia" w:ascii="宋体" w:hAnsi="宋体" w:cs="宋体"/>
        </w:rPr>
        <w:t>。</w:t>
      </w:r>
      <w:r>
        <w:rPr>
          <w:rFonts w:hint="eastAsia" w:ascii="宋体" w:hAnsi="宋体" w:cs="宋体"/>
          <w:lang w:eastAsia="zh-CN"/>
        </w:rPr>
        <w:t>其中具有行政事业性质的产业活动单位填报日常业务支出，包括除固定资产购置以外的所有经常性业务支出：其他产业活动单位填报各种费用合计，包括业务活动成本、管理费用、筹资费用和其他费用</w:t>
      </w:r>
      <w:r>
        <w:rPr>
          <w:rFonts w:hint="eastAsia" w:ascii="宋体" w:hAnsi="宋体" w:cs="宋体"/>
        </w:rPr>
        <w:t>。</w:t>
      </w:r>
    </w:p>
    <w:p>
      <w:pPr>
        <w:spacing w:line="360" w:lineRule="exact"/>
        <w:ind w:firstLine="420" w:firstLineChars="200"/>
        <w:rPr>
          <w:rFonts w:ascii="宋体"/>
        </w:rPr>
      </w:pPr>
      <w:r>
        <w:rPr>
          <w:rFonts w:hint="eastAsia" w:ascii="黑体" w:hAnsi="宋体" w:eastAsia="黑体" w:cs="黑体"/>
        </w:rPr>
        <w:t>归属法人单位情况</w:t>
      </w:r>
      <w:r>
        <w:rPr>
          <w:rFonts w:ascii="黑体" w:hAnsi="宋体" w:eastAsia="黑体" w:cs="黑体"/>
        </w:rPr>
        <w:t xml:space="preserve">  </w:t>
      </w:r>
      <w:r>
        <w:rPr>
          <w:rFonts w:hint="eastAsia" w:ascii="宋体" w:hAnsi="宋体" w:cs="宋体"/>
        </w:rPr>
        <w:t>反映产业活动单位与其归属的法人单位的关系。主要包括产业活动单位所归属的法人单位的统一</w:t>
      </w:r>
      <w:r>
        <w:rPr>
          <w:rFonts w:ascii="宋体" w:hAnsi="宋体" w:cs="宋体"/>
        </w:rPr>
        <w:t>社会信用代码、</w:t>
      </w:r>
      <w:r>
        <w:rPr>
          <w:rFonts w:hint="eastAsia" w:ascii="宋体" w:hAnsi="宋体" w:cs="宋体"/>
        </w:rPr>
        <w:t>单位名称、详细地址，以及法人单位所在地区的行政区划代码。若某产业活动单位的归属单位为被视同法人的产业活动单位，则此产业活动单位填写归属法人单位情况时，应填写该视同法人单位相关信息。</w:t>
      </w:r>
    </w:p>
    <w:p>
      <w:pPr>
        <w:spacing w:line="360" w:lineRule="exact"/>
        <w:ind w:firstLine="420" w:firstLineChars="200"/>
        <w:rPr>
          <w:rFonts w:hint="eastAsia" w:ascii="宋体" w:hAnsi="宋体" w:cs="宋体"/>
        </w:rPr>
      </w:pPr>
      <w:r>
        <w:rPr>
          <w:rFonts w:hint="eastAsia" w:ascii="黑体" w:hAnsi="宋体" w:eastAsia="黑体" w:cs="黑体"/>
        </w:rPr>
        <w:t>单位负责人</w:t>
      </w:r>
      <w:r>
        <w:rPr>
          <w:rFonts w:ascii="黑体" w:hAnsi="宋体" w:eastAsia="黑体" w:cs="黑体"/>
        </w:rPr>
        <w:t xml:space="preserve">  </w:t>
      </w:r>
      <w:r>
        <w:rPr>
          <w:rFonts w:hint="eastAsia" w:ascii="黑体" w:hAnsi="宋体" w:eastAsia="黑体" w:cs="黑体"/>
          <w:lang w:eastAsia="zh-CN"/>
        </w:rPr>
        <w:t>本项</w:t>
      </w:r>
      <w:r>
        <w:rPr>
          <w:rFonts w:hint="eastAsia" w:ascii="宋体" w:hAnsi="宋体" w:cs="宋体"/>
        </w:rPr>
        <w:t>需在单位负责人对本表填报内容进行确认后填写。电子调查表需经单位负责人确认后，在指标中填写单位负责人姓名。</w:t>
      </w:r>
    </w:p>
    <w:p>
      <w:pPr>
        <w:spacing w:line="360" w:lineRule="exact"/>
        <w:ind w:firstLine="420" w:firstLineChars="200"/>
        <w:rPr>
          <w:rFonts w:ascii="宋体" w:hAnsi="宋体" w:cs="宋体"/>
          <w:u w:val="single"/>
        </w:rPr>
      </w:pPr>
      <w:r>
        <w:rPr>
          <w:rFonts w:hint="eastAsia" w:ascii="黑体" w:hAnsi="宋体" w:eastAsia="黑体" w:cs="黑体"/>
        </w:rPr>
        <w:t>统计负责人</w:t>
      </w:r>
      <w:r>
        <w:rPr>
          <w:rFonts w:ascii="黑体" w:hAnsi="宋体" w:eastAsia="黑体" w:cs="黑体"/>
        </w:rPr>
        <w:t xml:space="preserve">  </w:t>
      </w:r>
      <w:r>
        <w:rPr>
          <w:rFonts w:hint="eastAsia" w:ascii="黑体" w:hAnsi="宋体" w:eastAsia="黑体" w:cs="黑体"/>
          <w:lang w:eastAsia="zh-CN"/>
        </w:rPr>
        <w:t>本项</w:t>
      </w:r>
      <w:r>
        <w:rPr>
          <w:rFonts w:hint="eastAsia" w:ascii="宋体" w:hAnsi="宋体" w:cs="宋体"/>
        </w:rPr>
        <w:t>需在专职统计人员对本表填报内容进行确认后填写。纸质调查表需由专职统计人员签字；电子调查表需经专职统计人员确认后，在指标中填写专职统计人员姓名。</w:t>
      </w:r>
      <w:r>
        <w:rPr>
          <w:rFonts w:hint="eastAsia" w:ascii="宋体" w:hAnsi="宋体" w:cs="宋体"/>
          <w:u w:val="single"/>
        </w:rPr>
        <w:t>设立专职统计人员的单位填写本项。</w:t>
      </w:r>
    </w:p>
    <w:p>
      <w:pPr>
        <w:spacing w:line="360" w:lineRule="exact"/>
        <w:ind w:firstLine="420" w:firstLineChars="200"/>
        <w:rPr>
          <w:rFonts w:ascii="宋体" w:hAnsi="宋体" w:cs="宋体"/>
        </w:rPr>
      </w:pPr>
      <w:r>
        <w:rPr>
          <w:rFonts w:hint="eastAsia" w:ascii="黑体" w:hAnsi="宋体" w:eastAsia="黑体" w:cs="黑体"/>
        </w:rPr>
        <w:t>填表人</w:t>
      </w:r>
      <w:r>
        <w:rPr>
          <w:rFonts w:ascii="黑体" w:hAnsi="宋体" w:eastAsia="黑体" w:cs="黑体"/>
        </w:rPr>
        <w:t xml:space="preserve">  </w:t>
      </w:r>
      <w:r>
        <w:rPr>
          <w:rFonts w:hint="eastAsia" w:ascii="宋体" w:hAnsi="宋体" w:cs="宋体"/>
        </w:rPr>
        <w:t>填写具体负责填报本调查表的人员姓名。所有单位均填写本项。</w:t>
      </w:r>
    </w:p>
    <w:p>
      <w:pPr>
        <w:spacing w:line="360" w:lineRule="exact"/>
        <w:ind w:firstLine="420" w:firstLineChars="200"/>
        <w:rPr>
          <w:rFonts w:ascii="宋体" w:hAnsi="宋体" w:cs="宋体"/>
        </w:rPr>
      </w:pPr>
      <w:r>
        <w:rPr>
          <w:rFonts w:hint="eastAsia" w:ascii="黑体" w:hAnsi="宋体" w:eastAsia="黑体" w:cs="黑体"/>
        </w:rPr>
        <w:t>填表人联系电话</w:t>
      </w:r>
      <w:r>
        <w:rPr>
          <w:rFonts w:ascii="黑体" w:hAnsi="宋体" w:eastAsia="黑体" w:cs="黑体"/>
        </w:rPr>
        <w:t xml:space="preserve">  </w:t>
      </w:r>
      <w:r>
        <w:rPr>
          <w:rFonts w:hint="eastAsia" w:ascii="宋体" w:hAnsi="宋体" w:cs="宋体"/>
        </w:rPr>
        <w:t>以填写填表人移动电话为主，对于无移动电话的，可以填写填表人固定电话号码。</w:t>
      </w:r>
    </w:p>
    <w:p>
      <w:pPr>
        <w:adjustRightInd/>
        <w:snapToGrid/>
        <w:spacing w:line="360" w:lineRule="exact"/>
        <w:ind w:firstLine="420" w:firstLineChars="200"/>
        <w:textAlignment w:val="auto"/>
        <w:rPr>
          <w:rFonts w:hint="eastAsia" w:ascii="宋体" w:hAnsi="宋体" w:cs="宋体"/>
        </w:rPr>
      </w:pPr>
      <w:r>
        <w:rPr>
          <w:rFonts w:hint="eastAsia" w:ascii="黑体" w:hAnsi="宋体" w:eastAsia="黑体" w:cs="黑体"/>
        </w:rPr>
        <w:t>填表日期</w:t>
      </w:r>
      <w:r>
        <w:rPr>
          <w:rFonts w:ascii="黑体" w:hAnsi="宋体" w:eastAsia="黑体" w:cs="黑体"/>
        </w:rPr>
        <w:t xml:space="preserve">  </w:t>
      </w:r>
      <w:r>
        <w:rPr>
          <w:rFonts w:hint="eastAsia" w:ascii="宋体" w:hAnsi="宋体" w:cs="宋体"/>
        </w:rPr>
        <w:t>纸质调查表为填报结束并加盖公章的日期，电子调查表由系统自动生成此项。</w:t>
      </w:r>
    </w:p>
    <w:p>
      <w:pPr>
        <w:pStyle w:val="2"/>
      </w:pPr>
    </w:p>
    <w:p>
      <w:pPr>
        <w:tabs>
          <w:tab w:val="left" w:pos="8280"/>
        </w:tabs>
        <w:snapToGrid w:val="0"/>
        <w:spacing w:before="480" w:beforeLines="200" w:after="240" w:afterLines="100"/>
        <w:jc w:val="center"/>
        <w:outlineLvl w:val="1"/>
        <w:rPr>
          <w:rFonts w:hint="eastAsia" w:ascii="黑体" w:hAnsi="黑体" w:eastAsia="黑体" w:cs="宋体"/>
          <w:bCs/>
          <w:sz w:val="28"/>
          <w:szCs w:val="28"/>
          <w:highlight w:val="yellow"/>
        </w:rPr>
      </w:pPr>
      <w:r>
        <w:rPr>
          <w:rFonts w:hint="eastAsia" w:asciiTheme="minorEastAsia" w:hAnsiTheme="minorEastAsia" w:eastAsiaTheme="minorEastAsia" w:cstheme="minorEastAsia"/>
          <w:bCs w:val="0"/>
          <w:sz w:val="32"/>
          <w:szCs w:val="32"/>
          <w:lang w:eastAsia="zh-CN"/>
        </w:rPr>
        <w:t>2</w:t>
      </w:r>
      <w:r>
        <w:rPr>
          <w:rFonts w:hint="eastAsia" w:asciiTheme="minorEastAsia" w:hAnsiTheme="minorEastAsia" w:eastAsiaTheme="minorEastAsia" w:cstheme="minorEastAsia"/>
          <w:bCs w:val="0"/>
          <w:sz w:val="32"/>
          <w:szCs w:val="32"/>
          <w:lang w:val="en-US" w:eastAsia="zh-CN"/>
        </w:rPr>
        <w:t>.</w:t>
      </w:r>
      <w:r>
        <w:rPr>
          <w:rFonts w:hint="eastAsia" w:asciiTheme="minorEastAsia" w:hAnsiTheme="minorEastAsia" w:eastAsiaTheme="minorEastAsia" w:cstheme="minorEastAsia"/>
          <w:bCs w:val="0"/>
          <w:sz w:val="32"/>
          <w:szCs w:val="32"/>
          <w:highlight w:val="none"/>
        </w:rPr>
        <w:t>从业人员及工资总额</w:t>
      </w:r>
    </w:p>
    <w:p>
      <w:pPr>
        <w:spacing w:line="360" w:lineRule="exact"/>
        <w:ind w:firstLine="420" w:firstLineChars="200"/>
        <w:rPr>
          <w:rFonts w:hint="eastAsia" w:ascii="宋体" w:hAnsi="宋体"/>
          <w:color w:val="000000"/>
          <w:szCs w:val="21"/>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w:t>
      </w:r>
      <w:r>
        <w:rPr>
          <w:rFonts w:hint="eastAsia" w:ascii="宋体" w:hAnsi="宋体" w:eastAsia="宋体"/>
          <w:color w:val="000000"/>
          <w:szCs w:val="21"/>
          <w:lang w:eastAsia="zh-CN"/>
        </w:rPr>
        <w:t>月度或年度</w:t>
      </w:r>
      <w:r>
        <w:rPr>
          <w:rFonts w:hint="eastAsia" w:ascii="宋体" w:hAnsi="宋体"/>
          <w:color w:val="000000"/>
          <w:szCs w:val="21"/>
        </w:rPr>
        <w:t>最后一日在本单位工作，并取得工资或其他形式劳动报酬的人员数。该指标为时点指标，不包括最后一日当天及以前已经与单位解除劳动合同关系的人员，是在岗职工、劳务派遣人员及其他从业人员之和。</w:t>
      </w:r>
      <w:r>
        <w:rPr>
          <w:rFonts w:hint="eastAsia" w:ascii="宋体" w:hAnsi="宋体"/>
          <w:color w:val="000000"/>
          <w:szCs w:val="21"/>
          <w:lang w:eastAsia="zh-CN"/>
        </w:rPr>
        <w:t>其中不包括</w:t>
      </w:r>
      <w:r>
        <w:rPr>
          <w:rFonts w:hint="eastAsia" w:ascii="宋体" w:hAnsi="宋体"/>
          <w:color w:val="000000"/>
          <w:szCs w:val="21"/>
        </w:rPr>
        <w:t>离开本单位仍保留劳动关系，并定期领取生活费的人员</w:t>
      </w:r>
      <w:r>
        <w:rPr>
          <w:rFonts w:hint="eastAsia" w:ascii="宋体" w:hAnsi="宋体"/>
          <w:color w:val="000000"/>
          <w:szCs w:val="21"/>
          <w:lang w:eastAsia="zh-CN"/>
        </w:rPr>
        <w:t>和在单位实习的各类在校学生</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在岗职工</w:t>
      </w:r>
      <w:r>
        <w:rPr>
          <w:rFonts w:hint="eastAsia" w:ascii="仿宋_GB2312" w:eastAsia="仿宋_GB2312"/>
          <w:color w:val="000000"/>
          <w:szCs w:val="21"/>
        </w:rPr>
        <w:t xml:space="preserve"> </w:t>
      </w:r>
      <w:r>
        <w:rPr>
          <w:rFonts w:hint="eastAsia" w:ascii="宋体" w:hAnsi="宋体"/>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000000"/>
          <w:szCs w:val="21"/>
        </w:rPr>
      </w:pPr>
      <w:r>
        <w:rPr>
          <w:rFonts w:hint="eastAsia" w:ascii="宋体" w:hAnsi="宋体"/>
          <w:color w:val="000000"/>
          <w:szCs w:val="21"/>
        </w:rPr>
        <w:t>1.应订立劳动合同而未订立劳动合同人员；</w:t>
      </w:r>
    </w:p>
    <w:p>
      <w:pPr>
        <w:spacing w:line="360" w:lineRule="exact"/>
        <w:ind w:firstLine="420" w:firstLineChars="200"/>
        <w:rPr>
          <w:rFonts w:ascii="宋体" w:hAnsi="宋体"/>
          <w:color w:val="000000"/>
          <w:szCs w:val="21"/>
        </w:rPr>
      </w:pPr>
      <w:r>
        <w:rPr>
          <w:rFonts w:hint="eastAsia" w:ascii="宋体" w:hAnsi="宋体"/>
          <w:color w:val="000000"/>
          <w:szCs w:val="21"/>
        </w:rPr>
        <w:t>2.处于试用期人员；</w:t>
      </w:r>
    </w:p>
    <w:p>
      <w:pPr>
        <w:spacing w:line="360" w:lineRule="exact"/>
        <w:ind w:firstLine="420" w:firstLineChars="200"/>
        <w:rPr>
          <w:rFonts w:ascii="宋体" w:hAnsi="宋体"/>
          <w:color w:val="000000"/>
          <w:szCs w:val="21"/>
        </w:rPr>
      </w:pPr>
      <w:r>
        <w:rPr>
          <w:rFonts w:hint="eastAsia" w:ascii="宋体" w:hAnsi="宋体"/>
          <w:color w:val="000000"/>
          <w:szCs w:val="21"/>
        </w:rPr>
        <w:t>3.编制外招用的人员，如临时人员；</w:t>
      </w:r>
    </w:p>
    <w:p>
      <w:pPr>
        <w:spacing w:line="360" w:lineRule="exact"/>
        <w:ind w:firstLine="420" w:firstLineChars="200"/>
        <w:rPr>
          <w:rFonts w:ascii="宋体" w:hAnsi="宋体"/>
          <w:color w:val="000000"/>
          <w:szCs w:val="21"/>
        </w:rPr>
      </w:pPr>
      <w:r>
        <w:rPr>
          <w:rFonts w:hint="eastAsia" w:ascii="宋体" w:hAnsi="宋体"/>
          <w:color w:val="000000"/>
          <w:szCs w:val="21"/>
        </w:rPr>
        <w:t>4.派往外单位工作，但工资或其他形式劳动报酬仍由本单位发放的人员</w:t>
      </w:r>
      <w:r>
        <w:rPr>
          <w:rFonts w:hint="eastAsia" w:ascii="宋体" w:hAnsi="宋体"/>
          <w:bCs/>
          <w:color w:val="000000"/>
          <w:szCs w:val="21"/>
        </w:rPr>
        <w:t>（如挂职锻炼、外派工作等情况）</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劳务派遣人员</w:t>
      </w:r>
      <w:r>
        <w:rPr>
          <w:rFonts w:hint="eastAsia" w:ascii="仿宋_GB2312" w:eastAsia="仿宋_GB2312"/>
          <w:color w:val="000000"/>
          <w:szCs w:val="21"/>
        </w:rPr>
        <w:t xml:space="preserve">  </w:t>
      </w:r>
      <w:r>
        <w:rPr>
          <w:rFonts w:hint="eastAsia" w:ascii="宋体" w:hAnsi="宋体"/>
          <w:color w:val="000000"/>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1" w:firstLineChars="200"/>
        <w:rPr>
          <w:rFonts w:hint="eastAsia" w:ascii="宋体" w:hAnsi="宋体"/>
          <w:b/>
          <w:bCs/>
          <w:color w:val="000000"/>
          <w:szCs w:val="21"/>
        </w:rPr>
      </w:pPr>
      <w:r>
        <w:rPr>
          <w:rFonts w:hint="eastAsia" w:ascii="宋体" w:hAnsi="宋体"/>
          <w:b/>
          <w:bCs/>
          <w:color w:val="000000"/>
          <w:szCs w:val="21"/>
        </w:rPr>
        <w:t>注意：</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1.劳务派遣人员</w:t>
      </w:r>
      <w:r>
        <w:rPr>
          <w:rFonts w:hint="eastAsia" w:ascii="宋体" w:hAnsi="宋体"/>
          <w:color w:val="000000"/>
          <w:szCs w:val="21"/>
        </w:rPr>
        <w:t>由实际用工单位</w:t>
      </w:r>
      <w:r>
        <w:rPr>
          <w:rFonts w:hint="eastAsia" w:ascii="宋体" w:hAnsi="宋体"/>
          <w:color w:val="000000"/>
          <w:szCs w:val="21"/>
          <w:lang w:eastAsia="zh-CN"/>
        </w:rPr>
        <w:t>统计为劳务派遣人员，</w:t>
      </w:r>
      <w:r>
        <w:rPr>
          <w:rFonts w:hint="eastAsia" w:ascii="宋体" w:hAnsi="宋体"/>
          <w:color w:val="000000"/>
          <w:szCs w:val="21"/>
        </w:rPr>
        <w:t>劳务派遣单位（派出单位）不</w:t>
      </w:r>
      <w:r>
        <w:rPr>
          <w:rFonts w:hint="eastAsia" w:ascii="宋体" w:hAnsi="宋体"/>
          <w:color w:val="000000"/>
          <w:szCs w:val="21"/>
          <w:lang w:eastAsia="zh-CN"/>
        </w:rPr>
        <w:t>进行统计</w:t>
      </w:r>
      <w:r>
        <w:rPr>
          <w:rFonts w:hint="eastAsia" w:ascii="宋体" w:hAnsi="宋体"/>
          <w:color w:val="000000"/>
          <w:szCs w:val="21"/>
        </w:rPr>
        <w:t>。</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劳务外包人员由承包劳务的法人单位统计为在岗职工</w:t>
      </w:r>
      <w:r>
        <w:rPr>
          <w:rFonts w:hint="eastAsia" w:ascii="宋体" w:hAnsi="宋体"/>
          <w:color w:val="000000"/>
          <w:szCs w:val="21"/>
          <w:lang w:eastAsia="zh-CN"/>
        </w:rPr>
        <w:t>，实际用工单位不进行统计</w:t>
      </w:r>
      <w:r>
        <w:rPr>
          <w:rFonts w:hint="eastAsia" w:ascii="宋体" w:hAnsi="宋体"/>
          <w:color w:val="000000"/>
          <w:szCs w:val="21"/>
        </w:rPr>
        <w:t>。如承包劳务的是个体经营户或自然人，均不包括在本制度统计范围内。</w:t>
      </w:r>
    </w:p>
    <w:p>
      <w:pPr>
        <w:spacing w:line="360" w:lineRule="exact"/>
        <w:ind w:firstLine="420" w:firstLineChars="200"/>
        <w:rPr>
          <w:rFonts w:hint="eastAsia" w:ascii="宋体" w:hAnsi="宋体"/>
          <w:color w:val="000000"/>
          <w:szCs w:val="21"/>
        </w:rPr>
      </w:pPr>
      <w:r>
        <w:rPr>
          <w:rFonts w:hint="eastAsia" w:ascii="黑体" w:hAnsi="宋体" w:eastAsia="黑体"/>
          <w:color w:val="000000"/>
          <w:szCs w:val="21"/>
        </w:rPr>
        <w:t xml:space="preserve">其他从业人员  </w:t>
      </w:r>
      <w:r>
        <w:rPr>
          <w:rFonts w:hint="eastAsia" w:ascii="宋体" w:hAnsi="宋体"/>
          <w:color w:val="000000"/>
          <w:szCs w:val="21"/>
        </w:rPr>
        <w:t>指在本单位工作，不能归入在岗职工、劳务派遣人员中的人员。此类人员是实际参加本单位生产或工作并从本单位取得劳动报酬的人员。具体包括：非全日制人员、聘用的正式离退休人员、兼职人员</w:t>
      </w:r>
      <w:r>
        <w:rPr>
          <w:rFonts w:hint="eastAsia" w:ascii="宋体" w:hAnsi="宋体"/>
          <w:color w:val="000000"/>
          <w:szCs w:val="21"/>
          <w:lang w:eastAsia="zh-CN"/>
        </w:rPr>
        <w:t>（包括</w:t>
      </w:r>
      <w:r>
        <w:rPr>
          <w:rFonts w:hint="eastAsia" w:ascii="宋体" w:hAnsi="宋体"/>
          <w:color w:val="000000"/>
          <w:szCs w:val="21"/>
        </w:rPr>
        <w:t>利用课余时间打工的在校学生</w:t>
      </w:r>
      <w:r>
        <w:rPr>
          <w:rFonts w:hint="eastAsia" w:ascii="宋体" w:hAnsi="宋体"/>
          <w:color w:val="000000"/>
          <w:szCs w:val="21"/>
          <w:lang w:eastAsia="zh-CN"/>
        </w:rPr>
        <w:t>）</w:t>
      </w:r>
      <w:r>
        <w:rPr>
          <w:rFonts w:hint="eastAsia" w:ascii="宋体" w:hAnsi="宋体"/>
          <w:color w:val="000000"/>
          <w:szCs w:val="21"/>
        </w:rPr>
        <w:t>以及在本单位中工作的外籍和港澳台方人员。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中层及以上管理人员</w:t>
      </w:r>
      <w:r>
        <w:rPr>
          <w:rFonts w:hint="eastAsia" w:ascii="宋体" w:hAnsi="宋体"/>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国家机关负责人、民主党派和工商联负责人、人民</w:t>
      </w:r>
      <w:r>
        <w:rPr>
          <w:rFonts w:ascii="宋体" w:hAnsi="宋体"/>
          <w:color w:val="000000"/>
          <w:szCs w:val="21"/>
        </w:rPr>
        <w:t>团体</w:t>
      </w:r>
      <w:r>
        <w:rPr>
          <w:rFonts w:hint="eastAsia" w:ascii="宋体" w:hAnsi="宋体"/>
          <w:color w:val="000000"/>
          <w:szCs w:val="21"/>
        </w:rPr>
        <w:t>和</w:t>
      </w:r>
      <w:r>
        <w:rPr>
          <w:rFonts w:ascii="宋体" w:hAnsi="宋体"/>
          <w:color w:val="000000"/>
          <w:szCs w:val="21"/>
        </w:rPr>
        <w:t>群众团体、社会组织及其他成员组织负责人、</w:t>
      </w:r>
      <w:r>
        <w:rPr>
          <w:rFonts w:hint="eastAsia" w:ascii="宋体" w:hAnsi="宋体"/>
          <w:color w:val="000000"/>
          <w:szCs w:val="21"/>
        </w:rPr>
        <w:t>基层群众</w:t>
      </w:r>
      <w:r>
        <w:rPr>
          <w:rFonts w:ascii="宋体" w:hAnsi="宋体"/>
          <w:color w:val="000000"/>
          <w:szCs w:val="21"/>
        </w:rPr>
        <w:t>自治组织</w:t>
      </w:r>
      <w:r>
        <w:rPr>
          <w:rFonts w:hint="eastAsia" w:ascii="宋体" w:hAnsi="宋体"/>
          <w:color w:val="000000"/>
          <w:szCs w:val="21"/>
        </w:rPr>
        <w:t>负责人、企事业单位负责人。</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专业技术人员</w:t>
      </w:r>
      <w:r>
        <w:rPr>
          <w:rFonts w:hint="eastAsia" w:ascii="宋体" w:hAnsi="宋体"/>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hint="eastAsia" w:ascii="宋体" w:hAnsi="宋体"/>
          <w:color w:val="000000"/>
          <w:szCs w:val="21"/>
        </w:rPr>
        <w:t>人员、</w:t>
      </w:r>
      <w:r>
        <w:rPr>
          <w:rFonts w:hint="eastAsia" w:ascii="宋体" w:hAnsi="宋体"/>
          <w:color w:val="000000"/>
          <w:szCs w:val="21"/>
          <w:lang w:eastAsia="zh-CN"/>
        </w:rPr>
        <w:t>监察、</w:t>
      </w:r>
      <w:r>
        <w:rPr>
          <w:rFonts w:hint="eastAsia" w:ascii="宋体" w:hAnsi="宋体"/>
          <w:color w:val="000000"/>
          <w:szCs w:val="21"/>
        </w:rPr>
        <w:t>法律、</w:t>
      </w:r>
      <w:r>
        <w:rPr>
          <w:rFonts w:ascii="宋体" w:hAnsi="宋体"/>
          <w:color w:val="000000"/>
          <w:szCs w:val="21"/>
        </w:rPr>
        <w:t>社会和宗教</w:t>
      </w:r>
      <w:r>
        <w:rPr>
          <w:rFonts w:hint="eastAsia" w:ascii="宋体" w:hAnsi="宋体"/>
          <w:color w:val="000000"/>
          <w:szCs w:val="21"/>
        </w:rPr>
        <w:t>专业人员、教学人员、文学艺术、</w:t>
      </w:r>
      <w:r>
        <w:rPr>
          <w:rFonts w:ascii="宋体" w:hAnsi="宋体"/>
          <w:color w:val="000000"/>
          <w:szCs w:val="21"/>
        </w:rPr>
        <w:t>体育</w:t>
      </w:r>
      <w:r>
        <w:rPr>
          <w:rFonts w:hint="eastAsia" w:ascii="宋体" w:hAnsi="宋体"/>
          <w:color w:val="000000"/>
          <w:szCs w:val="21"/>
        </w:rPr>
        <w:t>专业人员、新闻出版、文化专业人员、其他专业技术人员。</w:t>
      </w:r>
    </w:p>
    <w:p>
      <w:pPr>
        <w:spacing w:line="360" w:lineRule="exact"/>
        <w:ind w:firstLine="420" w:firstLineChars="200"/>
        <w:rPr>
          <w:rFonts w:ascii="宋体" w:hAnsi="宋体"/>
          <w:color w:val="000000"/>
          <w:spacing w:val="2"/>
          <w:szCs w:val="21"/>
        </w:rPr>
      </w:pPr>
      <w:r>
        <w:rPr>
          <w:rFonts w:hint="eastAsia" w:ascii="黑体" w:hAnsi="宋体" w:eastAsia="黑体"/>
          <w:color w:val="000000"/>
          <w:szCs w:val="21"/>
        </w:rPr>
        <w:t>办事人员和有关人员</w:t>
      </w:r>
      <w:r>
        <w:rPr>
          <w:rFonts w:hint="eastAsia" w:ascii="宋体" w:hAnsi="宋体"/>
          <w:color w:val="000000"/>
          <w:szCs w:val="21"/>
        </w:rPr>
        <w:t xml:space="preserve">  </w:t>
      </w:r>
      <w:r>
        <w:rPr>
          <w:rFonts w:hint="eastAsia" w:ascii="宋体" w:hAnsi="宋体"/>
          <w:color w:val="000000"/>
          <w:spacing w:val="2"/>
          <w:szCs w:val="21"/>
        </w:rPr>
        <w:t>指在国家机关、党群组织、企业、事业单位中从事行政业务、行政事务、行政执法</w:t>
      </w:r>
      <w:r>
        <w:rPr>
          <w:rFonts w:hint="eastAsia" w:ascii="宋体" w:hAnsi="宋体"/>
          <w:color w:val="000000"/>
          <w:spacing w:val="2"/>
          <w:szCs w:val="21"/>
          <w:lang w:eastAsia="zh-CN"/>
        </w:rPr>
        <w:t>和仲裁</w:t>
      </w:r>
      <w:r>
        <w:rPr>
          <w:rFonts w:hint="eastAsia" w:ascii="宋体" w:hAnsi="宋体"/>
          <w:color w:val="000000"/>
          <w:spacing w:val="2"/>
          <w:szCs w:val="21"/>
        </w:rPr>
        <w:t>、安全保卫</w:t>
      </w:r>
      <w:r>
        <w:rPr>
          <w:rFonts w:hint="eastAsia" w:ascii="宋体" w:hAnsi="宋体"/>
          <w:color w:val="000000"/>
          <w:spacing w:val="2"/>
          <w:szCs w:val="21"/>
          <w:lang w:eastAsia="zh-CN"/>
        </w:rPr>
        <w:t>、</w:t>
      </w:r>
      <w:r>
        <w:rPr>
          <w:rFonts w:hint="eastAsia" w:ascii="宋体" w:hAnsi="宋体"/>
          <w:color w:val="000000"/>
          <w:spacing w:val="2"/>
          <w:szCs w:val="21"/>
        </w:rPr>
        <w:t>消防</w:t>
      </w:r>
      <w:r>
        <w:rPr>
          <w:rFonts w:hint="eastAsia" w:ascii="宋体" w:hAnsi="宋体"/>
          <w:color w:val="000000"/>
          <w:spacing w:val="2"/>
          <w:szCs w:val="21"/>
          <w:lang w:eastAsia="zh-CN"/>
        </w:rPr>
        <w:t>和应急救援</w:t>
      </w:r>
      <w:r>
        <w:rPr>
          <w:rFonts w:hint="eastAsia" w:ascii="宋体" w:hAnsi="宋体"/>
          <w:color w:val="000000"/>
          <w:spacing w:val="2"/>
          <w:szCs w:val="21"/>
        </w:rPr>
        <w:t>等工作的人员。具体包括办事人员、安全和消防人员、其他办事人员和有关人员。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社会生产服务和生活服务人员</w:t>
      </w:r>
      <w:r>
        <w:rPr>
          <w:rFonts w:hint="eastAsia" w:ascii="宋体" w:hAnsi="宋体"/>
          <w:color w:val="000000"/>
          <w:szCs w:val="21"/>
        </w:rPr>
        <w:t xml:space="preserve">  指从事商品批发零售、交通运输、仓储、邮政和快递、住宿和餐饮、信息传输、软件和信息技术以及金融、</w:t>
      </w:r>
      <w:r>
        <w:rPr>
          <w:rFonts w:hint="eastAsia" w:ascii="宋体" w:hAnsi="宋体"/>
          <w:color w:val="000000"/>
          <w:szCs w:val="21"/>
          <w:lang w:eastAsia="zh-CN"/>
        </w:rPr>
        <w:t>房地产、</w:t>
      </w:r>
      <w:r>
        <w:rPr>
          <w:rFonts w:hint="eastAsia" w:ascii="宋体" w:hAnsi="宋体"/>
          <w:color w:val="000000"/>
          <w:szCs w:val="21"/>
        </w:rPr>
        <w:t>租赁和商务、</w:t>
      </w:r>
      <w:r>
        <w:rPr>
          <w:rFonts w:hint="eastAsia" w:ascii="宋体" w:hAnsi="宋体"/>
          <w:color w:val="000000"/>
          <w:szCs w:val="21"/>
          <w:lang w:eastAsia="zh-CN"/>
        </w:rPr>
        <w:t>技术辅助、</w:t>
      </w:r>
      <w:r>
        <w:rPr>
          <w:rFonts w:hint="eastAsia" w:ascii="宋体" w:hAnsi="宋体"/>
          <w:color w:val="000000"/>
          <w:szCs w:val="21"/>
        </w:rPr>
        <w:t>生态保护、文化、体育和娱乐等社会生产服务与生活服务工作的人员。具体包括批发与零售</w:t>
      </w:r>
      <w:r>
        <w:rPr>
          <w:rFonts w:ascii="宋体" w:hAnsi="宋体"/>
          <w:color w:val="000000"/>
          <w:szCs w:val="21"/>
        </w:rPr>
        <w:t>服务人员、</w:t>
      </w:r>
      <w:r>
        <w:rPr>
          <w:rFonts w:hint="eastAsia" w:ascii="宋体" w:hAnsi="宋体"/>
          <w:color w:val="000000"/>
          <w:szCs w:val="21"/>
        </w:rPr>
        <w:t>交通运输</w:t>
      </w:r>
      <w:r>
        <w:rPr>
          <w:rFonts w:ascii="宋体" w:hAnsi="宋体"/>
          <w:color w:val="000000"/>
          <w:szCs w:val="21"/>
        </w:rPr>
        <w:t>、仓储和邮政业服务人员、</w:t>
      </w:r>
      <w:r>
        <w:rPr>
          <w:rFonts w:hint="eastAsia" w:ascii="宋体" w:hAnsi="宋体"/>
          <w:color w:val="000000"/>
          <w:szCs w:val="21"/>
        </w:rPr>
        <w:t>住宿和餐饮服务人员、信息传输</w:t>
      </w:r>
      <w:r>
        <w:rPr>
          <w:rFonts w:ascii="宋体" w:hAnsi="宋体"/>
          <w:color w:val="000000"/>
          <w:szCs w:val="21"/>
        </w:rPr>
        <w:t>、软件和信息技术服务人员、金融服务人员、房地产服务人员</w:t>
      </w:r>
      <w:r>
        <w:rPr>
          <w:rFonts w:hint="eastAsia" w:ascii="宋体" w:hAnsi="宋体"/>
          <w:color w:val="000000"/>
          <w:szCs w:val="21"/>
        </w:rPr>
        <w:t>、</w:t>
      </w:r>
      <w:r>
        <w:rPr>
          <w:rFonts w:ascii="宋体" w:hAnsi="宋体"/>
          <w:color w:val="000000"/>
          <w:szCs w:val="21"/>
        </w:rPr>
        <w:t>租赁和商务服务人员</w:t>
      </w:r>
      <w:r>
        <w:rPr>
          <w:rFonts w:hint="eastAsia" w:ascii="宋体" w:hAnsi="宋体"/>
          <w:color w:val="000000"/>
          <w:szCs w:val="21"/>
        </w:rPr>
        <w:t>、技术</w:t>
      </w:r>
      <w:r>
        <w:rPr>
          <w:rFonts w:ascii="宋体" w:hAnsi="宋体"/>
          <w:color w:val="000000"/>
          <w:szCs w:val="21"/>
        </w:rPr>
        <w:t>辅助服务人员</w:t>
      </w:r>
      <w:r>
        <w:rPr>
          <w:rFonts w:hint="eastAsia" w:ascii="宋体" w:hAnsi="宋体"/>
          <w:color w:val="000000"/>
          <w:szCs w:val="21"/>
        </w:rPr>
        <w:t>、</w:t>
      </w:r>
      <w:r>
        <w:rPr>
          <w:rFonts w:ascii="宋体" w:hAnsi="宋体"/>
          <w:color w:val="000000"/>
          <w:szCs w:val="21"/>
        </w:rPr>
        <w:t>水利、环境和公共设施</w:t>
      </w:r>
      <w:r>
        <w:rPr>
          <w:rFonts w:hint="eastAsia" w:ascii="宋体" w:hAnsi="宋体"/>
          <w:color w:val="000000"/>
          <w:szCs w:val="21"/>
        </w:rPr>
        <w:t>管理</w:t>
      </w:r>
      <w:r>
        <w:rPr>
          <w:rFonts w:ascii="宋体" w:hAnsi="宋体"/>
          <w:color w:val="000000"/>
          <w:szCs w:val="21"/>
        </w:rPr>
        <w:t>服务人员</w:t>
      </w:r>
      <w:r>
        <w:rPr>
          <w:rFonts w:hint="eastAsia" w:ascii="宋体" w:hAnsi="宋体"/>
          <w:color w:val="000000"/>
          <w:szCs w:val="21"/>
        </w:rPr>
        <w:t>、居民服务人员、电力</w:t>
      </w:r>
      <w:r>
        <w:rPr>
          <w:rFonts w:ascii="宋体" w:hAnsi="宋体"/>
          <w:color w:val="000000"/>
          <w:szCs w:val="21"/>
        </w:rPr>
        <w:t>、燃气及水供应服务人员</w:t>
      </w:r>
      <w:r>
        <w:rPr>
          <w:rFonts w:hint="eastAsia" w:ascii="宋体" w:hAnsi="宋体"/>
          <w:color w:val="000000"/>
          <w:szCs w:val="21"/>
        </w:rPr>
        <w:t>、</w:t>
      </w:r>
      <w:r>
        <w:rPr>
          <w:rFonts w:ascii="宋体" w:hAnsi="宋体"/>
          <w:color w:val="000000"/>
          <w:szCs w:val="21"/>
        </w:rPr>
        <w:t>修理及制作服务人员</w:t>
      </w:r>
      <w:r>
        <w:rPr>
          <w:rFonts w:hint="eastAsia" w:ascii="宋体" w:hAnsi="宋体"/>
          <w:color w:val="000000"/>
          <w:szCs w:val="21"/>
        </w:rPr>
        <w:t>、文化</w:t>
      </w:r>
      <w:r>
        <w:rPr>
          <w:rFonts w:hint="eastAsia" w:ascii="宋体" w:hAnsi="宋体"/>
          <w:color w:val="000000"/>
          <w:szCs w:val="21"/>
          <w:lang w:eastAsia="zh-CN"/>
        </w:rPr>
        <w:t>和教育服务人员</w:t>
      </w:r>
      <w:r>
        <w:rPr>
          <w:rFonts w:ascii="宋体" w:hAnsi="宋体"/>
          <w:color w:val="000000"/>
          <w:szCs w:val="21"/>
        </w:rPr>
        <w:t>、</w:t>
      </w:r>
      <w:r>
        <w:rPr>
          <w:rFonts w:hint="eastAsia" w:ascii="宋体" w:hAnsi="宋体"/>
          <w:color w:val="000000"/>
          <w:szCs w:val="21"/>
          <w:lang w:eastAsia="zh-CN"/>
        </w:rPr>
        <w:t>健康、</w:t>
      </w:r>
      <w:r>
        <w:rPr>
          <w:rFonts w:ascii="宋体" w:hAnsi="宋体"/>
          <w:color w:val="000000"/>
          <w:szCs w:val="21"/>
        </w:rPr>
        <w:t>体育和</w:t>
      </w:r>
      <w:r>
        <w:rPr>
          <w:rFonts w:hint="eastAsia" w:ascii="宋体" w:hAnsi="宋体"/>
          <w:color w:val="000000"/>
          <w:szCs w:val="21"/>
          <w:lang w:eastAsia="zh-CN"/>
        </w:rPr>
        <w:t>休闲</w:t>
      </w:r>
      <w:r>
        <w:rPr>
          <w:rFonts w:ascii="宋体" w:hAnsi="宋体"/>
          <w:color w:val="000000"/>
          <w:szCs w:val="21"/>
        </w:rPr>
        <w:t>服务人员</w:t>
      </w:r>
      <w:r>
        <w:rPr>
          <w:rFonts w:hint="eastAsia" w:ascii="宋体" w:hAnsi="宋体"/>
          <w:color w:val="000000"/>
          <w:szCs w:val="21"/>
        </w:rPr>
        <w:t>、其他社会生产</w:t>
      </w:r>
      <w:r>
        <w:rPr>
          <w:rFonts w:hint="eastAsia" w:ascii="宋体" w:hAnsi="宋体"/>
          <w:color w:val="000000"/>
          <w:szCs w:val="21"/>
          <w:lang w:eastAsia="zh-CN"/>
        </w:rPr>
        <w:t>服务</w:t>
      </w:r>
      <w:r>
        <w:rPr>
          <w:rFonts w:ascii="宋体" w:hAnsi="宋体"/>
          <w:color w:val="000000"/>
          <w:szCs w:val="21"/>
        </w:rPr>
        <w:t>和生活服务人员</w:t>
      </w:r>
      <w:r>
        <w:rPr>
          <w:rFonts w:hint="eastAsia" w:ascii="宋体" w:hAnsi="宋体"/>
          <w:color w:val="000000"/>
          <w:szCs w:val="21"/>
        </w:rPr>
        <w:t>。</w:t>
      </w:r>
    </w:p>
    <w:p>
      <w:pPr>
        <w:snapToGrid w:val="0"/>
        <w:spacing w:line="360" w:lineRule="exact"/>
        <w:ind w:firstLine="420" w:firstLineChars="200"/>
        <w:rPr>
          <w:rFonts w:ascii="宋体" w:hAnsi="宋体"/>
          <w:color w:val="000000"/>
          <w:szCs w:val="21"/>
        </w:rPr>
      </w:pPr>
      <w:r>
        <w:rPr>
          <w:rFonts w:hint="eastAsia" w:ascii="黑体" w:hAnsi="宋体" w:eastAsia="黑体"/>
          <w:color w:val="000000"/>
          <w:szCs w:val="21"/>
        </w:rPr>
        <w:t xml:space="preserve">生产制造及有关人员  </w:t>
      </w:r>
      <w:r>
        <w:rPr>
          <w:rFonts w:hint="eastAsia" w:ascii="宋体" w:hAnsi="宋体"/>
          <w:color w:val="000000"/>
          <w:szCs w:val="21"/>
        </w:rPr>
        <w:t>指从事</w:t>
      </w:r>
      <w:r>
        <w:rPr>
          <w:rFonts w:hint="eastAsia" w:ascii="宋体" w:hAnsi="宋体"/>
          <w:color w:val="000000"/>
          <w:szCs w:val="21"/>
          <w:lang w:eastAsia="zh-CN"/>
        </w:rPr>
        <w:t>产品生产及设备制造、</w:t>
      </w:r>
      <w:r>
        <w:rPr>
          <w:rFonts w:hint="eastAsia" w:ascii="宋体" w:hAnsi="宋体"/>
          <w:color w:val="000000"/>
          <w:szCs w:val="21"/>
        </w:rPr>
        <w:t>矿产开采、工程施工和运输设备操作的人员及有关人员。具体包括</w:t>
      </w:r>
      <w:r>
        <w:rPr>
          <w:rFonts w:hint="eastAsia" w:ascii="宋体" w:hAnsi="宋体"/>
          <w:color w:val="000000"/>
          <w:szCs w:val="21"/>
          <w:lang w:eastAsia="zh-CN"/>
        </w:rPr>
        <w:t>农业生产人员、林业生产人员、</w:t>
      </w:r>
      <w:r>
        <w:rPr>
          <w:rFonts w:hint="eastAsia" w:ascii="宋体" w:hAnsi="宋体"/>
          <w:color w:val="000000"/>
          <w:szCs w:val="21"/>
        </w:rPr>
        <w:t>畜牧业生产人员</w:t>
      </w:r>
      <w:r>
        <w:rPr>
          <w:rFonts w:hint="eastAsia" w:ascii="宋体" w:hAnsi="宋体"/>
          <w:color w:val="000000"/>
          <w:szCs w:val="21"/>
          <w:lang w:eastAsia="zh-CN"/>
        </w:rPr>
        <w:t>、</w:t>
      </w:r>
      <w:r>
        <w:rPr>
          <w:rFonts w:hint="eastAsia" w:ascii="宋体" w:hAnsi="宋体"/>
          <w:color w:val="000000"/>
          <w:szCs w:val="21"/>
        </w:rPr>
        <w:t>渔业生产人员</w:t>
      </w:r>
      <w:r>
        <w:rPr>
          <w:rFonts w:hint="eastAsia" w:ascii="宋体" w:hAnsi="宋体"/>
          <w:color w:val="000000"/>
          <w:szCs w:val="21"/>
          <w:lang w:eastAsia="zh-CN"/>
        </w:rPr>
        <w:t>、</w:t>
      </w:r>
      <w:r>
        <w:rPr>
          <w:rFonts w:hint="eastAsia" w:ascii="宋体" w:hAnsi="宋体"/>
          <w:color w:val="000000"/>
          <w:szCs w:val="21"/>
        </w:rPr>
        <w:t>农、林、牧、渔业生产辅助人员</w:t>
      </w:r>
      <w:r>
        <w:rPr>
          <w:rFonts w:hint="eastAsia" w:ascii="宋体" w:hAnsi="宋体"/>
          <w:color w:val="000000"/>
          <w:szCs w:val="21"/>
          <w:lang w:eastAsia="zh-CN"/>
        </w:rPr>
        <w:t>、</w:t>
      </w:r>
      <w:r>
        <w:rPr>
          <w:rFonts w:hint="eastAsia" w:ascii="宋体" w:hAnsi="宋体"/>
          <w:color w:val="000000"/>
          <w:szCs w:val="21"/>
        </w:rPr>
        <w:t>其他农、林、牧、渔业生产及辅助人员</w:t>
      </w:r>
      <w:r>
        <w:rPr>
          <w:rFonts w:hint="eastAsia" w:ascii="宋体" w:hAnsi="宋体"/>
          <w:color w:val="000000"/>
          <w:szCs w:val="21"/>
          <w:lang w:eastAsia="zh-CN"/>
        </w:rPr>
        <w:t>、</w:t>
      </w:r>
      <w:r>
        <w:rPr>
          <w:rFonts w:hint="eastAsia" w:ascii="宋体" w:hAnsi="宋体"/>
          <w:color w:val="000000"/>
          <w:szCs w:val="21"/>
        </w:rPr>
        <w:t>农副</w:t>
      </w:r>
      <w:r>
        <w:rPr>
          <w:rFonts w:hint="eastAsia" w:ascii="宋体" w:hAnsi="宋体"/>
          <w:color w:val="000000"/>
          <w:szCs w:val="21"/>
          <w:lang w:eastAsia="zh-CN"/>
        </w:rPr>
        <w:t>产品</w:t>
      </w:r>
      <w:r>
        <w:rPr>
          <w:rFonts w:ascii="宋体" w:hAnsi="宋体"/>
          <w:color w:val="000000"/>
          <w:szCs w:val="21"/>
        </w:rPr>
        <w:t>加工人员</w:t>
      </w:r>
      <w:r>
        <w:rPr>
          <w:rFonts w:hint="eastAsia" w:ascii="宋体" w:hAnsi="宋体"/>
          <w:color w:val="000000"/>
          <w:szCs w:val="21"/>
        </w:rPr>
        <w:t>、</w:t>
      </w:r>
      <w:r>
        <w:rPr>
          <w:rFonts w:ascii="宋体" w:hAnsi="宋体"/>
          <w:color w:val="000000"/>
          <w:szCs w:val="21"/>
        </w:rPr>
        <w:t>食品、饮料</w:t>
      </w:r>
      <w:r>
        <w:rPr>
          <w:rFonts w:hint="eastAsia" w:ascii="宋体" w:hAnsi="宋体"/>
          <w:color w:val="000000"/>
          <w:szCs w:val="21"/>
        </w:rPr>
        <w:t>生产</w:t>
      </w:r>
      <w:r>
        <w:rPr>
          <w:rFonts w:ascii="宋体" w:hAnsi="宋体"/>
          <w:color w:val="000000"/>
          <w:szCs w:val="21"/>
        </w:rPr>
        <w:t>加工人员、</w:t>
      </w:r>
      <w:r>
        <w:rPr>
          <w:rFonts w:hint="eastAsia" w:ascii="宋体" w:hAnsi="宋体"/>
          <w:color w:val="000000"/>
          <w:szCs w:val="21"/>
        </w:rPr>
        <w:t>烟草</w:t>
      </w:r>
      <w:r>
        <w:rPr>
          <w:rFonts w:ascii="宋体" w:hAnsi="宋体"/>
          <w:color w:val="000000"/>
          <w:szCs w:val="21"/>
        </w:rPr>
        <w:t>及其制品加工人员</w:t>
      </w:r>
      <w:r>
        <w:rPr>
          <w:rFonts w:hint="eastAsia" w:ascii="宋体" w:hAnsi="宋体"/>
          <w:color w:val="000000"/>
          <w:szCs w:val="21"/>
        </w:rPr>
        <w:t>、</w:t>
      </w:r>
      <w:r>
        <w:rPr>
          <w:rFonts w:ascii="宋体" w:hAnsi="宋体"/>
          <w:color w:val="000000"/>
          <w:szCs w:val="21"/>
        </w:rPr>
        <w:t>纺织、针织、</w:t>
      </w:r>
      <w:r>
        <w:rPr>
          <w:rFonts w:hint="eastAsia" w:ascii="宋体" w:hAnsi="宋体"/>
          <w:color w:val="000000"/>
          <w:szCs w:val="21"/>
        </w:rPr>
        <w:t>印染</w:t>
      </w:r>
      <w:r>
        <w:rPr>
          <w:rFonts w:ascii="宋体" w:hAnsi="宋体"/>
          <w:color w:val="000000"/>
          <w:szCs w:val="21"/>
        </w:rPr>
        <w:t>人员、纺织品、服装和皮革、毛皮制品加工制作人员</w:t>
      </w:r>
      <w:r>
        <w:rPr>
          <w:rFonts w:hint="eastAsia" w:ascii="宋体" w:hAnsi="宋体"/>
          <w:color w:val="000000"/>
          <w:szCs w:val="21"/>
        </w:rPr>
        <w:t>、</w:t>
      </w:r>
      <w:r>
        <w:rPr>
          <w:rFonts w:ascii="宋体" w:hAnsi="宋体"/>
          <w:color w:val="000000"/>
          <w:szCs w:val="21"/>
        </w:rPr>
        <w:t>木材加工、家具与木制品制作人员</w:t>
      </w:r>
      <w:r>
        <w:rPr>
          <w:rFonts w:hint="eastAsia" w:ascii="宋体" w:hAnsi="宋体"/>
          <w:color w:val="000000"/>
          <w:szCs w:val="21"/>
        </w:rPr>
        <w:t>、</w:t>
      </w:r>
      <w:r>
        <w:rPr>
          <w:rFonts w:ascii="宋体" w:hAnsi="宋体"/>
          <w:color w:val="000000"/>
          <w:szCs w:val="21"/>
        </w:rPr>
        <w:t>纸及纸制品生产加工人员</w:t>
      </w:r>
      <w:r>
        <w:rPr>
          <w:rFonts w:hint="eastAsia" w:ascii="宋体" w:hAnsi="宋体"/>
          <w:color w:val="000000"/>
          <w:szCs w:val="21"/>
        </w:rPr>
        <w:t>、</w:t>
      </w:r>
      <w:r>
        <w:rPr>
          <w:rFonts w:ascii="宋体" w:hAnsi="宋体"/>
          <w:color w:val="000000"/>
          <w:szCs w:val="21"/>
        </w:rPr>
        <w:t>印刷和记录媒介</w:t>
      </w:r>
      <w:r>
        <w:rPr>
          <w:rFonts w:hint="eastAsia" w:ascii="宋体" w:hAnsi="宋体"/>
          <w:color w:val="000000"/>
          <w:szCs w:val="21"/>
        </w:rPr>
        <w:t>复制</w:t>
      </w:r>
      <w:r>
        <w:rPr>
          <w:rFonts w:ascii="宋体" w:hAnsi="宋体"/>
          <w:color w:val="000000"/>
          <w:szCs w:val="21"/>
        </w:rPr>
        <w:t>人员、文教、工美、体育和娱乐用品制造人员</w:t>
      </w:r>
      <w:r>
        <w:rPr>
          <w:rFonts w:hint="eastAsia" w:ascii="宋体" w:hAnsi="宋体"/>
          <w:color w:val="000000"/>
          <w:szCs w:val="21"/>
        </w:rPr>
        <w:t>、石油</w:t>
      </w:r>
      <w:r>
        <w:rPr>
          <w:rFonts w:ascii="宋体" w:hAnsi="宋体"/>
          <w:color w:val="000000"/>
          <w:szCs w:val="21"/>
        </w:rPr>
        <w:t>加工</w:t>
      </w:r>
      <w:r>
        <w:rPr>
          <w:rFonts w:hint="eastAsia" w:ascii="宋体" w:hAnsi="宋体"/>
          <w:color w:val="000000"/>
          <w:szCs w:val="21"/>
        </w:rPr>
        <w:t>和</w:t>
      </w:r>
      <w:r>
        <w:rPr>
          <w:rFonts w:ascii="宋体" w:hAnsi="宋体"/>
          <w:color w:val="000000"/>
          <w:szCs w:val="21"/>
        </w:rPr>
        <w:t>炼焦、煤化工生产人员</w:t>
      </w:r>
      <w:r>
        <w:rPr>
          <w:rFonts w:hint="eastAsia" w:ascii="宋体" w:hAnsi="宋体"/>
          <w:color w:val="000000"/>
          <w:szCs w:val="21"/>
        </w:rPr>
        <w:t>、</w:t>
      </w:r>
      <w:r>
        <w:rPr>
          <w:rFonts w:ascii="宋体" w:hAnsi="宋体"/>
          <w:color w:val="000000"/>
          <w:szCs w:val="21"/>
        </w:rPr>
        <w:t>化学原料</w:t>
      </w:r>
      <w:r>
        <w:rPr>
          <w:rFonts w:hint="eastAsia" w:ascii="宋体" w:hAnsi="宋体"/>
          <w:color w:val="000000"/>
          <w:szCs w:val="21"/>
        </w:rPr>
        <w:t>和</w:t>
      </w:r>
      <w:r>
        <w:rPr>
          <w:rFonts w:ascii="宋体" w:hAnsi="宋体"/>
          <w:color w:val="000000"/>
          <w:szCs w:val="21"/>
        </w:rPr>
        <w:t>化学制品制造人员、医药制造人员</w:t>
      </w:r>
      <w:r>
        <w:rPr>
          <w:rFonts w:hint="eastAsia" w:ascii="宋体" w:hAnsi="宋体"/>
          <w:color w:val="000000"/>
          <w:szCs w:val="21"/>
        </w:rPr>
        <w:t>、</w:t>
      </w:r>
      <w:r>
        <w:rPr>
          <w:rFonts w:ascii="宋体" w:hAnsi="宋体"/>
          <w:color w:val="000000"/>
          <w:szCs w:val="21"/>
        </w:rPr>
        <w:t>化学纤维制造人员</w:t>
      </w:r>
      <w:r>
        <w:rPr>
          <w:rFonts w:hint="eastAsia" w:ascii="宋体" w:hAnsi="宋体"/>
          <w:color w:val="000000"/>
          <w:szCs w:val="21"/>
        </w:rPr>
        <w:t>、</w:t>
      </w:r>
      <w:r>
        <w:rPr>
          <w:rFonts w:ascii="宋体" w:hAnsi="宋体"/>
          <w:color w:val="000000"/>
          <w:szCs w:val="21"/>
        </w:rPr>
        <w:t>橡胶和塑料制品制造人员</w:t>
      </w:r>
      <w:r>
        <w:rPr>
          <w:rFonts w:hint="eastAsia" w:ascii="宋体" w:hAnsi="宋体"/>
          <w:color w:val="000000"/>
          <w:szCs w:val="21"/>
        </w:rPr>
        <w:t>、</w:t>
      </w:r>
      <w:r>
        <w:rPr>
          <w:rFonts w:ascii="宋体" w:hAnsi="宋体"/>
          <w:color w:val="000000"/>
          <w:szCs w:val="21"/>
        </w:rPr>
        <w:t>非</w:t>
      </w:r>
      <w:r>
        <w:rPr>
          <w:rFonts w:hint="eastAsia" w:ascii="宋体" w:hAnsi="宋体"/>
          <w:color w:val="000000"/>
          <w:szCs w:val="21"/>
        </w:rPr>
        <w:t>金属</w:t>
      </w:r>
      <w:r>
        <w:rPr>
          <w:rFonts w:ascii="宋体" w:hAnsi="宋体"/>
          <w:color w:val="000000"/>
          <w:szCs w:val="21"/>
        </w:rPr>
        <w:t>矿物制品制造人员、采矿人员</w:t>
      </w:r>
      <w:r>
        <w:rPr>
          <w:rFonts w:hint="eastAsia" w:ascii="宋体" w:hAnsi="宋体"/>
          <w:color w:val="000000"/>
          <w:szCs w:val="21"/>
        </w:rPr>
        <w:t>、</w:t>
      </w:r>
      <w:r>
        <w:rPr>
          <w:rFonts w:ascii="宋体" w:hAnsi="宋体"/>
          <w:color w:val="000000"/>
          <w:szCs w:val="21"/>
        </w:rPr>
        <w:t>金属冶炼和压延加工人员</w:t>
      </w:r>
      <w:r>
        <w:rPr>
          <w:rFonts w:hint="eastAsia" w:ascii="宋体" w:hAnsi="宋体"/>
          <w:color w:val="000000"/>
          <w:szCs w:val="21"/>
        </w:rPr>
        <w:t>、</w:t>
      </w:r>
      <w:r>
        <w:rPr>
          <w:rFonts w:ascii="宋体" w:hAnsi="宋体"/>
          <w:color w:val="000000"/>
          <w:szCs w:val="21"/>
        </w:rPr>
        <w:t>机械制造基础加工人员</w:t>
      </w:r>
      <w:r>
        <w:rPr>
          <w:rFonts w:hint="eastAsia" w:ascii="宋体" w:hAnsi="宋体"/>
          <w:color w:val="000000"/>
          <w:szCs w:val="21"/>
        </w:rPr>
        <w:t>、</w:t>
      </w:r>
      <w:r>
        <w:rPr>
          <w:rFonts w:ascii="宋体" w:hAnsi="宋体"/>
          <w:color w:val="000000"/>
          <w:szCs w:val="21"/>
        </w:rPr>
        <w:t>金属制品制造人员</w:t>
      </w:r>
      <w:r>
        <w:rPr>
          <w:rFonts w:hint="eastAsia" w:ascii="宋体" w:hAnsi="宋体"/>
          <w:color w:val="000000"/>
          <w:szCs w:val="21"/>
        </w:rPr>
        <w:t>、</w:t>
      </w:r>
      <w:r>
        <w:rPr>
          <w:rFonts w:ascii="宋体" w:hAnsi="宋体"/>
          <w:color w:val="000000"/>
          <w:szCs w:val="21"/>
        </w:rPr>
        <w:t>通用设备制造人员</w:t>
      </w:r>
      <w:r>
        <w:rPr>
          <w:rFonts w:hint="eastAsia" w:ascii="宋体" w:hAnsi="宋体"/>
          <w:color w:val="000000"/>
          <w:szCs w:val="21"/>
        </w:rPr>
        <w:t>、专</w:t>
      </w:r>
      <w:r>
        <w:rPr>
          <w:rFonts w:ascii="宋体" w:hAnsi="宋体"/>
          <w:color w:val="000000"/>
          <w:szCs w:val="21"/>
        </w:rPr>
        <w:t>用设备制造人员</w:t>
      </w:r>
      <w:r>
        <w:rPr>
          <w:rFonts w:hint="eastAsia" w:ascii="宋体" w:hAnsi="宋体"/>
          <w:color w:val="000000"/>
          <w:szCs w:val="21"/>
        </w:rPr>
        <w:t>、汽车</w:t>
      </w:r>
      <w:r>
        <w:rPr>
          <w:rFonts w:ascii="宋体" w:hAnsi="宋体"/>
          <w:color w:val="000000"/>
          <w:szCs w:val="21"/>
        </w:rPr>
        <w:t>制造人员</w:t>
      </w:r>
      <w:r>
        <w:rPr>
          <w:rFonts w:hint="eastAsia" w:ascii="宋体" w:hAnsi="宋体"/>
          <w:color w:val="000000"/>
          <w:szCs w:val="21"/>
        </w:rPr>
        <w:t>、</w:t>
      </w:r>
      <w:r>
        <w:rPr>
          <w:rFonts w:ascii="宋体" w:hAnsi="宋体"/>
          <w:color w:val="000000"/>
          <w:szCs w:val="21"/>
        </w:rPr>
        <w:t>铁路、船舶、航空</w:t>
      </w:r>
      <w:r>
        <w:rPr>
          <w:rFonts w:hint="eastAsia" w:ascii="宋体" w:hAnsi="宋体"/>
          <w:color w:val="000000"/>
          <w:szCs w:val="21"/>
        </w:rPr>
        <w:t>航天</w:t>
      </w:r>
      <w:r>
        <w:rPr>
          <w:rFonts w:ascii="宋体" w:hAnsi="宋体"/>
          <w:color w:val="000000"/>
          <w:szCs w:val="21"/>
        </w:rPr>
        <w:t>设备制造人员</w:t>
      </w:r>
      <w:r>
        <w:rPr>
          <w:rFonts w:hint="eastAsia" w:ascii="宋体" w:hAnsi="宋体"/>
          <w:color w:val="000000"/>
          <w:szCs w:val="21"/>
        </w:rPr>
        <w:t>、</w:t>
      </w:r>
      <w:r>
        <w:rPr>
          <w:rFonts w:ascii="宋体" w:hAnsi="宋体"/>
          <w:color w:val="000000"/>
          <w:szCs w:val="21"/>
        </w:rPr>
        <w:t>电</w:t>
      </w:r>
      <w:r>
        <w:rPr>
          <w:rFonts w:hint="eastAsia" w:ascii="宋体" w:hAnsi="宋体"/>
          <w:color w:val="000000"/>
          <w:szCs w:val="21"/>
        </w:rPr>
        <w:t>气</w:t>
      </w:r>
      <w:r>
        <w:rPr>
          <w:rFonts w:ascii="宋体" w:hAnsi="宋体"/>
          <w:color w:val="000000"/>
          <w:szCs w:val="21"/>
        </w:rPr>
        <w:t>机械和器材制造人员</w:t>
      </w:r>
      <w:r>
        <w:rPr>
          <w:rFonts w:hint="eastAsia" w:ascii="宋体" w:hAnsi="宋体"/>
          <w:color w:val="000000"/>
          <w:szCs w:val="21"/>
        </w:rPr>
        <w:t>、</w:t>
      </w:r>
      <w:r>
        <w:rPr>
          <w:rFonts w:ascii="宋体" w:hAnsi="宋体"/>
          <w:color w:val="000000"/>
          <w:szCs w:val="21"/>
        </w:rPr>
        <w:t>计算机、通信和其他电子设备</w:t>
      </w:r>
      <w:r>
        <w:rPr>
          <w:rFonts w:hint="eastAsia" w:ascii="宋体" w:hAnsi="宋体"/>
          <w:color w:val="000000"/>
          <w:szCs w:val="21"/>
        </w:rPr>
        <w:t>制造</w:t>
      </w:r>
      <w:r>
        <w:rPr>
          <w:rFonts w:ascii="宋体" w:hAnsi="宋体"/>
          <w:color w:val="000000"/>
          <w:szCs w:val="21"/>
        </w:rPr>
        <w:t>人员</w:t>
      </w:r>
      <w:r>
        <w:rPr>
          <w:rFonts w:hint="eastAsia" w:ascii="宋体" w:hAnsi="宋体"/>
          <w:color w:val="000000"/>
          <w:szCs w:val="21"/>
        </w:rPr>
        <w:t>、</w:t>
      </w:r>
      <w:r>
        <w:rPr>
          <w:rFonts w:ascii="宋体" w:hAnsi="宋体"/>
          <w:color w:val="000000"/>
          <w:szCs w:val="21"/>
        </w:rPr>
        <w:t>仪器仪表制造人员、</w:t>
      </w:r>
      <w:r>
        <w:rPr>
          <w:rFonts w:hint="eastAsia" w:ascii="宋体" w:hAnsi="宋体"/>
          <w:color w:val="000000"/>
          <w:szCs w:val="21"/>
          <w:lang w:eastAsia="zh-CN"/>
        </w:rPr>
        <w:t>再生</w:t>
      </w:r>
      <w:r>
        <w:rPr>
          <w:rFonts w:ascii="宋体" w:hAnsi="宋体"/>
          <w:color w:val="000000"/>
          <w:szCs w:val="21"/>
        </w:rPr>
        <w:t>资源综合利用人员</w:t>
      </w:r>
      <w:r>
        <w:rPr>
          <w:rFonts w:hint="eastAsia" w:ascii="宋体" w:hAnsi="宋体"/>
          <w:color w:val="000000"/>
          <w:szCs w:val="21"/>
        </w:rPr>
        <w:t>、</w:t>
      </w:r>
      <w:r>
        <w:rPr>
          <w:rFonts w:ascii="宋体" w:hAnsi="宋体"/>
          <w:color w:val="000000"/>
          <w:szCs w:val="21"/>
        </w:rPr>
        <w:t>电力、热力、气体、水生产和输</w:t>
      </w:r>
      <w:r>
        <w:rPr>
          <w:rFonts w:hint="eastAsia" w:ascii="宋体" w:hAnsi="宋体"/>
          <w:color w:val="000000"/>
          <w:szCs w:val="21"/>
        </w:rPr>
        <w:t>配</w:t>
      </w:r>
      <w:r>
        <w:rPr>
          <w:rFonts w:ascii="宋体" w:hAnsi="宋体"/>
          <w:color w:val="000000"/>
          <w:szCs w:val="21"/>
        </w:rPr>
        <w:t>人员</w:t>
      </w:r>
      <w:r>
        <w:rPr>
          <w:rFonts w:hint="eastAsia" w:ascii="宋体" w:hAnsi="宋体"/>
          <w:color w:val="000000"/>
          <w:szCs w:val="21"/>
        </w:rPr>
        <w:t>、</w:t>
      </w:r>
      <w:r>
        <w:rPr>
          <w:rFonts w:ascii="宋体" w:hAnsi="宋体"/>
          <w:color w:val="000000"/>
          <w:szCs w:val="21"/>
        </w:rPr>
        <w:t>建筑施工人员</w:t>
      </w:r>
      <w:r>
        <w:rPr>
          <w:rFonts w:hint="eastAsia" w:ascii="宋体" w:hAnsi="宋体"/>
          <w:color w:val="000000"/>
          <w:szCs w:val="21"/>
        </w:rPr>
        <w:t>、</w:t>
      </w:r>
      <w:r>
        <w:rPr>
          <w:rFonts w:ascii="宋体" w:hAnsi="宋体"/>
          <w:color w:val="000000"/>
          <w:szCs w:val="21"/>
        </w:rPr>
        <w:t>运输设备和通用工程机械操作人员及有关人员、生产辅助人员、其他生产制造及有关人员</w:t>
      </w:r>
      <w:r>
        <w:rPr>
          <w:rFonts w:hint="eastAsia" w:ascii="宋体" w:hAnsi="宋体"/>
          <w:color w:val="000000"/>
          <w:szCs w:val="21"/>
        </w:rPr>
        <w:t>。</w:t>
      </w:r>
    </w:p>
    <w:p>
      <w:pPr>
        <w:spacing w:line="360" w:lineRule="exact"/>
        <w:ind w:firstLine="420" w:firstLineChars="200"/>
        <w:rPr>
          <w:rFonts w:hint="eastAsia" w:ascii="宋体" w:hAnsi="宋体"/>
          <w:color w:val="000000"/>
          <w:szCs w:val="21"/>
        </w:rPr>
      </w:pPr>
      <w:r>
        <w:rPr>
          <w:rFonts w:hint="eastAsia" w:ascii="黑体" w:hAnsi="宋体" w:eastAsia="黑体"/>
          <w:color w:val="000000"/>
          <w:szCs w:val="21"/>
        </w:rPr>
        <w:t xml:space="preserve">从业人员平均人数  </w:t>
      </w:r>
      <w:r>
        <w:rPr>
          <w:rFonts w:hint="eastAsia" w:ascii="宋体" w:hAnsi="宋体"/>
          <w:color w:val="000000"/>
          <w:szCs w:val="21"/>
        </w:rPr>
        <w:t>指</w:t>
      </w:r>
      <w:r>
        <w:rPr>
          <w:rFonts w:hint="eastAsia" w:ascii="宋体" w:hAnsi="宋体" w:eastAsia="宋体"/>
          <w:color w:val="000000"/>
          <w:szCs w:val="21"/>
          <w:lang w:eastAsia="zh-CN"/>
        </w:rPr>
        <w:t>月度或年度</w:t>
      </w:r>
      <w:r>
        <w:rPr>
          <w:rFonts w:hint="eastAsia" w:ascii="宋体" w:hAnsi="宋体"/>
          <w:color w:val="000000"/>
          <w:szCs w:val="21"/>
        </w:rPr>
        <w:t>平均拥有的从业人员数。年度平均人数按单位实际月平均人数计算得到，不得用期末人数替代。</w:t>
      </w:r>
    </w:p>
    <w:p>
      <w:pPr>
        <w:numPr>
          <w:ilvl w:val="0"/>
          <w:numId w:val="0"/>
        </w:numPr>
        <w:spacing w:line="360" w:lineRule="exact"/>
        <w:ind w:left="420" w:firstLine="0"/>
        <w:rPr>
          <w:rFonts w:ascii="宋体" w:hAnsi="宋体"/>
          <w:color w:val="000000"/>
          <w:szCs w:val="21"/>
        </w:rPr>
      </w:pPr>
      <w:r>
        <w:rPr>
          <w:rFonts w:hint="eastAsia"/>
          <w:color w:val="000000"/>
          <w:lang w:val="en-US" w:eastAsia="zh-CN"/>
        </w:rPr>
        <w:t>1</w:t>
      </w:r>
      <w:r>
        <w:rPr>
          <w:rFonts w:hint="eastAsia" w:ascii="宋体" w:hAnsi="宋体"/>
          <w:color w:val="000000"/>
          <w:szCs w:val="21"/>
        </w:rPr>
        <w:t>.</w:t>
      </w:r>
      <w:r>
        <w:rPr>
          <w:rFonts w:hint="eastAsia" w:ascii="宋体" w:hAnsi="宋体"/>
          <w:color w:val="000000"/>
          <w:szCs w:val="21"/>
          <w:lang w:val="en-US" w:eastAsia="zh-CN"/>
        </w:rPr>
        <w:t xml:space="preserve"> </w:t>
      </w:r>
      <w:r>
        <w:rPr>
          <w:rFonts w:hint="eastAsia"/>
          <w:color w:val="000000"/>
        </w:rPr>
        <w:t>月平</w:t>
      </w:r>
      <w:r>
        <w:rPr>
          <w:rFonts w:hint="eastAsia" w:ascii="宋体" w:hAnsi="宋体"/>
          <w:color w:val="000000"/>
          <w:szCs w:val="21"/>
        </w:rPr>
        <w:t>均人数是以报告月内每天实有的全部人数之和，除以报告月的日历日数。计算公式为：</w:t>
      </w:r>
    </w:p>
    <w:p>
      <w:pPr>
        <w:spacing w:line="360" w:lineRule="exact"/>
        <w:ind w:left="420"/>
        <w:rPr>
          <w:rFonts w:hint="eastAsia" w:ascii="宋体" w:hAnsi="宋体"/>
          <w:color w:val="000000"/>
          <w:szCs w:val="21"/>
        </w:rPr>
      </w:pPr>
      <w:r>
        <w:rPr>
          <w:rFonts w:hint="eastAsia" w:ascii="宋体" w:hAnsi="宋体"/>
          <w:color w:val="000000"/>
          <w:szCs w:val="21"/>
        </w:rPr>
        <w:t>月平均人数=报告月内每天实有的全部人数之和</w:t>
      </w:r>
      <w:r>
        <w:rPr>
          <w:rFonts w:ascii="宋体" w:hAnsi="宋体"/>
          <w:color w:val="000000"/>
          <w:szCs w:val="21"/>
        </w:rPr>
        <w:t>/</w:t>
      </w:r>
      <w:r>
        <w:rPr>
          <w:rFonts w:hint="eastAsia" w:ascii="宋体" w:hAnsi="宋体"/>
          <w:color w:val="000000"/>
          <w:szCs w:val="21"/>
        </w:rPr>
        <w:t>报告月的日历日数</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对人员增减变动很小的单位，其月平均人数也可以用月初人数与月末人数之和除以2求得。计算公式为：</w:t>
      </w:r>
    </w:p>
    <w:p>
      <w:pPr>
        <w:snapToGrid w:val="0"/>
        <w:spacing w:line="360" w:lineRule="exact"/>
        <w:ind w:firstLine="420" w:firstLineChars="200"/>
        <w:rPr>
          <w:rFonts w:hint="eastAsia" w:ascii="宋体" w:hAnsi="宋体"/>
          <w:color w:val="000000"/>
          <w:szCs w:val="21"/>
        </w:rPr>
      </w:pPr>
      <w:r>
        <w:rPr>
          <w:rFonts w:hint="eastAsia"/>
          <w:color w:val="000000"/>
        </w:rPr>
        <w:t xml:space="preserve">月平均人数= </w:t>
      </w:r>
      <w:r>
        <w:rPr>
          <w:color w:val="000000"/>
        </w:rPr>
        <w:t>(</w:t>
      </w:r>
      <w:r>
        <w:rPr>
          <w:rFonts w:hint="eastAsia"/>
          <w:color w:val="000000"/>
        </w:rPr>
        <w:t>月初人数+月末人数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pPr>
        <w:spacing w:line="360" w:lineRule="exact"/>
        <w:ind w:firstLine="420" w:firstLineChars="200"/>
        <w:rPr>
          <w:rFonts w:hint="eastAsia" w:ascii="宋体" w:hAnsi="宋体"/>
          <w:color w:val="000000"/>
          <w:szCs w:val="21"/>
        </w:rPr>
      </w:pPr>
      <w:r>
        <w:rPr>
          <w:rFonts w:hint="eastAsia" w:ascii="宋体" w:hAnsi="宋体"/>
          <w:color w:val="000000"/>
          <w:szCs w:val="21"/>
        </w:rPr>
        <w:t>在计算月平均人数时应注意：</w:t>
      </w:r>
    </w:p>
    <w:p>
      <w:pPr>
        <w:spacing w:line="360" w:lineRule="exact"/>
        <w:ind w:firstLine="420" w:firstLineChars="200"/>
        <w:rPr>
          <w:rFonts w:hint="eastAsia" w:ascii="宋体" w:hAnsi="宋体"/>
          <w:color w:val="000000"/>
          <w:szCs w:val="21"/>
        </w:rPr>
      </w:pPr>
      <w:r>
        <w:rPr>
          <w:rFonts w:hint="eastAsia" w:ascii="宋体" w:hAnsi="宋体"/>
          <w:color w:val="000000"/>
          <w:szCs w:val="21"/>
        </w:rPr>
        <w:t>（1）公休日与节假日的人数应按放假前最后一个工作日的人数计算。</w:t>
      </w:r>
    </w:p>
    <w:p>
      <w:pPr>
        <w:spacing w:line="360" w:lineRule="exact"/>
        <w:ind w:firstLine="420" w:firstLineChars="200"/>
        <w:rPr>
          <w:rFonts w:hint="eastAsia" w:ascii="宋体" w:hAnsi="宋体"/>
          <w:color w:val="000000"/>
          <w:szCs w:val="21"/>
        </w:rPr>
      </w:pPr>
      <w:r>
        <w:rPr>
          <w:rFonts w:hint="eastAsia" w:ascii="宋体" w:hAnsi="宋体"/>
          <w:color w:val="000000"/>
          <w:szCs w:val="21"/>
        </w:rPr>
        <w:t>（2）对新建立不满整月的单位（月中或月末建立），在计算报告月的平均人数时，应以其建立后各天实有人数之和，除以</w:t>
      </w:r>
      <w:r>
        <w:rPr>
          <w:rFonts w:hint="eastAsia" w:ascii="宋体" w:hAnsi="宋体"/>
          <w:color w:val="000000"/>
          <w:szCs w:val="21"/>
          <w:lang w:eastAsia="zh-CN"/>
        </w:rPr>
        <w:t>整月天</w:t>
      </w:r>
      <w:r>
        <w:rPr>
          <w:rFonts w:hint="eastAsia" w:ascii="宋体" w:hAnsi="宋体"/>
          <w:color w:val="000000"/>
          <w:szCs w:val="21"/>
        </w:rPr>
        <w:t>数求得，而不能除以该单位建立的天数。</w:t>
      </w:r>
    </w:p>
    <w:p>
      <w:pPr>
        <w:spacing w:line="360" w:lineRule="atLeast"/>
        <w:ind w:firstLine="420" w:firstLineChars="200"/>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 xml:space="preserve"> </w:t>
      </w:r>
      <w:r>
        <w:rPr>
          <w:rFonts w:hint="eastAsia" w:ascii="宋体" w:hAnsi="宋体"/>
          <w:color w:val="000000"/>
          <w:szCs w:val="21"/>
        </w:rPr>
        <w:t>年平均人数是以12个月的平均人数之和除以12求得。计算公式为：</w:t>
      </w:r>
    </w:p>
    <w:p>
      <w:pPr>
        <w:spacing w:line="360" w:lineRule="atLeast"/>
        <w:rPr>
          <w:rFonts w:hint="eastAsia" w:ascii="宋体" w:hAnsi="宋体"/>
          <w:color w:val="000000"/>
          <w:szCs w:val="21"/>
        </w:rPr>
      </w:pPr>
      <w:r>
        <w:rPr>
          <w:rFonts w:hint="eastAsia" w:ascii="宋体" w:hAnsi="宋体"/>
          <w:color w:val="000000"/>
          <w:szCs w:val="21"/>
        </w:rPr>
        <w:t xml:space="preserve">    年平均人数=报告年内12个月平均人数之和</w:t>
      </w:r>
      <w:r>
        <w:rPr>
          <w:rFonts w:ascii="宋体" w:hAnsi="宋体"/>
          <w:color w:val="000000"/>
          <w:szCs w:val="21"/>
        </w:rPr>
        <w:t>/12</w:t>
      </w:r>
    </w:p>
    <w:p>
      <w:pPr>
        <w:spacing w:line="360" w:lineRule="atLeast"/>
        <w:ind w:firstLine="420" w:firstLineChars="200"/>
        <w:rPr>
          <w:rFonts w:ascii="宋体" w:hAnsi="宋体"/>
          <w:color w:val="000000"/>
          <w:szCs w:val="21"/>
        </w:rPr>
      </w:pPr>
      <w:r>
        <w:rPr>
          <w:rFonts w:hint="eastAsia" w:ascii="宋体" w:hAnsi="宋体"/>
          <w:color w:val="000000"/>
          <w:szCs w:val="21"/>
        </w:rPr>
        <w:t>在年内新成立的单位年平均人数计算方法为：从实际开工之月起到年底的月平均人数相加除以12个月。计算公式为：</w:t>
      </w:r>
    </w:p>
    <w:p>
      <w:pPr>
        <w:spacing w:line="360" w:lineRule="atLeast"/>
        <w:ind w:firstLine="420" w:firstLineChars="200"/>
        <w:rPr>
          <w:rFonts w:hint="eastAsia" w:ascii="宋体" w:hAnsi="宋体"/>
          <w:color w:val="000000"/>
          <w:szCs w:val="21"/>
        </w:rPr>
      </w:pPr>
      <w:r>
        <w:rPr>
          <w:rFonts w:hint="eastAsia" w:ascii="宋体" w:hAnsi="宋体"/>
          <w:color w:val="000000"/>
          <w:szCs w:val="21"/>
        </w:rPr>
        <w:t>年平均人数=(开工之月平均人数+</w:t>
      </w:r>
      <w:r>
        <w:rPr>
          <w:rFonts w:ascii="宋体" w:hAnsi="宋体"/>
          <w:color w:val="000000"/>
          <w:szCs w:val="21"/>
        </w:rPr>
        <w:t>…+</w:t>
      </w:r>
      <w:r>
        <w:rPr>
          <w:rFonts w:hint="eastAsia" w:ascii="宋体" w:hAnsi="宋体"/>
          <w:color w:val="000000"/>
          <w:szCs w:val="21"/>
        </w:rPr>
        <w:t>12月平均人数)/12</w:t>
      </w:r>
    </w:p>
    <w:p>
      <w:pPr>
        <w:spacing w:line="360" w:lineRule="exact"/>
        <w:ind w:firstLine="420" w:firstLineChars="200"/>
        <w:rPr>
          <w:rFonts w:ascii="宋体" w:hAnsi="宋体"/>
          <w:color w:val="000000"/>
          <w:spacing w:val="8"/>
          <w:szCs w:val="21"/>
        </w:rPr>
      </w:pPr>
      <w:r>
        <w:rPr>
          <w:rFonts w:hint="eastAsia" w:ascii="黑体" w:eastAsia="黑体"/>
          <w:color w:val="000000"/>
          <w:szCs w:val="21"/>
        </w:rPr>
        <w:t xml:space="preserve">从业人员工资总额  </w:t>
      </w:r>
      <w:r>
        <w:rPr>
          <w:rFonts w:hint="eastAsia" w:ascii="宋体" w:hAnsi="宋体"/>
          <w:color w:val="000000"/>
          <w:spacing w:val="8"/>
          <w:szCs w:val="21"/>
        </w:rPr>
        <w:t>指本单位在</w:t>
      </w:r>
      <w:r>
        <w:rPr>
          <w:rFonts w:hint="eastAsia" w:ascii="宋体" w:hAnsi="宋体"/>
          <w:color w:val="000000"/>
          <w:spacing w:val="8"/>
          <w:szCs w:val="21"/>
          <w:lang w:eastAsia="zh-CN"/>
        </w:rPr>
        <w:t>月</w:t>
      </w:r>
      <w:r>
        <w:rPr>
          <w:rFonts w:hint="eastAsia" w:ascii="宋体" w:hAnsi="宋体"/>
          <w:color w:val="000000"/>
          <w:spacing w:val="8"/>
          <w:szCs w:val="21"/>
        </w:rPr>
        <w:t>度或年度直接支付给本单位全部从业人员的劳动报酬总额。</w:t>
      </w:r>
      <w:r>
        <w:rPr>
          <w:rFonts w:hint="eastAsia" w:hAnsi="宋体"/>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int="eastAsia" w:hAnsi="宋体"/>
          <w:color w:val="000000"/>
          <w:szCs w:val="21"/>
          <w:lang w:eastAsia="zh-CN"/>
        </w:rPr>
        <w:t>，</w:t>
      </w:r>
      <w:r>
        <w:rPr>
          <w:rFonts w:hint="eastAsia" w:ascii="宋体" w:hAnsi="宋体"/>
          <w:color w:val="000000"/>
          <w:spacing w:val="8"/>
          <w:szCs w:val="21"/>
        </w:rPr>
        <w:t>工资总额是税前工资，包括单位从个人工资中直接为其代扣或代缴的个人所得税、社会保险基金和住房公积金等个人缴纳部分以及房费、水电费等</w:t>
      </w:r>
      <w:r>
        <w:rPr>
          <w:rFonts w:hint="eastAsia" w:ascii="宋体" w:hAnsi="宋体"/>
          <w:color w:val="000000"/>
          <w:spacing w:val="8"/>
          <w:szCs w:val="21"/>
          <w:lang w:eastAsia="zh-CN"/>
        </w:rPr>
        <w:t>，但</w:t>
      </w:r>
      <w:r>
        <w:rPr>
          <w:rFonts w:hAnsi="宋体"/>
          <w:color w:val="000000"/>
          <w:szCs w:val="21"/>
        </w:rPr>
        <w:t>不包括</w:t>
      </w:r>
      <w:r>
        <w:rPr>
          <w:rFonts w:hint="eastAsia" w:hAnsi="宋体"/>
          <w:color w:val="000000"/>
          <w:szCs w:val="21"/>
        </w:rPr>
        <w:t>从</w:t>
      </w:r>
      <w:r>
        <w:rPr>
          <w:rFonts w:hAnsi="宋体"/>
          <w:color w:val="000000"/>
          <w:szCs w:val="21"/>
        </w:rPr>
        <w:t>单位工会</w:t>
      </w:r>
      <w:r>
        <w:rPr>
          <w:rFonts w:hint="eastAsia" w:hAnsi="宋体"/>
          <w:color w:val="000000"/>
          <w:szCs w:val="21"/>
        </w:rPr>
        <w:t>经费或工</w:t>
      </w:r>
      <w:r>
        <w:rPr>
          <w:rFonts w:hAnsi="宋体"/>
          <w:color w:val="000000"/>
          <w:szCs w:val="21"/>
        </w:rPr>
        <w:t>会账户</w:t>
      </w:r>
      <w:r>
        <w:rPr>
          <w:rFonts w:hint="eastAsia" w:hAnsi="宋体"/>
          <w:color w:val="000000"/>
          <w:szCs w:val="21"/>
        </w:rPr>
        <w:t>中发放</w:t>
      </w:r>
      <w:r>
        <w:rPr>
          <w:rFonts w:hAnsi="宋体"/>
          <w:color w:val="000000"/>
          <w:szCs w:val="21"/>
        </w:rPr>
        <w:t>的</w:t>
      </w:r>
      <w:r>
        <w:rPr>
          <w:rFonts w:hint="eastAsia" w:hAnsi="宋体"/>
          <w:color w:val="000000"/>
          <w:szCs w:val="21"/>
        </w:rPr>
        <w:t>现金或</w:t>
      </w:r>
      <w:r>
        <w:rPr>
          <w:rFonts w:hAnsi="宋体"/>
          <w:color w:val="000000"/>
          <w:szCs w:val="21"/>
        </w:rPr>
        <w:t>实物</w:t>
      </w:r>
      <w:r>
        <w:rPr>
          <w:rFonts w:hint="eastAsia" w:hAnsi="宋体"/>
          <w:color w:val="000000"/>
          <w:szCs w:val="21"/>
          <w:lang w:eastAsia="zh-CN"/>
        </w:rPr>
        <w:t>，</w:t>
      </w:r>
      <w:r>
        <w:rPr>
          <w:rFonts w:hint="eastAsia" w:hAnsi="宋体"/>
          <w:color w:val="000000"/>
          <w:szCs w:val="21"/>
        </w:rPr>
        <w:t>入股分红、股权激励兑现的收益和各种资本性收益</w:t>
      </w:r>
      <w:r>
        <w:rPr>
          <w:rFonts w:hint="eastAsia" w:hAnsi="宋体"/>
          <w:color w:val="000000"/>
          <w:szCs w:val="21"/>
          <w:lang w:eastAsia="zh-CN"/>
        </w:rPr>
        <w:t>等</w:t>
      </w:r>
      <w:r>
        <w:rPr>
          <w:rFonts w:hint="eastAsia" w:hAnsi="宋体"/>
          <w:color w:val="auto"/>
          <w:szCs w:val="21"/>
        </w:rPr>
        <w:t>。</w:t>
      </w:r>
      <w:r>
        <w:rPr>
          <w:rFonts w:hint="eastAsia" w:ascii="宋体" w:hAnsi="宋体"/>
          <w:color w:val="000000"/>
          <w:spacing w:val="8"/>
          <w:szCs w:val="21"/>
        </w:rPr>
        <w:t>工资总额</w:t>
      </w:r>
      <w:r>
        <w:rPr>
          <w:rFonts w:hint="eastAsia" w:ascii="宋体" w:hAnsi="宋体"/>
          <w:color w:val="000000"/>
          <w:spacing w:val="8"/>
          <w:szCs w:val="21"/>
          <w:lang w:eastAsia="zh-CN"/>
        </w:rPr>
        <w:t>具体包括</w:t>
      </w:r>
      <w:r>
        <w:rPr>
          <w:rFonts w:hint="eastAsia" w:ascii="宋体" w:hAnsi="宋体"/>
          <w:color w:val="000000"/>
          <w:spacing w:val="8"/>
          <w:szCs w:val="21"/>
        </w:rPr>
        <w:t>:</w:t>
      </w:r>
      <w:r>
        <w:rPr>
          <w:rFonts w:ascii="宋体" w:hAnsi="宋体"/>
          <w:color w:val="000000"/>
          <w:spacing w:val="8"/>
          <w:szCs w:val="21"/>
        </w:rPr>
        <w:t xml:space="preserve"> </w:t>
      </w:r>
    </w:p>
    <w:p>
      <w:pPr>
        <w:pStyle w:val="15"/>
        <w:spacing w:line="360" w:lineRule="exact"/>
        <w:ind w:firstLine="420" w:firstLineChars="200"/>
        <w:rPr>
          <w:rFonts w:hAnsi="宋体"/>
          <w:color w:val="000000"/>
          <w:szCs w:val="21"/>
        </w:rPr>
      </w:pPr>
      <w:r>
        <w:rPr>
          <w:rFonts w:hint="eastAsia" w:hAnsi="宋体"/>
          <w:color w:val="000000"/>
          <w:szCs w:val="21"/>
        </w:rPr>
        <w:t>1.工资，</w:t>
      </w:r>
      <w:r>
        <w:rPr>
          <w:rFonts w:hint="eastAsia" w:hAnsi="宋体"/>
          <w:color w:val="000000"/>
          <w:szCs w:val="21"/>
          <w:highlight w:val="none"/>
          <w:lang w:eastAsia="zh-CN"/>
        </w:rPr>
        <w:t>包</w:t>
      </w:r>
      <w:r>
        <w:rPr>
          <w:rFonts w:hint="eastAsia" w:hAnsi="宋体"/>
          <w:color w:val="000000"/>
          <w:szCs w:val="21"/>
          <w:lang w:eastAsia="zh-CN"/>
        </w:rPr>
        <w:t>括基本工资和绩效工资。基本工资</w:t>
      </w:r>
      <w:r>
        <w:rPr>
          <w:rFonts w:hint="eastAsia" w:hAnsi="宋体"/>
          <w:color w:val="000000"/>
          <w:szCs w:val="21"/>
        </w:rPr>
        <w:t>指本单位支付给本单位从业人员的按照法定工作时间提供正常工作的劳动报酬</w:t>
      </w:r>
      <w:r>
        <w:rPr>
          <w:rFonts w:hint="eastAsia" w:hAnsi="宋体"/>
          <w:color w:val="000000"/>
          <w:szCs w:val="21"/>
          <w:lang w:eastAsia="zh-CN"/>
        </w:rPr>
        <w:t>，</w:t>
      </w:r>
      <w:r>
        <w:rPr>
          <w:rFonts w:hint="eastAsia" w:hAnsi="宋体"/>
          <w:color w:val="000000"/>
          <w:szCs w:val="21"/>
        </w:rPr>
        <w:t>各单位给个人确定的底薪可作为基本工资</w:t>
      </w:r>
      <w:r>
        <w:rPr>
          <w:rFonts w:hint="eastAsia" w:hAnsi="宋体"/>
          <w:color w:val="000000"/>
          <w:szCs w:val="21"/>
          <w:lang w:eastAsia="zh-CN"/>
        </w:rPr>
        <w:t>；绩效工资</w:t>
      </w:r>
      <w:r>
        <w:rPr>
          <w:rFonts w:hint="eastAsia" w:hAnsi="宋体"/>
          <w:color w:val="000000"/>
          <w:szCs w:val="21"/>
        </w:rPr>
        <w:t>指根据本单位利润增长和工作业绩定期支付给本单位从业人员的</w:t>
      </w:r>
      <w:r>
        <w:rPr>
          <w:rFonts w:hint="eastAsia" w:hAnsi="宋体"/>
          <w:color w:val="000000"/>
          <w:szCs w:val="21"/>
          <w:lang w:eastAsia="zh-CN"/>
        </w:rPr>
        <w:t>奖励性工资</w:t>
      </w:r>
      <w:r>
        <w:rPr>
          <w:rFonts w:hint="eastAsia" w:hAnsi="宋体"/>
          <w:color w:val="000000"/>
          <w:szCs w:val="21"/>
        </w:rPr>
        <w:t>。</w:t>
      </w:r>
    </w:p>
    <w:p>
      <w:pPr>
        <w:pStyle w:val="15"/>
        <w:spacing w:line="360" w:lineRule="exact"/>
        <w:ind w:firstLine="420" w:firstLineChars="200"/>
        <w:rPr>
          <w:rFonts w:hAnsi="宋体"/>
          <w:color w:val="000000"/>
          <w:szCs w:val="21"/>
        </w:rPr>
      </w:pPr>
      <w:r>
        <w:rPr>
          <w:rFonts w:hint="eastAsia" w:hAnsi="宋体"/>
          <w:color w:val="000000"/>
          <w:szCs w:val="21"/>
        </w:rPr>
        <w:t>2.</w:t>
      </w:r>
      <w:r>
        <w:rPr>
          <w:rFonts w:hint="eastAsia" w:hAnsi="宋体"/>
          <w:color w:val="000000"/>
          <w:szCs w:val="21"/>
          <w:lang w:eastAsia="zh-CN"/>
        </w:rPr>
        <w:t>奖金，指</w:t>
      </w:r>
      <w:r>
        <w:rPr>
          <w:rFonts w:hint="eastAsia" w:hAnsi="宋体"/>
          <w:color w:val="000000"/>
          <w:szCs w:val="21"/>
        </w:rPr>
        <w:t>支付给本单位从业人员的超额劳动报酬和增收节支的劳动报酬。具体包括：</w:t>
      </w:r>
      <w:r>
        <w:rPr>
          <w:rFonts w:hint="eastAsia" w:hAnsi="宋体"/>
          <w:color w:val="000000"/>
          <w:szCs w:val="21"/>
          <w:lang w:eastAsia="zh-CN"/>
        </w:rPr>
        <w:t>年终奖、</w:t>
      </w:r>
      <w:r>
        <w:rPr>
          <w:rFonts w:hint="eastAsia" w:hAnsi="宋体"/>
          <w:color w:val="000000"/>
          <w:szCs w:val="21"/>
        </w:rPr>
        <w:t>全勤奖、生产奖、节约奖、劳动</w:t>
      </w:r>
      <w:r>
        <w:rPr>
          <w:rFonts w:hint="eastAsia" w:hAnsi="宋体" w:eastAsia="宋体" w:cs="Times New Roman"/>
          <w:color w:val="000000"/>
          <w:szCs w:val="21"/>
        </w:rPr>
        <w:t>竞赛奖</w:t>
      </w:r>
      <w:r>
        <w:rPr>
          <w:rFonts w:hint="eastAsia" w:hAnsi="宋体"/>
          <w:color w:val="000000"/>
          <w:szCs w:val="21"/>
        </w:rPr>
        <w:t>和其他名目的奖金以及某工作事项完成后的提成工资、年底双薪等。</w:t>
      </w:r>
    </w:p>
    <w:p>
      <w:pPr>
        <w:pStyle w:val="15"/>
        <w:spacing w:line="360" w:lineRule="exact"/>
        <w:ind w:firstLine="420" w:firstLineChars="200"/>
        <w:rPr>
          <w:rFonts w:hAnsi="宋体"/>
          <w:color w:val="000000"/>
          <w:szCs w:val="21"/>
        </w:rPr>
      </w:pPr>
      <w:r>
        <w:rPr>
          <w:rFonts w:hint="eastAsia" w:hAnsi="宋体"/>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pPr>
        <w:pStyle w:val="15"/>
        <w:spacing w:line="360" w:lineRule="exact"/>
        <w:ind w:firstLine="420" w:firstLineChars="200"/>
        <w:rPr>
          <w:rFonts w:hAnsi="宋体"/>
          <w:color w:val="000000"/>
          <w:szCs w:val="21"/>
        </w:rPr>
      </w:pPr>
      <w:r>
        <w:rPr>
          <w:rFonts w:hint="eastAsia" w:hAnsi="宋体"/>
          <w:color w:val="000000"/>
          <w:szCs w:val="21"/>
        </w:rPr>
        <w:t>4.其他工资，指单位发放给从业人员除工资、奖金、津贴和补贴外的劳动报酬。如补发上一年度的工资等。</w:t>
      </w:r>
    </w:p>
    <w:p>
      <w:pPr>
        <w:pStyle w:val="15"/>
        <w:spacing w:line="360" w:lineRule="exact"/>
        <w:ind w:firstLine="420" w:firstLineChars="200"/>
        <w:rPr>
          <w:rFonts w:hint="eastAsia" w:hAnsi="宋体"/>
          <w:color w:val="000000"/>
          <w:szCs w:val="21"/>
        </w:rPr>
      </w:pPr>
      <w:r>
        <w:rPr>
          <w:rFonts w:hint="eastAsia" w:ascii="黑体" w:hAnsi="宋体" w:eastAsia="黑体"/>
          <w:color w:val="000000"/>
          <w:szCs w:val="21"/>
        </w:rPr>
        <w:t xml:space="preserve">在岗职工工资总额  </w:t>
      </w:r>
      <w:r>
        <w:rPr>
          <w:rFonts w:hint="eastAsia" w:hAnsi="宋体"/>
          <w:color w:val="000000"/>
          <w:szCs w:val="21"/>
        </w:rPr>
        <w:t>指本单位直接支付给本单位全部在岗职工的劳动报酬总额。</w:t>
      </w:r>
    </w:p>
    <w:p>
      <w:pPr>
        <w:spacing w:line="360" w:lineRule="exact"/>
        <w:ind w:firstLine="420" w:firstLineChars="200"/>
        <w:rPr>
          <w:rFonts w:ascii="宋体" w:hAnsi="宋体"/>
          <w:color w:val="000000"/>
          <w:szCs w:val="21"/>
        </w:rPr>
      </w:pPr>
      <w:r>
        <w:rPr>
          <w:rFonts w:hint="eastAsia" w:ascii="黑体" w:eastAsia="黑体"/>
          <w:color w:val="000000"/>
          <w:szCs w:val="21"/>
        </w:rPr>
        <w:t xml:space="preserve">劳务派遣人员工资总额  </w:t>
      </w:r>
      <w:r>
        <w:rPr>
          <w:rFonts w:hint="eastAsia" w:ascii="宋体" w:hAnsi="宋体"/>
          <w:color w:val="000000"/>
          <w:szCs w:val="21"/>
        </w:rPr>
        <w:t>指实际用工单位（派遣人员的使用方）在一定时期内为使用劳务派遣人员而付出的劳动报酬总额</w:t>
      </w:r>
      <w:r>
        <w:rPr>
          <w:rFonts w:hint="eastAsia" w:ascii="宋体" w:hAnsi="宋体"/>
          <w:color w:val="000000"/>
          <w:szCs w:val="21"/>
          <w:lang w:eastAsia="zh-CN"/>
        </w:rPr>
        <w:t>，</w:t>
      </w:r>
      <w:r>
        <w:rPr>
          <w:rFonts w:hint="eastAsia" w:ascii="宋体" w:hAnsi="宋体"/>
          <w:color w:val="000000"/>
          <w:szCs w:val="21"/>
        </w:rPr>
        <w:t>但不包括因使用派遣人员而支付的管理费用和其他用工成本。</w:t>
      </w:r>
    </w:p>
    <w:p>
      <w:pPr>
        <w:pStyle w:val="15"/>
        <w:spacing w:line="360" w:lineRule="atLeast"/>
        <w:ind w:firstLine="420" w:firstLineChars="200"/>
        <w:rPr>
          <w:rFonts w:hint="eastAsia"/>
          <w:color w:val="000000"/>
          <w:szCs w:val="21"/>
        </w:rPr>
      </w:pPr>
      <w:r>
        <w:rPr>
          <w:rFonts w:hint="eastAsia" w:ascii="黑体" w:eastAsia="黑体"/>
          <w:color w:val="000000"/>
          <w:szCs w:val="21"/>
        </w:rPr>
        <w:t xml:space="preserve">其他从业人员工资总额  </w:t>
      </w:r>
      <w:r>
        <w:rPr>
          <w:rFonts w:hint="eastAsia"/>
          <w:color w:val="000000"/>
          <w:szCs w:val="21"/>
        </w:rPr>
        <w:t>指本单位直接支付给本单位其他从业人员的全部劳动报酬。</w:t>
      </w:r>
    </w:p>
    <w:p>
      <w:pPr>
        <w:pStyle w:val="15"/>
        <w:spacing w:line="360" w:lineRule="atLeast"/>
        <w:ind w:firstLine="420" w:firstLineChars="200"/>
        <w:rPr>
          <w:rFonts w:hint="eastAsia"/>
          <w:color w:val="000000"/>
          <w:szCs w:val="21"/>
        </w:rPr>
      </w:pPr>
      <w:r>
        <w:rPr>
          <w:rFonts w:hint="eastAsia" w:ascii="黑体" w:hAnsi="Courier New" w:eastAsia="黑体" w:cs="Times New Roman"/>
          <w:color w:val="000000"/>
          <w:szCs w:val="21"/>
        </w:rPr>
        <w:t>正常工资</w:t>
      </w:r>
      <w:r>
        <w:rPr>
          <w:rFonts w:hint="default"/>
          <w:color w:val="000000"/>
          <w:szCs w:val="21"/>
          <w:lang w:val="en"/>
        </w:rPr>
        <w:t xml:space="preserve">  </w:t>
      </w:r>
      <w:r>
        <w:rPr>
          <w:rFonts w:hint="eastAsia"/>
          <w:color w:val="000000"/>
          <w:szCs w:val="21"/>
        </w:rPr>
        <w:t>按月规律性发放的工资部分，包括月度基本工资和绩效工资，月度奖金、月度津贴和补贴等。</w:t>
      </w:r>
      <w:r>
        <w:rPr>
          <w:rFonts w:hint="eastAsia"/>
          <w:color w:val="000000"/>
          <w:szCs w:val="21"/>
          <w:lang w:eastAsia="zh-CN"/>
        </w:rPr>
        <w:t>本年内</w:t>
      </w:r>
      <w:r>
        <w:rPr>
          <w:rFonts w:hint="eastAsia"/>
          <w:color w:val="000000"/>
          <w:szCs w:val="21"/>
        </w:rPr>
        <w:t>因拖欠工资而造成的延迟或错月补发的正常工资应填在本项。</w:t>
      </w:r>
    </w:p>
    <w:p>
      <w:pPr>
        <w:pStyle w:val="15"/>
        <w:spacing w:line="360" w:lineRule="atLeast"/>
        <w:ind w:firstLine="420" w:firstLineChars="200"/>
        <w:rPr>
          <w:rFonts w:hint="eastAsia"/>
          <w:color w:val="000000"/>
          <w:szCs w:val="21"/>
        </w:rPr>
      </w:pPr>
      <w:r>
        <w:rPr>
          <w:rFonts w:hint="eastAsia"/>
          <w:color w:val="000000"/>
          <w:szCs w:val="21"/>
        </w:rPr>
        <w:tab/>
      </w:r>
      <w:r>
        <w:rPr>
          <w:rFonts w:hint="eastAsia" w:ascii="黑体" w:hAnsi="Courier New" w:eastAsia="黑体" w:cs="Times New Roman"/>
          <w:color w:val="000000"/>
          <w:szCs w:val="21"/>
        </w:rPr>
        <w:t>不定期奖金</w:t>
      </w:r>
      <w:r>
        <w:rPr>
          <w:rFonts w:hint="default"/>
          <w:color w:val="000000"/>
          <w:szCs w:val="21"/>
          <w:lang w:val="en"/>
        </w:rPr>
        <w:t xml:space="preserve">  </w:t>
      </w:r>
      <w:r>
        <w:rPr>
          <w:rFonts w:hint="eastAsia"/>
          <w:color w:val="000000"/>
          <w:szCs w:val="21"/>
        </w:rPr>
        <w:t>非按月度规律发放的奖金，包括年终一次性奖金或经过一段时间（季度或半年度等）积累而发放的奖金。</w:t>
      </w:r>
    </w:p>
    <w:p>
      <w:pPr>
        <w:pStyle w:val="15"/>
        <w:spacing w:line="360" w:lineRule="atLeast"/>
        <w:ind w:firstLine="420" w:firstLineChars="200"/>
        <w:rPr>
          <w:rFonts w:hint="eastAsia"/>
          <w:color w:val="000000"/>
          <w:szCs w:val="21"/>
        </w:rPr>
      </w:pPr>
      <w:r>
        <w:rPr>
          <w:rFonts w:hint="eastAsia"/>
          <w:color w:val="000000"/>
          <w:szCs w:val="21"/>
        </w:rPr>
        <w:tab/>
      </w:r>
      <w:r>
        <w:rPr>
          <w:rFonts w:hint="eastAsia" w:ascii="黑体" w:hAnsi="Courier New" w:eastAsia="黑体" w:cs="Times New Roman"/>
          <w:color w:val="000000"/>
          <w:szCs w:val="21"/>
        </w:rPr>
        <w:t>其他（工资）</w:t>
      </w:r>
      <w:r>
        <w:rPr>
          <w:rFonts w:hint="eastAsia" w:ascii="黑体" w:hAnsi="Courier New" w:eastAsia="黑体" w:cs="Times New Roman"/>
          <w:color w:val="000000"/>
          <w:szCs w:val="21"/>
          <w:lang w:val="en"/>
        </w:rPr>
        <w:t xml:space="preserve"> </w:t>
      </w:r>
      <w:r>
        <w:rPr>
          <w:rFonts w:hint="default"/>
          <w:color w:val="000000"/>
          <w:szCs w:val="21"/>
          <w:lang w:val="en"/>
        </w:rPr>
        <w:t xml:space="preserve"> </w:t>
      </w:r>
      <w:r>
        <w:rPr>
          <w:rFonts w:hint="eastAsia"/>
          <w:color w:val="000000"/>
          <w:szCs w:val="21"/>
          <w:lang w:eastAsia="zh-CN"/>
        </w:rPr>
        <w:t>指</w:t>
      </w:r>
      <w:r>
        <w:rPr>
          <w:rFonts w:hint="eastAsia"/>
          <w:color w:val="000000"/>
          <w:szCs w:val="21"/>
        </w:rPr>
        <w:t>正常工资和不定期奖金以</w:t>
      </w:r>
      <w:r>
        <w:rPr>
          <w:rFonts w:hint="eastAsia"/>
          <w:color w:val="000000"/>
          <w:szCs w:val="21"/>
          <w:lang w:eastAsia="zh-CN"/>
        </w:rPr>
        <w:t>外</w:t>
      </w:r>
      <w:r>
        <w:rPr>
          <w:rFonts w:hint="eastAsia"/>
          <w:color w:val="000000"/>
          <w:szCs w:val="21"/>
        </w:rPr>
        <w:t>的其他工资部分，包括因当年调整工资（或补贴）标准而补发的上年度工资或各种补贴等。</w:t>
      </w:r>
    </w:p>
    <w:p>
      <w:pPr>
        <w:pStyle w:val="15"/>
        <w:spacing w:line="360" w:lineRule="atLeast"/>
        <w:ind w:firstLine="420" w:firstLineChars="200"/>
        <w:rPr>
          <w:rFonts w:hAnsi="宋体"/>
          <w:color w:val="000000"/>
          <w:szCs w:val="21"/>
        </w:rPr>
      </w:pPr>
      <w:r>
        <w:rPr>
          <w:rFonts w:hint="eastAsia" w:ascii="黑体" w:eastAsia="黑体"/>
          <w:color w:val="000000"/>
        </w:rPr>
        <w:t>从业人员平均工资</w:t>
      </w:r>
      <w:r>
        <w:rPr>
          <w:rFonts w:hint="eastAsia"/>
          <w:color w:val="000000"/>
        </w:rPr>
        <w:t xml:space="preserve">  </w:t>
      </w:r>
      <w:r>
        <w:rPr>
          <w:rFonts w:hint="eastAsia" w:hAnsi="宋体"/>
          <w:color w:val="000000"/>
        </w:rPr>
        <w:t>指本单位</w:t>
      </w:r>
      <w:r>
        <w:rPr>
          <w:rFonts w:hint="eastAsia" w:hAnsi="宋体"/>
          <w:color w:val="000000"/>
          <w:szCs w:val="21"/>
        </w:rPr>
        <w:t>从业人员平均每人所得的工资额。计算公式为：</w:t>
      </w:r>
    </w:p>
    <w:p>
      <w:pPr>
        <w:pStyle w:val="15"/>
        <w:spacing w:line="360" w:lineRule="atLeast"/>
        <w:ind w:firstLine="420" w:firstLineChars="200"/>
        <w:rPr>
          <w:rFonts w:hint="eastAsia" w:hAnsi="宋体"/>
          <w:color w:val="000000"/>
          <w:szCs w:val="21"/>
        </w:rPr>
      </w:pPr>
      <w:r>
        <w:rPr>
          <w:rFonts w:hint="eastAsia" w:hAnsi="宋体"/>
          <w:color w:val="000000"/>
          <w:szCs w:val="21"/>
        </w:rPr>
        <w:t>从业人员平均工资 = 从业人员工资总额/从业人员平均人数</w:t>
      </w:r>
    </w:p>
    <w:p>
      <w:pPr>
        <w:pStyle w:val="15"/>
        <w:spacing w:line="360" w:lineRule="atLeast"/>
        <w:ind w:firstLine="420" w:firstLineChars="200"/>
        <w:rPr>
          <w:rFonts w:hAnsi="宋体" w:cs="宋体"/>
          <w:bCs/>
          <w:color w:val="000000"/>
          <w:kern w:val="0"/>
          <w:szCs w:val="21"/>
        </w:rPr>
      </w:pPr>
      <w:r>
        <w:rPr>
          <w:rFonts w:hint="eastAsia" w:ascii="黑体" w:hAnsi="宋体" w:eastAsia="黑体" w:cs="宋体"/>
          <w:bCs/>
          <w:color w:val="000000"/>
          <w:kern w:val="0"/>
          <w:szCs w:val="21"/>
        </w:rPr>
        <w:t>在岗职工平均工资</w:t>
      </w:r>
      <w:r>
        <w:rPr>
          <w:rFonts w:hint="eastAsia" w:hAnsi="宋体" w:cs="宋体"/>
          <w:bCs/>
          <w:color w:val="000000"/>
          <w:kern w:val="0"/>
          <w:szCs w:val="21"/>
        </w:rPr>
        <w:t xml:space="preserve">  指本单位在岗职工</w:t>
      </w:r>
      <w:r>
        <w:rPr>
          <w:rFonts w:hint="eastAsia" w:hAnsi="宋体"/>
          <w:color w:val="000000"/>
          <w:szCs w:val="21"/>
        </w:rPr>
        <w:t>平均每人所得的工资额</w:t>
      </w:r>
      <w:r>
        <w:rPr>
          <w:rFonts w:hint="eastAsia" w:hAnsi="宋体" w:cs="宋体"/>
          <w:bCs/>
          <w:color w:val="000000"/>
          <w:kern w:val="0"/>
          <w:szCs w:val="21"/>
        </w:rPr>
        <w:t>。计算公式为：</w:t>
      </w:r>
    </w:p>
    <w:p>
      <w:pPr>
        <w:pStyle w:val="15"/>
        <w:spacing w:line="360" w:lineRule="atLeast"/>
        <w:ind w:firstLine="420" w:firstLineChars="200"/>
        <w:rPr>
          <w:rFonts w:hAnsi="宋体"/>
          <w:color w:val="000000"/>
          <w:szCs w:val="21"/>
        </w:rPr>
      </w:pPr>
      <w:r>
        <w:rPr>
          <w:rFonts w:hint="eastAsia" w:hAnsi="宋体"/>
          <w:color w:val="000000"/>
          <w:szCs w:val="21"/>
        </w:rPr>
        <w:t>在岗职工平均工资 = 在岗职工工资总额/在岗职工平均人数</w:t>
      </w:r>
    </w:p>
    <w:p>
      <w:pPr>
        <w:pStyle w:val="15"/>
        <w:spacing w:line="360" w:lineRule="atLeast"/>
        <w:ind w:firstLine="420" w:firstLineChars="200"/>
        <w:rPr>
          <w:rFonts w:hAnsi="宋体"/>
          <w:color w:val="000000"/>
          <w:szCs w:val="21"/>
        </w:rPr>
      </w:pPr>
      <w:r>
        <w:rPr>
          <w:rFonts w:hint="eastAsia" w:ascii="黑体" w:hAnsi="宋体" w:eastAsia="黑体"/>
          <w:color w:val="000000"/>
          <w:szCs w:val="21"/>
        </w:rPr>
        <w:t xml:space="preserve">劳务派遣人员平均工资  </w:t>
      </w:r>
      <w:r>
        <w:rPr>
          <w:rFonts w:hint="eastAsia" w:hAnsi="宋体"/>
          <w:color w:val="000000"/>
          <w:szCs w:val="21"/>
        </w:rPr>
        <w:t>指本单位劳务派遣人员平均每人所得的工资额。计算公式为：</w:t>
      </w:r>
    </w:p>
    <w:p>
      <w:pPr>
        <w:pStyle w:val="15"/>
        <w:spacing w:line="360" w:lineRule="atLeast"/>
        <w:ind w:firstLine="420" w:firstLineChars="200"/>
        <w:rPr>
          <w:rFonts w:hAnsi="宋体"/>
          <w:color w:val="000000"/>
          <w:szCs w:val="21"/>
        </w:rPr>
      </w:pPr>
      <w:r>
        <w:rPr>
          <w:rFonts w:hint="eastAsia" w:hAnsi="宋体"/>
          <w:color w:val="000000"/>
          <w:szCs w:val="21"/>
        </w:rPr>
        <w:t>劳务派遣人员平均工资 = 劳务派遣人员工资总额/劳务派遣人员平均人数</w:t>
      </w:r>
    </w:p>
    <w:p>
      <w:pPr>
        <w:pStyle w:val="15"/>
        <w:spacing w:line="360" w:lineRule="exact"/>
        <w:ind w:firstLine="420" w:firstLineChars="200"/>
        <w:rPr>
          <w:rFonts w:hAnsi="宋体"/>
          <w:color w:val="000000"/>
          <w:szCs w:val="21"/>
        </w:rPr>
      </w:pPr>
      <w:r>
        <w:rPr>
          <w:rFonts w:hint="eastAsia" w:ascii="黑体" w:hAnsi="宋体" w:eastAsia="黑体"/>
          <w:color w:val="000000"/>
          <w:szCs w:val="21"/>
        </w:rPr>
        <w:t xml:space="preserve">其他从业人员平均工资  </w:t>
      </w:r>
      <w:r>
        <w:rPr>
          <w:rFonts w:hint="eastAsia" w:hAnsi="宋体"/>
          <w:color w:val="000000"/>
          <w:szCs w:val="21"/>
        </w:rPr>
        <w:t>指本单位其他从业人员平均每人所得的工资额。计算公式为：</w:t>
      </w:r>
    </w:p>
    <w:p>
      <w:pPr>
        <w:pStyle w:val="15"/>
        <w:spacing w:line="360" w:lineRule="exact"/>
        <w:ind w:firstLine="420" w:firstLineChars="200"/>
        <w:rPr>
          <w:rFonts w:hint="eastAsia" w:hAnsi="宋体"/>
          <w:color w:val="000000"/>
          <w:szCs w:val="21"/>
        </w:rPr>
      </w:pPr>
      <w:r>
        <w:rPr>
          <w:rFonts w:hint="eastAsia" w:hAnsi="宋体"/>
          <w:color w:val="000000"/>
          <w:szCs w:val="21"/>
        </w:rPr>
        <w:t xml:space="preserve">其他从业人员平均工资 = 其他从业人员工资总额/其他从业人员平均人数    </w:t>
      </w:r>
    </w:p>
    <w:p>
      <w:pPr>
        <w:pStyle w:val="15"/>
        <w:spacing w:line="360" w:lineRule="exact"/>
        <w:ind w:firstLine="420" w:firstLineChars="200"/>
        <w:rPr>
          <w:rFonts w:hint="eastAsia" w:hAnsi="宋体"/>
          <w:color w:val="000000"/>
          <w:szCs w:val="21"/>
        </w:rPr>
      </w:pPr>
    </w:p>
    <w:p>
      <w:pPr>
        <w:keepNext w:val="0"/>
        <w:keepLines w:val="0"/>
        <w:widowControl w:val="0"/>
        <w:suppressLineNumbers w:val="0"/>
        <w:spacing w:before="0" w:beforeAutospacing="0" w:after="0" w:afterAutospacing="0" w:line="360" w:lineRule="exact"/>
        <w:ind w:left="0" w:right="0" w:firstLine="562" w:firstLineChars="200"/>
        <w:jc w:val="both"/>
        <w:rPr>
          <w:rFonts w:hint="eastAsia" w:ascii="宋体" w:hAnsi="宋体" w:eastAsia="宋体" w:cs="宋体"/>
          <w:b/>
          <w:color w:val="000000"/>
          <w:kern w:val="2"/>
          <w:sz w:val="28"/>
          <w:szCs w:val="28"/>
          <w:lang w:bidi="ar"/>
        </w:rPr>
      </w:pPr>
      <w:r>
        <w:rPr>
          <w:rFonts w:hint="eastAsia" w:ascii="宋体" w:hAnsi="宋体" w:eastAsia="宋体" w:cs="宋体"/>
          <w:b/>
          <w:color w:val="000000"/>
          <w:kern w:val="2"/>
          <w:sz w:val="28"/>
          <w:szCs w:val="28"/>
          <w:lang w:val="en-US" w:eastAsia="zh-CN" w:bidi="ar"/>
        </w:rPr>
        <w:t>填报要求</w:t>
      </w:r>
    </w:p>
    <w:p>
      <w:pPr>
        <w:keepNext w:val="0"/>
        <w:keepLines w:val="0"/>
        <w:widowControl w:val="0"/>
        <w:suppressLineNumbers w:val="0"/>
        <w:suppressAutoHyphens/>
        <w:spacing w:before="0" w:beforeAutospacing="0" w:after="0" w:afterAutospacing="0" w:line="360" w:lineRule="exact"/>
        <w:ind w:left="0" w:right="0" w:firstLine="421" w:firstLineChars="200"/>
        <w:jc w:val="both"/>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（一）填报规则</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1.统计报表中的各项指标，各单位均要填报，各项指标数据一律取整数，不保留小数。</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2.填报统计报表时，要注意指标的计量单位，不得自行更改计量单位。统计表内所有价值量指标均以人民币计算，凡以外币形式计算的价值量指标，均以报告期末的汇率折合成人民币填报。</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3.当年数据在报送截止日期前可以更改，历史数据不得更改。</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（二）基层报送方式</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宋体"/>
          <w:bCs/>
          <w:color w:val="000000"/>
          <w:kern w:val="2"/>
          <w:sz w:val="21"/>
          <w:szCs w:val="21"/>
          <w:lang w:val="en-US" w:eastAsia="zh-CN" w:bidi="ar"/>
        </w:rPr>
        <w:t>调查单位在填报从业人员及工资总额（102-1表、202-1表）时，在“统计云联网直报平台”报送数据，网上报送数据后要打印存档。</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cs="宋体"/>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.中央、省、市属各主管单位按所在地统计局的时间要求网上报送数据，并督促下属单位及时报送年报和定期报表等统计资料。</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cs="宋体"/>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.没有网络直报条件的，按法人办公所在地统计局时间的要求通过其他形式报送，由统计机构代录至平台。</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lang w:val="en-US" w:eastAsia="zh-CN"/>
        </w:rPr>
      </w:pPr>
      <w:r>
        <w:rPr>
          <w:rFonts w:hint="eastAsia" w:ascii="宋体" w:hAnsi="宋体" w:cs="宋体"/>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.报表说明：主要是本单位情况及与上年比较有哪些变化，如单位个数、在岗职工人数与工资总额，平均工资增长幅度等情况及原因。</w:t>
      </w:r>
    </w:p>
    <w:p>
      <w:pPr>
        <w:pStyle w:val="15"/>
        <w:spacing w:line="360" w:lineRule="exact"/>
        <w:ind w:firstLine="420" w:firstLineChars="200"/>
        <w:rPr>
          <w:rFonts w:hint="eastAsia" w:hAnsi="宋体"/>
          <w:color w:val="000000"/>
          <w:szCs w:val="21"/>
        </w:rPr>
      </w:pPr>
    </w:p>
    <w:p>
      <w:pPr>
        <w:tabs>
          <w:tab w:val="left" w:pos="8280"/>
        </w:tabs>
        <w:snapToGrid w:val="0"/>
        <w:spacing w:before="480" w:beforeLines="200" w:after="240" w:afterLines="100"/>
        <w:jc w:val="center"/>
        <w:outlineLvl w:val="1"/>
        <w:rPr>
          <w:rFonts w:hint="eastAsia" w:ascii="黑体" w:hAnsi="黑体" w:eastAsia="黑体" w:cs="宋体"/>
          <w:bCs/>
          <w:sz w:val="28"/>
          <w:szCs w:val="28"/>
        </w:rPr>
      </w:pPr>
      <w:r>
        <w:rPr>
          <w:rFonts w:hint="eastAsia" w:asciiTheme="minorEastAsia" w:hAnsiTheme="minorEastAsia" w:eastAsiaTheme="minorEastAsia" w:cstheme="minorEastAsia"/>
          <w:bCs w:val="0"/>
          <w:sz w:val="32"/>
          <w:szCs w:val="32"/>
          <w:lang w:eastAsia="zh-CN"/>
        </w:rPr>
        <w:t>3</w:t>
      </w:r>
      <w:r>
        <w:rPr>
          <w:rFonts w:hint="eastAsia" w:asciiTheme="minorEastAsia" w:hAnsiTheme="minorEastAsia" w:eastAsiaTheme="minorEastAsia" w:cstheme="minorEastAsia"/>
          <w:bCs w:val="0"/>
          <w:sz w:val="32"/>
          <w:szCs w:val="32"/>
          <w:lang w:val="en-US" w:eastAsia="zh-CN"/>
        </w:rPr>
        <w:t>.</w:t>
      </w:r>
      <w:r>
        <w:rPr>
          <w:rFonts w:hint="eastAsia" w:asciiTheme="minorEastAsia" w:hAnsiTheme="minorEastAsia" w:eastAsiaTheme="minorEastAsia" w:cstheme="minorEastAsia"/>
          <w:bCs w:val="0"/>
          <w:sz w:val="32"/>
          <w:szCs w:val="32"/>
        </w:rPr>
        <w:t>财务状况</w:t>
      </w:r>
    </w:p>
    <w:p>
      <w:pPr>
        <w:spacing w:line="360" w:lineRule="exact"/>
        <w:ind w:firstLine="420" w:firstLineChars="200"/>
        <w:rPr>
          <w:rFonts w:hint="eastAsia" w:ascii="仿宋_GB2312" w:hAnsi="宋体" w:cs="宋体"/>
        </w:rPr>
      </w:pPr>
      <w:r>
        <w:rPr>
          <w:rFonts w:hint="eastAsia" w:ascii="黑体" w:hAnsi="宋体" w:eastAsia="黑体" w:cs="黑体"/>
        </w:rPr>
        <w:t>存货</w:t>
      </w:r>
      <w:r>
        <w:rPr>
          <w:rFonts w:ascii="仿宋_GB2312" w:hAnsi="宋体" w:cs="仿宋_GB2312"/>
        </w:rPr>
        <w:t xml:space="preserve">  </w:t>
      </w:r>
      <w:r>
        <w:rPr>
          <w:rFonts w:hint="eastAsia" w:ascii="仿宋_GB2312" w:hAnsi="宋体" w:cs="宋体"/>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pPr>
        <w:spacing w:line="360" w:lineRule="exact"/>
        <w:ind w:firstLine="420" w:firstLineChars="200"/>
        <w:rPr>
          <w:rFonts w:hint="eastAsia" w:ascii="仿宋_GB2312" w:hAnsi="宋体" w:cs="宋体"/>
        </w:rPr>
      </w:pPr>
      <w:r>
        <w:rPr>
          <w:rFonts w:hint="eastAsia" w:ascii="黑体" w:hAnsi="宋体" w:eastAsia="黑体" w:cs="黑体"/>
        </w:rPr>
        <w:t xml:space="preserve">流动资产合计  </w:t>
      </w:r>
      <w:r>
        <w:rPr>
          <w:rFonts w:hint="eastAsia" w:ascii="仿宋_GB2312" w:hAnsi="宋体" w:cs="宋体"/>
        </w:rPr>
        <w:t>资产满足以下条件之一应归为流动资产：（1）预计在一个正常营业周期中变现、出售或耗用，主要包括存货、应收账款等；（2）主要为交易目的而持有；（3）预计在资产负债表日起一年内（含一年）变现；（4）自资产负债表日起一年内，交换其他资产或清偿负债的能力不受限制的现金或现金等价物。包括货币资金、应收票据、应收账款、存货等项目。根据会计“资产负债表”中“流动资产合计”项目的期末余额数填报。</w:t>
      </w:r>
    </w:p>
    <w:p>
      <w:pPr>
        <w:snapToGrid w:val="0"/>
        <w:spacing w:line="360" w:lineRule="exact"/>
        <w:ind w:firstLine="420" w:firstLineChars="200"/>
        <w:rPr>
          <w:rFonts w:hint="eastAsia" w:ascii="黑体" w:hAnsi="宋体" w:eastAsia="黑体" w:cs="黑体"/>
        </w:rPr>
      </w:pPr>
      <w:r>
        <w:rPr>
          <w:rFonts w:hint="eastAsia" w:ascii="黑体" w:hAnsi="宋体" w:eastAsia="黑体" w:cs="黑体"/>
        </w:rPr>
        <w:t>应收账款</w:t>
      </w:r>
      <w:r>
        <w:rPr>
          <w:rFonts w:ascii="仿宋_GB2312" w:hAnsi="宋体" w:eastAsia="仿宋_GB2312" w:cs="仿宋_GB2312"/>
        </w:rPr>
        <w:t xml:space="preserve">  </w:t>
      </w:r>
      <w:r>
        <w:rPr>
          <w:rFonts w:hint="eastAsia" w:ascii="宋体" w:hAnsi="宋体" w:cs="宋体"/>
        </w:rPr>
        <w:t>指资产负债表日以摊余成本计量的，企业因销售商品、提供服务等经营活动应收取的款项。根据会计“资产负债表”中“应收账款”项目的期末余额数填报。</w:t>
      </w:r>
    </w:p>
    <w:p>
      <w:pPr>
        <w:pStyle w:val="17"/>
        <w:spacing w:line="360" w:lineRule="exact"/>
        <w:ind w:firstLine="420" w:firstLineChars="200"/>
        <w:rPr>
          <w:rFonts w:ascii="仿宋_GB2312" w:hAnsi="宋体" w:cs="宋体"/>
          <w:szCs w:val="22"/>
        </w:rPr>
      </w:pPr>
      <w:r>
        <w:rPr>
          <w:rFonts w:hint="eastAsia" w:ascii="黑体" w:hAnsi="宋体" w:eastAsia="黑体" w:cs="黑体"/>
          <w:szCs w:val="22"/>
        </w:rPr>
        <w:t>固定资产原价</w:t>
      </w:r>
      <w:r>
        <w:rPr>
          <w:rFonts w:ascii="仿宋_GB2312" w:hAnsi="宋体" w:cs="宋体"/>
        </w:rPr>
        <w:t xml:space="preserve">  </w:t>
      </w:r>
      <w:r>
        <w:rPr>
          <w:rFonts w:hint="eastAsia" w:ascii="仿宋_GB2312" w:hAnsi="宋体" w:cs="宋体"/>
          <w:szCs w:val="22"/>
        </w:rPr>
        <w:t>指固定资产的成本，包括企业在购置、自行建造、安装、改建、扩建、技术改造某项固定资产时所发生的全部支出总额。根据会计“固定资产”科目的期末借方余额填报。</w:t>
      </w:r>
    </w:p>
    <w:p>
      <w:pPr>
        <w:widowControl/>
        <w:spacing w:line="360" w:lineRule="exact"/>
        <w:ind w:firstLine="420" w:firstLineChars="200"/>
        <w:rPr>
          <w:rFonts w:ascii="宋体" w:hAnsi="宋体"/>
          <w:szCs w:val="21"/>
        </w:rPr>
      </w:pPr>
      <w:r>
        <w:rPr>
          <w:rFonts w:hint="eastAsia" w:ascii="黑体" w:hAnsi="宋体" w:eastAsia="黑体" w:cs="黑体"/>
        </w:rPr>
        <w:t>房屋和构筑物　</w:t>
      </w:r>
      <w:r>
        <w:rPr>
          <w:rFonts w:hint="eastAsia" w:ascii="宋体" w:hAnsi="宋体"/>
          <w:szCs w:val="21"/>
        </w:rPr>
        <w:t>指产权属于本企业的所有房屋和构筑物，包括办公楼、仓库、宿舍等。根据会计核算中“固定资产原价”有关二级科目的期末余额数归并填报。</w:t>
      </w:r>
    </w:p>
    <w:p>
      <w:pPr>
        <w:widowControl/>
        <w:spacing w:line="360" w:lineRule="exact"/>
        <w:ind w:firstLine="420" w:firstLineChars="200"/>
        <w:rPr>
          <w:rFonts w:ascii="宋体" w:hAnsi="宋体" w:cs="宋体"/>
        </w:rPr>
      </w:pPr>
      <w:r>
        <w:rPr>
          <w:rFonts w:hint="eastAsia" w:ascii="黑体" w:hAnsi="宋体" w:eastAsia="黑体" w:cs="黑体"/>
        </w:rPr>
        <w:t>机器设备　</w:t>
      </w:r>
      <w:r>
        <w:rPr>
          <w:rFonts w:hint="eastAsia" w:ascii="宋体" w:hAnsi="宋体" w:cs="宋体"/>
        </w:rPr>
        <w:t>指为生产商品、提供劳务、出租或经营管理持有的各种机器、设备。根据会计核算中“固定资产原价”有关二级科目的期末余额数归并填报。</w:t>
      </w:r>
    </w:p>
    <w:p>
      <w:pPr>
        <w:widowControl/>
        <w:spacing w:line="360" w:lineRule="exact"/>
        <w:ind w:firstLine="420" w:firstLineChars="200"/>
        <w:rPr>
          <w:rFonts w:ascii="宋体" w:hAnsi="宋体"/>
        </w:rPr>
      </w:pPr>
      <w:r>
        <w:rPr>
          <w:rFonts w:hint="eastAsia" w:ascii="黑体" w:hAnsi="宋体" w:eastAsia="黑体"/>
        </w:rPr>
        <w:t>累计折旧</w:t>
      </w:r>
      <w:r>
        <w:rPr>
          <w:rFonts w:hint="eastAsia" w:ascii="宋体" w:hAnsi="宋体"/>
        </w:rPr>
        <w:t xml:space="preserve">  指企业在报告期末提取的历年固定资产折旧累计数。包括房屋、建筑物和机器设备等的折旧费。根据会计“累计折旧”科目的期末贷方余额填报。</w:t>
      </w:r>
    </w:p>
    <w:p>
      <w:pPr>
        <w:spacing w:line="360" w:lineRule="exact"/>
        <w:ind w:firstLine="420" w:firstLineChars="200"/>
        <w:rPr>
          <w:rFonts w:ascii="仿宋_GB2312" w:hAnsi="宋体" w:eastAsia="仿宋_GB2312"/>
        </w:rPr>
      </w:pPr>
      <w:r>
        <w:rPr>
          <w:rFonts w:hint="eastAsia" w:ascii="黑体" w:hAnsi="宋体" w:eastAsia="黑体" w:cs="黑体"/>
        </w:rPr>
        <w:t>本年折旧</w:t>
      </w:r>
      <w:r>
        <w:rPr>
          <w:rFonts w:ascii="仿宋_GB2312" w:hAnsi="宋体" w:cs="宋体"/>
        </w:rPr>
        <w:t xml:space="preserve">  </w:t>
      </w:r>
      <w:r>
        <w:rPr>
          <w:rFonts w:hint="eastAsia" w:ascii="仿宋_GB2312" w:hAnsi="宋体" w:cs="宋体"/>
        </w:rPr>
        <w:t>指企业在报告期内提取的固定资产折旧合计数。可根据会计“累计折旧”科目的本期贷方累计发生额填报；或者，可根据会计“财务状况变动表”中“固定资产折旧</w:t>
      </w:r>
      <w:r>
        <w:rPr>
          <w:rFonts w:hint="eastAsia" w:cs="宋体"/>
        </w:rPr>
        <w:t>”项的数值填报。若企业执行</w:t>
      </w:r>
      <w:r>
        <w:t>2001</w:t>
      </w:r>
      <w:r>
        <w:rPr>
          <w:rFonts w:hint="eastAsia" w:cs="宋体"/>
        </w:rPr>
        <w:t>年《企业会计制度》，可以根据会计核算中《资产减值准备、投资及固定资产情况表》内“当年计提的固定资产折旧总额”项本年增加数填报。</w:t>
      </w:r>
    </w:p>
    <w:p>
      <w:pPr>
        <w:spacing w:line="360" w:lineRule="exact"/>
        <w:ind w:firstLine="420" w:firstLineChars="200"/>
        <w:rPr>
          <w:rFonts w:cs="宋体"/>
        </w:rPr>
      </w:pPr>
      <w:r>
        <w:rPr>
          <w:rFonts w:hint="eastAsia" w:ascii="黑体" w:hAnsi="宋体" w:eastAsia="黑体" w:cs="黑体"/>
        </w:rPr>
        <w:t>无形资产</w:t>
      </w:r>
      <w:r>
        <w:rPr>
          <w:rFonts w:ascii="仿宋_GB2312" w:hAnsi="宋体" w:cs="宋体"/>
        </w:rPr>
        <w:t xml:space="preserve">  </w:t>
      </w:r>
      <w:r>
        <w:rPr>
          <w:rFonts w:hint="eastAsia" w:ascii="仿宋_GB2312" w:hAnsi="宋体" w:cs="宋体"/>
        </w:rPr>
        <w:t>指调查单位</w:t>
      </w:r>
      <w:r>
        <w:rPr>
          <w:rFonts w:ascii="仿宋_GB2312" w:hAnsi="宋体" w:cs="宋体"/>
        </w:rPr>
        <w:t>拥有或者控制的没有实物形态的可辨认非货币性资产，无形资产通常包括专利权、</w:t>
      </w:r>
      <w:r>
        <w:rPr>
          <w:rFonts w:hint="eastAsia" w:ascii="仿宋_GB2312" w:hAnsi="宋体" w:cs="宋体"/>
        </w:rPr>
        <w:t>非</w:t>
      </w:r>
      <w:r>
        <w:rPr>
          <w:rFonts w:ascii="仿宋_GB2312" w:hAnsi="宋体" w:cs="宋体"/>
        </w:rPr>
        <w:t>专利技术、商标权、著作权、</w:t>
      </w:r>
      <w:r>
        <w:rPr>
          <w:rFonts w:hint="eastAsia" w:ascii="仿宋_GB2312" w:hAnsi="宋体" w:cs="宋体"/>
        </w:rPr>
        <w:t>特许权、土地使用权</w:t>
      </w:r>
      <w:r>
        <w:rPr>
          <w:rFonts w:ascii="仿宋_GB2312" w:hAnsi="宋体" w:cs="宋体"/>
        </w:rPr>
        <w:t>等。根据会计</w:t>
      </w:r>
      <w:r>
        <w:rPr>
          <w:rFonts w:hint="eastAsia" w:ascii="仿宋_GB2312" w:hAnsi="宋体" w:cs="宋体"/>
        </w:rPr>
        <w:t>“</w:t>
      </w:r>
      <w:r>
        <w:rPr>
          <w:rFonts w:ascii="仿宋_GB2312" w:hAnsi="宋体" w:cs="宋体"/>
        </w:rPr>
        <w:t>资产负债表</w:t>
      </w:r>
      <w:r>
        <w:rPr>
          <w:rFonts w:hint="eastAsia" w:ascii="仿宋_GB2312" w:hAnsi="宋体" w:cs="宋体"/>
        </w:rPr>
        <w:t>”中</w:t>
      </w:r>
      <w:r>
        <w:rPr>
          <w:rFonts w:ascii="仿宋_GB2312" w:hAnsi="宋体" w:cs="宋体"/>
        </w:rPr>
        <w:t>“</w:t>
      </w:r>
      <w:r>
        <w:rPr>
          <w:rFonts w:hint="eastAsia" w:ascii="仿宋_GB2312" w:hAnsi="宋体" w:cs="宋体"/>
        </w:rPr>
        <w:t>无形资产</w:t>
      </w:r>
      <w:r>
        <w:rPr>
          <w:rFonts w:ascii="仿宋_GB2312" w:hAnsi="宋体" w:cs="宋体"/>
        </w:rPr>
        <w:t>”</w:t>
      </w:r>
      <w:r>
        <w:rPr>
          <w:rFonts w:hint="eastAsia" w:ascii="仿宋_GB2312" w:hAnsi="宋体" w:cs="宋体"/>
        </w:rPr>
        <w:t>项目</w:t>
      </w:r>
      <w:r>
        <w:rPr>
          <w:rFonts w:ascii="仿宋_GB2312" w:hAnsi="宋体" w:cs="宋体"/>
        </w:rPr>
        <w:t>的期末余额填报</w:t>
      </w:r>
      <w:r>
        <w:rPr>
          <w:rFonts w:hint="eastAsia" w:cs="宋体"/>
        </w:rPr>
        <w:t>。</w:t>
      </w:r>
    </w:p>
    <w:p>
      <w:pPr>
        <w:spacing w:line="360" w:lineRule="exact"/>
        <w:ind w:firstLine="420" w:firstLineChars="200"/>
        <w:rPr>
          <w:rFonts w:hint="eastAsia" w:ascii="黑体" w:hAnsi="宋体" w:eastAsia="黑体" w:cs="黑体"/>
        </w:rPr>
      </w:pPr>
      <w:r>
        <w:rPr>
          <w:rFonts w:hint="eastAsia" w:ascii="黑体" w:hAnsi="宋体" w:eastAsia="黑体" w:cs="黑体"/>
        </w:rPr>
        <w:t>土地使用权</w:t>
      </w:r>
      <w:r>
        <w:rPr>
          <w:rFonts w:ascii="仿宋_GB2312" w:hAnsi="宋体" w:cs="宋体"/>
        </w:rPr>
        <w:t xml:space="preserve">  </w:t>
      </w:r>
      <w:r>
        <w:rPr>
          <w:rFonts w:hint="eastAsia" w:ascii="仿宋_GB2312" w:hAnsi="宋体" w:cs="宋体"/>
        </w:rPr>
        <w:t>指国家</w:t>
      </w:r>
      <w:r>
        <w:rPr>
          <w:rFonts w:ascii="仿宋_GB2312" w:hAnsi="宋体" w:cs="宋体"/>
        </w:rPr>
        <w:t>准许某企业在一定</w:t>
      </w:r>
      <w:r>
        <w:rPr>
          <w:rFonts w:hint="eastAsia" w:ascii="仿宋_GB2312" w:hAnsi="宋体" w:cs="宋体"/>
        </w:rPr>
        <w:t>期间</w:t>
      </w:r>
      <w:r>
        <w:rPr>
          <w:rFonts w:ascii="仿宋_GB2312" w:hAnsi="宋体" w:cs="宋体"/>
        </w:rPr>
        <w:t>内对国有土地享有开发、利用、经营的权利。根据会计“</w:t>
      </w:r>
      <w:r>
        <w:rPr>
          <w:rFonts w:hint="eastAsia" w:ascii="仿宋_GB2312" w:hAnsi="宋体" w:cs="宋体"/>
        </w:rPr>
        <w:t>无形资产</w:t>
      </w:r>
      <w:r>
        <w:rPr>
          <w:rFonts w:ascii="仿宋_GB2312" w:hAnsi="宋体" w:cs="宋体"/>
        </w:rPr>
        <w:t>”</w:t>
      </w:r>
      <w:r>
        <w:rPr>
          <w:rFonts w:hint="eastAsia" w:ascii="仿宋_GB2312" w:hAnsi="宋体" w:cs="宋体"/>
        </w:rPr>
        <w:t>科目</w:t>
      </w:r>
      <w:r>
        <w:rPr>
          <w:rFonts w:ascii="仿宋_GB2312" w:hAnsi="宋体" w:cs="宋体"/>
        </w:rPr>
        <w:t>计算填报。</w:t>
      </w:r>
    </w:p>
    <w:p>
      <w:pPr>
        <w:spacing w:line="360" w:lineRule="exact"/>
        <w:ind w:firstLine="420" w:firstLineChars="200"/>
        <w:rPr>
          <w:rFonts w:ascii="仿宋_GB2312" w:hAnsi="宋体" w:cs="宋体"/>
        </w:rPr>
      </w:pPr>
      <w:r>
        <w:rPr>
          <w:rFonts w:hint="eastAsia" w:ascii="黑体" w:hAnsi="宋体" w:eastAsia="黑体" w:cs="黑体"/>
        </w:rPr>
        <w:t>资产总计</w:t>
      </w:r>
      <w:r>
        <w:rPr>
          <w:rFonts w:ascii="仿宋_GB2312" w:hAnsi="宋体" w:cs="仿宋_GB2312"/>
        </w:rPr>
        <w:t xml:space="preserve">  </w:t>
      </w:r>
      <w:r>
        <w:rPr>
          <w:rFonts w:hint="eastAsia" w:ascii="仿宋_GB2312" w:hAnsi="宋体" w:cs="宋体"/>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spacing w:line="360" w:lineRule="exact"/>
        <w:ind w:firstLine="420" w:firstLineChars="200"/>
        <w:rPr>
          <w:rFonts w:ascii="仿宋_GB2312" w:hAnsi="宋体" w:cs="宋体"/>
          <w:spacing w:val="4"/>
        </w:rPr>
      </w:pPr>
      <w:r>
        <w:rPr>
          <w:rFonts w:hint="eastAsia" w:ascii="黑体" w:hAnsi="宋体" w:eastAsia="黑体" w:cs="黑体"/>
        </w:rPr>
        <w:t>负债合计</w:t>
      </w:r>
      <w:r>
        <w:rPr>
          <w:rFonts w:ascii="仿宋_GB2312" w:hAnsi="宋体" w:cs="仿宋_GB2312"/>
        </w:rPr>
        <w:t xml:space="preserve">  </w:t>
      </w:r>
      <w:r>
        <w:rPr>
          <w:rFonts w:hint="eastAsia" w:ascii="仿宋_GB2312" w:hAnsi="宋体" w:cs="宋体"/>
          <w:spacing w:val="4"/>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pPr>
        <w:spacing w:line="360" w:lineRule="exact"/>
        <w:ind w:firstLine="436" w:firstLineChars="200"/>
        <w:rPr>
          <w:rFonts w:ascii="仿宋_GB2312" w:hAnsi="宋体"/>
        </w:rPr>
      </w:pPr>
      <w:r>
        <w:rPr>
          <w:rFonts w:hint="eastAsia" w:ascii="仿宋_GB2312" w:hAnsi="宋体" w:cs="宋体"/>
          <w:spacing w:val="4"/>
        </w:rPr>
        <w:t>负债一般按偿还期长短分为流动负债和非流动负债。</w:t>
      </w:r>
      <w:r>
        <w:rPr>
          <w:rFonts w:hint="eastAsia" w:cs="宋体"/>
        </w:rPr>
        <w:t>执行企业会计准则或《小企业会计准则》的企业：负债合计=流动负债合计+非流动负债合计；执行其他企业会计制度的企业负债包括流动负债和长期负债。</w:t>
      </w:r>
    </w:p>
    <w:p>
      <w:pPr>
        <w:spacing w:line="360" w:lineRule="exact"/>
        <w:ind w:firstLine="420" w:firstLineChars="200"/>
        <w:rPr>
          <w:rFonts w:ascii="仿宋_GB2312" w:hAnsi="宋体" w:cs="宋体"/>
        </w:rPr>
      </w:pPr>
      <w:r>
        <w:rPr>
          <w:rFonts w:hint="eastAsia" w:ascii="黑体" w:hAnsi="宋体" w:eastAsia="黑体" w:cs="黑体"/>
        </w:rPr>
        <w:t>所有者权益合计</w:t>
      </w:r>
      <w:r>
        <w:rPr>
          <w:rFonts w:ascii="仿宋_GB2312" w:hAnsi="宋体" w:cs="仿宋_GB2312"/>
        </w:rPr>
        <w:t xml:space="preserve">  </w:t>
      </w:r>
      <w:r>
        <w:rPr>
          <w:rFonts w:hint="eastAsia" w:ascii="仿宋_GB2312" w:hAnsi="宋体" w:cs="宋体"/>
        </w:rPr>
        <w:t>指企业资产扣除负债后由所有者享有的剩余权益。公司的所有者权益又称股东权益。包括实收资本、资本公积、盈余公积、未分配利润等。根据会计“资产负债表”中“所有者权益合计”项目的期末余额数填报。</w:t>
      </w:r>
    </w:p>
    <w:p>
      <w:pPr>
        <w:spacing w:line="360" w:lineRule="exact"/>
        <w:ind w:firstLine="420" w:firstLineChars="200"/>
        <w:rPr>
          <w:rFonts w:ascii="仿宋_GB2312" w:hAnsi="宋体" w:cs="宋体"/>
        </w:rPr>
      </w:pPr>
      <w:r>
        <w:rPr>
          <w:rFonts w:hint="eastAsia" w:ascii="黑体" w:hAnsi="宋体" w:eastAsia="黑体" w:cs="黑体"/>
        </w:rPr>
        <w:t>实收资本</w:t>
      </w:r>
      <w:r>
        <w:rPr>
          <w:rFonts w:ascii="仿宋_GB2312" w:hAnsi="宋体" w:cs="仿宋_GB2312"/>
        </w:rPr>
        <w:t xml:space="preserve">  </w:t>
      </w:r>
      <w:r>
        <w:rPr>
          <w:rFonts w:hint="eastAsia" w:ascii="仿宋_GB2312" w:hAnsi="宋体" w:cs="宋体"/>
        </w:rPr>
        <w:t>指企业</w:t>
      </w:r>
      <w:r>
        <w:rPr>
          <w:rFonts w:ascii="仿宋_GB2312" w:hAnsi="宋体" w:cs="宋体"/>
        </w:rPr>
        <w:t>各投资者实际投入的资本（</w:t>
      </w:r>
      <w:r>
        <w:rPr>
          <w:rFonts w:hint="eastAsia" w:ascii="仿宋_GB2312" w:hAnsi="宋体" w:cs="宋体"/>
        </w:rPr>
        <w:t>或</w:t>
      </w:r>
      <w:r>
        <w:rPr>
          <w:rFonts w:ascii="仿宋_GB2312" w:hAnsi="宋体" w:cs="宋体"/>
        </w:rPr>
        <w:t>股本）</w:t>
      </w:r>
      <w:r>
        <w:rPr>
          <w:rFonts w:hint="eastAsia" w:ascii="仿宋_GB2312" w:hAnsi="宋体" w:cs="宋体"/>
        </w:rPr>
        <w:t>总额</w:t>
      </w:r>
      <w:r>
        <w:rPr>
          <w:rFonts w:ascii="仿宋_GB2312" w:hAnsi="宋体" w:cs="宋体"/>
        </w:rPr>
        <w:t>，包括货币、</w:t>
      </w:r>
      <w:r>
        <w:rPr>
          <w:rFonts w:hint="eastAsia" w:ascii="仿宋_GB2312" w:hAnsi="宋体" w:cs="宋体"/>
        </w:rPr>
        <w:t>实物</w:t>
      </w:r>
      <w:r>
        <w:rPr>
          <w:rFonts w:ascii="仿宋_GB2312" w:hAnsi="宋体" w:cs="宋体"/>
        </w:rPr>
        <w:t>、无形资产等各种形式的投入。实收资本按投资主体可分为国家资本、集体资本、法人资本、个人资本、港澳台资本和外商资本。根据会计</w:t>
      </w:r>
      <w:r>
        <w:rPr>
          <w:rFonts w:hint="eastAsia" w:ascii="仿宋_GB2312" w:hAnsi="宋体" w:cs="宋体"/>
        </w:rPr>
        <w:t>“</w:t>
      </w:r>
      <w:r>
        <w:rPr>
          <w:rFonts w:ascii="仿宋_GB2312" w:hAnsi="宋体" w:cs="宋体"/>
        </w:rPr>
        <w:t>资产负债表</w:t>
      </w:r>
      <w:r>
        <w:rPr>
          <w:rFonts w:hint="eastAsia" w:ascii="仿宋_GB2312" w:hAnsi="宋体" w:cs="宋体"/>
        </w:rPr>
        <w:t>”</w:t>
      </w:r>
      <w:r>
        <w:rPr>
          <w:rFonts w:ascii="仿宋_GB2312" w:hAnsi="宋体" w:cs="宋体"/>
        </w:rPr>
        <w:t>中“</w:t>
      </w:r>
      <w:r>
        <w:rPr>
          <w:rFonts w:hint="eastAsia" w:ascii="仿宋_GB2312" w:hAnsi="宋体" w:cs="宋体"/>
        </w:rPr>
        <w:t>所有者</w:t>
      </w:r>
      <w:r>
        <w:rPr>
          <w:rFonts w:ascii="仿宋_GB2312" w:hAnsi="宋体" w:cs="宋体"/>
        </w:rPr>
        <w:t>权益”</w:t>
      </w:r>
      <w:r>
        <w:rPr>
          <w:rFonts w:hint="eastAsia" w:ascii="仿宋_GB2312" w:hAnsi="宋体" w:cs="宋体"/>
        </w:rPr>
        <w:t>项</w:t>
      </w:r>
      <w:r>
        <w:rPr>
          <w:rFonts w:ascii="仿宋_GB2312" w:hAnsi="宋体" w:cs="宋体"/>
        </w:rPr>
        <w:t>下</w:t>
      </w:r>
      <w:r>
        <w:rPr>
          <w:rFonts w:hint="eastAsia" w:ascii="仿宋_GB2312" w:hAnsi="宋体" w:cs="宋体"/>
        </w:rPr>
        <w:t>“实收资本”的</w:t>
      </w:r>
      <w:r>
        <w:rPr>
          <w:rFonts w:ascii="仿宋_GB2312" w:hAnsi="宋体" w:cs="宋体"/>
        </w:rPr>
        <w:t>期末余额数填报。</w:t>
      </w:r>
    </w:p>
    <w:p>
      <w:pPr>
        <w:spacing w:line="360" w:lineRule="exact"/>
        <w:ind w:firstLine="420" w:firstLineChars="200"/>
        <w:rPr>
          <w:rFonts w:hint="eastAsia" w:ascii="仿宋_GB2312" w:hAnsi="宋体" w:cs="宋体"/>
        </w:rPr>
      </w:pPr>
      <w:r>
        <w:rPr>
          <w:rFonts w:hint="eastAsia" w:ascii="黑体" w:hAnsi="宋体" w:eastAsia="黑体" w:cs="黑体"/>
        </w:rPr>
        <w:t>个人资本</w:t>
      </w:r>
      <w:r>
        <w:rPr>
          <w:rFonts w:ascii="仿宋_GB2312" w:hAnsi="宋体" w:cs="仿宋_GB2312"/>
        </w:rPr>
        <w:t xml:space="preserve">  </w:t>
      </w:r>
      <w:r>
        <w:rPr>
          <w:rFonts w:hint="eastAsia" w:ascii="仿宋_GB2312" w:hAnsi="宋体" w:cs="宋体"/>
        </w:rPr>
        <w:t>指自然人实际投入</w:t>
      </w:r>
      <w:r>
        <w:rPr>
          <w:rFonts w:ascii="仿宋_GB2312" w:hAnsi="宋体" w:cs="宋体"/>
        </w:rPr>
        <w:t>企业的资本金。根据会计“</w:t>
      </w:r>
      <w:r>
        <w:rPr>
          <w:rFonts w:hint="eastAsia" w:ascii="仿宋_GB2312" w:hAnsi="宋体" w:cs="宋体"/>
        </w:rPr>
        <w:t>实收资本</w:t>
      </w:r>
      <w:r>
        <w:rPr>
          <w:rFonts w:ascii="仿宋_GB2312" w:hAnsi="宋体" w:cs="宋体"/>
        </w:rPr>
        <w:t>”</w:t>
      </w:r>
      <w:r>
        <w:rPr>
          <w:rFonts w:hint="eastAsia" w:ascii="仿宋_GB2312" w:hAnsi="宋体" w:cs="宋体"/>
        </w:rPr>
        <w:t>科目</w:t>
      </w:r>
      <w:r>
        <w:rPr>
          <w:rFonts w:ascii="仿宋_GB2312" w:hAnsi="宋体" w:cs="宋体"/>
        </w:rPr>
        <w:t>计算填报。</w:t>
      </w:r>
    </w:p>
    <w:p>
      <w:pPr>
        <w:spacing w:line="360" w:lineRule="exact"/>
        <w:ind w:firstLine="420" w:firstLineChars="200"/>
        <w:rPr>
          <w:rFonts w:ascii="仿宋_GB2312" w:hAnsi="宋体" w:cs="宋体"/>
        </w:rPr>
      </w:pPr>
      <w:r>
        <w:rPr>
          <w:rFonts w:hint="eastAsia" w:ascii="黑体" w:hAnsi="宋体" w:eastAsia="黑体" w:cs="黑体"/>
        </w:rPr>
        <w:t>营业收入</w:t>
      </w:r>
      <w:r>
        <w:rPr>
          <w:rFonts w:ascii="仿宋_GB2312" w:hAnsi="宋体" w:cs="仿宋_GB2312"/>
        </w:rPr>
        <w:t xml:space="preserve">  </w:t>
      </w:r>
      <w:r>
        <w:rPr>
          <w:rFonts w:hint="eastAsia" w:ascii="仿宋_GB2312" w:hAnsi="宋体" w:cs="宋体"/>
        </w:rPr>
        <w:t>指企业从事销售商品、提供劳务和让渡资产使用权等生产经营活动形成的经济利益流入。包括“主营业务收入”和“其他业务收入”。根据会计“利润表”中“营业收入”项目的本年累计数填报。</w:t>
      </w:r>
    </w:p>
    <w:p>
      <w:pPr>
        <w:spacing w:line="360" w:lineRule="exact"/>
        <w:ind w:firstLine="420" w:firstLineChars="200"/>
        <w:rPr>
          <w:rFonts w:hint="eastAsia" w:ascii="仿宋_GB2312" w:hAnsi="宋体"/>
        </w:rPr>
      </w:pPr>
      <w:r>
        <w:rPr>
          <w:rFonts w:hint="eastAsia" w:ascii="黑体" w:hAnsi="宋体" w:eastAsia="黑体" w:cs="黑体"/>
        </w:rPr>
        <w:t>净服务</w:t>
      </w:r>
      <w:r>
        <w:rPr>
          <w:rFonts w:ascii="黑体" w:hAnsi="宋体" w:eastAsia="黑体" w:cs="黑体"/>
        </w:rPr>
        <w:t>收入</w:t>
      </w:r>
      <w:r>
        <w:rPr>
          <w:rFonts w:hint="eastAsia" w:ascii="仿宋_GB2312" w:hAnsi="宋体" w:cs="宋体"/>
          <w:b/>
        </w:rPr>
        <w:t xml:space="preserve">  </w:t>
      </w:r>
      <w:r>
        <w:rPr>
          <w:rFonts w:hint="eastAsia" w:ascii="仿宋_GB2312" w:hAnsi="宋体" w:cs="宋体"/>
        </w:rPr>
        <w:t>指企业各类经营活动所确认的营业收入中，单纯反映提供服务所获得的收入。不应包含经营或外包农、林、牧、渔业，采矿业，制造业，电力、热力、燃气及水生产和供应业，建筑业，批发和零售业，住宿和餐饮业，金融业，房地产开发经营等活动所确认的收入；也不应包含代收代付、代开票、代管代运货物价值、土地出让等带来的营业收入。根据会计“营业收入”明细账二级科目本年累计数分析填报。</w:t>
      </w:r>
    </w:p>
    <w:p>
      <w:pPr>
        <w:spacing w:line="360" w:lineRule="exact"/>
        <w:ind w:firstLine="420" w:firstLineChars="200"/>
        <w:rPr>
          <w:rFonts w:ascii="仿宋_GB2312" w:hAnsi="宋体"/>
        </w:rPr>
      </w:pPr>
      <w:r>
        <w:rPr>
          <w:rFonts w:hint="eastAsia" w:ascii="黑体" w:hAnsi="宋体" w:eastAsia="黑体" w:cs="黑体"/>
        </w:rPr>
        <w:t>营业成本</w:t>
      </w:r>
      <w:r>
        <w:rPr>
          <w:rFonts w:ascii="仿宋_GB2312" w:hAnsi="宋体" w:cs="仿宋_GB2312"/>
        </w:rPr>
        <w:t xml:space="preserve">  </w:t>
      </w:r>
      <w:r>
        <w:rPr>
          <w:rFonts w:hint="eastAsia" w:ascii="仿宋_GB2312" w:hAnsi="宋体" w:cs="宋体"/>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pPr>
        <w:spacing w:line="360" w:lineRule="exact"/>
        <w:ind w:firstLine="420" w:firstLineChars="200"/>
        <w:rPr>
          <w:rFonts w:ascii="仿宋_GB2312" w:hAnsi="宋体"/>
        </w:rPr>
      </w:pPr>
      <w:r>
        <w:rPr>
          <w:rFonts w:hint="eastAsia" w:ascii="黑体" w:hAnsi="宋体" w:eastAsia="黑体" w:cs="黑体"/>
        </w:rPr>
        <w:t>税金及附加</w:t>
      </w:r>
      <w:r>
        <w:rPr>
          <w:rFonts w:ascii="仿宋_GB2312" w:hAnsi="宋体" w:cs="仿宋_GB2312"/>
        </w:rPr>
        <w:t xml:space="preserve">  </w:t>
      </w:r>
      <w:r>
        <w:rPr>
          <w:rFonts w:hint="eastAsia" w:ascii="宋体" w:hAnsi="宋体" w:cs="宋体"/>
          <w:szCs w:val="21"/>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pPr>
        <w:spacing w:line="360" w:lineRule="exact"/>
        <w:ind w:firstLine="420" w:firstLineChars="200"/>
        <w:rPr>
          <w:rFonts w:ascii="仿宋_GB2312" w:hAnsi="宋体"/>
        </w:rPr>
      </w:pPr>
      <w:r>
        <w:rPr>
          <w:rFonts w:hint="eastAsia" w:ascii="黑体" w:hAnsi="宋体" w:eastAsia="黑体" w:cs="黑体"/>
        </w:rPr>
        <w:t>销售费用</w:t>
      </w:r>
      <w:r>
        <w:rPr>
          <w:rFonts w:ascii="仿宋_GB2312" w:hAnsi="宋体" w:cs="仿宋_GB2312"/>
        </w:rPr>
        <w:t xml:space="preserve">  </w:t>
      </w:r>
      <w:r>
        <w:rPr>
          <w:rFonts w:hint="eastAsia" w:ascii="宋体" w:hAnsi="宋体"/>
          <w:spacing w:val="8"/>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w:t>
      </w:r>
      <w:r>
        <w:rPr>
          <w:rFonts w:hint="eastAsia" w:ascii="宋体" w:hAnsi="宋体"/>
        </w:rPr>
        <w:t>建筑业企业销售费用</w:t>
      </w:r>
      <w:r>
        <w:t>指企业从事施工生产活动过程中发生的各项费用</w:t>
      </w:r>
      <w:r>
        <w:rPr>
          <w:rFonts w:hint="eastAsia"/>
        </w:rPr>
        <w:t>，</w:t>
      </w:r>
      <w:r>
        <w:t>包括应由企业负担的运输费、装卸费、包装费、保险费、维修费、展览费、差旅费、广告费和其他经费。</w:t>
      </w:r>
      <w:r>
        <w:rPr>
          <w:rFonts w:hint="eastAsia"/>
        </w:rPr>
        <w:t>房地产企业销售费用</w:t>
      </w:r>
      <w:r>
        <w:rPr>
          <w:rFonts w:hint="eastAsia" w:ascii="宋体" w:hAnsi="宋体"/>
        </w:rPr>
        <w:t>指企业在从事主要经营业务过程中所发生的各项销售费用，包括转让、销售、结算和出租开发产品等。</w:t>
      </w:r>
      <w:r>
        <w:rPr>
          <w:rFonts w:hint="eastAsia" w:ascii="宋体" w:hAnsi="宋体" w:cs="宋体"/>
        </w:rPr>
        <w:t>执行企业会计准则或《小企业会计准则》的企业，根据会计“利润表”中“销售费用”项目的本年累计数填报。执行其他企业会计制度的企业，根据会计“利润表”中“营业费用（或经营费用）”项目的本年累计数填报</w:t>
      </w:r>
      <w:r>
        <w:rPr>
          <w:rFonts w:hint="eastAsia" w:ascii="宋体" w:hAnsi="宋体" w:cs="宋体"/>
          <w:kern w:val="0"/>
          <w:sz w:val="22"/>
        </w:rPr>
        <w:t>。</w:t>
      </w:r>
    </w:p>
    <w:p>
      <w:pPr>
        <w:snapToGrid w:val="0"/>
        <w:spacing w:line="360" w:lineRule="exact"/>
        <w:ind w:firstLine="420" w:firstLineChars="200"/>
        <w:rPr>
          <w:rFonts w:ascii="仿宋_GB2312" w:hAnsi="宋体"/>
        </w:rPr>
      </w:pPr>
      <w:r>
        <w:rPr>
          <w:rFonts w:hint="eastAsia" w:ascii="黑体" w:hAnsi="宋体" w:eastAsia="黑体" w:cs="黑体"/>
        </w:rPr>
        <w:t>管理费用</w:t>
      </w:r>
      <w:r>
        <w:rPr>
          <w:rFonts w:ascii="仿宋_GB2312" w:hAnsi="宋体" w:cs="仿宋_GB2312"/>
        </w:rPr>
        <w:t xml:space="preserve">  </w:t>
      </w:r>
      <w:r>
        <w:rPr>
          <w:rFonts w:hint="eastAsia" w:ascii="仿宋_GB2312" w:hAnsi="宋体" w:cs="宋体"/>
        </w:rPr>
        <w:t>指企业为组织和管理企业生产经营所发生的费用，包括企业在筹建期间内发生的开办费、董事会和行政管理部门在企业经营管理中发生的，或者应当由企业统一负担的公司经费等。</w:t>
      </w:r>
      <w:r>
        <w:rPr>
          <w:rFonts w:hint="eastAsia" w:ascii="宋体" w:hAnsi="宋体" w:cs="宋体"/>
          <w:szCs w:val="21"/>
        </w:rPr>
        <w:t>为了</w:t>
      </w:r>
      <w:r>
        <w:rPr>
          <w:rFonts w:ascii="宋体" w:hAnsi="宋体" w:cs="宋体"/>
          <w:szCs w:val="21"/>
        </w:rPr>
        <w:t>与</w:t>
      </w:r>
      <w:r>
        <w:rPr>
          <w:rFonts w:hint="eastAsia" w:ascii="宋体" w:hAnsi="宋体" w:cs="宋体"/>
          <w:szCs w:val="21"/>
        </w:rPr>
        <w:t>财政部《关于修订印发201</w:t>
      </w:r>
      <w:r>
        <w:rPr>
          <w:rFonts w:ascii="宋体" w:hAnsi="宋体" w:cs="宋体"/>
          <w:szCs w:val="21"/>
        </w:rPr>
        <w:t>9</w:t>
      </w:r>
      <w:r>
        <w:rPr>
          <w:rFonts w:hint="eastAsia" w:ascii="宋体" w:hAnsi="宋体" w:cs="宋体"/>
          <w:szCs w:val="21"/>
        </w:rPr>
        <w:t>年度一般企业财务报表格式的通知》（财会〔201</w:t>
      </w:r>
      <w:r>
        <w:rPr>
          <w:rFonts w:ascii="宋体" w:hAnsi="宋体" w:cs="宋体"/>
          <w:szCs w:val="21"/>
        </w:rPr>
        <w:t>9</w:t>
      </w:r>
      <w:r>
        <w:rPr>
          <w:rFonts w:hint="eastAsia" w:ascii="宋体" w:hAnsi="宋体" w:cs="宋体"/>
          <w:szCs w:val="21"/>
        </w:rPr>
        <w:t>〕</w:t>
      </w:r>
      <w:r>
        <w:rPr>
          <w:rFonts w:ascii="宋体" w:hAnsi="宋体" w:cs="宋体"/>
          <w:szCs w:val="21"/>
        </w:rPr>
        <w:t>6</w:t>
      </w:r>
      <w:r>
        <w:rPr>
          <w:rFonts w:hint="eastAsia" w:ascii="宋体" w:hAnsi="宋体" w:cs="宋体"/>
          <w:szCs w:val="21"/>
        </w:rPr>
        <w:t>号）保持</w:t>
      </w:r>
      <w:r>
        <w:rPr>
          <w:rFonts w:ascii="宋体" w:hAnsi="宋体" w:cs="宋体"/>
          <w:szCs w:val="21"/>
        </w:rPr>
        <w:t>一致</w:t>
      </w:r>
      <w:r>
        <w:rPr>
          <w:rFonts w:hint="eastAsia" w:ascii="宋体" w:hAnsi="宋体" w:cs="宋体"/>
          <w:szCs w:val="21"/>
        </w:rPr>
        <w:t>，“管理</w:t>
      </w:r>
      <w:r>
        <w:rPr>
          <w:rFonts w:ascii="宋体" w:hAnsi="宋体" w:cs="宋体"/>
          <w:szCs w:val="21"/>
        </w:rPr>
        <w:t>费用”</w:t>
      </w:r>
      <w:r>
        <w:rPr>
          <w:rFonts w:hint="eastAsia" w:ascii="宋体" w:hAnsi="宋体" w:cs="宋体"/>
          <w:szCs w:val="21"/>
        </w:rPr>
        <w:t>不</w:t>
      </w:r>
      <w:r>
        <w:rPr>
          <w:rFonts w:ascii="宋体" w:hAnsi="宋体" w:cs="宋体"/>
          <w:szCs w:val="21"/>
        </w:rPr>
        <w:t>包含“</w:t>
      </w:r>
      <w:r>
        <w:rPr>
          <w:rFonts w:hint="eastAsia" w:ascii="宋体" w:hAnsi="宋体" w:cs="宋体"/>
          <w:szCs w:val="21"/>
        </w:rPr>
        <w:t>研发</w:t>
      </w:r>
      <w:r>
        <w:rPr>
          <w:rFonts w:ascii="宋体" w:hAnsi="宋体" w:cs="宋体"/>
          <w:szCs w:val="21"/>
        </w:rPr>
        <w:t>费用”</w:t>
      </w:r>
      <w:r>
        <w:rPr>
          <w:rFonts w:hint="eastAsia" w:ascii="宋体" w:hAnsi="宋体" w:cs="宋体"/>
          <w:szCs w:val="21"/>
        </w:rPr>
        <w:t>。执行企业会计准则的</w:t>
      </w:r>
      <w:r>
        <w:rPr>
          <w:rFonts w:ascii="宋体" w:hAnsi="宋体" w:cs="宋体"/>
          <w:szCs w:val="21"/>
        </w:rPr>
        <w:t>企业</w:t>
      </w:r>
      <w:r>
        <w:rPr>
          <w:rFonts w:hint="eastAsia" w:ascii="宋体" w:hAnsi="宋体" w:cs="宋体"/>
          <w:szCs w:val="21"/>
        </w:rPr>
        <w:t>,根据会计“利润表”中“管理</w:t>
      </w:r>
      <w:r>
        <w:rPr>
          <w:rFonts w:ascii="宋体" w:hAnsi="宋体" w:cs="宋体"/>
          <w:szCs w:val="21"/>
        </w:rPr>
        <w:t>费用</w:t>
      </w:r>
      <w:r>
        <w:rPr>
          <w:rFonts w:hint="eastAsia" w:ascii="宋体" w:hAnsi="宋体" w:cs="宋体"/>
          <w:szCs w:val="21"/>
        </w:rPr>
        <w:t>”项目的本年</w:t>
      </w:r>
      <w:r>
        <w:rPr>
          <w:rFonts w:ascii="宋体" w:hAnsi="宋体" w:cs="宋体"/>
          <w:szCs w:val="21"/>
        </w:rPr>
        <w:t>累计</w:t>
      </w:r>
      <w:r>
        <w:rPr>
          <w:rFonts w:hint="eastAsia" w:ascii="宋体" w:hAnsi="宋体" w:cs="宋体"/>
          <w:szCs w:val="21"/>
        </w:rPr>
        <w:t>数填报。执行《小企业会计准则》的企业，应</w:t>
      </w:r>
      <w:r>
        <w:rPr>
          <w:rFonts w:ascii="宋体" w:hAnsi="宋体" w:cs="宋体"/>
          <w:szCs w:val="21"/>
        </w:rPr>
        <w:t>将</w:t>
      </w:r>
      <w:r>
        <w:rPr>
          <w:rFonts w:hint="eastAsia" w:ascii="宋体" w:hAnsi="宋体" w:cs="宋体"/>
          <w:szCs w:val="21"/>
        </w:rPr>
        <w:t>会计“利润表”</w:t>
      </w:r>
      <w:r>
        <w:rPr>
          <w:rFonts w:ascii="宋体" w:hAnsi="宋体" w:cs="宋体"/>
          <w:szCs w:val="21"/>
        </w:rPr>
        <w:t>中</w:t>
      </w:r>
      <w:r>
        <w:rPr>
          <w:rFonts w:hint="eastAsia" w:ascii="宋体" w:hAnsi="宋体" w:cs="宋体"/>
          <w:szCs w:val="21"/>
        </w:rPr>
        <w:t>“管理费用”项目本年累计数减“研究费用”项目本年累计数后填报。执行其他企业会计制度的企业以及未执行财政部《关于修订印发201</w:t>
      </w:r>
      <w:r>
        <w:rPr>
          <w:rFonts w:ascii="宋体" w:hAnsi="宋体" w:cs="宋体"/>
          <w:szCs w:val="21"/>
        </w:rPr>
        <w:t>9</w:t>
      </w:r>
      <w:r>
        <w:rPr>
          <w:rFonts w:hint="eastAsia" w:ascii="宋体" w:hAnsi="宋体" w:cs="宋体"/>
          <w:szCs w:val="21"/>
        </w:rPr>
        <w:t>年度一般企业财务报表格式的通知》（财会〔201</w:t>
      </w:r>
      <w:r>
        <w:rPr>
          <w:rFonts w:ascii="宋体" w:hAnsi="宋体" w:cs="宋体"/>
          <w:szCs w:val="21"/>
        </w:rPr>
        <w:t>9</w:t>
      </w:r>
      <w:r>
        <w:rPr>
          <w:rFonts w:hint="eastAsia" w:ascii="宋体" w:hAnsi="宋体" w:cs="宋体"/>
          <w:szCs w:val="21"/>
        </w:rPr>
        <w:t>〕</w:t>
      </w:r>
      <w:r>
        <w:rPr>
          <w:rFonts w:ascii="宋体" w:hAnsi="宋体" w:cs="宋体"/>
          <w:szCs w:val="21"/>
        </w:rPr>
        <w:t>6</w:t>
      </w:r>
      <w:r>
        <w:rPr>
          <w:rFonts w:hint="eastAsia" w:ascii="宋体" w:hAnsi="宋体" w:cs="宋体"/>
          <w:szCs w:val="21"/>
        </w:rPr>
        <w:t>号）的</w:t>
      </w:r>
      <w:r>
        <w:rPr>
          <w:rFonts w:ascii="宋体" w:hAnsi="宋体" w:cs="宋体"/>
          <w:szCs w:val="21"/>
        </w:rPr>
        <w:t>企业</w:t>
      </w:r>
      <w:r>
        <w:rPr>
          <w:rFonts w:hint="eastAsia" w:ascii="宋体" w:hAnsi="宋体" w:cs="宋体"/>
          <w:szCs w:val="21"/>
        </w:rPr>
        <w:t>，在会计“利润表”中“管理</w:t>
      </w:r>
      <w:r>
        <w:rPr>
          <w:rFonts w:ascii="宋体" w:hAnsi="宋体" w:cs="宋体"/>
          <w:szCs w:val="21"/>
        </w:rPr>
        <w:t>费用</w:t>
      </w:r>
      <w:r>
        <w:rPr>
          <w:rFonts w:hint="eastAsia" w:ascii="宋体" w:hAnsi="宋体" w:cs="宋体"/>
          <w:szCs w:val="21"/>
        </w:rPr>
        <w:t>”项目的本年</w:t>
      </w:r>
      <w:r>
        <w:rPr>
          <w:rFonts w:ascii="宋体" w:hAnsi="宋体" w:cs="宋体"/>
          <w:szCs w:val="21"/>
        </w:rPr>
        <w:t>累计</w:t>
      </w:r>
      <w:r>
        <w:rPr>
          <w:rFonts w:hint="eastAsia" w:ascii="宋体" w:hAnsi="宋体" w:cs="宋体"/>
          <w:szCs w:val="21"/>
        </w:rPr>
        <w:t>数的</w:t>
      </w:r>
      <w:r>
        <w:rPr>
          <w:rFonts w:ascii="宋体" w:hAnsi="宋体" w:cs="宋体"/>
          <w:szCs w:val="21"/>
        </w:rPr>
        <w:t>基础上，</w:t>
      </w:r>
      <w:r>
        <w:rPr>
          <w:rFonts w:hint="eastAsia" w:ascii="宋体" w:hAnsi="宋体" w:cs="宋体"/>
          <w:szCs w:val="21"/>
        </w:rPr>
        <w:t>根据会计“管理费用”科目下的“研究费用”相关明细科目，</w:t>
      </w:r>
      <w:r>
        <w:rPr>
          <w:rFonts w:ascii="宋体" w:hAnsi="宋体" w:cs="宋体"/>
          <w:szCs w:val="21"/>
        </w:rPr>
        <w:t>将</w:t>
      </w:r>
      <w:r>
        <w:rPr>
          <w:rFonts w:hint="eastAsia" w:ascii="宋体" w:hAnsi="宋体" w:cs="宋体"/>
          <w:szCs w:val="21"/>
        </w:rPr>
        <w:t>“研发费用”剔除</w:t>
      </w:r>
      <w:r>
        <w:rPr>
          <w:rFonts w:ascii="宋体" w:hAnsi="宋体" w:cs="宋体"/>
          <w:szCs w:val="21"/>
        </w:rPr>
        <w:t>后填报。</w:t>
      </w:r>
    </w:p>
    <w:p>
      <w:pPr>
        <w:spacing w:line="360" w:lineRule="exact"/>
        <w:ind w:firstLine="420" w:firstLineChars="200"/>
        <w:rPr>
          <w:rFonts w:hint="eastAsia" w:ascii="宋体" w:hAnsi="宋体"/>
        </w:rPr>
      </w:pPr>
      <w:r>
        <w:rPr>
          <w:rFonts w:hint="eastAsia" w:ascii="黑体" w:hAnsi="宋体" w:eastAsia="黑体" w:cs="黑体"/>
        </w:rPr>
        <w:t xml:space="preserve">研发费用  </w:t>
      </w:r>
      <w:r>
        <w:rPr>
          <w:rFonts w:hint="eastAsia" w:ascii="宋体" w:hAnsi="宋体" w:cs="黑体"/>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额分析填报。</w:t>
      </w:r>
    </w:p>
    <w:p>
      <w:pPr>
        <w:spacing w:line="360" w:lineRule="exact"/>
        <w:ind w:firstLine="420" w:firstLineChars="200"/>
        <w:rPr>
          <w:rFonts w:ascii="仿宋_GB2312" w:hAnsi="宋体" w:cs="宋体"/>
        </w:rPr>
      </w:pPr>
      <w:r>
        <w:rPr>
          <w:rFonts w:hint="eastAsia" w:ascii="黑体" w:hAnsi="宋体" w:eastAsia="黑体" w:cs="黑体"/>
        </w:rPr>
        <w:t>财务费用</w:t>
      </w:r>
      <w:r>
        <w:rPr>
          <w:rFonts w:ascii="仿宋_GB2312" w:hAnsi="宋体" w:cs="仿宋_GB2312"/>
        </w:rPr>
        <w:t xml:space="preserve">  </w:t>
      </w:r>
      <w:r>
        <w:rPr>
          <w:rFonts w:hint="eastAsia" w:ascii="仿宋_GB2312" w:hAnsi="宋体" w:cs="宋体"/>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spacing w:line="360" w:lineRule="exact"/>
        <w:ind w:firstLine="420" w:firstLineChars="200"/>
        <w:rPr>
          <w:rFonts w:ascii="仿宋_GB2312" w:hAnsi="宋体" w:cs="宋体"/>
        </w:rPr>
      </w:pPr>
      <w:r>
        <w:rPr>
          <w:rFonts w:hint="eastAsia" w:ascii="黑体" w:hAnsi="宋体" w:eastAsia="黑体" w:cs="黑体"/>
        </w:rPr>
        <w:t>利息收入</w:t>
      </w:r>
      <w:r>
        <w:rPr>
          <w:rFonts w:ascii="仿宋_GB2312" w:hAnsi="宋体" w:cs="仿宋_GB2312"/>
        </w:rPr>
        <w:t xml:space="preserve">  </w:t>
      </w:r>
      <w:r>
        <w:rPr>
          <w:rFonts w:hint="eastAsia" w:ascii="仿宋_GB2312" w:hAnsi="宋体" w:cs="宋体"/>
        </w:rPr>
        <w:t>指企业按照相关会计准则确认的应冲减财务费用的利息金额。包括非金融企业存款业务所确认的利息等。执行企业会计准则的企业，根据会计“利润表”中“利息收入”项目的本年累计数填报。执行《小企业会计准则》的企业，填0。执行其他企业会计制度的企业，根据会计“财务费用”科目下“利息收入”明细科目的本期发生额以正数填报，如果未设置该科目，填0。</w:t>
      </w:r>
    </w:p>
    <w:p>
      <w:pPr>
        <w:spacing w:line="360" w:lineRule="exact"/>
        <w:ind w:firstLine="420" w:firstLineChars="200"/>
        <w:rPr>
          <w:rFonts w:hint="eastAsia" w:ascii="仿宋_GB2312" w:hAnsi="宋体" w:cs="宋体"/>
        </w:rPr>
      </w:pPr>
      <w:r>
        <w:rPr>
          <w:rFonts w:hint="eastAsia" w:ascii="黑体" w:hAnsi="宋体" w:eastAsia="黑体" w:cs="黑体"/>
        </w:rPr>
        <w:t>利息支出</w:t>
      </w:r>
      <w:r>
        <w:rPr>
          <w:rFonts w:ascii="仿宋_GB2312" w:hAnsi="宋体" w:cs="仿宋_GB2312"/>
        </w:rPr>
        <w:t xml:space="preserve">  </w:t>
      </w:r>
      <w:r>
        <w:rPr>
          <w:rFonts w:hint="eastAsia" w:ascii="仿宋_GB2312" w:hAnsi="宋体" w:cs="宋体"/>
        </w:rPr>
        <w:t>指企业</w:t>
      </w:r>
      <w:r>
        <w:rPr>
          <w:rFonts w:ascii="仿宋_GB2312" w:hAnsi="宋体" w:cs="宋体"/>
        </w:rPr>
        <w:t>短期借款利息、长期借款利息、应付票据利息、票据贴现利息、应付债券利息、</w:t>
      </w:r>
      <w:r>
        <w:rPr>
          <w:rFonts w:hint="eastAsia" w:ascii="仿宋_GB2312" w:hAnsi="宋体" w:cs="宋体"/>
        </w:rPr>
        <w:t>长期</w:t>
      </w:r>
      <w:r>
        <w:rPr>
          <w:rFonts w:ascii="仿宋_GB2312" w:hAnsi="宋体" w:cs="宋体"/>
        </w:rPr>
        <w:t>应付引进国外设备款利息等利息支出。根据企业“</w:t>
      </w:r>
      <w:r>
        <w:rPr>
          <w:rFonts w:hint="eastAsia" w:ascii="仿宋_GB2312" w:hAnsi="宋体" w:cs="宋体"/>
        </w:rPr>
        <w:t>财务费用</w:t>
      </w:r>
      <w:r>
        <w:rPr>
          <w:rFonts w:ascii="仿宋_GB2312" w:hAnsi="宋体" w:cs="宋体"/>
        </w:rPr>
        <w:t>明细账”</w:t>
      </w:r>
      <w:r>
        <w:rPr>
          <w:rFonts w:hint="eastAsia" w:ascii="仿宋_GB2312" w:hAnsi="宋体" w:cs="宋体"/>
        </w:rPr>
        <w:t>中</w:t>
      </w:r>
      <w:r>
        <w:rPr>
          <w:rFonts w:ascii="仿宋_GB2312" w:hAnsi="宋体" w:cs="宋体"/>
        </w:rPr>
        <w:t>“</w:t>
      </w:r>
      <w:r>
        <w:rPr>
          <w:rFonts w:hint="eastAsia" w:ascii="仿宋_GB2312" w:hAnsi="宋体" w:cs="宋体"/>
        </w:rPr>
        <w:t>财务</w:t>
      </w:r>
      <w:r>
        <w:rPr>
          <w:rFonts w:ascii="仿宋_GB2312" w:hAnsi="宋体" w:cs="宋体"/>
        </w:rPr>
        <w:t>费用——利息支出”</w:t>
      </w:r>
      <w:r>
        <w:rPr>
          <w:rFonts w:hint="eastAsia" w:ascii="仿宋_GB2312" w:hAnsi="宋体" w:cs="宋体"/>
        </w:rPr>
        <w:t>科目</w:t>
      </w:r>
      <w:r>
        <w:rPr>
          <w:rFonts w:ascii="仿宋_GB2312" w:hAnsi="宋体" w:cs="宋体"/>
        </w:rPr>
        <w:t>的本期发生额填报。如果企业没有单独设立“</w:t>
      </w:r>
      <w:r>
        <w:rPr>
          <w:rFonts w:hint="eastAsia" w:ascii="仿宋_GB2312" w:hAnsi="宋体" w:cs="宋体"/>
        </w:rPr>
        <w:t>利息</w:t>
      </w:r>
      <w:r>
        <w:rPr>
          <w:rFonts w:ascii="仿宋_GB2312" w:hAnsi="宋体" w:cs="宋体"/>
        </w:rPr>
        <w:t>收入”</w:t>
      </w:r>
      <w:r>
        <w:rPr>
          <w:rFonts w:hint="eastAsia" w:ascii="仿宋_GB2312" w:hAnsi="宋体" w:cs="宋体"/>
        </w:rPr>
        <w:t>科目</w:t>
      </w:r>
      <w:r>
        <w:rPr>
          <w:rFonts w:ascii="仿宋_GB2312" w:hAnsi="宋体" w:cs="宋体"/>
        </w:rPr>
        <w:t>，应填报利息支出减去银行存款等的利息收入后的净额。</w:t>
      </w:r>
    </w:p>
    <w:p>
      <w:pPr>
        <w:snapToGrid w:val="0"/>
        <w:spacing w:line="360" w:lineRule="exact"/>
        <w:ind w:firstLine="420" w:firstLineChars="200"/>
        <w:rPr>
          <w:rFonts w:ascii="宋体" w:hAnsi="宋体" w:cs="宋体"/>
          <w:kern w:val="0"/>
          <w:szCs w:val="21"/>
        </w:rPr>
      </w:pPr>
      <w:r>
        <w:rPr>
          <w:rFonts w:hint="eastAsia" w:ascii="黑体" w:hAnsi="宋体" w:eastAsia="黑体" w:cs="黑体"/>
          <w:szCs w:val="21"/>
        </w:rPr>
        <w:t>资产减值损失</w:t>
      </w:r>
      <w:r>
        <w:rPr>
          <w:rFonts w:ascii="仿宋_GB2312" w:hAnsi="宋体" w:eastAsia="仿宋_GB2312" w:cs="仿宋_GB2312"/>
          <w:szCs w:val="21"/>
        </w:rPr>
        <w:t xml:space="preserve">  </w:t>
      </w:r>
      <w:r>
        <w:rPr>
          <w:rFonts w:hint="eastAsia" w:ascii="宋体" w:hAnsi="宋体" w:cs="宋体"/>
          <w:szCs w:val="21"/>
        </w:rPr>
        <w:t>指企业计提各项资产减值准备所形成的损失。根据会计“利润表”中“资产减值损失”项目的本年累计数填报。如果会计“利润表”未设置该项目，</w:t>
      </w:r>
      <w:r>
        <w:rPr>
          <w:rFonts w:hint="eastAsia" w:ascii="宋体" w:hAnsi="宋体" w:cs="宋体"/>
          <w:kern w:val="0"/>
          <w:szCs w:val="21"/>
        </w:rPr>
        <w:t>填</w:t>
      </w:r>
      <w:r>
        <w:rPr>
          <w:rFonts w:ascii="宋体" w:cs="宋体"/>
          <w:kern w:val="0"/>
          <w:szCs w:val="21"/>
        </w:rPr>
        <w:t>0</w:t>
      </w:r>
      <w:r>
        <w:rPr>
          <w:rFonts w:hint="eastAsia" w:ascii="宋体" w:hAnsi="宋体" w:cs="宋体"/>
          <w:kern w:val="0"/>
          <w:szCs w:val="21"/>
        </w:rPr>
        <w:t>。</w:t>
      </w:r>
    </w:p>
    <w:p>
      <w:pPr>
        <w:spacing w:line="360" w:lineRule="exact"/>
        <w:ind w:firstLine="420" w:firstLineChars="200"/>
        <w:rPr>
          <w:rFonts w:hint="eastAsia" w:ascii="仿宋_GB2312" w:hAnsi="宋体" w:cs="仿宋_GB2312"/>
        </w:rPr>
      </w:pPr>
      <w:r>
        <w:rPr>
          <w:rFonts w:hint="eastAsia" w:ascii="黑体" w:hAnsi="宋体" w:eastAsia="黑体" w:cs="黑体"/>
          <w:szCs w:val="21"/>
        </w:rPr>
        <w:t>信用减值损失</w:t>
      </w:r>
      <w:r>
        <w:rPr>
          <w:rFonts w:ascii="仿宋_GB2312" w:hAnsi="宋体" w:eastAsia="仿宋_GB2312" w:cs="仿宋_GB2312"/>
          <w:szCs w:val="21"/>
        </w:rPr>
        <w:t xml:space="preserve">  </w:t>
      </w:r>
      <w:r>
        <w:rPr>
          <w:rFonts w:hint="eastAsia" w:ascii="宋体" w:hAnsi="宋体" w:cs="宋体"/>
          <w:szCs w:val="21"/>
        </w:rPr>
        <w:t>指企业计提的各项金融工具减值准备所形成的预期信用损失。根据会计“利润表”中“信用减值损失”项目的本年累计数填报。如果会计“利润表”未设置该项目，填</w:t>
      </w:r>
      <w:r>
        <w:rPr>
          <w:rFonts w:ascii="宋体" w:cs="宋体"/>
          <w:szCs w:val="21"/>
        </w:rPr>
        <w:t>0</w:t>
      </w:r>
      <w:r>
        <w:rPr>
          <w:rFonts w:hint="eastAsia" w:ascii="宋体" w:hAnsi="宋体" w:cs="宋体"/>
          <w:szCs w:val="21"/>
        </w:rPr>
        <w:t>。</w:t>
      </w:r>
    </w:p>
    <w:p>
      <w:pPr>
        <w:spacing w:line="360" w:lineRule="exact"/>
        <w:ind w:firstLine="420" w:firstLineChars="200"/>
        <w:rPr>
          <w:rFonts w:ascii="仿宋_GB2312" w:hAnsi="宋体" w:cs="仿宋_GB2312"/>
          <w:spacing w:val="2"/>
        </w:rPr>
      </w:pPr>
      <w:r>
        <w:rPr>
          <w:rFonts w:hint="eastAsia" w:ascii="黑体" w:hAnsi="宋体" w:eastAsia="黑体" w:cs="黑体"/>
        </w:rPr>
        <w:t>公允价值变动收益</w:t>
      </w:r>
      <w:r>
        <w:rPr>
          <w:rFonts w:ascii="仿宋_GB2312" w:hAnsi="宋体" w:cs="仿宋_GB2312"/>
        </w:rPr>
        <w:t xml:space="preserve">  </w:t>
      </w:r>
      <w:r>
        <w:rPr>
          <w:rFonts w:hint="eastAsia" w:ascii="仿宋_GB2312" w:hAnsi="宋体" w:cs="仿宋_GB2312"/>
          <w:spacing w:val="2"/>
        </w:rPr>
        <w:t>指企业的交易性金融资产、交易性金融负债，以及采用公允价值模式计量的投资性房地产、衍生工具、套期保值业务等公允价值变动形成的应计入当期损益的利得或损失。根据会计</w:t>
      </w:r>
      <w:r>
        <w:rPr>
          <w:rFonts w:ascii="仿宋_GB2312" w:hAnsi="宋体" w:cs="仿宋_GB2312"/>
          <w:spacing w:val="2"/>
        </w:rPr>
        <w:t>“</w:t>
      </w:r>
      <w:r>
        <w:rPr>
          <w:rFonts w:hint="eastAsia" w:ascii="仿宋_GB2312" w:hAnsi="宋体" w:cs="仿宋_GB2312"/>
          <w:spacing w:val="2"/>
        </w:rPr>
        <w:t>利润表</w:t>
      </w:r>
      <w:r>
        <w:rPr>
          <w:rFonts w:ascii="仿宋_GB2312" w:hAnsi="宋体" w:cs="仿宋_GB2312"/>
          <w:spacing w:val="2"/>
        </w:rPr>
        <w:t>”</w:t>
      </w:r>
      <w:r>
        <w:rPr>
          <w:rFonts w:hint="eastAsia" w:ascii="仿宋_GB2312" w:hAnsi="宋体" w:cs="仿宋_GB2312"/>
          <w:spacing w:val="2"/>
        </w:rPr>
        <w:t>中</w:t>
      </w:r>
      <w:r>
        <w:rPr>
          <w:rFonts w:ascii="仿宋_GB2312" w:hAnsi="宋体" w:cs="仿宋_GB2312"/>
          <w:spacing w:val="2"/>
        </w:rPr>
        <w:t>“</w:t>
      </w:r>
      <w:r>
        <w:rPr>
          <w:rFonts w:hint="eastAsia" w:ascii="仿宋_GB2312" w:hAnsi="宋体" w:cs="仿宋_GB2312"/>
          <w:spacing w:val="2"/>
        </w:rPr>
        <w:t>公允价值变动收益</w:t>
      </w:r>
      <w:r>
        <w:rPr>
          <w:rFonts w:ascii="仿宋_GB2312" w:hAnsi="宋体" w:cs="仿宋_GB2312"/>
          <w:spacing w:val="2"/>
        </w:rPr>
        <w:t>”</w:t>
      </w:r>
      <w:r>
        <w:rPr>
          <w:rFonts w:hint="eastAsia" w:ascii="仿宋_GB2312" w:hAnsi="宋体" w:cs="仿宋_GB2312"/>
          <w:spacing w:val="2"/>
        </w:rPr>
        <w:t>项目的本年累计数填报，如果会计“利润表”未设置该项目，填</w:t>
      </w:r>
      <w:r>
        <w:rPr>
          <w:rFonts w:hint="eastAsia" w:ascii="宋体" w:hAnsi="宋体" w:cs="宋体"/>
          <w:spacing w:val="2"/>
          <w:szCs w:val="21"/>
        </w:rPr>
        <w:t>0</w:t>
      </w:r>
      <w:r>
        <w:rPr>
          <w:rFonts w:hint="eastAsia" w:ascii="仿宋_GB2312" w:hAnsi="宋体" w:cs="仿宋_GB2312"/>
          <w:spacing w:val="2"/>
        </w:rPr>
        <w:t>。</w:t>
      </w:r>
    </w:p>
    <w:p>
      <w:pPr>
        <w:spacing w:line="360" w:lineRule="exact"/>
        <w:ind w:firstLine="420" w:firstLineChars="200"/>
        <w:rPr>
          <w:rFonts w:ascii="仿宋_GB2312" w:hAnsi="宋体" w:cs="宋体"/>
        </w:rPr>
      </w:pPr>
      <w:r>
        <w:rPr>
          <w:rFonts w:hint="eastAsia" w:ascii="黑体" w:hAnsi="宋体" w:eastAsia="黑体" w:cs="黑体"/>
        </w:rPr>
        <w:t>投资收益</w:t>
      </w:r>
      <w:r>
        <w:rPr>
          <w:rFonts w:ascii="仿宋_GB2312" w:hAnsi="宋体" w:cs="仿宋_GB2312"/>
        </w:rPr>
        <w:t xml:space="preserve">  </w:t>
      </w:r>
      <w:r>
        <w:rPr>
          <w:rFonts w:hint="eastAsia" w:ascii="仿宋_GB2312" w:hAnsi="宋体" w:cs="宋体"/>
        </w:rPr>
        <w:t>指企业确认的投资收益或投资损失，反映企业以各种方式对外投资所取得的收益。根据会计“利润表”中“投资收益”项目的本年累计数填报。如为投资损失以“</w:t>
      </w:r>
      <w:r>
        <w:rPr>
          <w:rFonts w:ascii="仿宋_GB2312" w:hAnsi="宋体" w:cs="仿宋_GB2312"/>
        </w:rPr>
        <w:t>-</w:t>
      </w:r>
      <w:r>
        <w:rPr>
          <w:rFonts w:hint="eastAsia" w:ascii="仿宋_GB2312" w:hAnsi="宋体" w:cs="宋体"/>
        </w:rPr>
        <w:t>”号记。</w:t>
      </w:r>
    </w:p>
    <w:p>
      <w:pPr>
        <w:snapToGrid w:val="0"/>
        <w:spacing w:line="360" w:lineRule="exact"/>
        <w:ind w:firstLine="420" w:firstLineChars="200"/>
        <w:rPr>
          <w:rFonts w:ascii="宋体" w:cs="宋体"/>
          <w:szCs w:val="21"/>
        </w:rPr>
      </w:pPr>
      <w:r>
        <w:rPr>
          <w:rFonts w:hint="eastAsia" w:ascii="黑体" w:hAnsi="宋体" w:eastAsia="黑体" w:cs="黑体"/>
          <w:szCs w:val="21"/>
        </w:rPr>
        <w:t>净敞口套期收益</w:t>
      </w:r>
      <w:r>
        <w:rPr>
          <w:rFonts w:ascii="宋体" w:hAnsi="宋体" w:cs="宋体"/>
          <w:szCs w:val="21"/>
        </w:rPr>
        <w:t xml:space="preserve">  </w:t>
      </w:r>
      <w:r>
        <w:rPr>
          <w:rFonts w:hint="eastAsia" w:ascii="宋体" w:hAnsi="宋体" w:cs="宋体"/>
          <w:szCs w:val="21"/>
        </w:rPr>
        <w:t>指净敞口套期下被套期项目累计公允价值变动转入当期损益的金额或现金流量套期储备转入当期损益的金额。根据会计“利润表”中“净敞口套期收益”项目的本年累计数填报。如果会计“利润表”未设置该项目，填</w:t>
      </w:r>
      <w:r>
        <w:rPr>
          <w:rFonts w:ascii="宋体" w:cs="宋体"/>
          <w:szCs w:val="21"/>
        </w:rPr>
        <w:t>0</w:t>
      </w:r>
      <w:r>
        <w:rPr>
          <w:rFonts w:hint="eastAsia" w:ascii="宋体" w:hAnsi="宋体" w:cs="宋体"/>
          <w:szCs w:val="21"/>
        </w:rPr>
        <w:t>。</w:t>
      </w:r>
    </w:p>
    <w:p>
      <w:pPr>
        <w:spacing w:line="360" w:lineRule="exact"/>
        <w:ind w:firstLine="420" w:firstLineChars="200"/>
        <w:rPr>
          <w:rFonts w:hint="eastAsia" w:ascii="仿宋_GB2312" w:hAnsi="宋体"/>
        </w:rPr>
      </w:pPr>
      <w:r>
        <w:rPr>
          <w:rFonts w:hint="eastAsia" w:ascii="黑体" w:hAnsi="宋体" w:eastAsia="黑体" w:cs="黑体"/>
          <w:szCs w:val="21"/>
        </w:rPr>
        <w:t>资产处置收益</w:t>
      </w:r>
      <w:r>
        <w:rPr>
          <w:rFonts w:hint="eastAsia" w:ascii="宋体" w:hAnsi="宋体" w:cs="宋体"/>
          <w:szCs w:val="21"/>
        </w:rPr>
        <w:t xml:space="preserve">  指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pPr>
        <w:spacing w:line="360" w:lineRule="exact"/>
        <w:ind w:firstLine="420" w:firstLineChars="200"/>
        <w:rPr>
          <w:rFonts w:ascii="宋体" w:hAnsi="宋体" w:cs="宋体"/>
        </w:rPr>
      </w:pPr>
      <w:r>
        <w:rPr>
          <w:rFonts w:hint="eastAsia" w:ascii="黑体" w:hAnsi="宋体" w:eastAsia="黑体" w:cs="黑体"/>
        </w:rPr>
        <w:t>其他收益</w:t>
      </w:r>
      <w:r>
        <w:rPr>
          <w:rFonts w:ascii="仿宋_GB2312" w:hAnsi="宋体" w:cs="仿宋_GB2312"/>
        </w:rPr>
        <w:t xml:space="preserve">  </w:t>
      </w:r>
      <w:r>
        <w:rPr>
          <w:rFonts w:hint="eastAsia" w:ascii="宋体" w:hAnsi="宋体" w:cs="宋体"/>
        </w:rPr>
        <w:t>指计入其他收益的政府补助，以及其他与日常活动相关且计入其他收益的项目。根据会计“利润表”中“其他收益”项目的本年累计数填报。如果会计“利润表”未设置该项目，填0。</w:t>
      </w:r>
    </w:p>
    <w:p>
      <w:pPr>
        <w:spacing w:line="360" w:lineRule="exact"/>
        <w:ind w:firstLine="420" w:firstLineChars="200"/>
        <w:rPr>
          <w:rFonts w:hint="eastAsia" w:ascii="宋体" w:hAnsi="宋体"/>
          <w:szCs w:val="21"/>
        </w:rPr>
      </w:pPr>
      <w:r>
        <w:rPr>
          <w:rFonts w:hint="eastAsia" w:ascii="黑体" w:hAnsi="宋体" w:eastAsia="黑体"/>
          <w:szCs w:val="21"/>
        </w:rPr>
        <w:t xml:space="preserve">营业利润  </w:t>
      </w:r>
      <w:r>
        <w:rPr>
          <w:rFonts w:hint="eastAsia" w:ascii="宋体" w:hAnsi="宋体" w:cs="宋体"/>
          <w:szCs w:val="21"/>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spacing w:afterLines="0" w:line="360" w:lineRule="exact"/>
        <w:ind w:firstLine="420" w:firstLineChars="200"/>
        <w:rPr>
          <w:rFonts w:hint="eastAsia" w:ascii="宋体" w:hAnsi="宋体" w:cs="宋体"/>
        </w:rPr>
      </w:pPr>
      <w:r>
        <w:rPr>
          <w:rFonts w:hint="eastAsia" w:ascii="黑体" w:hAnsi="宋体" w:eastAsia="黑体" w:cs="黑体"/>
        </w:rPr>
        <w:t>营业外收入</w:t>
      </w:r>
      <w:r>
        <w:rPr>
          <w:rFonts w:ascii="宋体" w:hAnsi="宋体" w:cs="宋体"/>
        </w:rPr>
        <w:t xml:space="preserve">  </w:t>
      </w:r>
      <w:r>
        <w:rPr>
          <w:rFonts w:hint="eastAsia" w:ascii="宋体" w:hAnsi="宋体" w:cs="宋体"/>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根据会计“损益表”中“营业外收入”项目、“补贴</w:t>
      </w:r>
      <w:r>
        <w:rPr>
          <w:rFonts w:ascii="宋体" w:hAnsi="宋体" w:cs="宋体"/>
        </w:rPr>
        <w:t>收入”</w:t>
      </w:r>
      <w:r>
        <w:rPr>
          <w:rFonts w:hint="eastAsia" w:ascii="宋体" w:hAnsi="宋体" w:cs="宋体"/>
        </w:rPr>
        <w:t>项目</w:t>
      </w:r>
      <w:r>
        <w:rPr>
          <w:rFonts w:ascii="宋体" w:hAnsi="宋体" w:cs="宋体"/>
        </w:rPr>
        <w:t>的</w:t>
      </w:r>
      <w:r>
        <w:rPr>
          <w:rFonts w:hint="eastAsia" w:ascii="宋体" w:hAnsi="宋体" w:cs="宋体"/>
        </w:rPr>
        <w:t>本年累计数之和填报。</w:t>
      </w:r>
    </w:p>
    <w:p>
      <w:pPr>
        <w:pStyle w:val="2"/>
        <w:spacing w:after="0"/>
        <w:ind w:left="0" w:leftChars="0" w:firstLine="420" w:firstLineChars="200"/>
        <w:rPr>
          <w:rFonts w:hint="eastAsia"/>
          <w:highlight w:val="yellow"/>
        </w:rPr>
      </w:pPr>
      <w:r>
        <w:rPr>
          <w:rFonts w:hint="eastAsia" w:ascii="黑体" w:hAnsi="黑体" w:eastAsia="黑体" w:cs="黑体"/>
          <w:highlight w:val="none"/>
        </w:rPr>
        <w:t>营业外支出</w:t>
      </w:r>
      <w:r>
        <w:rPr>
          <w:rFonts w:hint="eastAsia"/>
          <w:highlight w:val="none"/>
        </w:rPr>
        <w:t xml:space="preserve">  指企业发生的除营业利润以外的支出，主要包括公益性捐赠支出、非常损失、盘亏损失、非流动资产毁损报废损失等。根据会计“利润表”中“营业外支出”项目的本年累计数填报。</w:t>
      </w:r>
    </w:p>
    <w:p>
      <w:pPr>
        <w:spacing w:afterLines="0" w:line="360" w:lineRule="exact"/>
        <w:ind w:firstLine="420" w:firstLineChars="200"/>
        <w:rPr>
          <w:rFonts w:hint="eastAsia" w:ascii="宋体" w:hAnsi="宋体" w:cs="宋体"/>
          <w:highlight w:val="yellow"/>
        </w:rPr>
      </w:pPr>
      <w:r>
        <w:rPr>
          <w:rFonts w:hint="eastAsia" w:ascii="黑体" w:hAnsi="宋体" w:eastAsia="黑体" w:cs="黑体"/>
        </w:rPr>
        <w:t>利润总额</w:t>
      </w:r>
      <w:r>
        <w:rPr>
          <w:rFonts w:ascii="宋体" w:hAnsi="宋体" w:cs="宋体"/>
        </w:rPr>
        <w:t xml:space="preserve">  </w:t>
      </w:r>
      <w:r>
        <w:rPr>
          <w:rFonts w:hint="eastAsia" w:ascii="宋体" w:hAnsi="宋体" w:cs="宋体"/>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spacing w:line="360" w:lineRule="exact"/>
        <w:ind w:firstLine="420" w:firstLineChars="200"/>
        <w:rPr>
          <w:rFonts w:hint="eastAsia" w:ascii="宋体" w:hAnsi="宋体"/>
        </w:rPr>
      </w:pPr>
      <w:r>
        <w:rPr>
          <w:rFonts w:hint="eastAsia" w:ascii="黑体" w:hAnsi="宋体" w:eastAsia="黑体" w:cs="黑体"/>
        </w:rPr>
        <w:t>所得税费用</w:t>
      </w:r>
      <w:r>
        <w:rPr>
          <w:rFonts w:ascii="仿宋_GB2312" w:hAnsi="宋体" w:cs="仿宋_GB2312"/>
        </w:rPr>
        <w:t xml:space="preserve">  </w:t>
      </w:r>
      <w:r>
        <w:rPr>
          <w:rFonts w:hint="eastAsia" w:ascii="宋体" w:hAnsi="宋体" w:cs="宋体"/>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w:t>
      </w:r>
      <w:r>
        <w:rPr>
          <w:rFonts w:ascii="宋体" w:hAnsi="宋体" w:cs="宋体"/>
        </w:rPr>
        <w:t>累计</w:t>
      </w:r>
      <w:r>
        <w:rPr>
          <w:rFonts w:hint="eastAsia" w:ascii="宋体" w:hAnsi="宋体" w:cs="宋体"/>
        </w:rPr>
        <w:t>数填报；执行其他企业会计制度的企业，根据会计“损益表”中“所得税”项目的本年</w:t>
      </w:r>
      <w:r>
        <w:rPr>
          <w:rFonts w:ascii="宋体" w:hAnsi="宋体" w:cs="宋体"/>
        </w:rPr>
        <w:t>累计</w:t>
      </w:r>
      <w:r>
        <w:rPr>
          <w:rFonts w:hint="eastAsia" w:ascii="宋体" w:hAnsi="宋体" w:cs="宋体"/>
        </w:rPr>
        <w:t>数填报</w:t>
      </w:r>
      <w:r>
        <w:rPr>
          <w:rFonts w:hint="eastAsia" w:ascii="宋体" w:hAnsi="宋体" w:cs="宋体"/>
          <w:kern w:val="0"/>
          <w:sz w:val="22"/>
        </w:rPr>
        <w:t>。</w:t>
      </w:r>
    </w:p>
    <w:p>
      <w:pPr>
        <w:snapToGrid w:val="0"/>
        <w:spacing w:line="360" w:lineRule="exact"/>
        <w:ind w:firstLine="420" w:firstLineChars="200"/>
        <w:rPr>
          <w:rFonts w:ascii="宋体" w:cs="宋体"/>
          <w:kern w:val="0"/>
          <w:szCs w:val="21"/>
        </w:rPr>
      </w:pPr>
      <w:r>
        <w:rPr>
          <w:rFonts w:hint="eastAsia" w:ascii="黑体" w:hAnsi="宋体" w:eastAsia="黑体" w:cs="黑体"/>
        </w:rPr>
        <w:t>应付职工薪酬（本</w:t>
      </w:r>
      <w:r>
        <w:rPr>
          <w:rFonts w:hint="eastAsia" w:ascii="黑体" w:hAnsi="宋体" w:eastAsia="黑体" w:cs="黑体"/>
          <w:lang w:eastAsia="zh-CN"/>
        </w:rPr>
        <w:t>年</w:t>
      </w:r>
      <w:r>
        <w:rPr>
          <w:rFonts w:hint="eastAsia" w:ascii="黑体" w:hAnsi="宋体" w:eastAsia="黑体" w:cs="黑体"/>
        </w:rPr>
        <w:t xml:space="preserve">贷方累计发生额）  </w:t>
      </w:r>
      <w:r>
        <w:rPr>
          <w:rFonts w:hint="eastAsia" w:ascii="宋体" w:cs="宋体"/>
          <w:kern w:val="0"/>
          <w:szCs w:val="21"/>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其中，社会保险和住房公积金应包括单位和个人负担部分。</w:t>
      </w:r>
    </w:p>
    <w:p>
      <w:pPr>
        <w:snapToGrid w:val="0"/>
        <w:spacing w:line="360" w:lineRule="exact"/>
        <w:ind w:firstLine="420" w:firstLineChars="200"/>
        <w:rPr>
          <w:rFonts w:hint="eastAsia" w:ascii="宋体" w:cs="宋体"/>
          <w:kern w:val="0"/>
          <w:szCs w:val="21"/>
        </w:rPr>
      </w:pPr>
      <w:r>
        <w:rPr>
          <w:rFonts w:hint="eastAsia" w:ascii="宋体" w:cs="宋体"/>
          <w:kern w:val="0"/>
          <w:szCs w:val="21"/>
        </w:rPr>
        <w:t>“应付职工薪酬”应包含“劳务派遣人员薪酬”。如果企业没有劳务派遣人员或“应付职工薪酬”会计科目核算范围已包含“劳务派遣人员薪酬”，但不设置明细科目单独核算，而是按类别拆分，分别计入“应付职工薪酬”会计科目下的工资、奖金、津贴和补贴、福利费等明细科目，执行企业会计准则或《小企业会计准则》的企业，根据财务报告“应付职工薪酬列示”合计项本期增加额，或会计“应付职工薪酬”科目本期贷方累计发生额填报；执行其他企业会计制度的企业或“应付职工薪酬”科目内容与统计口径不一致的，需按统计口径归并填报。如果企业“应付职工薪酬”会计科目的核算范围不包含“劳务派遣人员薪酬”，则应加“劳务派遣人员薪酬”后填报“应付职工薪酬”统计指标。“劳务派遣人员薪酬”不含因使用劳务派遣人员而支付的管理费用和其他用工成本。</w:t>
      </w:r>
    </w:p>
    <w:p>
      <w:pPr>
        <w:spacing w:line="360" w:lineRule="exact"/>
        <w:ind w:firstLine="420" w:firstLineChars="200"/>
        <w:rPr>
          <w:rFonts w:hint="eastAsia" w:ascii="仿宋_GB2312" w:hAnsi="宋体" w:cs="仿宋_GB2312"/>
          <w:spacing w:val="2"/>
        </w:rPr>
      </w:pPr>
      <w:r>
        <w:rPr>
          <w:rFonts w:hint="eastAsia" w:ascii="宋体" w:cs="宋体"/>
          <w:kern w:val="0"/>
          <w:szCs w:val="21"/>
        </w:rPr>
        <w:t>无论用工单位是否直接支付劳动报酬，“劳务派遣人员薪酬”均由实际用工法人单位（派遣人员使用方）填报，而劳务派遣单位（派遣人员派出方）不填报。劳务外包人员薪酬由劳务承包法人单位（外包人员派出方）填报，劳务发包法人单位（外包人员使用方）不填报。</w:t>
      </w:r>
    </w:p>
    <w:p>
      <w:pPr>
        <w:spacing w:line="360" w:lineRule="exact"/>
        <w:ind w:firstLine="420" w:firstLineChars="200"/>
        <w:rPr>
          <w:rFonts w:hint="eastAsia" w:ascii="宋体" w:cs="宋体"/>
          <w:kern w:val="0"/>
          <w:szCs w:val="21"/>
        </w:rPr>
      </w:pPr>
      <w:r>
        <w:rPr>
          <w:rFonts w:hint="eastAsia" w:ascii="黑体" w:hAnsi="宋体" w:eastAsia="黑体" w:cs="黑体"/>
        </w:rPr>
        <w:t>应交增值税（本</w:t>
      </w:r>
      <w:r>
        <w:rPr>
          <w:rFonts w:hint="eastAsia" w:ascii="黑体" w:hAnsi="宋体" w:eastAsia="黑体" w:cs="黑体"/>
          <w:lang w:eastAsia="zh-CN"/>
        </w:rPr>
        <w:t>年</w:t>
      </w:r>
      <w:r>
        <w:rPr>
          <w:rFonts w:hint="eastAsia" w:ascii="黑体" w:hAnsi="宋体" w:eastAsia="黑体" w:cs="黑体"/>
        </w:rPr>
        <w:t xml:space="preserve">累计发生额） </w:t>
      </w:r>
      <w:r>
        <w:rPr>
          <w:rFonts w:hint="eastAsia" w:ascii="宋体" w:hAnsi="宋体" w:cs="黑体"/>
        </w:rPr>
        <w:t xml:space="preserve"> </w:t>
      </w:r>
      <w:r>
        <w:rPr>
          <w:rFonts w:hint="eastAsia" w:ascii="宋体" w:cs="宋体"/>
          <w:kern w:val="0"/>
          <w:szCs w:val="21"/>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spacing w:line="360" w:lineRule="exact"/>
        <w:ind w:firstLine="420" w:firstLineChars="200"/>
        <w:rPr>
          <w:rFonts w:hint="eastAsia" w:ascii="宋体" w:cs="宋体"/>
          <w:kern w:val="0"/>
          <w:szCs w:val="21"/>
        </w:rPr>
      </w:pPr>
      <w:r>
        <w:rPr>
          <w:rFonts w:hint="eastAsia" w:ascii="黑体" w:hAnsi="宋体" w:eastAsia="黑体" w:cs="黑体"/>
          <w:szCs w:val="21"/>
        </w:rPr>
        <w:t>方法一：</w:t>
      </w:r>
      <w:r>
        <w:rPr>
          <w:rFonts w:hint="eastAsia" w:ascii="宋体" w:cs="宋体"/>
          <w:kern w:val="0"/>
          <w:szCs w:val="21"/>
        </w:rPr>
        <w:t>根据本期会计科目“销项税额”、“进项税额转出”、“出口退税”、“简易计税”年初至期末贷方累计发生额，“进项税额”、“出口抵减内销产品应纳税额”、“减免税款”年初至期末借方累计发生额</w:t>
      </w:r>
      <w:r>
        <w:rPr>
          <w:rFonts w:ascii="宋体" w:cs="宋体"/>
          <w:kern w:val="0"/>
          <w:szCs w:val="21"/>
          <w:lang w:val="en"/>
        </w:rPr>
        <w:t>，</w:t>
      </w:r>
      <w:r>
        <w:rPr>
          <w:rFonts w:hint="eastAsia" w:ascii="宋体" w:cs="宋体"/>
          <w:kern w:val="0"/>
          <w:szCs w:val="21"/>
        </w:rPr>
        <w:t>取值后按照下述公式计算填报：</w:t>
      </w:r>
    </w:p>
    <w:p>
      <w:pPr>
        <w:spacing w:line="360" w:lineRule="exact"/>
        <w:ind w:firstLine="420" w:firstLineChars="200"/>
        <w:rPr>
          <w:rFonts w:ascii="宋体" w:cs="宋体"/>
          <w:kern w:val="0"/>
          <w:szCs w:val="21"/>
        </w:rPr>
      </w:pPr>
      <w:r>
        <w:rPr>
          <w:rFonts w:ascii="宋体" w:cs="宋体"/>
          <w:kern w:val="0"/>
          <w:szCs w:val="21"/>
          <w:lang w:val="en"/>
        </w:rPr>
        <w:t>应交</w:t>
      </w:r>
      <w:r>
        <w:rPr>
          <w:rFonts w:hint="eastAsia" w:ascii="宋体" w:cs="宋体"/>
          <w:kern w:val="0"/>
          <w:szCs w:val="21"/>
          <w:lang w:val="en"/>
        </w:rPr>
        <w:t>增值税（本期累计发生额）</w:t>
      </w:r>
      <w:r>
        <w:rPr>
          <w:rFonts w:ascii="宋体" w:cs="宋体"/>
          <w:kern w:val="0"/>
          <w:szCs w:val="21"/>
        </w:rPr>
        <w:t>=</w:t>
      </w:r>
      <w:r>
        <w:rPr>
          <w:rFonts w:hint="eastAsia" w:ascii="宋体" w:cs="宋体"/>
          <w:kern w:val="0"/>
          <w:szCs w:val="21"/>
        </w:rPr>
        <w:t>销项税额－（进项税额－进项税额转出）－出口抵减内销产品应纳税额－减免税款</w:t>
      </w:r>
      <w:r>
        <w:rPr>
          <w:rFonts w:ascii="宋体" w:cs="宋体"/>
          <w:kern w:val="0"/>
          <w:szCs w:val="21"/>
        </w:rPr>
        <w:t>+</w:t>
      </w:r>
      <w:r>
        <w:rPr>
          <w:rFonts w:hint="eastAsia" w:ascii="宋体" w:cs="宋体"/>
          <w:kern w:val="0"/>
          <w:szCs w:val="21"/>
        </w:rPr>
        <w:t>出口退税+简易计税</w:t>
      </w:r>
    </w:p>
    <w:p>
      <w:pPr>
        <w:spacing w:line="360" w:lineRule="exact"/>
        <w:ind w:firstLine="420" w:firstLineChars="200"/>
        <w:rPr>
          <w:rFonts w:hint="eastAsia" w:ascii="宋体" w:cs="宋体"/>
          <w:kern w:val="0"/>
          <w:szCs w:val="21"/>
        </w:rPr>
      </w:pPr>
      <w:r>
        <w:rPr>
          <w:rFonts w:hint="eastAsia" w:ascii="黑体" w:hAnsi="宋体" w:eastAsia="黑体" w:cs="黑体"/>
          <w:szCs w:val="21"/>
        </w:rPr>
        <w:t>方法二：</w:t>
      </w:r>
      <w:r>
        <w:rPr>
          <w:rFonts w:hint="eastAsia" w:ascii="宋体" w:cs="宋体"/>
          <w:kern w:val="0"/>
          <w:szCs w:val="21"/>
        </w:rPr>
        <w:t>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一般项目”列中“本年累计”列，各期附表4“税额抵减情况表”（第6行第2列减第3列）“本期发生额”-“本期调减额”的本期累计数（政策有效期内，符合加计抵减条件的企业填报），按照下述公式计算填报：</w:t>
      </w:r>
    </w:p>
    <w:p>
      <w:pPr>
        <w:spacing w:line="360" w:lineRule="exact"/>
        <w:ind w:firstLine="420" w:firstLineChars="200"/>
        <w:rPr>
          <w:rFonts w:hint="eastAsia" w:ascii="宋体" w:cs="宋体"/>
          <w:kern w:val="0"/>
          <w:szCs w:val="21"/>
        </w:rPr>
      </w:pPr>
      <w:r>
        <w:rPr>
          <w:rFonts w:ascii="宋体" w:cs="宋体"/>
          <w:kern w:val="0"/>
          <w:szCs w:val="21"/>
          <w:lang w:val="en"/>
        </w:rPr>
        <w:t>应交</w:t>
      </w:r>
      <w:r>
        <w:rPr>
          <w:rFonts w:hint="eastAsia" w:ascii="宋体" w:cs="宋体"/>
          <w:kern w:val="0"/>
          <w:szCs w:val="21"/>
          <w:lang w:val="en"/>
        </w:rPr>
        <w:t>增值税（本期累计发生额）</w:t>
      </w:r>
      <w:r>
        <w:rPr>
          <w:rFonts w:ascii="宋体" w:cs="宋体"/>
          <w:kern w:val="0"/>
          <w:szCs w:val="21"/>
        </w:rPr>
        <w:t>=</w:t>
      </w:r>
      <w:r>
        <w:rPr>
          <w:rFonts w:hint="eastAsia" w:ascii="宋体" w:cs="宋体"/>
          <w:kern w:val="0"/>
          <w:szCs w:val="21"/>
        </w:rPr>
        <w:t>销项税额－（进项税额－进项税额转出－免、抵、退应退税额）</w:t>
      </w:r>
      <w:r>
        <w:rPr>
          <w:rFonts w:ascii="宋体" w:cs="宋体"/>
          <w:kern w:val="0"/>
          <w:szCs w:val="21"/>
        </w:rPr>
        <w:t>+</w:t>
      </w:r>
      <w:r>
        <w:rPr>
          <w:rFonts w:hint="eastAsia" w:ascii="宋体" w:cs="宋体"/>
          <w:kern w:val="0"/>
          <w:szCs w:val="21"/>
        </w:rPr>
        <w:t>简易计税办法计算的应纳税额</w:t>
      </w:r>
      <w:r>
        <w:rPr>
          <w:rFonts w:ascii="宋体" w:cs="宋体"/>
          <w:kern w:val="0"/>
          <w:szCs w:val="21"/>
        </w:rPr>
        <w:t>+</w:t>
      </w:r>
      <w:r>
        <w:rPr>
          <w:rFonts w:hint="eastAsia" w:ascii="宋体" w:cs="宋体"/>
          <w:kern w:val="0"/>
          <w:szCs w:val="21"/>
        </w:rPr>
        <w:t>按简易计税办法计算的纳税检查应补缴税额－应纳税额减征额-加计抵减额</w:t>
      </w:r>
    </w:p>
    <w:p>
      <w:pPr>
        <w:spacing w:line="360" w:lineRule="exact"/>
        <w:ind w:firstLine="420" w:firstLineChars="200"/>
        <w:rPr>
          <w:rFonts w:hint="eastAsia" w:ascii="宋体" w:cs="宋体"/>
          <w:kern w:val="0"/>
          <w:szCs w:val="21"/>
        </w:rPr>
      </w:pPr>
      <w:r>
        <w:rPr>
          <w:rFonts w:hint="eastAsia" w:ascii="宋体" w:cs="宋体"/>
          <w:kern w:val="0"/>
          <w:szCs w:val="21"/>
        </w:rPr>
        <w:t>计算方法说明及填报要求：</w:t>
      </w:r>
    </w:p>
    <w:p>
      <w:pPr>
        <w:spacing w:line="360" w:lineRule="exact"/>
        <w:ind w:firstLine="420" w:firstLineChars="200"/>
        <w:rPr>
          <w:rFonts w:hint="eastAsia" w:ascii="宋体" w:cs="宋体"/>
          <w:kern w:val="0"/>
          <w:szCs w:val="21"/>
        </w:rPr>
      </w:pPr>
      <w:r>
        <w:rPr>
          <w:rFonts w:hint="eastAsia" w:ascii="宋体" w:cs="宋体"/>
          <w:kern w:val="0"/>
          <w:szCs w:val="21"/>
        </w:rPr>
        <w:t>（1）计算公式均体现权责发生制，本期发生的进项税额全部参与计算，相当于不设置留抵，同时也不抵扣会计账簿或增值税纳税申报表中上年年末留抵的进项税额，公式计算结果可以为负数。</w:t>
      </w:r>
    </w:p>
    <w:p>
      <w:pPr>
        <w:spacing w:line="360" w:lineRule="exact"/>
        <w:ind w:firstLine="420" w:firstLineChars="200"/>
        <w:rPr>
          <w:rFonts w:hint="eastAsia" w:ascii="宋体" w:hAnsi="宋体" w:cs="黑体"/>
        </w:rPr>
      </w:pPr>
      <w:r>
        <w:rPr>
          <w:rFonts w:hint="eastAsia" w:ascii="宋体" w:cs="宋体"/>
          <w:kern w:val="0"/>
          <w:szCs w:val="21"/>
        </w:rPr>
        <w:t>（2）按照公式计算本指标后，不应再加增值税减免税额，因为这部分价值不再形成企业缴纳义务。</w:t>
      </w:r>
    </w:p>
    <w:p>
      <w:pPr>
        <w:spacing w:line="360" w:lineRule="exact"/>
        <w:ind w:firstLine="390" w:firstLineChars="186"/>
        <w:rPr>
          <w:rFonts w:hint="eastAsia" w:ascii="仿宋_GB2312" w:hAnsi="宋体"/>
          <w:lang w:eastAsia="zh-CN"/>
        </w:rPr>
      </w:pPr>
      <w:r>
        <w:rPr>
          <w:rFonts w:hint="eastAsia" w:ascii="黑体" w:hAnsi="宋体" w:eastAsia="黑体" w:cs="黑体"/>
          <w:lang w:eastAsia="zh-CN"/>
        </w:rPr>
        <w:t>平均</w:t>
      </w:r>
      <w:r>
        <w:rPr>
          <w:rFonts w:hint="eastAsia" w:ascii="黑体" w:hAnsi="宋体" w:eastAsia="黑体" w:cs="黑体"/>
        </w:rPr>
        <w:t xml:space="preserve">用工人数 </w:t>
      </w:r>
      <w:r>
        <w:rPr>
          <w:rFonts w:hint="eastAsia" w:ascii="仿宋_GB2312" w:hAnsi="宋体"/>
        </w:rPr>
        <w:t xml:space="preserve"> </w:t>
      </w:r>
      <w:r>
        <w:rPr>
          <w:rFonts w:hint="eastAsia" w:ascii="仿宋_GB2312" w:hAnsi="宋体"/>
          <w:lang w:eastAsia="zh-CN"/>
        </w:rPr>
        <w:t>指报告期企业平均实际拥有的、参与本企业生产经营活动的人员数。具体计算方法参见指标解释从业人员及工资总额中从业人员平均人数的计算。</w:t>
      </w:r>
    </w:p>
    <w:p>
      <w:pPr>
        <w:pStyle w:val="2"/>
        <w:rPr>
          <w:rFonts w:hint="eastAsia"/>
          <w:lang w:eastAsia="zh-CN"/>
        </w:rPr>
      </w:pPr>
    </w:p>
    <w:p>
      <w:pPr>
        <w:tabs>
          <w:tab w:val="left" w:pos="8280"/>
        </w:tabs>
        <w:snapToGrid w:val="0"/>
        <w:spacing w:before="480" w:beforeLines="200" w:after="240" w:afterLines="100"/>
        <w:jc w:val="center"/>
        <w:outlineLvl w:val="1"/>
        <w:rPr>
          <w:rFonts w:hint="eastAsia" w:ascii="黑体" w:hAnsi="黑体" w:eastAsia="黑体"/>
          <w:highlight w:val="yellow"/>
        </w:rPr>
      </w:pPr>
      <w:r>
        <w:rPr>
          <w:rFonts w:hint="eastAsia" w:asciiTheme="minorEastAsia" w:hAnsiTheme="minorEastAsia" w:eastAsiaTheme="minorEastAsia" w:cstheme="minorEastAsia"/>
          <w:bCs w:val="0"/>
          <w:sz w:val="32"/>
          <w:szCs w:val="32"/>
          <w:lang w:eastAsia="zh-CN"/>
        </w:rPr>
        <w:t>4</w:t>
      </w:r>
      <w:r>
        <w:rPr>
          <w:rFonts w:hint="eastAsia" w:asciiTheme="minorEastAsia" w:hAnsiTheme="minorEastAsia" w:eastAsiaTheme="minorEastAsia" w:cstheme="minorEastAsia"/>
          <w:bCs w:val="0"/>
          <w:sz w:val="32"/>
          <w:szCs w:val="32"/>
          <w:lang w:val="en-US" w:eastAsia="zh-CN"/>
        </w:rPr>
        <w:t>.</w:t>
      </w:r>
      <w:r>
        <w:rPr>
          <w:rFonts w:hint="eastAsia" w:asciiTheme="minorEastAsia" w:hAnsiTheme="minorEastAsia" w:eastAsiaTheme="minorEastAsia" w:cstheme="minorEastAsia"/>
          <w:bCs w:val="0"/>
          <w:sz w:val="32"/>
          <w:szCs w:val="32"/>
          <w:highlight w:val="none"/>
        </w:rPr>
        <w:t>信息通信技术应用和数字化转型情况</w:t>
      </w:r>
    </w:p>
    <w:p>
      <w:pPr>
        <w:spacing w:line="360" w:lineRule="exact"/>
        <w:ind w:firstLine="420" w:firstLineChars="200"/>
        <w:rPr>
          <w:rFonts w:ascii="宋体" w:hAnsi="宋体" w:cs="宋体"/>
        </w:rPr>
      </w:pPr>
      <w:r>
        <w:rPr>
          <w:rFonts w:hint="eastAsia" w:ascii="宋体" w:hAnsi="宋体" w:eastAsia="黑体" w:cs="宋体"/>
        </w:rPr>
        <w:t xml:space="preserve">信息技术人员 </w:t>
      </w:r>
      <w:r>
        <w:rPr>
          <w:rFonts w:ascii="宋体" w:hAnsi="宋体" w:eastAsia="黑体" w:cs="宋体"/>
        </w:rPr>
        <w:t xml:space="preserve"> </w:t>
      </w:r>
      <w:r>
        <w:rPr>
          <w:rFonts w:hint="eastAsia" w:ascii="宋体" w:hAnsi="宋体" w:cs="宋体"/>
        </w:rPr>
        <w:t>是指</w:t>
      </w:r>
      <w:r>
        <w:rPr>
          <w:rFonts w:ascii="宋体" w:hAnsi="宋体" w:cs="宋体"/>
        </w:rPr>
        <w:t>在企业领取</w:t>
      </w:r>
      <w:r>
        <w:rPr>
          <w:rFonts w:hint="eastAsia" w:ascii="宋体" w:hAnsi="宋体" w:cs="宋体"/>
        </w:rPr>
        <w:t>报酬</w:t>
      </w:r>
      <w:r>
        <w:rPr>
          <w:rFonts w:ascii="宋体" w:hAnsi="宋体" w:cs="宋体"/>
        </w:rPr>
        <w:t>的，</w:t>
      </w:r>
      <w:r>
        <w:rPr>
          <w:rFonts w:hint="eastAsia" w:ascii="宋体" w:hAnsi="宋体" w:cs="宋体"/>
        </w:rPr>
        <w:t>专职从事</w:t>
      </w:r>
      <w:r>
        <w:rPr>
          <w:rFonts w:ascii="宋体" w:hAnsi="宋体" w:cs="宋体"/>
        </w:rPr>
        <w:t>信息技术相关工作的</w:t>
      </w:r>
      <w:r>
        <w:rPr>
          <w:rFonts w:hint="eastAsia" w:ascii="宋体" w:hAnsi="宋体" w:cs="宋体"/>
        </w:rPr>
        <w:t>人员。</w:t>
      </w:r>
      <w:r>
        <w:rPr>
          <w:rFonts w:ascii="宋体" w:hAnsi="宋体" w:cs="宋体"/>
        </w:rPr>
        <w:t>可以是全职人员，也可以是兼职人员</w:t>
      </w:r>
      <w:r>
        <w:rPr>
          <w:rFonts w:hint="eastAsia" w:ascii="宋体" w:hAnsi="宋体" w:cs="宋体"/>
        </w:rPr>
        <w:t>。</w:t>
      </w:r>
      <w:r>
        <w:rPr>
          <w:rFonts w:ascii="宋体" w:hAnsi="宋体" w:cs="宋体"/>
        </w:rPr>
        <w:t>信息技术</w:t>
      </w:r>
      <w:r>
        <w:rPr>
          <w:rFonts w:hint="eastAsia" w:ascii="宋体" w:hAnsi="宋体" w:cs="宋体"/>
        </w:rPr>
        <w:t>相关</w:t>
      </w:r>
      <w:r>
        <w:rPr>
          <w:rFonts w:ascii="宋体" w:hAnsi="宋体" w:cs="宋体"/>
        </w:rPr>
        <w:t>工作包括</w:t>
      </w:r>
      <w:r>
        <w:rPr>
          <w:rFonts w:hint="eastAsia" w:ascii="宋体" w:hAnsi="宋体" w:cs="宋体"/>
        </w:rPr>
        <w:t>维护ICT基础设施（服务器、计算机、打印机、网络），支持办公软件（如文字处理器、电子表格等），开发业务管理软件/系统，支持业务管理软件/系统（如ERP、CRM、HR、数据库），开发Web解决方案（如开发本企业的网站、应用程序、电子商务解决方案等），支持Web解决方案（如支持本企业的网站、应用程序、电子商务解决方案等），ICT安全和数据保护（如安全测试、安全培训、解决ICT安全事件等）。企业</w:t>
      </w:r>
      <w:r>
        <w:rPr>
          <w:rFonts w:ascii="宋体" w:hAnsi="宋体" w:cs="宋体"/>
        </w:rPr>
        <w:t>因购买软硬件及其他信息技术</w:t>
      </w:r>
      <w:r>
        <w:rPr>
          <w:rFonts w:hint="eastAsia" w:ascii="宋体" w:hAnsi="宋体" w:cs="宋体"/>
        </w:rPr>
        <w:t>服务</w:t>
      </w:r>
      <w:r>
        <w:rPr>
          <w:rFonts w:ascii="宋体" w:hAnsi="宋体" w:cs="宋体"/>
        </w:rPr>
        <w:t>而导致供货方或提供技术</w:t>
      </w:r>
      <w:r>
        <w:rPr>
          <w:rFonts w:hint="eastAsia" w:ascii="宋体" w:hAnsi="宋体" w:cs="宋体"/>
        </w:rPr>
        <w:t>一</w:t>
      </w:r>
      <w:r>
        <w:rPr>
          <w:rFonts w:ascii="宋体" w:hAnsi="宋体" w:cs="宋体"/>
        </w:rPr>
        <w:t>方的法人单位向</w:t>
      </w:r>
      <w:r>
        <w:rPr>
          <w:rFonts w:hint="eastAsia" w:ascii="宋体" w:hAnsi="宋体" w:cs="宋体"/>
        </w:rPr>
        <w:t>本</w:t>
      </w:r>
      <w:r>
        <w:rPr>
          <w:rFonts w:ascii="宋体" w:hAnsi="宋体" w:cs="宋体"/>
        </w:rPr>
        <w:t>企业派驻的信息技术人员不计入本企业的</w:t>
      </w:r>
      <w:r>
        <w:rPr>
          <w:rFonts w:hint="eastAsia" w:ascii="宋体" w:hAnsi="宋体" w:cs="宋体"/>
        </w:rPr>
        <w:t>信息技术人员</w:t>
      </w:r>
      <w:r>
        <w:rPr>
          <w:rFonts w:ascii="宋体" w:hAnsi="宋体" w:cs="宋体"/>
        </w:rPr>
        <w:t>统计范围。</w:t>
      </w:r>
    </w:p>
    <w:p>
      <w:pPr>
        <w:numPr>
          <w:ilvl w:val="0"/>
          <w:numId w:val="0"/>
        </w:numPr>
        <w:spacing w:line="360" w:lineRule="exact"/>
        <w:ind w:firstLine="420" w:firstLineChars="200"/>
        <w:jc w:val="both"/>
        <w:rPr>
          <w:rFonts w:hint="eastAsia" w:ascii="宋体" w:hAnsi="宋体" w:eastAsia="宋体" w:cs="宋体"/>
          <w:sz w:val="21"/>
          <w:szCs w:val="21"/>
          <w:lang w:val="en-US" w:eastAsia="zh-CN"/>
        </w:rPr>
      </w:pPr>
      <w:r>
        <w:rPr>
          <w:rFonts w:hint="eastAsia" w:ascii="宋体" w:hAnsi="宋体" w:eastAsia="黑体" w:cs="宋体"/>
          <w:b w:val="0"/>
          <w:bCs w:val="0"/>
          <w:sz w:val="21"/>
          <w:szCs w:val="21"/>
          <w:lang w:val="en-US" w:eastAsia="zh-CN"/>
        </w:rPr>
        <w:t xml:space="preserve">数据业务人员  </w:t>
      </w:r>
      <w:r>
        <w:rPr>
          <w:rFonts w:hint="eastAsia" w:ascii="宋体" w:hAnsi="宋体" w:eastAsia="宋体" w:cs="宋体"/>
          <w:b w:val="0"/>
          <w:bCs w:val="0"/>
          <w:sz w:val="21"/>
          <w:szCs w:val="21"/>
          <w:lang w:val="en-US" w:eastAsia="zh-CN"/>
        </w:rPr>
        <w:t>是</w:t>
      </w:r>
      <w:r>
        <w:rPr>
          <w:rFonts w:hint="eastAsia" w:ascii="宋体" w:hAnsi="宋体" w:eastAsia="宋体" w:cs="宋体"/>
          <w:sz w:val="21"/>
          <w:szCs w:val="21"/>
          <w:lang w:val="en-US" w:eastAsia="zh-CN"/>
        </w:rPr>
        <w:t>指直接从事数据相关业务的人员，包括数据收集人员，例如数据录入专员、爬虫工程师、数据采集工程师，为获取数据而进行调查的调查专员等；数据加工处理人员，例如数据清洗工程师、数据库管理员等；数据分析人员，如数据科学家、数据分析师、算法工程师等。对于非全职数据业务人员，从事数据业务劳动时间占比在50%以上的人员，才视为数据业务人员。需要说明的是，一些工作涉及较多数据录入工作，但这些岗位并非专为数据生产而设，如财务人员，这些工作人员不作为数据业务人员。</w:t>
      </w:r>
    </w:p>
    <w:p>
      <w:pPr>
        <w:spacing w:line="360" w:lineRule="exact"/>
        <w:ind w:firstLine="420" w:firstLineChars="200"/>
        <w:rPr>
          <w:rFonts w:hint="eastAsia" w:ascii="宋体" w:hAnsi="宋体" w:eastAsia="黑体" w:cs="宋体"/>
        </w:rPr>
      </w:pPr>
      <w:r>
        <w:rPr>
          <w:rFonts w:hint="eastAsia" w:ascii="宋体" w:hAnsi="宋体" w:eastAsia="黑体" w:cs="宋体"/>
        </w:rPr>
        <w:t xml:space="preserve">信息化投入  </w:t>
      </w:r>
      <w:r>
        <w:rPr>
          <w:rFonts w:hint="eastAsia" w:ascii="宋体" w:hAnsi="宋体" w:cs="宋体"/>
        </w:rPr>
        <w:t>指企业生产运营过程中在信息化建设方面的投入，如开发或购买软件投入；开发或购买电信、广播电视和卫星传输服务投入；开发或购买互联网接入、搜索、安全、数据等服务投入；开发或购买集成电路设计、信息系统集成、物联网技术、运行维护、信息处理和存储支持、信息技术咨询、地理遥感信息及测绘地理信息、三维（3D）打印技术及其他信息技术服务投入等。</w:t>
      </w:r>
    </w:p>
    <w:p>
      <w:pPr>
        <w:spacing w:line="360" w:lineRule="exact"/>
        <w:ind w:firstLine="420" w:firstLineChars="200"/>
        <w:rPr>
          <w:rFonts w:hint="eastAsia" w:ascii="宋体" w:hAnsi="宋体" w:cs="宋体"/>
        </w:rPr>
      </w:pPr>
      <w:r>
        <w:rPr>
          <w:rFonts w:hint="eastAsia" w:ascii="宋体" w:hAnsi="宋体" w:eastAsia="黑体" w:cs="宋体"/>
        </w:rPr>
        <w:t xml:space="preserve">信息化管理  </w:t>
      </w:r>
      <w:r>
        <w:rPr>
          <w:rFonts w:hint="eastAsia" w:ascii="宋体" w:hAnsi="宋体" w:cs="宋体"/>
        </w:rPr>
        <w:t>指通过信息管理应用系统把企业研发、采购、生产、物流、营销、售后、财务、管理等各环节信息集成起来，有效地支撑企业决策，以增强市场竞争力的管理方式。常见的信息管理应用系统包括企业资源规划（ERP）、办公自动化（OA）、客户关系管理（CRM）、供应链管理（SCM）、产品生命周期管理（PLM）等。信息化是数字化转型的基础，特点是将企业的经营情况转为可储存可处理的数据。</w:t>
      </w:r>
    </w:p>
    <w:p>
      <w:pPr>
        <w:pStyle w:val="9"/>
        <w:spacing w:line="360" w:lineRule="exact"/>
        <w:rPr>
          <w:rFonts w:hint="eastAsia" w:ascii="宋体" w:hAnsi="宋体" w:eastAsia="黑体" w:cs="宋体"/>
          <w:szCs w:val="21"/>
        </w:rPr>
      </w:pPr>
      <w:r>
        <w:rPr>
          <w:rFonts w:hint="eastAsia" w:ascii="宋体" w:hAnsi="宋体" w:eastAsia="黑体" w:cs="宋体"/>
          <w:b w:val="0"/>
          <w:bCs w:val="0"/>
          <w:kern w:val="2"/>
          <w:sz w:val="21"/>
          <w:szCs w:val="21"/>
          <w:lang w:val="en-US" w:eastAsia="zh-CN" w:bidi="ar-SA"/>
        </w:rPr>
        <w:t xml:space="preserve">数据相关业务  </w:t>
      </w:r>
      <w:r>
        <w:rPr>
          <w:rFonts w:hint="eastAsia" w:ascii="宋体" w:hAnsi="宋体" w:eastAsia="宋体" w:cs="宋体"/>
          <w:sz w:val="21"/>
          <w:szCs w:val="21"/>
        </w:rPr>
        <w:t>指数据生产全过程所涉及的业务活动</w:t>
      </w:r>
      <w:r>
        <w:rPr>
          <w:rFonts w:hint="eastAsia" w:ascii="宋体" w:hAnsi="宋体" w:eastAsia="宋体" w:cs="宋体"/>
          <w:sz w:val="21"/>
          <w:szCs w:val="21"/>
          <w:lang w:val="en-US"/>
        </w:rPr>
        <w:t>，包括</w:t>
      </w:r>
      <w:r>
        <w:rPr>
          <w:rFonts w:hint="eastAsia" w:ascii="宋体" w:hAnsi="宋体" w:eastAsia="宋体" w:cs="宋体"/>
          <w:sz w:val="21"/>
          <w:szCs w:val="21"/>
        </w:rPr>
        <w:t>数据</w:t>
      </w:r>
      <w:r>
        <w:rPr>
          <w:rFonts w:hint="eastAsia" w:ascii="宋体" w:hAnsi="宋体" w:eastAsia="宋体" w:cs="宋体"/>
          <w:sz w:val="21"/>
          <w:szCs w:val="21"/>
          <w:lang w:val="en-US"/>
        </w:rPr>
        <w:t>收集</w:t>
      </w:r>
      <w:r>
        <w:rPr>
          <w:rFonts w:hint="eastAsia" w:ascii="宋体" w:hAnsi="宋体" w:eastAsia="宋体" w:cs="宋体"/>
          <w:sz w:val="21"/>
          <w:szCs w:val="21"/>
        </w:rPr>
        <w:t>录入、加工处理</w:t>
      </w:r>
      <w:r>
        <w:rPr>
          <w:rFonts w:hint="eastAsia" w:ascii="宋体" w:hAnsi="宋体" w:eastAsia="宋体" w:cs="宋体"/>
          <w:sz w:val="21"/>
          <w:szCs w:val="21"/>
          <w:lang w:val="en-US"/>
        </w:rPr>
        <w:t>、</w:t>
      </w:r>
      <w:r>
        <w:rPr>
          <w:rFonts w:hint="eastAsia" w:ascii="宋体" w:hAnsi="宋体" w:eastAsia="宋体" w:cs="宋体"/>
          <w:sz w:val="21"/>
          <w:szCs w:val="21"/>
        </w:rPr>
        <w:t>存储</w:t>
      </w:r>
      <w:r>
        <w:rPr>
          <w:rFonts w:hint="eastAsia" w:ascii="宋体" w:hAnsi="宋体" w:eastAsia="宋体" w:cs="宋体"/>
          <w:sz w:val="21"/>
          <w:szCs w:val="21"/>
          <w:lang w:val="en-US"/>
        </w:rPr>
        <w:t>，</w:t>
      </w:r>
      <w:r>
        <w:rPr>
          <w:rFonts w:hint="eastAsia" w:ascii="宋体" w:hAnsi="宋体" w:eastAsia="宋体" w:cs="宋体"/>
          <w:sz w:val="21"/>
          <w:szCs w:val="21"/>
        </w:rPr>
        <w:t>对数据库进行维护运营和管理，</w:t>
      </w:r>
      <w:r>
        <w:rPr>
          <w:rFonts w:hint="eastAsia" w:ascii="宋体" w:hAnsi="宋体" w:eastAsia="宋体" w:cs="宋体"/>
          <w:sz w:val="21"/>
          <w:szCs w:val="21"/>
          <w:lang w:val="en-US"/>
        </w:rPr>
        <w:t>以及对</w:t>
      </w:r>
      <w:r>
        <w:rPr>
          <w:rFonts w:hint="eastAsia" w:ascii="宋体" w:hAnsi="宋体" w:eastAsia="宋体" w:cs="宋体"/>
          <w:sz w:val="21"/>
          <w:szCs w:val="21"/>
        </w:rPr>
        <w:t>数据进行分析</w:t>
      </w:r>
      <w:r>
        <w:rPr>
          <w:rFonts w:hint="eastAsia" w:ascii="宋体" w:hAnsi="宋体" w:eastAsia="宋体" w:cs="宋体"/>
          <w:sz w:val="21"/>
          <w:szCs w:val="21"/>
          <w:lang w:val="en-US"/>
        </w:rPr>
        <w:t>等</w:t>
      </w:r>
      <w:r>
        <w:rPr>
          <w:rFonts w:hint="eastAsia" w:ascii="宋体" w:hAnsi="宋体" w:eastAsia="宋体" w:cs="宋体"/>
          <w:sz w:val="21"/>
          <w:szCs w:val="21"/>
        </w:rPr>
        <w:t>围绕数据开展的</w:t>
      </w:r>
      <w:r>
        <w:rPr>
          <w:rFonts w:hint="eastAsia" w:ascii="宋体" w:hAnsi="宋体" w:eastAsia="宋体" w:cs="宋体"/>
          <w:sz w:val="21"/>
          <w:szCs w:val="21"/>
          <w:lang w:val="en-US"/>
        </w:rPr>
        <w:t>各项</w:t>
      </w:r>
      <w:r>
        <w:rPr>
          <w:rFonts w:hint="eastAsia" w:ascii="宋体" w:hAnsi="宋体" w:eastAsia="宋体" w:cs="宋体"/>
          <w:sz w:val="21"/>
          <w:szCs w:val="21"/>
        </w:rPr>
        <w:t xml:space="preserve">活动。 </w:t>
      </w:r>
    </w:p>
    <w:p>
      <w:pPr>
        <w:spacing w:line="360" w:lineRule="exact"/>
        <w:ind w:firstLine="420" w:firstLineChars="200"/>
        <w:rPr>
          <w:rFonts w:hint="eastAsia" w:ascii="宋体" w:hAnsi="宋体" w:cs="宋体"/>
        </w:rPr>
      </w:pPr>
      <w:r>
        <w:rPr>
          <w:rFonts w:hint="eastAsia" w:ascii="宋体" w:hAnsi="宋体" w:eastAsia="黑体" w:cs="宋体"/>
        </w:rPr>
        <w:t>网站或应用程序（APP）交易</w:t>
      </w:r>
      <w:r>
        <w:rPr>
          <w:rFonts w:hint="eastAsia" w:ascii="宋体" w:hAnsi="宋体" w:cs="宋体"/>
        </w:rPr>
        <w:t xml:space="preserve">  指企业通过以下方式进行商品或服务交易：（1）企业自建网站或APP，包括小程序、公众号等；（2）第三方网站或APP，包括小程序、公众号等。不包括通过电子邮件、即时通讯工具等形成的订单。</w:t>
      </w:r>
    </w:p>
    <w:p>
      <w:pPr>
        <w:spacing w:line="360" w:lineRule="exact"/>
        <w:ind w:firstLine="420" w:firstLineChars="200"/>
        <w:rPr>
          <w:rFonts w:hint="eastAsia" w:ascii="宋体" w:hAnsi="宋体" w:cs="宋体"/>
        </w:rPr>
      </w:pPr>
      <w:r>
        <w:rPr>
          <w:rFonts w:hint="eastAsia" w:ascii="宋体" w:hAnsi="宋体" w:eastAsia="黑体" w:cs="宋体"/>
        </w:rPr>
        <w:t>电子数据交换（EDI）类型交易</w:t>
      </w:r>
      <w:r>
        <w:rPr>
          <w:rFonts w:hint="eastAsia" w:ascii="宋体" w:hAnsi="宋体" w:cs="宋体"/>
        </w:rPr>
        <w:t xml:space="preserve">  指按照统一规定的格式，将标准的经济信息通过互联网在企业与客户的计算机系统之间传输，从而进行订单信息数据交换和自动处理。包括通过EDI服务提供商形成的订单；通过自动化系统形成需求导向的订单；通过ERP系统直接接收的订单。</w:t>
      </w:r>
    </w:p>
    <w:p>
      <w:pPr>
        <w:spacing w:line="360" w:lineRule="exact"/>
        <w:ind w:firstLine="420" w:firstLineChars="200"/>
        <w:rPr>
          <w:rFonts w:hint="eastAsia" w:ascii="宋体" w:hAnsi="宋体" w:cs="宋体"/>
        </w:rPr>
      </w:pPr>
      <w:r>
        <w:rPr>
          <w:rFonts w:hint="eastAsia" w:ascii="宋体" w:hAnsi="宋体" w:eastAsia="黑体" w:cs="宋体"/>
        </w:rPr>
        <w:t>云计算服务</w:t>
      </w:r>
      <w:r>
        <w:rPr>
          <w:rFonts w:hint="eastAsia" w:ascii="宋体" w:hAnsi="宋体" w:cs="宋体"/>
        </w:rPr>
        <w:t xml:space="preserve">  指通过互联网获取软件、算力、存储空间等信息通信技术服务。这类服务具备以下特征：通过服务商的服务器实现；用户数量、存储空间等可动态伸缩；用户可按需获取服务并进行付费。</w:t>
      </w:r>
    </w:p>
    <w:p>
      <w:pPr>
        <w:spacing w:line="360" w:lineRule="exact"/>
        <w:ind w:firstLine="420" w:firstLineChars="200"/>
        <w:rPr>
          <w:rFonts w:hint="eastAsia" w:ascii="宋体" w:hAnsi="宋体" w:cs="宋体"/>
        </w:rPr>
      </w:pPr>
      <w:r>
        <w:rPr>
          <w:rFonts w:hint="eastAsia" w:ascii="宋体" w:hAnsi="宋体" w:eastAsia="黑体" w:cs="宋体"/>
        </w:rPr>
        <w:t xml:space="preserve">物联网技术  </w:t>
      </w:r>
      <w:r>
        <w:rPr>
          <w:rFonts w:hint="eastAsia" w:ascii="宋体" w:hAnsi="宋体" w:cs="宋体"/>
        </w:rPr>
        <w:t>指相互联通的设备或系统，通过收集交换各类数据，借助互联网进行监控或远程控制。如：智慧仪表、温度自动调节器、智慧路灯、智慧警报系统、智慧烟感器、智慧门锁以及智慧摄像头等；以及各类信息传感器和射频识别（</w:t>
      </w:r>
      <w:r>
        <w:rPr>
          <w:rFonts w:ascii="宋体" w:hAnsi="宋体" w:cs="宋体"/>
          <w:lang w:val="en"/>
        </w:rPr>
        <w:t>RFID</w:t>
      </w:r>
      <w:r>
        <w:rPr>
          <w:rFonts w:hint="eastAsia" w:ascii="宋体" w:hAnsi="宋体" w:cs="宋体"/>
        </w:rPr>
        <w:t>）设备等。不包括运动、声音、温度、烟雾等常用传感器，以及无法通过网络进行监控或者远程控制的射频识别（</w:t>
      </w:r>
      <w:r>
        <w:rPr>
          <w:rFonts w:ascii="宋体" w:hAnsi="宋体" w:cs="宋体"/>
          <w:lang w:val="en"/>
        </w:rPr>
        <w:t>RFID</w:t>
      </w:r>
      <w:r>
        <w:rPr>
          <w:rFonts w:hint="eastAsia" w:ascii="宋体" w:hAnsi="宋体" w:cs="宋体"/>
        </w:rPr>
        <w:t>）设备。</w:t>
      </w:r>
    </w:p>
    <w:p>
      <w:pPr>
        <w:spacing w:line="360" w:lineRule="exact"/>
        <w:ind w:firstLine="420" w:firstLineChars="200"/>
        <w:rPr>
          <w:rFonts w:hint="eastAsia" w:ascii="宋体" w:hAnsi="宋体" w:eastAsia="黑体" w:cs="宋体"/>
        </w:rPr>
      </w:pPr>
      <w:r>
        <w:rPr>
          <w:rFonts w:hint="eastAsia" w:ascii="宋体" w:hAnsi="宋体" w:eastAsia="黑体" w:cs="宋体"/>
        </w:rPr>
        <w:t>人工智能技术</w:t>
      </w:r>
      <w:r>
        <w:rPr>
          <w:rFonts w:hint="eastAsia" w:ascii="宋体" w:hAnsi="宋体" w:cs="宋体"/>
        </w:rPr>
        <w:t xml:space="preserve">  指通过文本挖掘、机器视觉、语音识别、自然语言处理、机器学习、深度学习等收集使用数据，进而实现预测、推荐、决策等目的。人工智能可完全基于软件，如基于自然语言处理技术的聊天机器人、数字虚拟助手，基于机器视觉和语音识别技术的人脸识别系统，机器翻译软件，基于机器学习的数据分析等；也可与硬件设备相结合，如用于库房自动化管理或生产自动化组装的智能机器人，用于生产监控或处理包裹的智能无人机等。</w:t>
      </w:r>
    </w:p>
    <w:p>
      <w:pPr>
        <w:spacing w:line="360" w:lineRule="exact"/>
        <w:ind w:firstLine="420" w:firstLineChars="200"/>
        <w:rPr>
          <w:rFonts w:hint="eastAsia" w:ascii="宋体" w:hAnsi="宋体" w:cs="宋体"/>
        </w:rPr>
      </w:pPr>
      <w:r>
        <w:rPr>
          <w:rFonts w:hint="eastAsia" w:ascii="宋体" w:hAnsi="宋体" w:eastAsia="黑体" w:cs="宋体"/>
          <w:kern w:val="0"/>
          <w:szCs w:val="21"/>
        </w:rPr>
        <w:t>智能化制造</w:t>
      </w:r>
      <w:r>
        <w:rPr>
          <w:rFonts w:hint="eastAsia" w:ascii="宋体" w:hAnsi="宋体" w:cs="宋体"/>
        </w:rPr>
        <w:t xml:space="preserve">  指依托工业互联网推动感知设备、生产装置、控制系统与管理系统等广泛互联，通过数据分析、决策优化实现研发智能交互、生产智能管控和运营智慧决策，打造高效率、高质量、零库存的生产模式。</w:t>
      </w:r>
    </w:p>
    <w:p>
      <w:pPr>
        <w:spacing w:line="360" w:lineRule="exact"/>
        <w:ind w:firstLine="420" w:firstLineChars="200"/>
        <w:rPr>
          <w:rFonts w:hint="eastAsia" w:ascii="宋体" w:hAnsi="宋体" w:cs="宋体"/>
        </w:rPr>
      </w:pPr>
      <w:r>
        <w:rPr>
          <w:rFonts w:hint="eastAsia" w:ascii="宋体" w:hAnsi="宋体" w:eastAsia="黑体" w:cs="宋体"/>
          <w:kern w:val="0"/>
          <w:szCs w:val="21"/>
        </w:rPr>
        <w:t>网络化协同</w:t>
      </w:r>
      <w:r>
        <w:rPr>
          <w:rFonts w:hint="eastAsia" w:ascii="宋体" w:hAnsi="宋体" w:cs="宋体"/>
        </w:rPr>
        <w:t xml:space="preserve">  指通过工业互联网整合分布于不同企业、不同区域甚至是全球的设计、生产、供应链和销售等资源，构建资源灵活组织和高效调配能力，实现全产业链全价值链动态优化配置，提升产业链供应链创新发展水平。</w:t>
      </w:r>
    </w:p>
    <w:p>
      <w:pPr>
        <w:spacing w:line="360" w:lineRule="exact"/>
        <w:ind w:firstLine="420" w:firstLineChars="200"/>
        <w:rPr>
          <w:rFonts w:hint="eastAsia" w:ascii="宋体" w:hAnsi="宋体" w:cs="宋体"/>
        </w:rPr>
      </w:pPr>
      <w:r>
        <w:rPr>
          <w:rFonts w:hint="eastAsia" w:ascii="宋体" w:hAnsi="宋体" w:eastAsia="黑体" w:cs="宋体"/>
          <w:kern w:val="0"/>
          <w:szCs w:val="21"/>
        </w:rPr>
        <w:t>服务化延伸</w:t>
      </w:r>
      <w:r>
        <w:rPr>
          <w:rFonts w:hint="eastAsia" w:ascii="宋体" w:hAnsi="宋体" w:cs="宋体"/>
        </w:rPr>
        <w:t xml:space="preserve">  指依托工业互联网实现对智能产品装备的远程互联和数据分析，形成产品追溯、在线检测、远程运维、预测性维护等服务模式，基于产品数据跨界整合与价值挖掘，进一步实现服务延伸。</w:t>
      </w:r>
    </w:p>
    <w:p>
      <w:pPr>
        <w:spacing w:line="360" w:lineRule="exact"/>
        <w:ind w:firstLine="420" w:firstLineChars="200"/>
        <w:rPr>
          <w:rFonts w:hint="eastAsia" w:ascii="宋体" w:hAnsi="宋体" w:cs="宋体"/>
        </w:rPr>
      </w:pPr>
      <w:r>
        <w:rPr>
          <w:rFonts w:hint="eastAsia" w:ascii="宋体" w:hAnsi="宋体" w:eastAsia="黑体" w:cs="宋体"/>
          <w:kern w:val="0"/>
          <w:szCs w:val="21"/>
        </w:rPr>
        <w:t xml:space="preserve">个性化定制  </w:t>
      </w:r>
      <w:r>
        <w:rPr>
          <w:rFonts w:hint="eastAsia" w:ascii="宋体" w:hAnsi="宋体" w:cs="宋体"/>
        </w:rPr>
        <w:t>指依托工业互联网推动企业与用户的深度交互，精准挖掘分析用户需求，实现低成本条件下的大规模个性定制方案。</w:t>
      </w:r>
    </w:p>
    <w:p>
      <w:pPr>
        <w:spacing w:line="360" w:lineRule="exact"/>
        <w:ind w:firstLine="420" w:firstLineChars="200"/>
        <w:rPr>
          <w:rFonts w:hint="eastAsia" w:ascii="宋体" w:hAnsi="宋体" w:eastAsia="黑体" w:cs="宋体"/>
        </w:rPr>
      </w:pPr>
      <w:r>
        <w:rPr>
          <w:rFonts w:hint="eastAsia" w:ascii="宋体" w:hAnsi="宋体" w:eastAsia="黑体" w:cs="宋体"/>
          <w:kern w:val="0"/>
          <w:szCs w:val="21"/>
        </w:rPr>
        <w:t xml:space="preserve">数字化管理  </w:t>
      </w:r>
      <w:r>
        <w:rPr>
          <w:rFonts w:hint="eastAsia" w:ascii="宋体" w:hAnsi="宋体" w:cs="宋体"/>
        </w:rPr>
        <w:t>指利用工业互联网打通内部各管理环节，打造数据驱动、敏捷高效的经营管理体系，推进可视化管理模式普及，开展动态市场响应、资源配置优化、智能战略决策等新模式应用探索。</w:t>
      </w:r>
    </w:p>
    <w:p>
      <w:pPr>
        <w:tabs>
          <w:tab w:val="left" w:pos="8280"/>
        </w:tabs>
        <w:snapToGrid/>
        <w:spacing w:before="0" w:beforeLines="0" w:after="0" w:afterLines="0" w:line="360" w:lineRule="exact"/>
        <w:ind w:firstLine="420" w:firstLineChars="200"/>
        <w:outlineLvl w:val="9"/>
        <w:rPr>
          <w:rFonts w:hint="eastAsia" w:ascii="宋体" w:hAnsi="宋体" w:eastAsia="黑体" w:cs="宋体"/>
          <w:kern w:val="0"/>
          <w:szCs w:val="21"/>
        </w:rPr>
      </w:pPr>
      <w:r>
        <w:rPr>
          <w:rFonts w:hint="eastAsia" w:ascii="宋体" w:hAnsi="宋体" w:eastAsia="黑体" w:cs="宋体"/>
          <w:kern w:val="0"/>
          <w:szCs w:val="21"/>
        </w:rPr>
        <w:t>平台化设计</w:t>
      </w:r>
      <w:r>
        <w:rPr>
          <w:rFonts w:hint="eastAsia" w:ascii="宋体" w:hAnsi="宋体" w:eastAsia="宋体" w:cs="宋体"/>
          <w:kern w:val="0"/>
          <w:szCs w:val="21"/>
        </w:rPr>
        <w:t xml:space="preserve">  </w:t>
      </w:r>
      <w:r>
        <w:rPr>
          <w:rFonts w:hint="eastAsia" w:ascii="宋体" w:hAnsi="宋体" w:eastAsia="宋体" w:cs="宋体"/>
          <w:b w:val="0"/>
          <w:bCs w:val="0"/>
          <w:i w:val="0"/>
          <w:iCs w:val="0"/>
          <w:kern w:val="0"/>
          <w:szCs w:val="21"/>
        </w:rPr>
        <w:t>指通过汇聚人员、算法、模型、任务等设计资源，着力实现云化协同、共享资源、实时交互等，提升大中小企业协同研发设计效率和质量，降低中小企业研发设计成本，推动数字交付等新型设计成果产出。</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rPr>
          <w:rFonts w:hint="eastAsia" w:ascii="宋体" w:hAnsi="宋体" w:eastAsia="宋体" w:cs="宋体"/>
          <w:kern w:val="0"/>
          <w:szCs w:val="21"/>
          <w:lang w:bidi="ar"/>
        </w:rPr>
      </w:pPr>
      <w:bookmarkStart w:id="483" w:name="_Toc8537"/>
      <w:r>
        <w:rPr>
          <w:rFonts w:hint="eastAsia" w:ascii="宋体" w:hAnsi="宋体" w:eastAsia="宋体" w:cs="宋体"/>
          <w:kern w:val="0"/>
          <w:szCs w:val="21"/>
          <w:lang w:bidi="ar"/>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（三）数据来源参考表</w:t>
      </w:r>
      <w:bookmarkEnd w:id="483"/>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bCs/>
          <w:sz w:val="21"/>
          <w:szCs w:val="21"/>
        </w:rPr>
      </w:pPr>
    </w:p>
    <w:p>
      <w:pPr>
        <w:pStyle w:val="2"/>
        <w:ind w:left="0" w:leftChars="0" w:firstLine="0" w:firstLineChars="0"/>
        <w:jc w:val="center"/>
        <w:rPr>
          <w:rFonts w:hint="eastAsia"/>
          <w:lang w:val="en-US" w:eastAsia="zh-CN"/>
        </w:rPr>
      </w:pPr>
      <w:r>
        <w:rPr>
          <w:rFonts w:hint="eastAsia" w:asciiTheme="minorEastAsia" w:hAnsiTheme="minorEastAsia" w:eastAsiaTheme="minorEastAsia" w:cstheme="minorEastAsia"/>
          <w:bCs/>
          <w:sz w:val="32"/>
          <w:szCs w:val="32"/>
        </w:rPr>
        <w:t>从业人员及工资总额</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lang w:val="en-US" w:eastAsia="zh-CN"/>
        </w:rPr>
        <w:t>102表、202-1表）</w:t>
      </w:r>
    </w:p>
    <w:tbl>
      <w:tblPr>
        <w:tblStyle w:val="31"/>
        <w:tblW w:w="9705"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25"/>
        <w:gridCol w:w="1125"/>
        <w:gridCol w:w="3420"/>
        <w:gridCol w:w="337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84" w:hRule="atLeast"/>
          <w:tblHeader/>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指标代码</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统计指标</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数据来源</w:t>
            </w:r>
          </w:p>
        </w:tc>
        <w:tc>
          <w:tcPr>
            <w:tcW w:w="342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计算方法</w:t>
            </w:r>
          </w:p>
        </w:tc>
        <w:tc>
          <w:tcPr>
            <w:tcW w:w="337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注意事项</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01</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从业人员</w:t>
            </w:r>
          </w:p>
          <w:p>
            <w:pPr>
              <w:widowControl/>
              <w:jc w:val="center"/>
              <w:rPr>
                <w:rFonts w:ascii="宋体" w:hAnsi="宋体"/>
                <w:sz w:val="18"/>
                <w:szCs w:val="18"/>
              </w:rPr>
            </w:pPr>
            <w:r>
              <w:rPr>
                <w:rFonts w:hint="eastAsia" w:ascii="宋体" w:hAnsi="宋体"/>
                <w:sz w:val="18"/>
                <w:szCs w:val="18"/>
              </w:rPr>
              <w:t>期末人数</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w:t>
            </w:r>
          </w:p>
          <w:p>
            <w:pPr>
              <w:widowControl/>
              <w:jc w:val="center"/>
              <w:rPr>
                <w:rFonts w:ascii="宋体" w:hAnsi="宋体"/>
                <w:sz w:val="18"/>
                <w:szCs w:val="18"/>
              </w:rPr>
            </w:pPr>
            <w:r>
              <w:rPr>
                <w:rFonts w:hint="eastAsia" w:ascii="宋体" w:hAnsi="宋体"/>
                <w:sz w:val="18"/>
                <w:szCs w:val="18"/>
              </w:rPr>
              <w:t>资料</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报告期末最后一日在本单位中工作，并取得工资或其他形式劳动报酬的人员数。</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不包括最后一日当天及以前已经与单位解除(终止)劳动合同关系的人员。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02</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其中：女性</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w:t>
            </w:r>
          </w:p>
          <w:p>
            <w:pPr>
              <w:widowControl/>
              <w:jc w:val="center"/>
              <w:rPr>
                <w:rFonts w:ascii="宋体" w:hAnsi="宋体"/>
                <w:sz w:val="18"/>
                <w:szCs w:val="18"/>
              </w:rPr>
            </w:pPr>
            <w:r>
              <w:rPr>
                <w:rFonts w:hint="eastAsia" w:ascii="宋体" w:hAnsi="宋体"/>
                <w:sz w:val="18"/>
                <w:szCs w:val="18"/>
              </w:rPr>
              <w:t>资料</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　</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　</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660" w:type="dxa"/>
            <w:tcBorders>
              <w:tl2br w:val="nil"/>
              <w:tr2bl w:val="nil"/>
            </w:tcBorders>
            <w:noWrap w:val="0"/>
            <w:vAlign w:val="center"/>
          </w:tcPr>
          <w:p>
            <w:pPr>
              <w:widowControl/>
              <w:jc w:val="center"/>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5</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在岗职工</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w:t>
            </w:r>
          </w:p>
          <w:p>
            <w:pPr>
              <w:widowControl/>
              <w:jc w:val="center"/>
              <w:rPr>
                <w:rFonts w:ascii="宋体" w:hAnsi="宋体"/>
                <w:sz w:val="18"/>
                <w:szCs w:val="18"/>
              </w:rPr>
            </w:pPr>
            <w:r>
              <w:rPr>
                <w:rFonts w:hint="eastAsia" w:ascii="宋体" w:hAnsi="宋体"/>
                <w:sz w:val="18"/>
                <w:szCs w:val="18"/>
              </w:rPr>
              <w:t>资料</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在本单位工作且与本单位签订劳动合同，并由单位支付各项工资和社会保险、住房公积金的人员，以及上述人员中由于学习、病伤、产假等原因暂未工作仍由单位支付工资的人员。</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还包括应订立劳动合同而未订立劳动合同人员（如使用的农村户籍人员）；处于试用期人员；编制外招用的人员，如临时人员；派往外单位工作，但工资仍由本单位发放的人员（如挂职锻炼、外派工作等情况）。</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0</w:t>
            </w:r>
            <w:r>
              <w:rPr>
                <w:rFonts w:hint="eastAsia" w:ascii="宋体" w:hAnsi="宋体"/>
                <w:sz w:val="18"/>
                <w:szCs w:val="18"/>
                <w:lang w:val="en-US" w:eastAsia="zh-CN"/>
              </w:rPr>
              <w:t>6</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劳务派遣</w:t>
            </w:r>
          </w:p>
          <w:p>
            <w:pPr>
              <w:widowControl/>
              <w:jc w:val="center"/>
              <w:rPr>
                <w:rFonts w:ascii="宋体" w:hAnsi="宋体"/>
                <w:sz w:val="18"/>
                <w:szCs w:val="18"/>
              </w:rPr>
            </w:pPr>
            <w:r>
              <w:rPr>
                <w:rFonts w:hint="eastAsia" w:ascii="宋体" w:hAnsi="宋体"/>
                <w:sz w:val="18"/>
                <w:szCs w:val="18"/>
              </w:rPr>
              <w:t>人员</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劳务派遣</w:t>
            </w:r>
          </w:p>
          <w:p>
            <w:pPr>
              <w:widowControl/>
              <w:jc w:val="center"/>
              <w:rPr>
                <w:rFonts w:ascii="宋体" w:hAnsi="宋体"/>
                <w:sz w:val="18"/>
                <w:szCs w:val="18"/>
              </w:rPr>
            </w:pPr>
            <w:r>
              <w:rPr>
                <w:rFonts w:hint="eastAsia" w:ascii="宋体" w:hAnsi="宋体"/>
                <w:sz w:val="18"/>
                <w:szCs w:val="18"/>
              </w:rPr>
              <w:t>协议</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与劳务派遣单位签订劳动合同；并被劳务派遣单位派遣到实际用工单位工作。</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不包括劳务外包</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0</w:t>
            </w:r>
            <w:r>
              <w:rPr>
                <w:rFonts w:hint="eastAsia" w:ascii="宋体" w:hAnsi="宋体"/>
                <w:sz w:val="18"/>
                <w:szCs w:val="18"/>
                <w:lang w:val="en-US" w:eastAsia="zh-CN"/>
              </w:rPr>
              <w:t>7</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其他从业</w:t>
            </w:r>
          </w:p>
          <w:p>
            <w:pPr>
              <w:widowControl/>
              <w:jc w:val="center"/>
              <w:rPr>
                <w:rFonts w:ascii="宋体" w:hAnsi="宋体"/>
                <w:sz w:val="18"/>
                <w:szCs w:val="18"/>
              </w:rPr>
            </w:pPr>
            <w:r>
              <w:rPr>
                <w:rFonts w:hint="eastAsia" w:ascii="宋体" w:hAnsi="宋体"/>
                <w:sz w:val="18"/>
                <w:szCs w:val="18"/>
              </w:rPr>
              <w:t>人员</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人事档案等资料</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非全日制人员、聘用的正式离退休人员、兼职人员(包括利用课余时间打工的在校学生)和第二职业者等，以及在本单位中工作的外籍和港澳台方人员。</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不能归到在岗职工、劳务派遣人员中的人员。此类人员是实际参加本单位生产或工作并从本单位取得劳动报酬的人员。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lang w:val="en-US" w:eastAsia="zh-CN"/>
              </w:rPr>
              <w:t>71</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中层及以上管理人员</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w:t>
            </w:r>
          </w:p>
          <w:p>
            <w:pPr>
              <w:widowControl/>
              <w:jc w:val="center"/>
              <w:rPr>
                <w:rFonts w:ascii="宋体" w:hAnsi="宋体"/>
                <w:sz w:val="18"/>
                <w:szCs w:val="18"/>
              </w:rPr>
            </w:pPr>
            <w:r>
              <w:rPr>
                <w:rFonts w:hint="eastAsia" w:ascii="宋体" w:hAnsi="宋体"/>
                <w:sz w:val="18"/>
                <w:szCs w:val="18"/>
              </w:rPr>
              <w:t>资料及劳务派遣协议</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在单位及其职能部门中担任领导职务并具有决策、管理权的人员。</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包括单位主要负责人或高级管理人员（包含同级别及副职）、单位内的一级部门或内设机构的负责人（包含同级别及副职），特大型单位可以包括一级部门内设的管理机构的负责人（包含副职）。</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lang w:val="en-US" w:eastAsia="zh-CN"/>
              </w:rPr>
              <w:t>72</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专业技术</w:t>
            </w:r>
          </w:p>
          <w:p>
            <w:pPr>
              <w:widowControl/>
              <w:jc w:val="center"/>
              <w:rPr>
                <w:rFonts w:ascii="宋体" w:hAnsi="宋体"/>
                <w:sz w:val="18"/>
                <w:szCs w:val="18"/>
              </w:rPr>
            </w:pPr>
            <w:r>
              <w:rPr>
                <w:rFonts w:hint="eastAsia" w:ascii="宋体" w:hAnsi="宋体"/>
                <w:sz w:val="18"/>
                <w:szCs w:val="18"/>
              </w:rPr>
              <w:t>人员</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w:t>
            </w:r>
          </w:p>
          <w:p>
            <w:pPr>
              <w:widowControl/>
              <w:jc w:val="center"/>
              <w:rPr>
                <w:rFonts w:ascii="宋体" w:hAnsi="宋体"/>
                <w:sz w:val="18"/>
                <w:szCs w:val="18"/>
              </w:rPr>
            </w:pPr>
            <w:r>
              <w:rPr>
                <w:rFonts w:hint="eastAsia" w:ascii="宋体" w:hAnsi="宋体"/>
                <w:sz w:val="18"/>
                <w:szCs w:val="18"/>
              </w:rPr>
              <w:t>资料及劳务派遣协议</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从事本类职业工作的人员，一般都要求接受过系统的专业教育，具备相应的专业理论知识，并且按规定的标准条件评聘专业技术职务，以及未聘任专业技术职务，但在专业技术岗位上工作的人员。</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具体包括科学研究人员、工程技术人员、农业技术人员、飞机和船舶技术人员、卫生专业技术人员、经济和金融专业人员、监察、法律、社会和宗教专业人员、教学人员、文学艺术、体育专业人员、新闻出版、文化专业人员、其他专业技术人员。以企业认定为主。</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lang w:val="en-US" w:eastAsia="zh-CN"/>
              </w:rPr>
              <w:t>73</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办事人员和有关人员</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w:t>
            </w:r>
          </w:p>
          <w:p>
            <w:pPr>
              <w:widowControl/>
              <w:jc w:val="center"/>
              <w:rPr>
                <w:rFonts w:ascii="宋体" w:hAnsi="宋体"/>
                <w:sz w:val="18"/>
                <w:szCs w:val="18"/>
              </w:rPr>
            </w:pPr>
            <w:r>
              <w:rPr>
                <w:rFonts w:hint="eastAsia" w:ascii="宋体" w:hAnsi="宋体"/>
                <w:sz w:val="18"/>
                <w:szCs w:val="18"/>
              </w:rPr>
              <w:t>资料及劳务派遣协议</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指在国家机关、党群组织、企业、事业单位中从事行政业务、行政事务工作的人员和从事安全保卫、消防等业务的人员。</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具体包括办事人员、安全和消防人员、其他办事人员和有关人员。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60"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lang w:val="en-US" w:eastAsia="zh-CN"/>
              </w:rPr>
              <w:t>74</w:t>
            </w:r>
          </w:p>
        </w:tc>
        <w:tc>
          <w:tcPr>
            <w:tcW w:w="1125" w:type="dxa"/>
            <w:tcBorders>
              <w:tl2br w:val="nil"/>
              <w:tr2bl w:val="nil"/>
            </w:tcBorders>
            <w:noWrap w:val="0"/>
            <w:vAlign w:val="center"/>
          </w:tcPr>
          <w:p>
            <w:pPr>
              <w:widowControl/>
              <w:jc w:val="center"/>
              <w:rPr>
                <w:rFonts w:hint="eastAsia" w:ascii="宋体" w:hAnsi="宋体"/>
                <w:sz w:val="18"/>
                <w:szCs w:val="18"/>
              </w:rPr>
            </w:pPr>
            <w:r>
              <w:rPr>
                <w:rFonts w:hint="eastAsia" w:ascii="宋体" w:hAnsi="宋体"/>
                <w:sz w:val="18"/>
                <w:szCs w:val="18"/>
              </w:rPr>
              <w:t>社会生产</w:t>
            </w:r>
          </w:p>
          <w:p>
            <w:pPr>
              <w:widowControl/>
              <w:jc w:val="center"/>
              <w:rPr>
                <w:rFonts w:ascii="宋体" w:hAnsi="宋体"/>
                <w:sz w:val="18"/>
                <w:szCs w:val="18"/>
              </w:rPr>
            </w:pPr>
            <w:r>
              <w:rPr>
                <w:rFonts w:hint="eastAsia" w:ascii="宋体" w:hAnsi="宋体"/>
                <w:sz w:val="18"/>
                <w:szCs w:val="18"/>
              </w:rPr>
              <w:t>服务和生活服务人员</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w:t>
            </w:r>
          </w:p>
          <w:p>
            <w:pPr>
              <w:widowControl/>
              <w:jc w:val="center"/>
              <w:rPr>
                <w:rFonts w:ascii="宋体" w:hAnsi="宋体"/>
                <w:sz w:val="18"/>
                <w:szCs w:val="18"/>
              </w:rPr>
            </w:pPr>
            <w:r>
              <w:rPr>
                <w:rFonts w:hint="eastAsia" w:ascii="宋体" w:hAnsi="宋体"/>
                <w:sz w:val="18"/>
                <w:szCs w:val="18"/>
              </w:rPr>
              <w:t>资料及劳务派遣协议</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指从事商品批发零售、交通运输、仓储、邮政和快递、信息传输、软件和信息技术、住宿和餐饮以及金融、租赁和商务、生态保护、文化、体育和娱乐等社会生产服务与生活服务工作的人员。</w:t>
            </w:r>
          </w:p>
        </w:tc>
        <w:tc>
          <w:tcPr>
            <w:tcW w:w="3375"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具体包括批发与零售服务人员、交通运输、仓储和邮政业服务人员、住宿和餐饮服务人员、信息传输、软件和信息技术服务人员、金融服务人员、房地产服务人员、租赁和商务服务人员、技术辅助服务人员、水利、环境和公共设施管理服务人员、居民服务人员、电力、燃气及水供应服务人员、修理及制作服务人员、文化和教育服务人员、健康、体育和休闲服务人员、其他社会生产服务和生活服务人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660" w:type="dxa"/>
            <w:tcBorders>
              <w:tl2br w:val="nil"/>
              <w:tr2bl w:val="nil"/>
            </w:tcBorders>
            <w:noWrap w:val="0"/>
            <w:vAlign w:val="center"/>
          </w:tcPr>
          <w:p>
            <w:pPr>
              <w:widowControl/>
              <w:jc w:val="center"/>
              <w:rPr>
                <w:rFonts w:hint="default" w:ascii="宋体" w:hAnsi="宋体" w:eastAsia="宋体"/>
                <w:sz w:val="18"/>
                <w:szCs w:val="18"/>
                <w:lang w:val="en-US" w:eastAsia="zh-CN"/>
              </w:rPr>
            </w:pPr>
            <w:r>
              <w:rPr>
                <w:rFonts w:hint="eastAsia" w:ascii="宋体" w:hAnsi="宋体"/>
                <w:sz w:val="18"/>
                <w:szCs w:val="18"/>
                <w:lang w:val="en-US" w:eastAsia="zh-CN"/>
              </w:rPr>
              <w:t>75</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生产制造及</w:t>
            </w:r>
          </w:p>
          <w:p>
            <w:pPr>
              <w:widowControl/>
              <w:jc w:val="center"/>
              <w:rPr>
                <w:rFonts w:ascii="宋体" w:hAnsi="宋体"/>
                <w:sz w:val="18"/>
                <w:szCs w:val="18"/>
              </w:rPr>
            </w:pPr>
            <w:r>
              <w:rPr>
                <w:rFonts w:hint="eastAsia" w:ascii="宋体" w:hAnsi="宋体"/>
                <w:sz w:val="18"/>
                <w:szCs w:val="18"/>
              </w:rPr>
              <w:t>有关人员</w:t>
            </w:r>
          </w:p>
        </w:tc>
        <w:tc>
          <w:tcPr>
            <w:tcW w:w="1125" w:type="dxa"/>
            <w:tcBorders>
              <w:tl2br w:val="nil"/>
              <w:tr2bl w:val="nil"/>
            </w:tcBorders>
            <w:noWrap w:val="0"/>
            <w:vAlign w:val="center"/>
          </w:tcPr>
          <w:p>
            <w:pPr>
              <w:widowControl/>
              <w:jc w:val="center"/>
              <w:rPr>
                <w:rFonts w:ascii="宋体" w:hAnsi="宋体"/>
                <w:sz w:val="18"/>
                <w:szCs w:val="18"/>
              </w:rPr>
            </w:pPr>
            <w:r>
              <w:rPr>
                <w:rFonts w:hint="eastAsia" w:ascii="宋体" w:hAnsi="宋体"/>
                <w:sz w:val="18"/>
                <w:szCs w:val="18"/>
              </w:rPr>
              <w:t>人事档案</w:t>
            </w:r>
          </w:p>
          <w:p>
            <w:pPr>
              <w:widowControl/>
              <w:jc w:val="center"/>
              <w:rPr>
                <w:rFonts w:ascii="宋体" w:hAnsi="宋体"/>
                <w:sz w:val="18"/>
                <w:szCs w:val="18"/>
              </w:rPr>
            </w:pPr>
            <w:r>
              <w:rPr>
                <w:rFonts w:hint="eastAsia" w:ascii="宋体" w:hAnsi="宋体"/>
                <w:sz w:val="18"/>
                <w:szCs w:val="18"/>
              </w:rPr>
              <w:t>资料及劳务派遣协议</w:t>
            </w:r>
          </w:p>
        </w:tc>
        <w:tc>
          <w:tcPr>
            <w:tcW w:w="3420" w:type="dxa"/>
            <w:tcBorders>
              <w:tl2br w:val="nil"/>
              <w:tr2bl w:val="nil"/>
            </w:tcBorders>
            <w:noWrap w:val="0"/>
            <w:vAlign w:val="center"/>
          </w:tcPr>
          <w:p>
            <w:pPr>
              <w:widowControl/>
              <w:jc w:val="left"/>
              <w:rPr>
                <w:rFonts w:ascii="宋体" w:hAnsi="宋体"/>
                <w:sz w:val="18"/>
                <w:szCs w:val="18"/>
              </w:rPr>
            </w:pPr>
            <w:r>
              <w:rPr>
                <w:rFonts w:hint="eastAsia" w:ascii="宋体" w:hAnsi="宋体"/>
                <w:sz w:val="18"/>
                <w:szCs w:val="18"/>
              </w:rPr>
              <w:t>指从事矿产开采，产品生产制造、工程施工和运输设备操作的人员及有关人员。</w:t>
            </w:r>
          </w:p>
        </w:tc>
        <w:tc>
          <w:tcPr>
            <w:tcW w:w="3375" w:type="dxa"/>
            <w:tcBorders>
              <w:tl2br w:val="nil"/>
              <w:tr2bl w:val="nil"/>
            </w:tcBorders>
            <w:noWrap w:val="0"/>
            <w:vAlign w:val="center"/>
          </w:tcPr>
          <w:p>
            <w:pPr>
              <w:widowControl/>
              <w:jc w:val="lef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660" w:type="dxa"/>
            <w:tcBorders>
              <w:tl2br w:val="nil"/>
              <w:tr2bl w:val="nil"/>
            </w:tcBorders>
            <w:noWrap w:val="0"/>
            <w:vAlign w:val="center"/>
          </w:tcPr>
          <w:p>
            <w:pPr>
              <w:widowControl/>
              <w:jc w:val="center"/>
              <w:rPr>
                <w:rFonts w:hint="eastAsia" w:ascii="宋体" w:hAnsi="宋体"/>
                <w:sz w:val="18"/>
                <w:szCs w:val="18"/>
                <w:lang w:val="en-US" w:eastAsia="zh-CN"/>
              </w:rPr>
            </w:pPr>
            <w:r>
              <w:rPr>
                <w:rFonts w:hint="eastAsia" w:ascii="宋体" w:hAnsi="宋体"/>
                <w:sz w:val="18"/>
                <w:szCs w:val="18"/>
                <w:lang w:val="en-US" w:eastAsia="zh-CN"/>
              </w:rPr>
              <w:t>08</w:t>
            </w:r>
          </w:p>
        </w:tc>
        <w:tc>
          <w:tcPr>
            <w:tcW w:w="1125" w:type="dxa"/>
            <w:tcBorders>
              <w:tl2br w:val="nil"/>
              <w:tr2bl w:val="nil"/>
            </w:tcBorders>
            <w:noWrap w:val="0"/>
            <w:vAlign w:val="center"/>
          </w:tcPr>
          <w:p>
            <w:pPr>
              <w:widowControl/>
              <w:jc w:val="center"/>
              <w:rPr>
                <w:rFonts w:hint="eastAsia" w:ascii="宋体" w:hAnsi="宋体"/>
                <w:sz w:val="18"/>
                <w:szCs w:val="18"/>
              </w:rPr>
            </w:pPr>
            <w:r>
              <w:rPr>
                <w:rFonts w:hint="eastAsia" w:ascii="宋体" w:hAnsi="宋体"/>
                <w:sz w:val="18"/>
                <w:szCs w:val="18"/>
              </w:rPr>
              <w:t>平均人数</w:t>
            </w:r>
          </w:p>
        </w:tc>
        <w:tc>
          <w:tcPr>
            <w:tcW w:w="1125" w:type="dxa"/>
            <w:tcBorders>
              <w:tl2br w:val="nil"/>
              <w:tr2bl w:val="nil"/>
            </w:tcBorders>
            <w:noWrap w:val="0"/>
            <w:vAlign w:val="center"/>
          </w:tcPr>
          <w:p>
            <w:pPr>
              <w:widowControl/>
              <w:jc w:val="center"/>
              <w:rPr>
                <w:rFonts w:hint="eastAsia" w:ascii="宋体" w:hAnsi="宋体"/>
                <w:sz w:val="18"/>
                <w:szCs w:val="18"/>
              </w:rPr>
            </w:pPr>
            <w:r>
              <w:rPr>
                <w:rFonts w:hint="eastAsia" w:ascii="宋体" w:hAnsi="宋体"/>
                <w:sz w:val="18"/>
                <w:szCs w:val="18"/>
              </w:rPr>
              <w:t>人事档案</w:t>
            </w:r>
          </w:p>
          <w:p>
            <w:pPr>
              <w:widowControl/>
              <w:jc w:val="center"/>
              <w:rPr>
                <w:rFonts w:hint="eastAsia" w:ascii="宋体" w:hAnsi="宋体"/>
                <w:sz w:val="18"/>
                <w:szCs w:val="18"/>
              </w:rPr>
            </w:pPr>
            <w:r>
              <w:rPr>
                <w:rFonts w:hint="eastAsia" w:ascii="宋体" w:hAnsi="宋体"/>
                <w:sz w:val="18"/>
                <w:szCs w:val="18"/>
              </w:rPr>
              <w:t>资料及劳务派遣协议</w:t>
            </w:r>
          </w:p>
        </w:tc>
        <w:tc>
          <w:tcPr>
            <w:tcW w:w="3420" w:type="dxa"/>
            <w:tcBorders>
              <w:tl2br w:val="nil"/>
              <w:tr2bl w:val="nil"/>
            </w:tcBorders>
            <w:noWrap w:val="0"/>
            <w:vAlign w:val="center"/>
          </w:tcPr>
          <w:p>
            <w:pPr>
              <w:widowControl/>
              <w:rPr>
                <w:rFonts w:hint="eastAsia" w:ascii="宋体" w:hAnsi="宋体"/>
                <w:sz w:val="18"/>
                <w:szCs w:val="18"/>
              </w:rPr>
            </w:pPr>
            <w:r>
              <w:rPr>
                <w:rFonts w:hint="eastAsia" w:ascii="宋体" w:hAnsi="宋体"/>
                <w:sz w:val="18"/>
                <w:szCs w:val="18"/>
              </w:rPr>
              <w:t>报告期内（年度、季度、月度）平均拥有的从业人员数。季度或年度平均人数按单位实际月平均人数计算得到。</w:t>
            </w:r>
          </w:p>
        </w:tc>
        <w:tc>
          <w:tcPr>
            <w:tcW w:w="3375" w:type="dxa"/>
            <w:tcBorders>
              <w:tl2br w:val="nil"/>
              <w:tr2bl w:val="nil"/>
            </w:tcBorders>
            <w:noWrap w:val="0"/>
            <w:vAlign w:val="center"/>
          </w:tcPr>
          <w:p>
            <w:pPr>
              <w:widowControl/>
              <w:rPr>
                <w:rFonts w:ascii="宋体" w:hAnsi="宋体"/>
                <w:sz w:val="18"/>
                <w:szCs w:val="18"/>
              </w:rPr>
            </w:pPr>
            <w:r>
              <w:rPr>
                <w:rFonts w:hint="eastAsia" w:ascii="宋体" w:hAnsi="宋体"/>
                <w:sz w:val="18"/>
                <w:szCs w:val="18"/>
              </w:rPr>
              <w:t>不得用期末人数替代</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660" w:type="dxa"/>
            <w:tcBorders>
              <w:tl2br w:val="nil"/>
              <w:tr2bl w:val="nil"/>
            </w:tcBorders>
            <w:noWrap w:val="0"/>
            <w:vAlign w:val="center"/>
          </w:tcPr>
          <w:p>
            <w:pPr>
              <w:widowControl/>
              <w:jc w:val="center"/>
              <w:rPr>
                <w:rFonts w:hint="eastAsia" w:ascii="宋体" w:hAnsi="宋体"/>
                <w:sz w:val="18"/>
                <w:szCs w:val="18"/>
                <w:lang w:val="en-US" w:eastAsia="zh-CN"/>
              </w:rPr>
            </w:pPr>
            <w:r>
              <w:rPr>
                <w:rFonts w:hint="eastAsia" w:ascii="宋体" w:hAnsi="宋体"/>
                <w:sz w:val="18"/>
                <w:szCs w:val="18"/>
              </w:rPr>
              <w:t>12</w:t>
            </w:r>
          </w:p>
        </w:tc>
        <w:tc>
          <w:tcPr>
            <w:tcW w:w="1125" w:type="dxa"/>
            <w:tcBorders>
              <w:tl2br w:val="nil"/>
              <w:tr2bl w:val="nil"/>
            </w:tcBorders>
            <w:noWrap w:val="0"/>
            <w:vAlign w:val="center"/>
          </w:tcPr>
          <w:p>
            <w:pPr>
              <w:widowControl/>
              <w:jc w:val="center"/>
              <w:rPr>
                <w:rFonts w:hint="eastAsia" w:ascii="宋体" w:hAnsi="宋体"/>
                <w:sz w:val="18"/>
                <w:szCs w:val="18"/>
              </w:rPr>
            </w:pPr>
            <w:r>
              <w:rPr>
                <w:rFonts w:hint="eastAsia" w:ascii="宋体" w:hAnsi="宋体"/>
                <w:sz w:val="18"/>
                <w:szCs w:val="18"/>
              </w:rPr>
              <w:t>工资总额</w:t>
            </w:r>
          </w:p>
        </w:tc>
        <w:tc>
          <w:tcPr>
            <w:tcW w:w="1125" w:type="dxa"/>
            <w:tcBorders>
              <w:tl2br w:val="nil"/>
              <w:tr2bl w:val="nil"/>
            </w:tcBorders>
            <w:noWrap w:val="0"/>
            <w:vAlign w:val="center"/>
          </w:tcPr>
          <w:p>
            <w:pPr>
              <w:widowControl/>
              <w:jc w:val="center"/>
              <w:rPr>
                <w:rFonts w:hint="eastAsia" w:ascii="宋体" w:hAnsi="宋体"/>
                <w:sz w:val="18"/>
                <w:szCs w:val="18"/>
              </w:rPr>
            </w:pPr>
            <w:r>
              <w:rPr>
                <w:rFonts w:hint="eastAsia" w:ascii="宋体" w:hAnsi="宋体"/>
                <w:sz w:val="18"/>
                <w:szCs w:val="18"/>
              </w:rPr>
              <w:t>人事部门</w:t>
            </w:r>
          </w:p>
          <w:p>
            <w:pPr>
              <w:widowControl/>
              <w:jc w:val="center"/>
              <w:rPr>
                <w:rFonts w:hint="eastAsia" w:ascii="宋体" w:hAnsi="宋体"/>
                <w:sz w:val="18"/>
                <w:szCs w:val="18"/>
              </w:rPr>
            </w:pPr>
            <w:r>
              <w:rPr>
                <w:rFonts w:hint="eastAsia" w:ascii="宋体" w:hAnsi="宋体"/>
                <w:sz w:val="18"/>
                <w:szCs w:val="18"/>
              </w:rPr>
              <w:t>工资底册和财务有关</w:t>
            </w:r>
          </w:p>
          <w:p>
            <w:pPr>
              <w:widowControl/>
              <w:jc w:val="center"/>
              <w:rPr>
                <w:rFonts w:hint="eastAsia" w:ascii="宋体" w:hAnsi="宋体"/>
                <w:sz w:val="18"/>
                <w:szCs w:val="18"/>
              </w:rPr>
            </w:pPr>
            <w:r>
              <w:rPr>
                <w:rFonts w:hint="eastAsia" w:ascii="宋体" w:hAnsi="宋体"/>
                <w:sz w:val="18"/>
                <w:szCs w:val="18"/>
              </w:rPr>
              <w:t>科目</w:t>
            </w:r>
          </w:p>
        </w:tc>
        <w:tc>
          <w:tcPr>
            <w:tcW w:w="3420" w:type="dxa"/>
            <w:tcBorders>
              <w:tl2br w:val="nil"/>
              <w:tr2bl w:val="nil"/>
            </w:tcBorders>
            <w:noWrap w:val="0"/>
            <w:vAlign w:val="center"/>
          </w:tcPr>
          <w:p>
            <w:pPr>
              <w:widowControl/>
              <w:rPr>
                <w:rFonts w:hint="eastAsia" w:ascii="宋体" w:hAnsi="宋体"/>
                <w:sz w:val="18"/>
                <w:szCs w:val="18"/>
              </w:rPr>
            </w:pPr>
            <w:r>
              <w:rPr>
                <w:rFonts w:hint="eastAsia" w:ascii="宋体" w:hAnsi="宋体"/>
                <w:sz w:val="18"/>
                <w:szCs w:val="18"/>
              </w:rPr>
              <w:t>本单位在报告期内（季度或年度）直接支付给本单位全部从业人员的劳动报酬总额。</w:t>
            </w:r>
          </w:p>
        </w:tc>
        <w:tc>
          <w:tcPr>
            <w:tcW w:w="3375" w:type="dxa"/>
            <w:tcBorders>
              <w:tl2br w:val="nil"/>
              <w:tr2bl w:val="nil"/>
            </w:tcBorders>
            <w:noWrap w:val="0"/>
            <w:vAlign w:val="center"/>
          </w:tcPr>
          <w:p>
            <w:pPr>
              <w:widowControl/>
              <w:rPr>
                <w:rFonts w:ascii="宋体" w:hAnsi="宋体"/>
                <w:sz w:val="18"/>
                <w:szCs w:val="18"/>
              </w:rPr>
            </w:pPr>
            <w:r>
              <w:rPr>
                <w:rFonts w:hint="eastAsia" w:ascii="宋体" w:hAnsi="宋体"/>
                <w:sz w:val="18"/>
                <w:szCs w:val="18"/>
              </w:rPr>
              <w:t>工资总额指税前工资，工资总额不论是计入成本的还是不计入成本的，不论是以货币形式支付的还是以实物形式支付的，均应列入工资总额的计算范围。</w:t>
            </w:r>
          </w:p>
        </w:tc>
      </w:tr>
    </w:tbl>
    <w:p>
      <w:pPr>
        <w:rPr>
          <w:rFonts w:hint="eastAsia" w:eastAsia="宋体"/>
          <w:lang w:val="en-US" w:eastAsia="zh-CN"/>
        </w:rPr>
      </w:pPr>
    </w:p>
    <w:p>
      <w:pPr>
        <w:rPr>
          <w:rFonts w:hint="eastAsia" w:ascii="黑体" w:hAnsi="黑体" w:eastAsia="黑体" w:cs="宋体"/>
          <w:bCs/>
          <w:sz w:val="28"/>
          <w:szCs w:val="28"/>
        </w:rPr>
      </w:pPr>
      <w:r>
        <w:rPr>
          <w:rFonts w:hint="eastAsia" w:ascii="黑体" w:hAnsi="黑体" w:eastAsia="黑体" w:cs="宋体"/>
          <w:bCs/>
          <w:sz w:val="28"/>
          <w:szCs w:val="28"/>
        </w:rPr>
        <w:br w:type="page"/>
      </w:r>
    </w:p>
    <w:p>
      <w:pPr>
        <w:rPr>
          <w:rFonts w:hint="eastAsia"/>
        </w:rPr>
      </w:pPr>
    </w:p>
    <w:p>
      <w:pPr>
        <w:pStyle w:val="2"/>
        <w:ind w:left="0" w:leftChars="0" w:firstLine="0" w:firstLineChars="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财务状况（F103表、F203表）</w:t>
      </w:r>
    </w:p>
    <w:tbl>
      <w:tblPr>
        <w:tblStyle w:val="31"/>
        <w:tblW w:w="0" w:type="auto"/>
        <w:tblInd w:w="-95" w:type="dxa"/>
        <w:tblLayout w:type="autofit"/>
        <w:tblCellMar>
          <w:top w:w="0" w:type="dxa"/>
          <w:left w:w="108" w:type="dxa"/>
          <w:bottom w:w="0" w:type="dxa"/>
          <w:right w:w="108" w:type="dxa"/>
        </w:tblCellMar>
      </w:tblPr>
      <w:tblGrid>
        <w:gridCol w:w="650"/>
        <w:gridCol w:w="993"/>
        <w:gridCol w:w="589"/>
        <w:gridCol w:w="3075"/>
        <w:gridCol w:w="2688"/>
        <w:gridCol w:w="1954"/>
      </w:tblGrid>
      <w:tr>
        <w:tblPrEx>
          <w:tblCellMar>
            <w:top w:w="0" w:type="dxa"/>
            <w:left w:w="108" w:type="dxa"/>
            <w:bottom w:w="0" w:type="dxa"/>
            <w:right w:w="108" w:type="dxa"/>
          </w:tblCellMar>
        </w:tblPrEx>
        <w:trPr>
          <w:cantSplit/>
          <w:trHeight w:val="454" w:hRule="atLeast"/>
          <w:tblHeader/>
        </w:trPr>
        <w:tc>
          <w:tcPr>
            <w:tcW w:w="650"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指标代码</w:t>
            </w:r>
          </w:p>
        </w:tc>
        <w:tc>
          <w:tcPr>
            <w:tcW w:w="993"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统计</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589"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3075"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数据来源</w:t>
            </w:r>
          </w:p>
        </w:tc>
        <w:tc>
          <w:tcPr>
            <w:tcW w:w="2688"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计算方法</w:t>
            </w:r>
          </w:p>
        </w:tc>
        <w:tc>
          <w:tcPr>
            <w:tcW w:w="1954" w:type="dxa"/>
            <w:tcBorders>
              <w:top w:val="single" w:color="auto" w:sz="8" w:space="0"/>
              <w:left w:val="nil"/>
              <w:bottom w:val="single" w:color="auto" w:sz="4" w:space="0"/>
              <w:right w:val="nil"/>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注意事项</w:t>
            </w:r>
          </w:p>
        </w:tc>
      </w:tr>
      <w:tr>
        <w:tblPrEx>
          <w:tblCellMar>
            <w:top w:w="0" w:type="dxa"/>
            <w:left w:w="108" w:type="dxa"/>
            <w:bottom w:w="0" w:type="dxa"/>
            <w:right w:w="108" w:type="dxa"/>
          </w:tblCellMar>
        </w:tblPrEx>
        <w:trPr>
          <w:cantSplit/>
          <w:trHeight w:val="75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101</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年初存货</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根据会计“存货”项目的年初余额数填报。</w:t>
            </w:r>
          </w:p>
        </w:tc>
        <w:tc>
          <w:tcPr>
            <w:tcW w:w="2688"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54" w:type="dxa"/>
            <w:tcBorders>
              <w:top w:val="nil"/>
              <w:left w:val="nil"/>
              <w:bottom w:val="single" w:color="auto" w:sz="4" w:space="0"/>
              <w:right w:val="nil"/>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cantSplit/>
          <w:trHeight w:val="72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流动资产合计</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根据会计“流动资产合计”项目的期末余额数填报。</w:t>
            </w:r>
          </w:p>
        </w:tc>
        <w:tc>
          <w:tcPr>
            <w:tcW w:w="2688"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54" w:type="dxa"/>
            <w:tcBorders>
              <w:top w:val="nil"/>
              <w:left w:val="nil"/>
              <w:bottom w:val="single" w:color="auto" w:sz="4" w:space="0"/>
              <w:right w:val="nil"/>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cantSplit/>
          <w:trHeight w:val="71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其中：应收账款</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根据会计“应收账款”项目的期末余额数填报。</w:t>
            </w:r>
          </w:p>
        </w:tc>
        <w:tc>
          <w:tcPr>
            <w:tcW w:w="2688"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54" w:type="dxa"/>
            <w:tcBorders>
              <w:top w:val="nil"/>
              <w:left w:val="nil"/>
              <w:bottom w:val="single" w:color="auto" w:sz="4" w:space="0"/>
              <w:right w:val="nil"/>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cantSplit/>
          <w:trHeight w:val="71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205</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存货</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根据会计“存货”项目的期末余额数填报。</w:t>
            </w:r>
          </w:p>
        </w:tc>
        <w:tc>
          <w:tcPr>
            <w:tcW w:w="2688"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54" w:type="dxa"/>
            <w:tcBorders>
              <w:top w:val="nil"/>
              <w:left w:val="nil"/>
              <w:bottom w:val="single" w:color="auto" w:sz="4" w:space="0"/>
              <w:right w:val="nil"/>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cantSplit/>
          <w:trHeight w:val="72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209</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固定资产原价</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根据会计“固定资产”科目的期末借方余额填报。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不能填报为固定资产净值</w:t>
            </w:r>
          </w:p>
        </w:tc>
      </w:tr>
      <w:tr>
        <w:tblPrEx>
          <w:tblCellMar>
            <w:top w:w="0" w:type="dxa"/>
            <w:left w:w="108" w:type="dxa"/>
            <w:bottom w:w="0" w:type="dxa"/>
            <w:right w:w="108" w:type="dxa"/>
          </w:tblCellMar>
        </w:tblPrEx>
        <w:trPr>
          <w:cantSplit/>
          <w:trHeight w:val="1026"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231</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其中：房屋和构筑物</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根据会计核算中“固定资产原价”有关二级科目的期末余额数归并填报。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1011"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232</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机器设备</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根据会计核算中“固定资产原价”有关二级科目的期末余额数归并填报。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累计折旧</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根据会计“累计折旧”科目的期末贷方余额填报。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211</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其中：本年折旧</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根据“累计折旧”科目的</w:t>
            </w:r>
            <w:r>
              <w:rPr>
                <w:rFonts w:hint="eastAsia" w:ascii="宋体" w:hAnsi="宋体" w:eastAsia="宋体" w:cs="宋体"/>
                <w:color w:val="000000"/>
                <w:kern w:val="0"/>
                <w:sz w:val="18"/>
                <w:szCs w:val="18"/>
                <w:lang w:val="en-US" w:eastAsia="zh-CN"/>
              </w:rPr>
              <w:t>本期</w:t>
            </w:r>
            <w:r>
              <w:rPr>
                <w:rFonts w:hint="eastAsia" w:ascii="宋体" w:hAnsi="宋体" w:eastAsia="宋体" w:cs="宋体"/>
                <w:color w:val="000000"/>
                <w:kern w:val="0"/>
                <w:sz w:val="18"/>
                <w:szCs w:val="18"/>
              </w:rPr>
              <w:t>贷方累计发生额填报。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当年计提固定资产折旧合计数，资产清理时不冲减本年折旧。</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246</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无形资产</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根据“无形资产”项目的期末余额数填报。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247</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其中：土地使用权</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根据“无形资产”项目计算填报。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213</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资产总计</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根据会计“资产负债表”中“资产总计”项目的期末余额数填报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资产类科目加总</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90"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217</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负债合计</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根据会计“资产负债表”中“负债合计”项目的期末余额数填报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负债类科目加总</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218</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所有者权益合计</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spacing w:val="-6"/>
                <w:kern w:val="0"/>
                <w:sz w:val="18"/>
                <w:szCs w:val="18"/>
              </w:rPr>
            </w:pPr>
            <w:r>
              <w:rPr>
                <w:rFonts w:hint="eastAsia" w:ascii="宋体" w:hAnsi="宋体" w:cs="宋体"/>
                <w:color w:val="000000"/>
                <w:spacing w:val="-6"/>
                <w:kern w:val="0"/>
                <w:sz w:val="18"/>
                <w:szCs w:val="18"/>
              </w:rPr>
              <w:t>根据会计“资产负债表”中“所有者权益合计”项目的期末余额数填报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所有者权益类科目加总</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219</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其中：实收资本</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根据“所有者权益”项下“实收资本”的期末余额数填报。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223</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个人资本</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spacing w:val="-6"/>
                <w:kern w:val="0"/>
                <w:sz w:val="18"/>
                <w:szCs w:val="18"/>
              </w:rPr>
            </w:pPr>
            <w:r>
              <w:rPr>
                <w:rFonts w:hint="eastAsia" w:ascii="宋体" w:hAnsi="宋体" w:cs="宋体"/>
                <w:color w:val="000000"/>
                <w:spacing w:val="-6"/>
                <w:kern w:val="0"/>
                <w:sz w:val="18"/>
                <w:szCs w:val="18"/>
              </w:rPr>
              <w:t>根据会计“实收资本”项目计算填报。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56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营业收入</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根据会计“利润表”中“营业收入”项目的本年累计数填报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4935"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340</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 xml:space="preserve">净服务收入 </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根据“营业收入”二级科目分析填报</w:t>
            </w:r>
          </w:p>
        </w:tc>
        <w:tc>
          <w:tcPr>
            <w:tcW w:w="2688"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eastAsia="zh-CN"/>
              </w:rPr>
            </w:pPr>
            <w:r>
              <w:rPr>
                <w:rFonts w:hint="eastAsia" w:ascii="宋体" w:hAnsi="宋体" w:cs="宋体"/>
                <w:kern w:val="0"/>
                <w:sz w:val="18"/>
                <w:szCs w:val="18"/>
              </w:rPr>
              <w:t>单纯反映提供服务所获得的收入，</w:t>
            </w:r>
          </w:p>
          <w:p>
            <w:pPr>
              <w:widowControl/>
              <w:rPr>
                <w:rFonts w:hint="eastAsia" w:ascii="宋体" w:hAnsi="宋体" w:eastAsia="宋体" w:cs="宋体"/>
                <w:kern w:val="0"/>
                <w:sz w:val="18"/>
                <w:szCs w:val="18"/>
                <w:lang w:eastAsia="zh-CN"/>
              </w:rPr>
            </w:pPr>
            <w:r>
              <w:rPr>
                <w:rFonts w:hint="eastAsia" w:ascii="宋体" w:hAnsi="宋体" w:cs="宋体"/>
                <w:kern w:val="0"/>
                <w:sz w:val="18"/>
                <w:szCs w:val="18"/>
              </w:rPr>
              <w:t>不应包含：</w:t>
            </w:r>
          </w:p>
          <w:p>
            <w:pPr>
              <w:widowControl/>
              <w:rPr>
                <w:rFonts w:hint="eastAsia" w:ascii="宋体" w:hAnsi="宋体" w:eastAsia="宋体" w:cs="宋体"/>
                <w:kern w:val="0"/>
                <w:sz w:val="18"/>
                <w:szCs w:val="18"/>
                <w:lang w:eastAsia="zh-CN"/>
              </w:rPr>
            </w:pPr>
            <w:r>
              <w:rPr>
                <w:rFonts w:hint="eastAsia" w:ascii="宋体" w:hAnsi="宋体" w:cs="宋体"/>
                <w:kern w:val="0"/>
                <w:sz w:val="18"/>
                <w:szCs w:val="18"/>
              </w:rPr>
              <w:t>1.经营或外包农、林、牧、渔业，</w:t>
            </w:r>
          </w:p>
          <w:p>
            <w:pPr>
              <w:widowControl/>
              <w:rPr>
                <w:rFonts w:hint="eastAsia" w:ascii="宋体" w:hAnsi="宋体" w:eastAsia="宋体" w:cs="宋体"/>
                <w:kern w:val="0"/>
                <w:sz w:val="18"/>
                <w:szCs w:val="18"/>
                <w:lang w:eastAsia="zh-CN"/>
              </w:rPr>
            </w:pPr>
            <w:r>
              <w:rPr>
                <w:rFonts w:hint="eastAsia" w:ascii="宋体" w:hAnsi="宋体" w:cs="宋体"/>
                <w:kern w:val="0"/>
                <w:sz w:val="18"/>
                <w:szCs w:val="18"/>
              </w:rPr>
              <w:t>2.采矿业，制造业，电力、热力、燃气及水生产和供应业，</w:t>
            </w:r>
          </w:p>
          <w:p>
            <w:pPr>
              <w:widowControl/>
              <w:rPr>
                <w:rFonts w:hint="eastAsia" w:ascii="宋体" w:hAnsi="宋体" w:eastAsia="宋体" w:cs="宋体"/>
                <w:kern w:val="0"/>
                <w:sz w:val="18"/>
                <w:szCs w:val="18"/>
                <w:lang w:eastAsia="zh-CN"/>
              </w:rPr>
            </w:pPr>
            <w:r>
              <w:rPr>
                <w:rFonts w:hint="eastAsia" w:ascii="宋体" w:hAnsi="宋体" w:cs="宋体"/>
                <w:kern w:val="0"/>
                <w:sz w:val="18"/>
                <w:szCs w:val="18"/>
              </w:rPr>
              <w:t>3.建筑业，</w:t>
            </w:r>
          </w:p>
          <w:p>
            <w:pPr>
              <w:widowControl/>
              <w:rPr>
                <w:rFonts w:hint="eastAsia" w:ascii="宋体" w:hAnsi="宋体" w:eastAsia="宋体" w:cs="宋体"/>
                <w:kern w:val="0"/>
                <w:sz w:val="18"/>
                <w:szCs w:val="18"/>
                <w:lang w:eastAsia="zh-CN"/>
              </w:rPr>
            </w:pPr>
            <w:r>
              <w:rPr>
                <w:rFonts w:hint="eastAsia" w:ascii="宋体" w:hAnsi="宋体" w:cs="宋体"/>
                <w:kern w:val="0"/>
                <w:sz w:val="18"/>
                <w:szCs w:val="18"/>
              </w:rPr>
              <w:t>4.批发和零售业，住宿和餐饮业，金融业，房地产开发经营，土地出让等活动所确认的收入，</w:t>
            </w:r>
          </w:p>
          <w:p>
            <w:pPr>
              <w:widowControl/>
              <w:rPr>
                <w:rFonts w:hint="eastAsia" w:ascii="宋体" w:hAnsi="宋体" w:eastAsia="宋体" w:cs="宋体"/>
                <w:kern w:val="0"/>
                <w:sz w:val="18"/>
                <w:szCs w:val="18"/>
                <w:lang w:eastAsia="zh-CN"/>
              </w:rPr>
            </w:pPr>
            <w:r>
              <w:rPr>
                <w:rFonts w:hint="eastAsia" w:ascii="宋体" w:hAnsi="宋体" w:cs="宋体"/>
                <w:kern w:val="0"/>
                <w:sz w:val="18"/>
                <w:szCs w:val="18"/>
              </w:rPr>
              <w:t>5.以及财政拨款、政府补助、投资收益、股权分红等相关收入，</w:t>
            </w:r>
          </w:p>
          <w:p>
            <w:pPr>
              <w:widowControl/>
              <w:rPr>
                <w:rFonts w:ascii="宋体" w:hAnsi="宋体" w:cs="宋体"/>
                <w:kern w:val="0"/>
                <w:sz w:val="18"/>
                <w:szCs w:val="18"/>
              </w:rPr>
            </w:pPr>
            <w:r>
              <w:rPr>
                <w:rFonts w:hint="eastAsia" w:ascii="宋体" w:hAnsi="宋体" w:cs="宋体"/>
                <w:kern w:val="0"/>
                <w:sz w:val="18"/>
                <w:szCs w:val="18"/>
              </w:rPr>
              <w:t>6.也不应包含代收代付、代开票、代管代运货物价值等带来的营业收入。</w:t>
            </w:r>
          </w:p>
        </w:tc>
        <w:tc>
          <w:tcPr>
            <w:tcW w:w="1954" w:type="dxa"/>
            <w:tcBorders>
              <w:top w:val="nil"/>
              <w:left w:val="nil"/>
              <w:bottom w:val="single" w:color="auto" w:sz="4" w:space="0"/>
              <w:right w:val="nil"/>
            </w:tcBorders>
            <w:noWrap w:val="0"/>
            <w:vAlign w:val="center"/>
          </w:tcPr>
          <w:p>
            <w:pPr>
              <w:widowControl/>
              <w:rPr>
                <w:rFonts w:ascii="宋体" w:hAnsi="宋体" w:cs="宋体"/>
                <w:kern w:val="0"/>
                <w:sz w:val="18"/>
                <w:szCs w:val="18"/>
              </w:rPr>
            </w:pPr>
            <w:r>
              <w:rPr>
                <w:rFonts w:hint="eastAsia" w:ascii="宋体" w:hAnsi="宋体" w:cs="宋体"/>
                <w:kern w:val="0"/>
                <w:sz w:val="18"/>
                <w:szCs w:val="18"/>
              </w:rPr>
              <w:t>根据科目余额表营业收入明细科目，按计算方法对不属于服务收入进行剔除</w:t>
            </w:r>
          </w:p>
        </w:tc>
      </w:tr>
      <w:tr>
        <w:tblPrEx>
          <w:tblCellMar>
            <w:top w:w="0" w:type="dxa"/>
            <w:left w:w="108" w:type="dxa"/>
            <w:bottom w:w="0" w:type="dxa"/>
            <w:right w:w="108" w:type="dxa"/>
          </w:tblCellMar>
        </w:tblPrEx>
        <w:trPr>
          <w:cantSplit/>
          <w:trHeight w:val="84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307</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营业成本</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根据会计“利润表”中“营业成本”项目的本年累计数填报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89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税金及附加</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根据会计“利润表”中“营业税金及附加”项目的本年累计数填报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231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993"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销售费用</w:t>
            </w:r>
          </w:p>
        </w:tc>
        <w:tc>
          <w:tcPr>
            <w:tcW w:w="58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①执行</w:t>
            </w:r>
            <w:r>
              <w:rPr>
                <w:rFonts w:hint="eastAsia" w:ascii="宋体" w:hAnsi="宋体" w:cs="宋体"/>
                <w:color w:val="000000"/>
                <w:kern w:val="0"/>
                <w:sz w:val="18"/>
                <w:szCs w:val="18"/>
                <w:lang w:eastAsia="zh-CN"/>
              </w:rPr>
              <w:t>《企业会计准则》</w:t>
            </w:r>
            <w:r>
              <w:rPr>
                <w:rFonts w:hint="eastAsia" w:ascii="宋体" w:hAnsi="宋体" w:cs="宋体"/>
                <w:color w:val="000000"/>
                <w:kern w:val="0"/>
                <w:sz w:val="18"/>
                <w:szCs w:val="18"/>
              </w:rPr>
              <w:t>或</w:t>
            </w:r>
            <w:r>
              <w:rPr>
                <w:rFonts w:hint="eastAsia" w:ascii="宋体" w:hAnsi="宋体" w:cs="宋体"/>
                <w:color w:val="000000"/>
                <w:kern w:val="0"/>
                <w:sz w:val="18"/>
                <w:szCs w:val="18"/>
                <w:lang w:eastAsia="zh-CN"/>
              </w:rPr>
              <w:t>《小企业会计准则》</w:t>
            </w:r>
            <w:r>
              <w:rPr>
                <w:rFonts w:hint="eastAsia" w:ascii="宋体" w:hAnsi="宋体" w:cs="宋体"/>
                <w:color w:val="000000"/>
                <w:kern w:val="0"/>
                <w:sz w:val="18"/>
                <w:szCs w:val="18"/>
              </w:rPr>
              <w:t>的，根据会计“利润表”中“销售费用”项目的本本年累计数填报；</w:t>
            </w:r>
          </w:p>
          <w:p>
            <w:pPr>
              <w:widowControl/>
              <w:rPr>
                <w:rFonts w:ascii="宋体" w:hAnsi="宋体" w:cs="宋体"/>
                <w:color w:val="000000"/>
                <w:kern w:val="0"/>
                <w:sz w:val="18"/>
                <w:szCs w:val="18"/>
              </w:rPr>
            </w:pPr>
            <w:r>
              <w:rPr>
                <w:rFonts w:hint="eastAsia" w:ascii="宋体" w:hAnsi="宋体" w:cs="宋体"/>
                <w:color w:val="000000"/>
                <w:kern w:val="0"/>
                <w:sz w:val="18"/>
                <w:szCs w:val="18"/>
              </w:rPr>
              <w:t>②执行</w:t>
            </w:r>
            <w:r>
              <w:rPr>
                <w:rFonts w:hint="eastAsia" w:ascii="宋体" w:hAnsi="宋体" w:cs="宋体"/>
                <w:color w:val="000000"/>
                <w:kern w:val="0"/>
                <w:sz w:val="18"/>
                <w:szCs w:val="18"/>
                <w:lang w:eastAsia="zh-CN"/>
              </w:rPr>
              <w:t>《企业会计制度》</w:t>
            </w:r>
            <w:r>
              <w:rPr>
                <w:rFonts w:hint="eastAsia" w:ascii="宋体" w:hAnsi="宋体" w:cs="宋体"/>
                <w:color w:val="000000"/>
                <w:kern w:val="0"/>
                <w:sz w:val="18"/>
                <w:szCs w:val="18"/>
              </w:rPr>
              <w:t>，根据会计“利润表”中“营业费用(或经营费用)”项目的本年累计数填报</w:t>
            </w:r>
          </w:p>
        </w:tc>
        <w:tc>
          <w:tcPr>
            <w:tcW w:w="2688"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single" w:color="auto" w:sz="4" w:space="0"/>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81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313</w:t>
            </w:r>
          </w:p>
        </w:tc>
        <w:tc>
          <w:tcPr>
            <w:tcW w:w="99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管理费用</w:t>
            </w:r>
          </w:p>
        </w:tc>
        <w:tc>
          <w:tcPr>
            <w:tcW w:w="58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根据会计“利润表”中“管理费用”项目的本年累计数填报</w:t>
            </w:r>
          </w:p>
        </w:tc>
        <w:tc>
          <w:tcPr>
            <w:tcW w:w="26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2691"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331</w:t>
            </w:r>
          </w:p>
        </w:tc>
        <w:tc>
          <w:tcPr>
            <w:tcW w:w="993" w:type="dxa"/>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研发费用</w:t>
            </w:r>
          </w:p>
        </w:tc>
        <w:tc>
          <w:tcPr>
            <w:tcW w:w="589"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①执行</w:t>
            </w:r>
            <w:r>
              <w:rPr>
                <w:rFonts w:hint="eastAsia" w:ascii="宋体" w:hAnsi="宋体" w:cs="宋体"/>
                <w:color w:val="000000"/>
                <w:kern w:val="0"/>
                <w:sz w:val="18"/>
                <w:szCs w:val="18"/>
                <w:lang w:eastAsia="zh-CN"/>
              </w:rPr>
              <w:t>《企业会计准则》</w:t>
            </w:r>
            <w:r>
              <w:rPr>
                <w:rFonts w:hint="eastAsia" w:ascii="宋体" w:hAnsi="宋体" w:cs="宋体"/>
                <w:color w:val="000000"/>
                <w:kern w:val="0"/>
                <w:sz w:val="18"/>
                <w:szCs w:val="18"/>
              </w:rPr>
              <w:t>或</w:t>
            </w:r>
            <w:r>
              <w:rPr>
                <w:rFonts w:hint="eastAsia" w:ascii="宋体" w:hAnsi="宋体" w:cs="宋体"/>
                <w:color w:val="000000"/>
                <w:kern w:val="0"/>
                <w:sz w:val="18"/>
                <w:szCs w:val="18"/>
                <w:lang w:eastAsia="zh-CN"/>
              </w:rPr>
              <w:t>《小企业会计准则》</w:t>
            </w:r>
            <w:r>
              <w:rPr>
                <w:rFonts w:hint="eastAsia" w:ascii="宋体" w:hAnsi="宋体" w:cs="宋体"/>
                <w:color w:val="000000"/>
                <w:kern w:val="0"/>
                <w:sz w:val="18"/>
                <w:szCs w:val="18"/>
              </w:rPr>
              <w:t>的，根据会计“利润表”中“研发费用”或“研究费用”项目的本年累计数填报；②执行</w:t>
            </w:r>
            <w:r>
              <w:rPr>
                <w:rFonts w:hint="eastAsia" w:ascii="宋体" w:hAnsi="宋体" w:cs="宋体"/>
                <w:color w:val="000000"/>
                <w:kern w:val="0"/>
                <w:sz w:val="18"/>
                <w:szCs w:val="18"/>
                <w:lang w:eastAsia="zh-CN"/>
              </w:rPr>
              <w:t>《企业会计制度》</w:t>
            </w:r>
            <w:r>
              <w:rPr>
                <w:rFonts w:hint="eastAsia" w:ascii="宋体" w:hAnsi="宋体" w:cs="宋体"/>
                <w:color w:val="000000"/>
                <w:kern w:val="0"/>
                <w:sz w:val="18"/>
                <w:szCs w:val="18"/>
              </w:rPr>
              <w:t>，“利润表”中未列示“研发费用”或“研究费用”的，根据“管理费用” 明细账中“研究与开发费”本年累计数填报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879" w:hRule="atLeast"/>
        </w:trPr>
        <w:tc>
          <w:tcPr>
            <w:tcW w:w="650" w:type="dxa"/>
            <w:tcBorders>
              <w:top w:val="nil"/>
              <w:left w:val="nil"/>
              <w:bottom w:val="single" w:color="auto" w:sz="4" w:space="0"/>
              <w:right w:val="single" w:color="auto" w:sz="4" w:space="0"/>
            </w:tcBorders>
            <w:noWrap w:val="0"/>
            <w:vAlign w:val="center"/>
          </w:tcPr>
          <w:p>
            <w:pPr>
              <w:widowControl/>
              <w:jc w:val="both"/>
              <w:rPr>
                <w:rFonts w:ascii="宋体" w:hAnsi="宋体" w:cs="宋体"/>
                <w:color w:val="000000"/>
                <w:kern w:val="0"/>
                <w:sz w:val="18"/>
                <w:szCs w:val="18"/>
              </w:rPr>
            </w:pPr>
            <w:r>
              <w:rPr>
                <w:rFonts w:hint="eastAsia" w:ascii="宋体" w:hAnsi="宋体" w:cs="宋体"/>
                <w:color w:val="000000"/>
                <w:kern w:val="0"/>
                <w:sz w:val="18"/>
                <w:szCs w:val="18"/>
              </w:rPr>
              <w:t>317</w:t>
            </w:r>
          </w:p>
        </w:tc>
        <w:tc>
          <w:tcPr>
            <w:tcW w:w="993" w:type="dxa"/>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财务费用</w:t>
            </w:r>
          </w:p>
        </w:tc>
        <w:tc>
          <w:tcPr>
            <w:tcW w:w="589"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根据会计“利润表”中“财务费用”项目的本年累计数填报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318</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其中：利息收入</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执行《企业会计准则》的企业，根据会计“利润表”中“利息收入”项目的本年累计数填报。执行《小企业会计准则》的企业，填0。执行《企业会计制度》的企业，根据会计“财务费用”科目下“利息收入”明细科目的本期发生额以正数填报，如果未设置该科目，填0。</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319</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利</w:t>
            </w:r>
            <w:r>
              <w:rPr>
                <w:rFonts w:hint="eastAsia" w:ascii="宋体" w:hAnsi="宋体" w:cs="宋体"/>
                <w:color w:val="000000"/>
                <w:kern w:val="0"/>
                <w:sz w:val="18"/>
                <w:szCs w:val="18"/>
                <w:highlight w:val="none"/>
              </w:rPr>
              <w:t>息</w:t>
            </w:r>
            <w:r>
              <w:rPr>
                <w:rFonts w:hint="eastAsia" w:ascii="宋体" w:hAnsi="宋体" w:cs="宋体"/>
                <w:color w:val="000000"/>
                <w:kern w:val="0"/>
                <w:sz w:val="18"/>
                <w:szCs w:val="18"/>
                <w:highlight w:val="none"/>
                <w:lang w:val="en-US" w:eastAsia="zh-CN"/>
              </w:rPr>
              <w:t>费用</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执行《企业会计准则》或《小企业会计准则》的企业，根据会计“利润表”中“利息费用”项目的本年累计数填报。</w:t>
            </w:r>
          </w:p>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执行《企业会计制度》的企业，根据会计“财务费用”科目下“利息支出”明细科目的本期发生额填报</w:t>
            </w:r>
            <w:r>
              <w:rPr>
                <w:rFonts w:hint="eastAsia" w:ascii="宋体" w:hAnsi="宋体" w:cs="宋体"/>
                <w:color w:val="000000"/>
                <w:kern w:val="0"/>
                <w:sz w:val="18"/>
                <w:szCs w:val="18"/>
                <w:lang w:val="en-US" w:eastAsia="zh-CN"/>
              </w:rPr>
              <w:t>。</w:t>
            </w:r>
          </w:p>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如果企业没有单独设立“利息收入”明细科目，应填报利息支出减利息收入后的净额。</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资产减值损失(损失以“-”号记)</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根据会计“利润表”中“资产减值损失”项目的本期累计数填报，损失以“-”号记。如果会计“利润表”未设置该项目，填 0。</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333</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信用减值损失(损失以“-”号记)</w:t>
            </w:r>
          </w:p>
        </w:tc>
        <w:tc>
          <w:tcPr>
            <w:tcW w:w="589"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千元</w:t>
            </w:r>
          </w:p>
        </w:tc>
        <w:tc>
          <w:tcPr>
            <w:tcW w:w="3075" w:type="dxa"/>
            <w:tcBorders>
              <w:top w:val="nil"/>
              <w:left w:val="nil"/>
              <w:bottom w:val="single" w:color="auto" w:sz="4" w:space="0"/>
              <w:right w:val="single" w:color="auto" w:sz="4" w:space="0"/>
            </w:tcBorders>
            <w:noWrap w:val="0"/>
            <w:vAlign w:val="center"/>
          </w:tcPr>
          <w:p>
            <w:pPr>
              <w:rPr>
                <w:rFonts w:ascii="宋体" w:hAnsi="宋体" w:cs="宋体"/>
                <w:color w:val="000000"/>
                <w:sz w:val="18"/>
                <w:szCs w:val="18"/>
              </w:rPr>
            </w:pPr>
            <w:r>
              <w:rPr>
                <w:rFonts w:hint="eastAsia"/>
                <w:color w:val="000000"/>
                <w:sz w:val="18"/>
                <w:szCs w:val="18"/>
              </w:rPr>
              <w:t>根据会计“利润表”中“信用减值损失”项目的本期累计数填报，损失以“-”号记。如果会计“利润表”未设置该项目，填 0。</w:t>
            </w:r>
          </w:p>
        </w:tc>
        <w:tc>
          <w:tcPr>
            <w:tcW w:w="2688" w:type="dxa"/>
            <w:tcBorders>
              <w:top w:val="nil"/>
              <w:left w:val="nil"/>
              <w:bottom w:val="single" w:color="auto" w:sz="4" w:space="0"/>
              <w:right w:val="single" w:color="auto" w:sz="4" w:space="0"/>
            </w:tcBorders>
            <w:noWrap w:val="0"/>
            <w:vAlign w:val="center"/>
          </w:tcPr>
          <w:p>
            <w:pPr>
              <w:rPr>
                <w:rFonts w:ascii="宋体" w:hAnsi="宋体" w:cs="宋体"/>
                <w:color w:val="000000"/>
                <w:sz w:val="18"/>
                <w:szCs w:val="18"/>
              </w:rPr>
            </w:pPr>
            <w:r>
              <w:rPr>
                <w:rFonts w:hint="eastAsia"/>
                <w:color w:val="000000"/>
                <w:sz w:val="18"/>
                <w:szCs w:val="18"/>
              </w:rPr>
              <w:t>　</w:t>
            </w:r>
          </w:p>
        </w:tc>
        <w:tc>
          <w:tcPr>
            <w:tcW w:w="1954" w:type="dxa"/>
            <w:tcBorders>
              <w:top w:val="nil"/>
              <w:left w:val="nil"/>
              <w:bottom w:val="single" w:color="auto" w:sz="4" w:space="0"/>
              <w:right w:val="nil"/>
            </w:tcBorders>
            <w:noWrap w:val="0"/>
            <w:vAlign w:val="center"/>
          </w:tcPr>
          <w:p>
            <w:pP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321</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公允价值变动收益(损失以“-”号记)</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根据会计“利润表”中“公允价值变动收益”项目的本期累计数填报，损失以“-”号记。如果会计“利润表”未设置该项目，填 0。</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322</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投资收益(损失以“-”号记)</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根据会计“利润表”中“投资收益”项目的本年累计数填报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如为投资损失以“-”号记</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334</w:t>
            </w:r>
          </w:p>
        </w:tc>
        <w:tc>
          <w:tcPr>
            <w:tcW w:w="993"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Theme="minorEastAsia" w:hAnsiTheme="minorEastAsia" w:eastAsiaTheme="minorEastAsia" w:cstheme="minorEastAsia"/>
                <w:sz w:val="18"/>
                <w:szCs w:val="18"/>
              </w:rPr>
              <w:t>净敞口套期收益(损失以“-”号记)</w:t>
            </w:r>
          </w:p>
        </w:tc>
        <w:tc>
          <w:tcPr>
            <w:tcW w:w="58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根据会计“利润表”中“净敞口套期收益”项目的本年累计数填报，损失以“-”号记。如果会计“利润表”未设置该项目，填 0。</w:t>
            </w:r>
          </w:p>
        </w:tc>
        <w:tc>
          <w:tcPr>
            <w:tcW w:w="2688"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p>
        </w:tc>
        <w:tc>
          <w:tcPr>
            <w:tcW w:w="1954" w:type="dxa"/>
            <w:tcBorders>
              <w:top w:val="nil"/>
              <w:left w:val="nil"/>
              <w:bottom w:val="single" w:color="auto" w:sz="4" w:space="0"/>
              <w:right w:val="nil"/>
            </w:tcBorders>
            <w:noWrap w:val="0"/>
            <w:vAlign w:val="center"/>
          </w:tcPr>
          <w:p>
            <w:pPr>
              <w:widowControl/>
              <w:rPr>
                <w:rFonts w:hint="eastAsia" w:ascii="宋体" w:hAnsi="宋体" w:cs="宋体"/>
                <w:color w:val="000000"/>
                <w:kern w:val="0"/>
                <w:sz w:val="18"/>
                <w:szCs w:val="18"/>
              </w:rPr>
            </w:pP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335</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资产处置收益(损失以“-”号记)</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根据会计“利润表”中“资产处置收益”项目的本期累计数填报，损失以“-”号记。如果会计“利润表”未设置该项目，填 0。</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1992"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其他收益</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执行</w:t>
            </w:r>
            <w:r>
              <w:rPr>
                <w:rFonts w:hint="eastAsia" w:ascii="宋体" w:hAnsi="宋体" w:cs="宋体"/>
                <w:color w:val="000000"/>
                <w:kern w:val="0"/>
                <w:sz w:val="18"/>
                <w:szCs w:val="18"/>
                <w:lang w:eastAsia="zh-CN"/>
              </w:rPr>
              <w:t>《企业会计准则》</w:t>
            </w:r>
            <w:r>
              <w:rPr>
                <w:rFonts w:hint="eastAsia" w:ascii="宋体" w:hAnsi="宋体" w:cs="宋体"/>
                <w:color w:val="000000"/>
                <w:kern w:val="0"/>
                <w:sz w:val="18"/>
                <w:szCs w:val="18"/>
              </w:rPr>
              <w:t>或</w:t>
            </w:r>
            <w:r>
              <w:rPr>
                <w:rFonts w:hint="eastAsia" w:ascii="宋体" w:hAnsi="宋体" w:cs="宋体"/>
                <w:color w:val="000000"/>
                <w:kern w:val="0"/>
                <w:sz w:val="18"/>
                <w:szCs w:val="18"/>
                <w:lang w:eastAsia="zh-CN"/>
              </w:rPr>
              <w:t>《小企业会计准则》</w:t>
            </w:r>
            <w:r>
              <w:rPr>
                <w:rFonts w:hint="eastAsia" w:ascii="宋体" w:hAnsi="宋体" w:cs="宋体"/>
                <w:color w:val="000000"/>
                <w:kern w:val="0"/>
                <w:sz w:val="18"/>
                <w:szCs w:val="18"/>
              </w:rPr>
              <w:t>的，根据会计“利润表”中“其他收益”项目的本期累计数填报，或根据会计“其他收益”科目本年各月贷方余额（结转前）之和填报；执行</w:t>
            </w:r>
            <w:r>
              <w:rPr>
                <w:rFonts w:hint="eastAsia" w:ascii="宋体" w:hAnsi="宋体" w:cs="宋体"/>
                <w:color w:val="000000"/>
                <w:kern w:val="0"/>
                <w:sz w:val="18"/>
                <w:szCs w:val="18"/>
                <w:lang w:eastAsia="zh-CN"/>
              </w:rPr>
              <w:t>《企业会计制度》</w:t>
            </w:r>
            <w:r>
              <w:rPr>
                <w:rFonts w:hint="eastAsia" w:ascii="宋体" w:hAnsi="宋体" w:cs="宋体"/>
                <w:color w:val="000000"/>
                <w:kern w:val="0"/>
                <w:sz w:val="18"/>
                <w:szCs w:val="18"/>
              </w:rPr>
              <w:t>则，填“0”</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234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323</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营业利润</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sz w:val="18"/>
                <w:szCs w:val="18"/>
              </w:rPr>
              <w:t>执行</w:t>
            </w:r>
            <w:r>
              <w:rPr>
                <w:rFonts w:hint="eastAsia"/>
                <w:sz w:val="18"/>
                <w:szCs w:val="18"/>
                <w:lang w:eastAsia="zh-CN"/>
              </w:rPr>
              <w:t>《企业会计准则》</w:t>
            </w:r>
            <w:r>
              <w:rPr>
                <w:rFonts w:hint="eastAsia"/>
                <w:sz w:val="18"/>
                <w:szCs w:val="18"/>
              </w:rPr>
              <w:t>或</w:t>
            </w:r>
            <w:r>
              <w:rPr>
                <w:rFonts w:hint="eastAsia"/>
                <w:sz w:val="18"/>
                <w:szCs w:val="18"/>
                <w:lang w:eastAsia="zh-CN"/>
              </w:rPr>
              <w:t>《小企业会计准则》</w:t>
            </w:r>
            <w:r>
              <w:rPr>
                <w:rFonts w:hint="eastAsia"/>
                <w:sz w:val="18"/>
                <w:szCs w:val="18"/>
              </w:rPr>
              <w:t>的企业，根据会计“利润表”中“营业利润”项目的本年累计数填报；执行</w:t>
            </w:r>
            <w:r>
              <w:rPr>
                <w:rFonts w:hint="eastAsia"/>
                <w:sz w:val="18"/>
                <w:szCs w:val="18"/>
                <w:lang w:eastAsia="zh-CN"/>
              </w:rPr>
              <w:t>《企业会计制度》</w:t>
            </w:r>
            <w:r>
              <w:rPr>
                <w:rFonts w:hint="eastAsia"/>
                <w:sz w:val="18"/>
                <w:szCs w:val="18"/>
              </w:rPr>
              <w:t>的企业，根据会计“损益表”中“营业利润”项目、“投资收益”项目的本年累计数之和填报。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营业利润包含投资收益，</w:t>
            </w:r>
            <w:r>
              <w:rPr>
                <w:rFonts w:hint="eastAsia"/>
                <w:sz w:val="18"/>
                <w:szCs w:val="18"/>
              </w:rPr>
              <w:t>执行</w:t>
            </w:r>
            <w:r>
              <w:rPr>
                <w:rFonts w:hint="eastAsia"/>
                <w:sz w:val="18"/>
                <w:szCs w:val="18"/>
                <w:lang w:eastAsia="zh-CN"/>
              </w:rPr>
              <w:t>《企业会计制度》</w:t>
            </w:r>
            <w:r>
              <w:rPr>
                <w:rFonts w:hint="eastAsia"/>
                <w:sz w:val="18"/>
                <w:szCs w:val="18"/>
              </w:rPr>
              <w:t>的企业，</w:t>
            </w:r>
            <w:r>
              <w:rPr>
                <w:rFonts w:hint="eastAsia"/>
                <w:sz w:val="18"/>
                <w:szCs w:val="18"/>
                <w:lang w:eastAsia="zh-CN"/>
              </w:rPr>
              <w:t>需要</w:t>
            </w:r>
            <w:r>
              <w:rPr>
                <w:rFonts w:hint="eastAsia"/>
                <w:sz w:val="18"/>
                <w:szCs w:val="18"/>
              </w:rPr>
              <w:t>根据会计“损益表”中“营业利润”项目、“投资收益”项目的本年累计数之和填报。</w:t>
            </w:r>
          </w:p>
        </w:tc>
      </w:tr>
      <w:tr>
        <w:tblPrEx>
          <w:tblCellMar>
            <w:top w:w="0" w:type="dxa"/>
            <w:left w:w="108" w:type="dxa"/>
            <w:bottom w:w="0" w:type="dxa"/>
            <w:right w:w="108" w:type="dxa"/>
          </w:tblCellMar>
        </w:tblPrEx>
        <w:trPr>
          <w:cantSplit/>
          <w:trHeight w:val="1353"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325</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营业外收入</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根据会计“利润表”中“营业外收入”项目的本年累计数填报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未执行2006年《企业会计准则》的企业，“营业外收入”中不含“补贴收入”</w:t>
            </w:r>
          </w:p>
        </w:tc>
      </w:tr>
      <w:tr>
        <w:tblPrEx>
          <w:tblCellMar>
            <w:top w:w="0" w:type="dxa"/>
            <w:left w:w="108" w:type="dxa"/>
            <w:bottom w:w="0" w:type="dxa"/>
            <w:right w:w="108" w:type="dxa"/>
          </w:tblCellMar>
        </w:tblPrEx>
        <w:trPr>
          <w:cantSplit/>
          <w:trHeight w:val="77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326</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营业外支出</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根据会计“利润表”中“营业外支出”项目的本年累计数填报</w:t>
            </w:r>
          </w:p>
        </w:tc>
        <w:tc>
          <w:tcPr>
            <w:tcW w:w="268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75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327</w:t>
            </w:r>
          </w:p>
        </w:tc>
        <w:tc>
          <w:tcPr>
            <w:tcW w:w="993"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利润总额</w:t>
            </w:r>
          </w:p>
        </w:tc>
        <w:tc>
          <w:tcPr>
            <w:tcW w:w="58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根据会计“利润表”中“利润总额”项目的本年累计数填报</w:t>
            </w:r>
          </w:p>
        </w:tc>
        <w:tc>
          <w:tcPr>
            <w:tcW w:w="2688"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2007"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328</w:t>
            </w:r>
          </w:p>
        </w:tc>
        <w:tc>
          <w:tcPr>
            <w:tcW w:w="99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所得税费用</w:t>
            </w:r>
          </w:p>
        </w:tc>
        <w:tc>
          <w:tcPr>
            <w:tcW w:w="58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①执行</w:t>
            </w:r>
            <w:r>
              <w:rPr>
                <w:rFonts w:hint="eastAsia" w:ascii="宋体" w:hAnsi="宋体" w:cs="宋体"/>
                <w:color w:val="000000"/>
                <w:kern w:val="0"/>
                <w:sz w:val="18"/>
                <w:szCs w:val="18"/>
                <w:lang w:eastAsia="zh-CN"/>
              </w:rPr>
              <w:t>《企业会计准则》</w:t>
            </w:r>
            <w:r>
              <w:rPr>
                <w:rFonts w:hint="eastAsia" w:ascii="宋体" w:hAnsi="宋体" w:cs="宋体"/>
                <w:color w:val="000000"/>
                <w:kern w:val="0"/>
                <w:sz w:val="18"/>
                <w:szCs w:val="18"/>
              </w:rPr>
              <w:t>或</w:t>
            </w:r>
            <w:r>
              <w:rPr>
                <w:rFonts w:hint="eastAsia" w:ascii="宋体" w:hAnsi="宋体" w:cs="宋体"/>
                <w:color w:val="000000"/>
                <w:kern w:val="0"/>
                <w:sz w:val="18"/>
                <w:szCs w:val="18"/>
                <w:lang w:eastAsia="zh-CN"/>
              </w:rPr>
              <w:t>《小企业会计准则》</w:t>
            </w:r>
            <w:r>
              <w:rPr>
                <w:rFonts w:hint="eastAsia" w:ascii="宋体" w:hAnsi="宋体" w:cs="宋体"/>
                <w:color w:val="000000"/>
                <w:kern w:val="0"/>
                <w:sz w:val="18"/>
                <w:szCs w:val="18"/>
              </w:rPr>
              <w:t>的企业，根据会计“利润表”中“所得税费用”项目的本年累计数填报；②执行</w:t>
            </w:r>
            <w:r>
              <w:rPr>
                <w:rFonts w:hint="eastAsia" w:ascii="宋体" w:hAnsi="宋体" w:cs="宋体"/>
                <w:color w:val="000000"/>
                <w:kern w:val="0"/>
                <w:sz w:val="18"/>
                <w:szCs w:val="18"/>
                <w:lang w:eastAsia="zh-CN"/>
              </w:rPr>
              <w:t>《企业会计制度》</w:t>
            </w:r>
            <w:r>
              <w:rPr>
                <w:rFonts w:hint="eastAsia" w:ascii="宋体" w:hAnsi="宋体" w:cs="宋体"/>
                <w:color w:val="000000"/>
                <w:kern w:val="0"/>
                <w:sz w:val="18"/>
                <w:szCs w:val="18"/>
              </w:rPr>
              <w:t>，根据会计“损益表”中 “所得税”项目的本年累计数填报</w:t>
            </w:r>
          </w:p>
        </w:tc>
        <w:tc>
          <w:tcPr>
            <w:tcW w:w="26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3909"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w:t>
            </w:r>
          </w:p>
        </w:tc>
        <w:tc>
          <w:tcPr>
            <w:tcW w:w="99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应付职工薪酬(本</w:t>
            </w:r>
            <w:r>
              <w:rPr>
                <w:rFonts w:hint="eastAsia" w:ascii="宋体" w:hAnsi="宋体" w:cs="宋体"/>
                <w:color w:val="000000"/>
                <w:kern w:val="0"/>
                <w:sz w:val="18"/>
                <w:szCs w:val="18"/>
                <w:lang w:val="en-US" w:eastAsia="zh-CN"/>
              </w:rPr>
              <w:t>年</w:t>
            </w:r>
            <w:r>
              <w:rPr>
                <w:rFonts w:hint="eastAsia" w:ascii="宋体" w:hAnsi="宋体" w:cs="宋体"/>
                <w:color w:val="000000"/>
                <w:kern w:val="0"/>
                <w:sz w:val="18"/>
                <w:szCs w:val="18"/>
              </w:rPr>
              <w:t>贷方累计发生额)</w:t>
            </w:r>
          </w:p>
        </w:tc>
        <w:tc>
          <w:tcPr>
            <w:tcW w:w="58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详见指标解释及计算方法</w:t>
            </w:r>
          </w:p>
        </w:tc>
        <w:tc>
          <w:tcPr>
            <w:tcW w:w="2688"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①应付职工薪酬=工资+奖金+津贴和补贴+职工教育经费+工会经费+上下班交通补贴+租房费用+非货币性福利（提供工作餐、实物）+其他（家属医疗费等）+社会保险费+住房公积金和住房补贴+因解除与职工的劳动关系给予的补偿+其他</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②会计科目与统计口径一致时，可直接取科目余额表中“应付职工薪酬”项目本年贷方累计发生额。</w:t>
            </w:r>
          </w:p>
        </w:tc>
        <w:tc>
          <w:tcPr>
            <w:tcW w:w="1954" w:type="dxa"/>
            <w:tcBorders>
              <w:top w:val="nil"/>
              <w:left w:val="single" w:color="auto" w:sz="4" w:space="0"/>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cs="宋体"/>
                <w:kern w:val="0"/>
                <w:sz w:val="18"/>
                <w:szCs w:val="18"/>
              </w:rPr>
              <w:t>执行其他企业会计制度的企业，或“应付职工薪酬”科目内容与统计口径不一致的，需按统计口径归并填报</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402</w:t>
            </w:r>
          </w:p>
        </w:tc>
        <w:tc>
          <w:tcPr>
            <w:tcW w:w="993"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应交增值税（本</w:t>
            </w:r>
            <w:r>
              <w:rPr>
                <w:rFonts w:hint="eastAsia" w:ascii="宋体" w:hAnsi="宋体" w:cs="宋体"/>
                <w:color w:val="000000"/>
                <w:kern w:val="0"/>
                <w:sz w:val="18"/>
                <w:szCs w:val="18"/>
                <w:lang w:val="en-US" w:eastAsia="zh-CN"/>
              </w:rPr>
              <w:t>年</w:t>
            </w:r>
            <w:r>
              <w:rPr>
                <w:rFonts w:hint="eastAsia" w:ascii="宋体" w:hAnsi="宋体" w:cs="宋体"/>
                <w:color w:val="000000"/>
                <w:kern w:val="0"/>
                <w:sz w:val="18"/>
                <w:szCs w:val="18"/>
              </w:rPr>
              <w:t>累计发生额）</w:t>
            </w:r>
          </w:p>
        </w:tc>
        <w:tc>
          <w:tcPr>
            <w:tcW w:w="5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千元</w:t>
            </w:r>
          </w:p>
        </w:tc>
        <w:tc>
          <w:tcPr>
            <w:tcW w:w="307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详见指标解释及计算方法</w:t>
            </w:r>
          </w:p>
        </w:tc>
        <w:tc>
          <w:tcPr>
            <w:tcW w:w="2688"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①</w:t>
            </w:r>
            <w:r>
              <w:rPr>
                <w:rFonts w:hint="eastAsia" w:ascii="宋体" w:hAnsi="宋体" w:cs="宋体"/>
                <w:color w:val="000000"/>
                <w:kern w:val="0"/>
                <w:sz w:val="18"/>
                <w:szCs w:val="18"/>
                <w:lang w:val="en-US" w:eastAsia="zh-CN"/>
              </w:rPr>
              <w:t>根据会计科目</w:t>
            </w:r>
            <w:r>
              <w:rPr>
                <w:rFonts w:hint="eastAsia" w:ascii="宋体" w:hAnsi="宋体" w:cs="宋体"/>
                <w:color w:val="000000"/>
                <w:kern w:val="0"/>
                <w:sz w:val="18"/>
                <w:szCs w:val="18"/>
              </w:rPr>
              <w:t>销项税额-进项税额+进项税额转出-出口抵减内销产品应纳税额-减免税款+出口退税+简易计税</w:t>
            </w:r>
          </w:p>
          <w:p>
            <w:pPr>
              <w:widowControl/>
              <w:rPr>
                <w:rFonts w:ascii="宋体" w:hAnsi="宋体" w:cs="宋体"/>
                <w:color w:val="000000"/>
                <w:kern w:val="0"/>
                <w:sz w:val="18"/>
                <w:szCs w:val="18"/>
              </w:rPr>
            </w:pPr>
            <w:r>
              <w:rPr>
                <w:rFonts w:hint="eastAsia" w:ascii="宋体" w:hAnsi="宋体" w:cs="宋体"/>
                <w:color w:val="000000"/>
                <w:kern w:val="0"/>
                <w:sz w:val="18"/>
                <w:szCs w:val="18"/>
              </w:rPr>
              <w:t>②</w:t>
            </w:r>
            <w:r>
              <w:rPr>
                <w:rFonts w:hint="eastAsia" w:ascii="宋体" w:hAnsi="宋体" w:cs="宋体"/>
                <w:color w:val="000000"/>
                <w:kern w:val="0"/>
                <w:sz w:val="18"/>
                <w:szCs w:val="18"/>
                <w:lang w:val="en-US" w:eastAsia="zh-CN"/>
              </w:rPr>
              <w:t>根据纳税申报表</w:t>
            </w:r>
            <w:r>
              <w:rPr>
                <w:rFonts w:hint="eastAsia" w:ascii="宋体" w:hAnsi="宋体" w:cs="宋体"/>
                <w:color w:val="000000"/>
                <w:kern w:val="0"/>
                <w:sz w:val="18"/>
                <w:szCs w:val="18"/>
              </w:rPr>
              <w:t>销项税额－（进项税额－进项税额转出－免、抵、退应退税额）</w:t>
            </w:r>
            <w:r>
              <w:rPr>
                <w:rFonts w:ascii="宋体" w:hAnsi="宋体" w:cs="宋体"/>
                <w:color w:val="000000"/>
                <w:kern w:val="0"/>
                <w:sz w:val="18"/>
                <w:szCs w:val="18"/>
              </w:rPr>
              <w:t>+</w:t>
            </w:r>
            <w:r>
              <w:rPr>
                <w:rFonts w:hint="eastAsia" w:ascii="宋体" w:hAnsi="宋体" w:cs="宋体"/>
                <w:color w:val="000000"/>
                <w:kern w:val="0"/>
                <w:sz w:val="18"/>
                <w:szCs w:val="18"/>
              </w:rPr>
              <w:t>简易计税办法计算的应纳税额</w:t>
            </w:r>
            <w:r>
              <w:rPr>
                <w:rFonts w:ascii="宋体" w:hAnsi="宋体" w:cs="宋体"/>
                <w:color w:val="000000"/>
                <w:kern w:val="0"/>
                <w:sz w:val="18"/>
                <w:szCs w:val="18"/>
              </w:rPr>
              <w:t>+</w:t>
            </w:r>
            <w:r>
              <w:rPr>
                <w:rFonts w:hint="eastAsia" w:ascii="宋体" w:hAnsi="宋体" w:cs="宋体"/>
                <w:color w:val="000000"/>
                <w:kern w:val="0"/>
                <w:sz w:val="18"/>
                <w:szCs w:val="18"/>
              </w:rPr>
              <w:t>按简易计税办法计算的纳税检查应补缴税额－应纳税额减征额-加计抵减额</w:t>
            </w:r>
          </w:p>
        </w:tc>
        <w:tc>
          <w:tcPr>
            <w:tcW w:w="1954" w:type="dxa"/>
            <w:tcBorders>
              <w:top w:val="nil"/>
              <w:left w:val="nil"/>
              <w:bottom w:val="single" w:color="auto" w:sz="4"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cantSplit/>
          <w:trHeight w:val="454" w:hRule="atLeast"/>
        </w:trPr>
        <w:tc>
          <w:tcPr>
            <w:tcW w:w="650"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r>
              <w:rPr>
                <w:rFonts w:hint="eastAsia" w:ascii="宋体" w:hAnsi="宋体" w:cs="宋体"/>
                <w:color w:val="000000"/>
                <w:kern w:val="0"/>
                <w:sz w:val="18"/>
                <w:szCs w:val="18"/>
                <w:lang w:val="en-US" w:eastAsia="zh-CN"/>
              </w:rPr>
              <w:t>6</w:t>
            </w:r>
          </w:p>
        </w:tc>
        <w:tc>
          <w:tcPr>
            <w:tcW w:w="993"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平均</w:t>
            </w:r>
            <w:r>
              <w:rPr>
                <w:rFonts w:hint="eastAsia" w:ascii="宋体" w:hAnsi="宋体" w:cs="宋体"/>
                <w:color w:val="000000"/>
                <w:kern w:val="0"/>
                <w:sz w:val="18"/>
                <w:szCs w:val="18"/>
              </w:rPr>
              <w:t>用工人数</w:t>
            </w:r>
          </w:p>
        </w:tc>
        <w:tc>
          <w:tcPr>
            <w:tcW w:w="589"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3075"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指报告期企业平均实际拥有的、参与本企业生产经营活动的人员数。</w:t>
            </w:r>
          </w:p>
        </w:tc>
        <w:tc>
          <w:tcPr>
            <w:tcW w:w="2688"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具体计算方法参见指标解释从业人员及工资总额中从业人员平均人数的计算。</w:t>
            </w:r>
          </w:p>
        </w:tc>
        <w:tc>
          <w:tcPr>
            <w:tcW w:w="1954" w:type="dxa"/>
            <w:tcBorders>
              <w:top w:val="nil"/>
              <w:left w:val="nil"/>
              <w:bottom w:val="single" w:color="auto" w:sz="8"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无论是否从本企业领取劳动报酬均视为用工人数</w:t>
            </w:r>
          </w:p>
        </w:tc>
      </w:tr>
    </w:tbl>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sz w:val="32"/>
          <w:szCs w:val="32"/>
          <w:lang w:eastAsia="zh-CN"/>
        </w:rPr>
      </w:pPr>
      <w:bookmarkStart w:id="484" w:name="_Toc23573"/>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32"/>
          <w:szCs w:val="32"/>
        </w:rPr>
      </w:pPr>
      <w:r>
        <w:rPr>
          <w:rFonts w:hint="eastAsia" w:asciiTheme="minorEastAsia" w:hAnsiTheme="minorEastAsia"/>
          <w:sz w:val="32"/>
          <w:szCs w:val="32"/>
          <w:lang w:eastAsia="zh-CN"/>
        </w:rPr>
        <w:t>一套表企业</w:t>
      </w:r>
      <w:r>
        <w:rPr>
          <w:rFonts w:hint="eastAsia" w:asciiTheme="minorEastAsia" w:hAnsiTheme="minorEastAsia"/>
          <w:sz w:val="32"/>
          <w:szCs w:val="32"/>
        </w:rPr>
        <w:t>数据来源台账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18"/>
          <w:szCs w:val="18"/>
        </w:rPr>
      </w:pPr>
      <w:r>
        <w:rPr>
          <w:rFonts w:hint="eastAsia" w:asciiTheme="minorEastAsia" w:hAnsiTheme="minorEastAsia"/>
          <w:sz w:val="18"/>
          <w:szCs w:val="18"/>
        </w:rPr>
        <w:t>202</w:t>
      </w:r>
      <w:r>
        <w:rPr>
          <w:rFonts w:hint="eastAsia" w:asciiTheme="minorEastAsia" w:hAnsiTheme="minorEastAsia"/>
          <w:sz w:val="18"/>
          <w:szCs w:val="18"/>
          <w:lang w:val="en-US" w:eastAsia="zh-CN"/>
        </w:rPr>
        <w:t>4</w:t>
      </w:r>
      <w:r>
        <w:rPr>
          <w:rFonts w:hint="eastAsia" w:asciiTheme="minorEastAsia" w:hAnsiTheme="minorEastAsia"/>
          <w:sz w:val="18"/>
          <w:szCs w:val="18"/>
        </w:rPr>
        <w:t>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sz w:val="18"/>
          <w:szCs w:val="18"/>
        </w:rPr>
      </w:pPr>
      <w:r>
        <w:rPr>
          <w:rFonts w:hint="eastAsia" w:asciiTheme="minorEastAsia" w:hAnsiTheme="minorEastAsia"/>
          <w:sz w:val="18"/>
          <w:szCs w:val="18"/>
        </w:rPr>
        <w:t>统一社会信用代码□□□□□□□□□□□□□□□□□□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sz w:val="18"/>
          <w:szCs w:val="18"/>
        </w:rPr>
      </w:pPr>
      <w:r>
        <w:rPr>
          <w:rFonts w:hint="eastAsia" w:asciiTheme="minorEastAsia" w:hAnsiTheme="minorEastAsia"/>
          <w:sz w:val="18"/>
          <w:szCs w:val="18"/>
        </w:rPr>
        <w:t>单位详细名称：_________________________________ (盖章）                                        单位：千元</w:t>
      </w:r>
    </w:p>
    <w:tbl>
      <w:tblPr>
        <w:tblStyle w:val="31"/>
        <w:tblW w:w="5000" w:type="pct"/>
        <w:tblInd w:w="0" w:type="dxa"/>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053"/>
        <w:gridCol w:w="618"/>
        <w:gridCol w:w="1005"/>
        <w:gridCol w:w="5178"/>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blHeader/>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cs="宋体" w:asciiTheme="minorEastAsia" w:hAnsiTheme="minorEastAsia"/>
                <w:b w:val="0"/>
                <w:bCs w:val="0"/>
                <w:kern w:val="0"/>
                <w:sz w:val="18"/>
                <w:szCs w:val="18"/>
              </w:rPr>
            </w:pPr>
            <w:r>
              <w:rPr>
                <w:rFonts w:hint="eastAsia" w:cs="宋体" w:asciiTheme="minorEastAsia" w:hAnsiTheme="minorEastAsia"/>
                <w:b w:val="0"/>
                <w:bCs w:val="0"/>
                <w:kern w:val="0"/>
                <w:sz w:val="18"/>
                <w:szCs w:val="18"/>
              </w:rPr>
              <w:t>指 标 名 称</w:t>
            </w:r>
          </w:p>
        </w:tc>
        <w:tc>
          <w:tcPr>
            <w:tcW w:w="3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cs="宋体" w:asciiTheme="minorEastAsia" w:hAnsiTheme="minorEastAsia"/>
                <w:b w:val="0"/>
                <w:bCs w:val="0"/>
                <w:kern w:val="0"/>
                <w:sz w:val="18"/>
                <w:szCs w:val="18"/>
              </w:rPr>
            </w:pPr>
            <w:r>
              <w:rPr>
                <w:rFonts w:hint="eastAsia" w:cs="宋体" w:asciiTheme="minorEastAsia" w:hAnsiTheme="minorEastAsia"/>
                <w:b w:val="0"/>
                <w:bCs w:val="0"/>
                <w:kern w:val="0"/>
                <w:sz w:val="18"/>
                <w:szCs w:val="18"/>
              </w:rPr>
              <w:t>代码</w:t>
            </w:r>
          </w:p>
        </w:tc>
        <w:tc>
          <w:tcPr>
            <w:tcW w:w="5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cs="宋体" w:asciiTheme="minorEastAsia" w:hAnsiTheme="minorEastAsia"/>
                <w:b w:val="0"/>
                <w:bCs w:val="0"/>
                <w:kern w:val="0"/>
                <w:sz w:val="18"/>
                <w:szCs w:val="18"/>
              </w:rPr>
            </w:pPr>
            <w:r>
              <w:rPr>
                <w:rFonts w:hint="eastAsia" w:cs="宋体" w:asciiTheme="minorEastAsia" w:hAnsiTheme="minorEastAsia"/>
                <w:b w:val="0"/>
                <w:bCs w:val="0"/>
                <w:kern w:val="0"/>
                <w:sz w:val="18"/>
                <w:szCs w:val="18"/>
              </w:rPr>
              <w:t>本年累计</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cs="宋体" w:asciiTheme="minorEastAsia" w:hAnsiTheme="minorEastAsia"/>
                <w:b w:val="0"/>
                <w:bCs w:val="0"/>
                <w:kern w:val="0"/>
                <w:sz w:val="18"/>
                <w:szCs w:val="18"/>
              </w:rPr>
            </w:pPr>
            <w:r>
              <w:rPr>
                <w:rFonts w:hint="eastAsia" w:cs="宋体" w:asciiTheme="minorEastAsia" w:hAnsiTheme="minorEastAsia"/>
                <w:b w:val="0"/>
                <w:bCs w:val="0"/>
                <w:kern w:val="0"/>
                <w:sz w:val="18"/>
                <w:szCs w:val="18"/>
              </w:rPr>
              <w:t>数 据 来 源</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一、应付职工薪酬</w:t>
            </w:r>
            <w:r>
              <w:rPr>
                <w:rFonts w:hint="eastAsia" w:cs="宋体" w:asciiTheme="minorEastAsia" w:hAnsiTheme="minorEastAsia"/>
                <w:color w:val="000000"/>
                <w:kern w:val="0"/>
                <w:sz w:val="18"/>
                <w:szCs w:val="18"/>
              </w:rPr>
              <w:t>（01=</w:t>
            </w:r>
            <w:r>
              <w:rPr>
                <w:rFonts w:hint="eastAsia" w:cs="宋体" w:asciiTheme="minorEastAsia" w:hAnsiTheme="minorEastAsia"/>
                <w:color w:val="000000"/>
                <w:kern w:val="0"/>
                <w:sz w:val="18"/>
                <w:szCs w:val="18"/>
                <w:lang w:val="en-US" w:eastAsia="zh-CN"/>
              </w:rPr>
              <w:t>02+</w:t>
            </w:r>
            <w:r>
              <w:rPr>
                <w:rFonts w:hint="eastAsia" w:cs="宋体" w:asciiTheme="minorEastAsia" w:hAnsiTheme="minorEastAsia"/>
                <w:color w:val="000000"/>
                <w:kern w:val="0"/>
                <w:sz w:val="18"/>
                <w:szCs w:val="18"/>
              </w:rPr>
              <w:t>03+</w:t>
            </w:r>
            <w:r>
              <w:rPr>
                <w:rFonts w:hint="eastAsia" w:cs="宋体" w:asciiTheme="minorEastAsia" w:hAnsiTheme="minorEastAsia"/>
                <w:color w:val="000000"/>
                <w:kern w:val="0"/>
                <w:sz w:val="18"/>
                <w:szCs w:val="18"/>
                <w:lang w:val="en-US" w:eastAsia="zh-CN"/>
              </w:rPr>
              <w:t>08+09+10+</w:t>
            </w:r>
            <w:r>
              <w:rPr>
                <w:rFonts w:hint="eastAsia" w:cs="宋体" w:asciiTheme="minorEastAsia" w:hAnsiTheme="minorEastAsia"/>
                <w:color w:val="000000"/>
                <w:kern w:val="0"/>
                <w:sz w:val="18"/>
                <w:szCs w:val="18"/>
              </w:rPr>
              <w:t>11+12+</w:t>
            </w:r>
            <w:r>
              <w:rPr>
                <w:rFonts w:hint="eastAsia" w:cs="宋体" w:asciiTheme="minorEastAsia" w:hAnsiTheme="minorEastAsia"/>
                <w:color w:val="000000"/>
                <w:kern w:val="0"/>
                <w:sz w:val="18"/>
                <w:szCs w:val="18"/>
                <w:lang w:val="en-US" w:eastAsia="zh-CN"/>
              </w:rPr>
              <w:t>16</w:t>
            </w:r>
            <w:r>
              <w:rPr>
                <w:rFonts w:hint="eastAsia" w:cs="宋体" w:asciiTheme="minorEastAsia" w:hAnsiTheme="minorEastAsia"/>
                <w:color w:val="000000"/>
                <w:kern w:val="0"/>
                <w:sz w:val="18"/>
                <w:szCs w:val="18"/>
              </w:rPr>
              <w:t>+17+18+19+2</w:t>
            </w:r>
            <w:r>
              <w:rPr>
                <w:rFonts w:hint="eastAsia" w:cs="宋体" w:asciiTheme="minorEastAsia" w:hAnsiTheme="minorEastAsia"/>
                <w:color w:val="000000"/>
                <w:kern w:val="0"/>
                <w:sz w:val="18"/>
                <w:szCs w:val="18"/>
                <w:lang w:val="en-US" w:eastAsia="zh-CN"/>
              </w:rPr>
              <w:t>0</w:t>
            </w:r>
            <w:r>
              <w:rPr>
                <w:rFonts w:hint="eastAsia" w:cs="宋体" w:asciiTheme="minorEastAsia" w:hAnsiTheme="minorEastAsia"/>
                <w:color w:val="000000"/>
                <w:kern w:val="0"/>
                <w:sz w:val="18"/>
                <w:szCs w:val="18"/>
              </w:rPr>
              <w:t>+2</w:t>
            </w:r>
            <w:r>
              <w:rPr>
                <w:rFonts w:hint="eastAsia" w:cs="宋体" w:asciiTheme="minorEastAsia" w:hAnsiTheme="minorEastAsia"/>
                <w:color w:val="000000"/>
                <w:kern w:val="0"/>
                <w:sz w:val="18"/>
                <w:szCs w:val="18"/>
                <w:lang w:val="en-US" w:eastAsia="zh-CN"/>
              </w:rPr>
              <w:t>1</w:t>
            </w:r>
            <w:r>
              <w:rPr>
                <w:rFonts w:hint="eastAsia" w:cs="宋体" w:asciiTheme="minorEastAsia" w:hAnsiTheme="minorEastAsia"/>
                <w:color w:val="000000"/>
                <w:kern w:val="0"/>
                <w:sz w:val="18"/>
                <w:szCs w:val="18"/>
              </w:rPr>
              <w:t>）</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01</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cs="宋体" w:asciiTheme="minorEastAsia" w:hAnsiTheme="minorEastAsia" w:eastAsiaTheme="minorEastAsia"/>
                <w:kern w:val="0"/>
                <w:sz w:val="18"/>
                <w:szCs w:val="18"/>
                <w:lang w:eastAsia="zh-CN"/>
              </w:rPr>
            </w:pPr>
            <w:r>
              <w:rPr>
                <w:rFonts w:hint="eastAsia" w:cs="宋体" w:asciiTheme="minorEastAsia" w:hAnsiTheme="minorEastAsia"/>
                <w:kern w:val="0"/>
                <w:sz w:val="18"/>
                <w:szCs w:val="18"/>
              </w:rPr>
              <w:t>取自企业“费用明细表”或“科目余额表”相关会计科目（</w:t>
            </w:r>
            <w:r>
              <w:rPr>
                <w:rFonts w:hint="eastAsia" w:cs="宋体" w:asciiTheme="minorEastAsia" w:hAnsiTheme="minorEastAsia"/>
                <w:b/>
                <w:kern w:val="0"/>
                <w:sz w:val="18"/>
                <w:szCs w:val="18"/>
              </w:rPr>
              <w:t>为计提数，非实发数</w:t>
            </w:r>
            <w:r>
              <w:rPr>
                <w:rFonts w:hint="eastAsia" w:cs="宋体" w:asciiTheme="minorEastAsia" w:hAnsiTheme="minorEastAsia"/>
                <w:kern w:val="0"/>
                <w:sz w:val="18"/>
                <w:szCs w:val="18"/>
              </w:rPr>
              <w:t>）。如果企业“应付职工薪酬”会计科目内容与统计口径不一致，需</w:t>
            </w:r>
            <w:r>
              <w:rPr>
                <w:rFonts w:hint="eastAsia" w:cs="宋体" w:asciiTheme="minorEastAsia" w:hAnsiTheme="minorEastAsia"/>
                <w:b/>
                <w:bCs/>
                <w:kern w:val="0"/>
                <w:sz w:val="18"/>
                <w:szCs w:val="18"/>
              </w:rPr>
              <w:t>按统计口径归并填报</w:t>
            </w:r>
            <w:r>
              <w:rPr>
                <w:rFonts w:hint="eastAsia" w:cs="宋体" w:asciiTheme="minorEastAsia" w:hAnsiTheme="minorEastAsia"/>
                <w:kern w:val="0"/>
                <w:sz w:val="18"/>
                <w:szCs w:val="18"/>
              </w:rPr>
              <w:t>。“应付职工薪酬”口径</w:t>
            </w:r>
            <w:r>
              <w:rPr>
                <w:rFonts w:hint="eastAsia" w:cs="宋体" w:asciiTheme="minorEastAsia" w:hAnsiTheme="minorEastAsia"/>
                <w:kern w:val="0"/>
                <w:sz w:val="18"/>
                <w:szCs w:val="18"/>
                <w:lang w:eastAsia="zh-CN"/>
              </w:rPr>
              <w:t>一般</w:t>
            </w:r>
            <w:r>
              <w:rPr>
                <w:rFonts w:hint="eastAsia" w:cs="宋体" w:asciiTheme="minorEastAsia" w:hAnsiTheme="minorEastAsia"/>
                <w:kern w:val="0"/>
                <w:sz w:val="18"/>
                <w:szCs w:val="18"/>
              </w:rPr>
              <w:t>大于</w:t>
            </w:r>
            <w:r>
              <w:rPr>
                <w:rFonts w:hint="eastAsia" w:cs="宋体" w:asciiTheme="minorEastAsia" w:hAnsiTheme="minorEastAsia"/>
                <w:kern w:val="0"/>
                <w:sz w:val="18"/>
                <w:szCs w:val="18"/>
                <w:lang w:eastAsia="zh-CN"/>
              </w:rPr>
              <w:t>“</w:t>
            </w:r>
            <w:r>
              <w:rPr>
                <w:rFonts w:hint="eastAsia" w:cs="宋体" w:asciiTheme="minorEastAsia" w:hAnsiTheme="minorEastAsia"/>
                <w:kern w:val="0"/>
                <w:sz w:val="18"/>
                <w:szCs w:val="18"/>
              </w:rPr>
              <w:t>从业人员及工资总额</w:t>
            </w:r>
            <w:r>
              <w:rPr>
                <w:rFonts w:hint="eastAsia" w:cs="宋体" w:asciiTheme="minorEastAsia" w:hAnsiTheme="minorEastAsia"/>
                <w:kern w:val="0"/>
                <w:sz w:val="18"/>
                <w:szCs w:val="18"/>
                <w:lang w:eastAsia="zh-CN"/>
              </w:rPr>
              <w:t>”</w:t>
            </w:r>
            <w:r>
              <w:rPr>
                <w:rFonts w:hint="eastAsia" w:cs="宋体" w:asciiTheme="minorEastAsia" w:hAnsiTheme="minorEastAsia"/>
                <w:kern w:val="0"/>
                <w:sz w:val="18"/>
                <w:szCs w:val="18"/>
              </w:rPr>
              <w:t>（</w:t>
            </w:r>
            <w:r>
              <w:rPr>
                <w:rFonts w:hint="eastAsia" w:cs="宋体" w:asciiTheme="minorEastAsia" w:hAnsiTheme="minorEastAsia"/>
                <w:kern w:val="0"/>
                <w:sz w:val="18"/>
                <w:szCs w:val="18"/>
                <w:lang w:val="en-US" w:eastAsia="zh-CN"/>
              </w:rPr>
              <w:t>102-1</w:t>
            </w:r>
            <w:r>
              <w:rPr>
                <w:rFonts w:hint="eastAsia" w:cs="宋体" w:asciiTheme="minorEastAsia" w:hAnsiTheme="minorEastAsia"/>
                <w:kern w:val="0"/>
                <w:sz w:val="18"/>
                <w:szCs w:val="18"/>
              </w:rPr>
              <w:t>表）中的“从业人员工资总额”。</w:t>
            </w:r>
            <w:r>
              <w:rPr>
                <w:rFonts w:hint="eastAsia" w:cs="宋体" w:asciiTheme="minorEastAsia" w:hAnsiTheme="minorEastAsia"/>
                <w:kern w:val="0"/>
                <w:sz w:val="18"/>
                <w:szCs w:val="18"/>
                <w:lang w:eastAsia="zh-CN"/>
              </w:rPr>
              <w:t>法人单位应包含其在本地区以内、以外的全部产业活动单位的应付职工薪酬。</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val="en-US" w:eastAsia="zh-CN"/>
              </w:rPr>
              <w:t>1.</w:t>
            </w:r>
            <w:r>
              <w:rPr>
                <w:rFonts w:hint="eastAsia" w:cs="宋体" w:asciiTheme="minorEastAsia" w:hAnsiTheme="minorEastAsia"/>
                <w:color w:val="000000"/>
                <w:kern w:val="0"/>
                <w:sz w:val="18"/>
                <w:szCs w:val="18"/>
              </w:rPr>
              <w:t>劳务派遣人员</w:t>
            </w:r>
            <w:r>
              <w:rPr>
                <w:rFonts w:hint="eastAsia" w:cs="宋体" w:asciiTheme="minorEastAsia" w:hAnsiTheme="minorEastAsia"/>
                <w:color w:val="000000"/>
                <w:kern w:val="0"/>
                <w:sz w:val="18"/>
                <w:szCs w:val="18"/>
                <w:lang w:eastAsia="zh-CN"/>
              </w:rPr>
              <w:t>薪酬</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02</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cs="宋体" w:asciiTheme="minorEastAsia" w:hAnsiTheme="minorEastAsia" w:eastAsiaTheme="minorEastAsia"/>
                <w:kern w:val="0"/>
                <w:sz w:val="18"/>
                <w:szCs w:val="18"/>
                <w:lang w:eastAsia="zh-CN"/>
              </w:rPr>
            </w:pPr>
            <w:r>
              <w:rPr>
                <w:rFonts w:hint="eastAsia" w:cs="宋体" w:asciiTheme="minorEastAsia" w:hAnsiTheme="minorEastAsia"/>
                <w:kern w:val="0"/>
                <w:sz w:val="18"/>
                <w:szCs w:val="18"/>
              </w:rPr>
              <w:t>劳务派遣人员薪酬</w:t>
            </w:r>
            <w:r>
              <w:rPr>
                <w:rFonts w:hint="eastAsia" w:cs="宋体" w:asciiTheme="minorEastAsia" w:hAnsiTheme="minorEastAsia"/>
                <w:b/>
                <w:bCs/>
                <w:kern w:val="0"/>
                <w:sz w:val="18"/>
                <w:szCs w:val="18"/>
              </w:rPr>
              <w:t>由实际用工法人单位（派遣人员使用方）填报</w:t>
            </w:r>
            <w:r>
              <w:rPr>
                <w:rFonts w:hint="eastAsia" w:cs="宋体" w:asciiTheme="minorEastAsia" w:hAnsiTheme="minorEastAsia"/>
                <w:kern w:val="0"/>
                <w:sz w:val="18"/>
                <w:szCs w:val="18"/>
              </w:rPr>
              <w:t>，而劳务派遣单位（派遣人员派出方）不填报。如果“劳务派遣人员薪酬”已按类别拆分并分别计入“应付职工薪酬”会计科目下的工资、奖金、津贴和补贴、福利费等明细科目，则本项填 0，避免与其他职工薪酬项目重复</w:t>
            </w:r>
            <w:r>
              <w:rPr>
                <w:rFonts w:hint="eastAsia" w:cs="宋体" w:asciiTheme="minorEastAsia" w:hAnsiTheme="minorEastAsia"/>
                <w:kern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lang w:val="en-US" w:eastAsia="zh-CN"/>
              </w:rPr>
              <w:t>2</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eastAsia="zh-CN"/>
              </w:rPr>
              <w:t>工资、奖金、津贴和补贴</w:t>
            </w:r>
          </w:p>
          <w:p>
            <w:pPr>
              <w:keepNext w:val="0"/>
              <w:keepLines w:val="0"/>
              <w:pageBreakBefore w:val="0"/>
              <w:kinsoku/>
              <w:wordWrap/>
              <w:overflowPunct/>
              <w:topLinePunct w:val="0"/>
              <w:autoSpaceDE/>
              <w:autoSpaceDN/>
              <w:bidi w:val="0"/>
              <w:adjustRightInd/>
              <w:snapToGrid/>
              <w:spacing w:line="220" w:lineRule="exac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（03=04+05+06）</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03</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rPr>
              <w:t>是</w:t>
            </w:r>
            <w:r>
              <w:rPr>
                <w:rFonts w:hint="eastAsia" w:cs="宋体" w:asciiTheme="minorEastAsia" w:hAnsiTheme="minorEastAsia"/>
                <w:b/>
                <w:color w:val="000000"/>
                <w:kern w:val="0"/>
                <w:sz w:val="18"/>
                <w:szCs w:val="18"/>
              </w:rPr>
              <w:t>税前应付工资</w:t>
            </w:r>
            <w:r>
              <w:rPr>
                <w:rFonts w:hint="eastAsia" w:cs="宋体" w:asciiTheme="minorEastAsia" w:hAnsiTheme="minorEastAsia"/>
                <w:b w:val="0"/>
                <w:bCs/>
                <w:color w:val="000000"/>
                <w:kern w:val="0"/>
                <w:sz w:val="18"/>
                <w:szCs w:val="18"/>
                <w:lang w:eastAsia="zh-CN"/>
              </w:rPr>
              <w:t>，</w:t>
            </w:r>
            <w:r>
              <w:rPr>
                <w:rFonts w:hint="eastAsia" w:cs="宋体" w:asciiTheme="minorEastAsia" w:hAnsiTheme="minorEastAsia"/>
                <w:kern w:val="0"/>
                <w:sz w:val="18"/>
                <w:szCs w:val="18"/>
              </w:rPr>
              <w:t>包括在岗职工、非全日制人员、聘用的正式离退休人员、兼职人员、利用课余时间打工的在校学生、在本单位中工作的外籍和港澳台方人员</w:t>
            </w:r>
            <w:r>
              <w:rPr>
                <w:rFonts w:hint="eastAsia" w:cs="宋体" w:asciiTheme="minorEastAsia" w:hAnsiTheme="minorEastAsia"/>
                <w:kern w:val="0"/>
                <w:sz w:val="18"/>
                <w:szCs w:val="18"/>
                <w:lang w:eastAsia="zh-CN"/>
              </w:rPr>
              <w:t>工资总额</w:t>
            </w:r>
            <w:r>
              <w:rPr>
                <w:rFonts w:hint="eastAsia" w:cs="宋体" w:asciiTheme="minorEastAsia" w:hAnsiTheme="minorEastAsia"/>
                <w:kern w:val="0"/>
                <w:sz w:val="18"/>
                <w:szCs w:val="18"/>
              </w:rPr>
              <w:t>。</w:t>
            </w:r>
            <w:r>
              <w:rPr>
                <w:rFonts w:hint="eastAsia" w:cs="宋体" w:asciiTheme="minorEastAsia" w:hAnsiTheme="minorEastAsia"/>
                <w:b w:val="0"/>
                <w:bCs/>
                <w:color w:val="000000"/>
                <w:kern w:val="0"/>
                <w:sz w:val="18"/>
                <w:szCs w:val="18"/>
                <w:lang w:eastAsia="zh-CN"/>
              </w:rPr>
              <w:t>包含单位从个人工资中代扣代缴的各种费用（如：房费、水费、电费、住房公积金和社会保险金个人缴纳部分等），</w:t>
            </w:r>
            <w:r>
              <w:rPr>
                <w:rFonts w:hint="eastAsia" w:cs="宋体" w:asciiTheme="minorEastAsia" w:hAnsiTheme="minorEastAsia"/>
                <w:color w:val="000000"/>
                <w:kern w:val="0"/>
                <w:sz w:val="18"/>
                <w:szCs w:val="18"/>
                <w:highlight w:val="none"/>
                <w:lang w:eastAsia="zh-CN"/>
              </w:rPr>
              <w:t>以</w:t>
            </w:r>
            <w:r>
              <w:rPr>
                <w:rFonts w:hint="eastAsia" w:cs="宋体" w:asciiTheme="minorEastAsia" w:hAnsiTheme="minorEastAsia"/>
                <w:color w:val="000000"/>
                <w:kern w:val="0"/>
                <w:sz w:val="18"/>
                <w:szCs w:val="18"/>
                <w:highlight w:val="none"/>
              </w:rPr>
              <w:t>下属单位的名义给本单位职工发放的现金或实物</w:t>
            </w:r>
            <w:r>
              <w:rPr>
                <w:rFonts w:hint="eastAsia" w:cs="宋体" w:asciiTheme="minorEastAsia" w:hAnsiTheme="minorEastAsia"/>
                <w:color w:val="000000"/>
                <w:kern w:val="0"/>
                <w:sz w:val="18"/>
                <w:szCs w:val="18"/>
                <w:highlight w:val="none"/>
                <w:lang w:eastAsia="zh-CN"/>
              </w:rPr>
              <w:t>，发给本单位从业人员或在岗职工的讲课费，</w:t>
            </w:r>
            <w:r>
              <w:rPr>
                <w:rFonts w:hint="eastAsia" w:cs="宋体" w:asciiTheme="minorEastAsia" w:hAnsiTheme="minorEastAsia"/>
                <w:kern w:val="0"/>
                <w:sz w:val="18"/>
                <w:szCs w:val="18"/>
                <w:lang w:eastAsia="zh-CN"/>
              </w:rPr>
              <w:t>销售代理的劳务费、佣金费等。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职工工资</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04</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kern w:val="0"/>
                <w:sz w:val="18"/>
                <w:szCs w:val="18"/>
              </w:rPr>
            </w:pPr>
            <w:r>
              <w:rPr>
                <w:rFonts w:hint="eastAsia" w:cs="宋体" w:asciiTheme="minorEastAsia" w:hAnsiTheme="minorEastAsia"/>
                <w:kern w:val="0"/>
                <w:sz w:val="18"/>
                <w:szCs w:val="18"/>
              </w:rPr>
              <w:t>包括</w:t>
            </w:r>
            <w:r>
              <w:rPr>
                <w:rFonts w:hint="eastAsia" w:cs="宋体" w:asciiTheme="minorEastAsia" w:hAnsiTheme="minorEastAsia"/>
                <w:kern w:val="0"/>
                <w:sz w:val="18"/>
                <w:szCs w:val="18"/>
                <w:lang w:eastAsia="zh-CN"/>
              </w:rPr>
              <w:t>计时工资、计件工资、</w:t>
            </w:r>
            <w:r>
              <w:rPr>
                <w:rFonts w:hint="eastAsia" w:cs="宋体" w:asciiTheme="minorEastAsia" w:hAnsiTheme="minorEastAsia"/>
                <w:kern w:val="0"/>
                <w:sz w:val="18"/>
                <w:szCs w:val="18"/>
              </w:rPr>
              <w:t>工龄工资</w:t>
            </w:r>
            <w:r>
              <w:rPr>
                <w:rFonts w:hint="eastAsia" w:cs="宋体" w:asciiTheme="minorEastAsia" w:hAnsiTheme="minorEastAsia"/>
                <w:kern w:val="0"/>
                <w:sz w:val="18"/>
                <w:szCs w:val="18"/>
                <w:lang w:eastAsia="zh-CN"/>
              </w:rPr>
              <w:t>等，</w:t>
            </w:r>
            <w:r>
              <w:rPr>
                <w:rFonts w:hint="eastAsia" w:cs="宋体" w:asciiTheme="minorEastAsia" w:hAnsiTheme="minorEastAsia"/>
                <w:b/>
                <w:bCs/>
                <w:kern w:val="0"/>
                <w:sz w:val="18"/>
                <w:szCs w:val="18"/>
                <w:highlight w:val="none"/>
              </w:rPr>
              <w:t>包括单位从个人工资中直接为其代扣代缴的医疗保险费、养老保险费、失业保险费、工伤保险费和生育保险费</w:t>
            </w:r>
            <w:r>
              <w:rPr>
                <w:rFonts w:hint="eastAsia" w:cs="宋体" w:asciiTheme="minorEastAsia" w:hAnsiTheme="minorEastAsia"/>
                <w:b/>
                <w:bCs/>
                <w:kern w:val="0"/>
                <w:sz w:val="18"/>
                <w:szCs w:val="18"/>
                <w:highlight w:val="none"/>
                <w:lang w:eastAsia="zh-CN"/>
              </w:rPr>
              <w:t>、</w:t>
            </w:r>
            <w:r>
              <w:rPr>
                <w:rFonts w:hint="eastAsia" w:cs="宋体" w:asciiTheme="minorEastAsia" w:hAnsiTheme="minorEastAsia"/>
                <w:b/>
                <w:bCs/>
                <w:color w:val="000000"/>
                <w:kern w:val="0"/>
                <w:sz w:val="18"/>
                <w:szCs w:val="18"/>
                <w:highlight w:val="none"/>
              </w:rPr>
              <w:t>住房公积金</w:t>
            </w:r>
            <w:r>
              <w:rPr>
                <w:rFonts w:hint="eastAsia" w:cs="宋体" w:asciiTheme="minorEastAsia" w:hAnsiTheme="minorEastAsia"/>
                <w:b/>
                <w:bCs/>
                <w:kern w:val="0"/>
                <w:sz w:val="18"/>
                <w:szCs w:val="18"/>
                <w:highlight w:val="none"/>
              </w:rPr>
              <w:t>等</w:t>
            </w:r>
            <w:r>
              <w:rPr>
                <w:rFonts w:hint="eastAsia" w:cs="宋体" w:asciiTheme="minorEastAsia" w:hAnsiTheme="minorEastAsia"/>
                <w:kern w:val="0"/>
                <w:sz w:val="18"/>
                <w:szCs w:val="18"/>
                <w:highlight w:val="none"/>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奖金</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cs="宋体" w:asciiTheme="minorEastAsia" w:hAnsiTheme="minorEastAsia" w:eastAsiaTheme="minorEastAsia"/>
                <w:color w:val="000000"/>
                <w:sz w:val="18"/>
                <w:szCs w:val="18"/>
                <w:highlight w:val="none"/>
                <w:lang w:eastAsia="zh-CN"/>
              </w:rPr>
            </w:pPr>
            <w:r>
              <w:rPr>
                <w:rFonts w:hint="eastAsia" w:asciiTheme="minorEastAsia" w:hAnsiTheme="minorEastAsia"/>
                <w:color w:val="000000"/>
                <w:sz w:val="18"/>
                <w:szCs w:val="18"/>
                <w:highlight w:val="none"/>
              </w:rPr>
              <w:t>0</w:t>
            </w:r>
            <w:r>
              <w:rPr>
                <w:rFonts w:hint="eastAsia" w:asciiTheme="minorEastAsia" w:hAnsiTheme="minorEastAsia"/>
                <w:color w:val="000000"/>
                <w:sz w:val="18"/>
                <w:szCs w:val="18"/>
                <w:highlight w:val="none"/>
                <w:lang w:val="en-US" w:eastAsia="zh-CN"/>
              </w:rPr>
              <w:t>5</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cs="宋体" w:asciiTheme="minorEastAsia" w:hAnsiTheme="minorEastAsia" w:eastAsiaTheme="minorEastAsia"/>
                <w:kern w:val="0"/>
                <w:sz w:val="18"/>
                <w:szCs w:val="18"/>
                <w:highlight w:val="none"/>
                <w:lang w:eastAsia="zh-CN"/>
              </w:rPr>
            </w:pPr>
            <w:r>
              <w:rPr>
                <w:rFonts w:hint="eastAsia" w:cs="宋体" w:asciiTheme="minorEastAsia" w:hAnsiTheme="minorEastAsia"/>
                <w:kern w:val="0"/>
                <w:sz w:val="18"/>
                <w:szCs w:val="18"/>
                <w:highlight w:val="none"/>
              </w:rPr>
              <w:t>包括值加班工资、绩效奖金、</w:t>
            </w:r>
            <w:r>
              <w:rPr>
                <w:rFonts w:hint="eastAsia" w:cs="宋体" w:asciiTheme="minorEastAsia" w:hAnsiTheme="minorEastAsia"/>
                <w:kern w:val="0"/>
                <w:sz w:val="18"/>
                <w:szCs w:val="18"/>
                <w:highlight w:val="none"/>
                <w:lang w:eastAsia="zh-CN"/>
              </w:rPr>
              <w:t>月度奖、季度奖、年终奖、</w:t>
            </w:r>
            <w:r>
              <w:rPr>
                <w:rFonts w:hint="eastAsia" w:cs="宋体" w:asciiTheme="minorEastAsia" w:hAnsiTheme="minorEastAsia"/>
                <w:kern w:val="0"/>
                <w:sz w:val="18"/>
                <w:szCs w:val="18"/>
                <w:highlight w:val="none"/>
              </w:rPr>
              <w:t>全勤奖、</w:t>
            </w:r>
            <w:r>
              <w:rPr>
                <w:rFonts w:hint="eastAsia" w:cs="宋体" w:asciiTheme="minorEastAsia" w:hAnsiTheme="minorEastAsia"/>
                <w:kern w:val="0"/>
                <w:sz w:val="18"/>
                <w:szCs w:val="18"/>
                <w:highlight w:val="none"/>
                <w:lang w:eastAsia="zh-CN"/>
              </w:rPr>
              <w:t>计生奖、</w:t>
            </w:r>
            <w:r>
              <w:rPr>
                <w:rFonts w:hint="eastAsia" w:cs="宋体" w:asciiTheme="minorEastAsia" w:hAnsiTheme="minorEastAsia"/>
                <w:kern w:val="0"/>
                <w:sz w:val="18"/>
                <w:szCs w:val="18"/>
                <w:highlight w:val="none"/>
              </w:rPr>
              <w:t>生产奖、节约奖、劳动竞赛奖</w:t>
            </w:r>
            <w:r>
              <w:rPr>
                <w:rFonts w:hint="eastAsia" w:cs="宋体" w:asciiTheme="minorEastAsia" w:hAnsiTheme="minorEastAsia"/>
                <w:kern w:val="0"/>
                <w:sz w:val="18"/>
                <w:szCs w:val="18"/>
                <w:highlight w:val="none"/>
                <w:lang w:eastAsia="zh-CN"/>
              </w:rPr>
              <w:t>、周年服务奖</w:t>
            </w:r>
            <w:r>
              <w:rPr>
                <w:rFonts w:hint="eastAsia" w:cs="宋体" w:asciiTheme="minorEastAsia" w:hAnsiTheme="minorEastAsia"/>
                <w:kern w:val="0"/>
                <w:sz w:val="18"/>
                <w:szCs w:val="18"/>
                <w:highlight w:val="none"/>
              </w:rPr>
              <w:t>和其他名目的奖金</w:t>
            </w:r>
            <w:r>
              <w:rPr>
                <w:rFonts w:hint="eastAsia" w:cs="宋体" w:asciiTheme="minorEastAsia" w:hAnsiTheme="minorEastAsia"/>
                <w:kern w:val="0"/>
                <w:sz w:val="18"/>
                <w:szCs w:val="18"/>
                <w:highlight w:val="none"/>
                <w:lang w:eastAsia="zh-CN"/>
              </w:rPr>
              <w:t>，</w:t>
            </w:r>
            <w:r>
              <w:rPr>
                <w:rFonts w:hint="eastAsia" w:cs="宋体" w:asciiTheme="minorEastAsia" w:hAnsiTheme="minorEastAsia"/>
                <w:kern w:val="0"/>
                <w:sz w:val="18"/>
                <w:szCs w:val="18"/>
                <w:highlight w:val="none"/>
              </w:rPr>
              <w:t>以及工作事项完成后的提成工资、年底双薪等</w:t>
            </w:r>
            <w:r>
              <w:rPr>
                <w:rFonts w:hint="eastAsia" w:cs="宋体" w:asciiTheme="minorEastAsia" w:hAnsiTheme="minorEastAsia"/>
                <w:kern w:val="0"/>
                <w:sz w:val="18"/>
                <w:szCs w:val="1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津贴和补贴</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cs="宋体" w:asciiTheme="minorEastAsia" w:hAnsiTheme="minorEastAsia" w:eastAsiaTheme="minorEastAsia"/>
                <w:color w:val="000000"/>
                <w:sz w:val="18"/>
                <w:szCs w:val="18"/>
                <w:highlight w:val="none"/>
                <w:lang w:eastAsia="zh-CN"/>
              </w:rPr>
            </w:pPr>
            <w:r>
              <w:rPr>
                <w:rFonts w:hint="eastAsia" w:asciiTheme="minorEastAsia" w:hAnsiTheme="minorEastAsia"/>
                <w:color w:val="000000"/>
                <w:sz w:val="18"/>
                <w:szCs w:val="18"/>
                <w:highlight w:val="none"/>
              </w:rPr>
              <w:t>0</w:t>
            </w:r>
            <w:r>
              <w:rPr>
                <w:rFonts w:hint="eastAsia" w:asciiTheme="minorEastAsia" w:hAnsiTheme="minorEastAsia"/>
                <w:color w:val="000000"/>
                <w:sz w:val="18"/>
                <w:szCs w:val="18"/>
                <w:highlight w:val="none"/>
                <w:lang w:val="en-US" w:eastAsia="zh-CN"/>
              </w:rPr>
              <w:t>6</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包括补偿特殊或额外劳动消耗的津贴及岗位性津贴、保健性津贴、技术性津贴、地区津贴和其他津贴。如：</w:t>
            </w:r>
            <w:r>
              <w:rPr>
                <w:rFonts w:hint="eastAsia" w:cs="宋体" w:asciiTheme="minorEastAsia" w:hAnsiTheme="minorEastAsia"/>
                <w:color w:val="000000"/>
                <w:kern w:val="0"/>
                <w:sz w:val="18"/>
                <w:szCs w:val="18"/>
                <w:highlight w:val="none"/>
                <w:lang w:eastAsia="zh-CN"/>
              </w:rPr>
              <w:t>过节费、</w:t>
            </w:r>
            <w:r>
              <w:rPr>
                <w:rFonts w:hint="eastAsia" w:cs="宋体" w:asciiTheme="minorEastAsia" w:hAnsiTheme="minorEastAsia"/>
                <w:color w:val="000000"/>
                <w:kern w:val="0"/>
                <w:sz w:val="18"/>
                <w:szCs w:val="18"/>
                <w:highlight w:val="none"/>
              </w:rPr>
              <w:t>通讯补贴、交通补贴、公车改革补贴、取暖补贴、物业补贴、不休假补贴、无食堂补贴、</w:t>
            </w:r>
            <w:r>
              <w:rPr>
                <w:rFonts w:hint="eastAsia" w:cs="宋体" w:asciiTheme="minorEastAsia" w:hAnsiTheme="minorEastAsia"/>
                <w:color w:val="000000"/>
                <w:kern w:val="0"/>
                <w:sz w:val="18"/>
                <w:szCs w:val="18"/>
                <w:highlight w:val="none"/>
                <w:lang w:eastAsia="zh-CN"/>
              </w:rPr>
              <w:t>伙食性补贴、高温津贴、探亲补贴、租金补贴、物价补贴、</w:t>
            </w:r>
            <w:r>
              <w:rPr>
                <w:rFonts w:hint="eastAsia" w:cs="宋体" w:asciiTheme="minorEastAsia" w:hAnsiTheme="minorEastAsia"/>
                <w:color w:val="000000"/>
                <w:kern w:val="0"/>
                <w:sz w:val="18"/>
                <w:szCs w:val="18"/>
                <w:highlight w:val="none"/>
              </w:rPr>
              <w:t>单位发的可自行支配的</w:t>
            </w:r>
            <w:r>
              <w:rPr>
                <w:rFonts w:hint="eastAsia" w:cs="宋体" w:asciiTheme="minorEastAsia" w:hAnsiTheme="minorEastAsia"/>
                <w:b/>
                <w:bCs/>
                <w:color w:val="000000"/>
                <w:kern w:val="0"/>
                <w:sz w:val="18"/>
                <w:szCs w:val="18"/>
                <w:highlight w:val="none"/>
              </w:rPr>
              <w:t>住房补贴</w:t>
            </w:r>
            <w:r>
              <w:rPr>
                <w:rFonts w:hint="eastAsia" w:cs="宋体" w:asciiTheme="minorEastAsia" w:hAnsiTheme="minorEastAsia"/>
                <w:color w:val="000000"/>
                <w:kern w:val="0"/>
                <w:sz w:val="18"/>
                <w:szCs w:val="18"/>
                <w:highlight w:val="none"/>
              </w:rPr>
              <w:t>以及为员工缴纳的各种商业性保险等</w:t>
            </w:r>
            <w:r>
              <w:rPr>
                <w:rFonts w:hint="eastAsia" w:cs="宋体" w:asciiTheme="minorEastAsia" w:hAnsiTheme="minorEastAsia"/>
                <w:color w:val="000000"/>
                <w:kern w:val="0"/>
                <w:sz w:val="18"/>
                <w:szCs w:val="18"/>
                <w:highlight w:val="none"/>
                <w:lang w:eastAsia="zh-CN"/>
              </w:rPr>
              <w:t>。包括单位给职工个人实报实销的费用（如电话费、服装费等），单位给下乡锻炼、脱产学习、疫情防控人员发放的补贴，</w:t>
            </w:r>
            <w:r>
              <w:rPr>
                <w:rFonts w:hint="eastAsia" w:cs="宋体" w:asciiTheme="minorEastAsia" w:hAnsiTheme="minorEastAsia"/>
                <w:color w:val="000000"/>
                <w:kern w:val="0"/>
                <w:sz w:val="18"/>
                <w:szCs w:val="18"/>
                <w:highlight w:val="none"/>
              </w:rPr>
              <w:t>单位一次性发放或按月发放</w:t>
            </w:r>
            <w:r>
              <w:rPr>
                <w:rFonts w:hint="eastAsia" w:cs="宋体" w:asciiTheme="minorEastAsia" w:hAnsiTheme="minorEastAsia"/>
                <w:color w:val="000000"/>
                <w:kern w:val="0"/>
                <w:sz w:val="18"/>
                <w:szCs w:val="18"/>
                <w:highlight w:val="none"/>
                <w:lang w:eastAsia="zh-CN"/>
              </w:rPr>
              <w:t>属于劳动报酬性质的</w:t>
            </w:r>
            <w:r>
              <w:rPr>
                <w:rFonts w:hint="eastAsia" w:cs="宋体" w:asciiTheme="minorEastAsia" w:hAnsiTheme="minorEastAsia"/>
                <w:color w:val="000000"/>
                <w:kern w:val="0"/>
                <w:sz w:val="18"/>
                <w:szCs w:val="18"/>
                <w:highlight w:val="none"/>
              </w:rPr>
              <w:t>旅游费、保险费、差旅费、餐费、劳务费</w:t>
            </w:r>
            <w:r>
              <w:rPr>
                <w:rFonts w:hint="eastAsia" w:cs="宋体" w:asciiTheme="minorEastAsia" w:hAnsiTheme="minorEastAsia"/>
                <w:color w:val="000000"/>
                <w:kern w:val="0"/>
                <w:sz w:val="18"/>
                <w:szCs w:val="18"/>
                <w:highlight w:val="none"/>
                <w:lang w:eastAsia="zh-CN"/>
              </w:rPr>
              <w:t>等。上述各种项目</w:t>
            </w:r>
            <w:r>
              <w:rPr>
                <w:rFonts w:hint="eastAsia" w:cs="宋体" w:asciiTheme="minorEastAsia" w:hAnsiTheme="minorEastAsia"/>
                <w:b/>
                <w:bCs/>
                <w:color w:val="000000"/>
                <w:kern w:val="0"/>
                <w:sz w:val="18"/>
                <w:szCs w:val="18"/>
                <w:highlight w:val="none"/>
                <w:lang w:eastAsia="zh-CN"/>
              </w:rPr>
              <w:t>包括货币性质和实物性质的津补贴</w:t>
            </w:r>
            <w:r>
              <w:rPr>
                <w:rFonts w:hint="eastAsia" w:cs="宋体" w:asciiTheme="minorEastAsia" w:hAnsiTheme="minorEastAsia"/>
                <w:color w:val="000000"/>
                <w:kern w:val="0"/>
                <w:sz w:val="18"/>
                <w:szCs w:val="18"/>
                <w:highlight w:val="none"/>
                <w:lang w:eastAsia="zh-CN"/>
              </w:rPr>
              <w:t>以及各种形式的充值卡、购物卡（券）、加油卡、电话卡等。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lang w:val="en-US" w:eastAsia="zh-CN"/>
              </w:rPr>
              <w:t>3</w:t>
            </w:r>
            <w:r>
              <w:rPr>
                <w:rFonts w:hint="eastAsia" w:cs="宋体" w:asciiTheme="minorEastAsia" w:hAnsiTheme="minorEastAsia"/>
                <w:color w:val="000000"/>
                <w:kern w:val="0"/>
                <w:sz w:val="18"/>
                <w:szCs w:val="18"/>
                <w:highlight w:val="none"/>
              </w:rPr>
              <w:t>.社会保险费（单位缴纳部分）</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highlight w:val="none"/>
              </w:rPr>
            </w:pPr>
            <w:r>
              <w:rPr>
                <w:rFonts w:hint="eastAsia" w:asciiTheme="minorEastAsia" w:hAnsiTheme="minorEastAsia"/>
                <w:color w:val="000000"/>
                <w:sz w:val="18"/>
                <w:szCs w:val="18"/>
                <w:highlight w:val="none"/>
              </w:rPr>
              <w:t>0</w:t>
            </w:r>
            <w:r>
              <w:rPr>
                <w:rFonts w:hint="eastAsia" w:asciiTheme="minorEastAsia" w:hAnsiTheme="minorEastAsia"/>
                <w:color w:val="000000"/>
                <w:sz w:val="18"/>
                <w:szCs w:val="18"/>
                <w:highlight w:val="none"/>
                <w:lang w:val="en-US" w:eastAsia="zh-CN"/>
              </w:rPr>
              <w:t>8</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包括单位缴纳的医疗保险费、养老保险费、失业保险费、工伤保险费和生育保险费等。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lang w:val="en-US" w:eastAsia="zh-CN"/>
              </w:rPr>
              <w:t>4</w:t>
            </w:r>
            <w:r>
              <w:rPr>
                <w:rFonts w:hint="eastAsia" w:cs="宋体" w:asciiTheme="minorEastAsia" w:hAnsiTheme="minorEastAsia"/>
                <w:color w:val="000000"/>
                <w:kern w:val="0"/>
                <w:sz w:val="18"/>
                <w:szCs w:val="18"/>
                <w:highlight w:val="none"/>
              </w:rPr>
              <w:t>.住房公积金（单位缴纳部分）</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highlight w:val="none"/>
              </w:rPr>
            </w:pPr>
            <w:r>
              <w:rPr>
                <w:rFonts w:hint="eastAsia" w:asciiTheme="minorEastAsia" w:hAnsiTheme="minorEastAsia"/>
                <w:color w:val="000000"/>
                <w:sz w:val="18"/>
                <w:szCs w:val="18"/>
                <w:highlight w:val="none"/>
              </w:rPr>
              <w:t>0</w:t>
            </w:r>
            <w:r>
              <w:rPr>
                <w:rFonts w:hint="eastAsia" w:asciiTheme="minorEastAsia" w:hAnsiTheme="minorEastAsia"/>
                <w:color w:val="000000"/>
                <w:sz w:val="18"/>
                <w:szCs w:val="18"/>
                <w:highlight w:val="none"/>
                <w:lang w:val="en-US" w:eastAsia="zh-CN"/>
              </w:rPr>
              <w:t>9</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包括单位缴纳的住房公积金。</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lang w:val="en-US" w:eastAsia="zh-CN"/>
              </w:rPr>
              <w:t>5</w:t>
            </w:r>
            <w:r>
              <w:rPr>
                <w:rFonts w:hint="eastAsia" w:cs="宋体" w:asciiTheme="minorEastAsia" w:hAnsiTheme="minorEastAsia"/>
                <w:color w:val="000000"/>
                <w:kern w:val="0"/>
                <w:sz w:val="18"/>
                <w:szCs w:val="18"/>
                <w:highlight w:val="none"/>
              </w:rPr>
              <w:t>.其他保险</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highlight w:val="none"/>
              </w:rPr>
            </w:pPr>
            <w:r>
              <w:rPr>
                <w:rFonts w:hint="eastAsia" w:asciiTheme="minorEastAsia" w:hAnsiTheme="minorEastAsia"/>
                <w:color w:val="000000"/>
                <w:sz w:val="18"/>
                <w:szCs w:val="18"/>
                <w:highlight w:val="none"/>
              </w:rPr>
              <w:t>10</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包括</w:t>
            </w:r>
            <w:r>
              <w:rPr>
                <w:rFonts w:hint="eastAsia" w:cs="宋体" w:asciiTheme="minorEastAsia" w:hAnsiTheme="minorEastAsia"/>
                <w:color w:val="000000"/>
                <w:kern w:val="0"/>
                <w:sz w:val="18"/>
                <w:szCs w:val="18"/>
                <w:highlight w:val="none"/>
                <w:lang w:eastAsia="zh-CN"/>
              </w:rPr>
              <w:t>企业为职工缴纳的</w:t>
            </w:r>
            <w:r>
              <w:rPr>
                <w:rFonts w:hint="eastAsia" w:cs="宋体" w:asciiTheme="minorEastAsia" w:hAnsiTheme="minorEastAsia"/>
                <w:color w:val="000000"/>
                <w:kern w:val="0"/>
                <w:sz w:val="18"/>
                <w:szCs w:val="18"/>
                <w:highlight w:val="none"/>
              </w:rPr>
              <w:t>补充医疗保险、补充养老保险、家属医疗保险、企业年金等。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lang w:val="en-US" w:eastAsia="zh-CN"/>
              </w:rPr>
              <w:t>6</w:t>
            </w:r>
            <w:r>
              <w:rPr>
                <w:rFonts w:hint="eastAsia" w:cs="宋体" w:asciiTheme="minorEastAsia" w:hAnsiTheme="minorEastAsia"/>
                <w:color w:val="000000"/>
                <w:kern w:val="0"/>
                <w:sz w:val="18"/>
                <w:szCs w:val="18"/>
                <w:highlight w:val="none"/>
              </w:rPr>
              <w:t>.职工福利费</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highlight w:val="none"/>
              </w:rPr>
            </w:pPr>
            <w:r>
              <w:rPr>
                <w:rFonts w:hint="eastAsia" w:asciiTheme="minorEastAsia" w:hAnsiTheme="minorEastAsia"/>
                <w:color w:val="000000"/>
                <w:sz w:val="18"/>
                <w:szCs w:val="18"/>
                <w:highlight w:val="none"/>
              </w:rPr>
              <w:t>11</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包括职工医疗费、集体福利费</w:t>
            </w:r>
            <w:r>
              <w:rPr>
                <w:rFonts w:hint="eastAsia" w:cs="宋体" w:asciiTheme="minorEastAsia" w:hAnsiTheme="minorEastAsia"/>
                <w:kern w:val="0"/>
                <w:sz w:val="18"/>
                <w:szCs w:val="18"/>
                <w:highlight w:val="none"/>
                <w:lang w:eastAsia="zh-CN"/>
              </w:rPr>
              <w:t>、集体福利事业设施费、集体福利事业补贴、</w:t>
            </w:r>
            <w:r>
              <w:rPr>
                <w:rFonts w:hint="eastAsia" w:cs="宋体" w:asciiTheme="minorEastAsia" w:hAnsiTheme="minorEastAsia"/>
                <w:kern w:val="0"/>
                <w:sz w:val="18"/>
                <w:szCs w:val="18"/>
                <w:highlight w:val="none"/>
              </w:rPr>
              <w:t>生活困难补助、丧葬补助费、抚恤费、职工异地安家费、防暑降温费</w:t>
            </w:r>
            <w:r>
              <w:rPr>
                <w:rFonts w:hint="eastAsia" w:cs="宋体" w:asciiTheme="minorEastAsia" w:hAnsiTheme="minorEastAsia"/>
                <w:kern w:val="0"/>
                <w:sz w:val="18"/>
                <w:szCs w:val="18"/>
                <w:highlight w:val="none"/>
                <w:lang w:eastAsia="zh-CN"/>
              </w:rPr>
              <w:t>、文体宣传费、探亲路费、计划生育补贴、婴幼儿补贴、独生子女补贴、工作服洗补费、献血员营养补助等职工福利。</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hint="eastAsia" w:cs="宋体" w:asciiTheme="minorEastAsia" w:hAnsiTheme="minorEastAsia" w:eastAsiaTheme="minorEastAsia"/>
                <w:b w:val="0"/>
                <w:bCs w:val="0"/>
                <w:color w:val="000000"/>
                <w:kern w:val="0"/>
                <w:sz w:val="18"/>
                <w:szCs w:val="18"/>
                <w:highlight w:val="none"/>
                <w:lang w:val="en-US" w:eastAsia="zh-CN" w:bidi="ar-SA"/>
              </w:rPr>
            </w:pPr>
            <w:r>
              <w:rPr>
                <w:rFonts w:hint="eastAsia" w:cs="宋体" w:asciiTheme="minorEastAsia" w:hAnsiTheme="minorEastAsia"/>
                <w:b w:val="0"/>
                <w:bCs w:val="0"/>
                <w:color w:val="000000"/>
                <w:kern w:val="0"/>
                <w:sz w:val="18"/>
                <w:szCs w:val="18"/>
                <w:highlight w:val="none"/>
                <w:lang w:val="en-US" w:eastAsia="zh-CN"/>
              </w:rPr>
              <w:t>7</w:t>
            </w:r>
            <w:r>
              <w:rPr>
                <w:rFonts w:hint="eastAsia" w:cs="宋体" w:asciiTheme="minorEastAsia" w:hAnsiTheme="minorEastAsia"/>
                <w:b w:val="0"/>
                <w:bCs w:val="0"/>
                <w:color w:val="000000"/>
                <w:kern w:val="0"/>
                <w:sz w:val="18"/>
                <w:szCs w:val="18"/>
                <w:highlight w:val="none"/>
              </w:rPr>
              <w:t>.非货币性福利</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cs="宋体" w:asciiTheme="minorEastAsia" w:hAnsiTheme="minorEastAsia" w:eastAsiaTheme="minorEastAsia"/>
                <w:b w:val="0"/>
                <w:bCs w:val="0"/>
                <w:color w:val="000000"/>
                <w:kern w:val="2"/>
                <w:sz w:val="18"/>
                <w:szCs w:val="18"/>
                <w:highlight w:val="none"/>
                <w:lang w:val="en-US" w:eastAsia="zh-CN" w:bidi="ar-SA"/>
              </w:rPr>
            </w:pPr>
            <w:r>
              <w:rPr>
                <w:rFonts w:hint="eastAsia" w:asciiTheme="minorEastAsia" w:hAnsiTheme="minorEastAsia"/>
                <w:color w:val="000000"/>
                <w:sz w:val="18"/>
                <w:szCs w:val="18"/>
                <w:highlight w:val="none"/>
              </w:rPr>
              <w:t>12</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hint="eastAsia" w:cs="宋体" w:asciiTheme="minorEastAsia" w:hAnsiTheme="minorEastAsia" w:eastAsiaTheme="minorEastAsia"/>
                <w:b w:val="0"/>
                <w:bCs w:val="0"/>
                <w:color w:val="000000"/>
                <w:kern w:val="0"/>
                <w:sz w:val="18"/>
                <w:szCs w:val="18"/>
                <w:highlight w:val="none"/>
                <w:lang w:val="en-US" w:eastAsia="zh-CN" w:bidi="ar-SA"/>
              </w:rPr>
            </w:pPr>
            <w:r>
              <w:rPr>
                <w:rFonts w:hint="eastAsia" w:cs="宋体" w:asciiTheme="minorEastAsia" w:hAnsiTheme="minorEastAsia"/>
                <w:b w:val="0"/>
                <w:bCs w:val="0"/>
                <w:color w:val="000000"/>
                <w:kern w:val="0"/>
                <w:sz w:val="18"/>
                <w:szCs w:val="18"/>
                <w:highlight w:val="none"/>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cs="宋体" w:asciiTheme="minorEastAsia" w:hAnsiTheme="minorEastAsia" w:eastAsiaTheme="minorEastAsia"/>
                <w:color w:val="000000"/>
                <w:kern w:val="0"/>
                <w:sz w:val="18"/>
                <w:szCs w:val="18"/>
                <w:highlight w:val="none"/>
                <w:lang w:val="en-US" w:eastAsia="zh-CN" w:bidi="ar-SA"/>
              </w:rPr>
            </w:pPr>
            <w:r>
              <w:rPr>
                <w:rFonts w:hint="eastAsia" w:cs="宋体" w:asciiTheme="minorEastAsia" w:hAnsiTheme="minorEastAsia"/>
                <w:color w:val="000000"/>
                <w:kern w:val="0"/>
                <w:sz w:val="18"/>
                <w:szCs w:val="18"/>
                <w:highlight w:val="none"/>
              </w:rPr>
              <w:t>包括</w:t>
            </w:r>
            <w:r>
              <w:rPr>
                <w:rFonts w:hint="eastAsia" w:cs="宋体" w:asciiTheme="minorEastAsia" w:hAnsiTheme="minorEastAsia"/>
                <w:color w:val="000000"/>
                <w:kern w:val="0"/>
                <w:sz w:val="18"/>
                <w:szCs w:val="18"/>
                <w:highlight w:val="none"/>
                <w:lang w:eastAsia="zh-CN"/>
              </w:rPr>
              <w:t>单位</w:t>
            </w:r>
            <w:r>
              <w:rPr>
                <w:rFonts w:hint="eastAsia" w:cs="宋体" w:asciiTheme="minorEastAsia" w:hAnsiTheme="minorEastAsia"/>
                <w:color w:val="000000"/>
                <w:kern w:val="0"/>
                <w:sz w:val="18"/>
                <w:szCs w:val="18"/>
                <w:highlight w:val="none"/>
              </w:rPr>
              <w:t>以自己生产的产品、外购商品供职工无偿使用所发生的相关费用。</w:t>
            </w:r>
            <w:r>
              <w:rPr>
                <w:rFonts w:hint="eastAsia" w:cs="宋体" w:asciiTheme="minorEastAsia" w:hAnsiTheme="minorEastAsia"/>
                <w:color w:val="000000"/>
                <w:kern w:val="0"/>
                <w:sz w:val="18"/>
                <w:szCs w:val="18"/>
                <w:highlight w:val="none"/>
                <w:lang w:eastAsia="zh-CN"/>
              </w:rPr>
              <w:t>如：</w:t>
            </w:r>
            <w:r>
              <w:rPr>
                <w:rFonts w:hint="eastAsia" w:cs="宋体" w:asciiTheme="minorEastAsia" w:hAnsiTheme="minorEastAsia"/>
                <w:color w:val="000000"/>
                <w:kern w:val="0"/>
                <w:sz w:val="18"/>
                <w:szCs w:val="18"/>
                <w:highlight w:val="none"/>
              </w:rPr>
              <w:t>实物高温补贴</w:t>
            </w:r>
            <w:r>
              <w:rPr>
                <w:rFonts w:hint="eastAsia" w:cs="宋体" w:asciiTheme="minorEastAsia" w:hAnsiTheme="minorEastAsia"/>
                <w:color w:val="000000"/>
                <w:kern w:val="0"/>
                <w:sz w:val="18"/>
                <w:szCs w:val="18"/>
                <w:highlight w:val="none"/>
                <w:lang w:eastAsia="zh-CN"/>
              </w:rPr>
              <w:t>、节日福利，</w:t>
            </w:r>
            <w:r>
              <w:rPr>
                <w:rFonts w:hint="eastAsia" w:cs="宋体" w:asciiTheme="minorEastAsia" w:hAnsiTheme="minorEastAsia"/>
                <w:color w:val="000000"/>
                <w:kern w:val="0"/>
                <w:sz w:val="18"/>
                <w:szCs w:val="18"/>
                <w:highlight w:val="none"/>
              </w:rPr>
              <w:t>单位自办食堂提供的工作餐、住宿</w:t>
            </w:r>
            <w:r>
              <w:rPr>
                <w:rFonts w:hint="eastAsia" w:cs="宋体" w:asciiTheme="minorEastAsia" w:hAnsiTheme="minorEastAsia"/>
                <w:color w:val="000000"/>
                <w:kern w:val="0"/>
                <w:sz w:val="18"/>
                <w:szCs w:val="18"/>
                <w:highlight w:val="none"/>
                <w:lang w:eastAsia="zh-CN"/>
              </w:rPr>
              <w:t>（包括</w:t>
            </w:r>
            <w:r>
              <w:rPr>
                <w:rFonts w:hint="eastAsia" w:cs="宋体" w:asciiTheme="minorEastAsia" w:hAnsiTheme="minorEastAsia"/>
                <w:kern w:val="0"/>
                <w:sz w:val="18"/>
                <w:szCs w:val="18"/>
                <w:highlight w:val="none"/>
              </w:rPr>
              <w:t>宿舍租金、管理费、水电费、维修费等</w:t>
            </w:r>
            <w:r>
              <w:rPr>
                <w:rFonts w:hint="eastAsia" w:cs="宋体" w:asciiTheme="minorEastAsia" w:hAnsiTheme="minorEastAsia"/>
                <w:color w:val="000000"/>
                <w:kern w:val="0"/>
                <w:sz w:val="18"/>
                <w:szCs w:val="18"/>
                <w:highlight w:val="none"/>
                <w:lang w:eastAsia="zh-CN"/>
              </w:rPr>
              <w:t>）</w:t>
            </w:r>
            <w:r>
              <w:rPr>
                <w:rFonts w:hint="eastAsia" w:cs="宋体" w:asciiTheme="minorEastAsia" w:hAnsiTheme="minorEastAsia"/>
                <w:color w:val="000000"/>
                <w:kern w:val="0"/>
                <w:sz w:val="18"/>
                <w:szCs w:val="18"/>
                <w:highlight w:val="none"/>
              </w:rPr>
              <w:t>、交通</w:t>
            </w:r>
            <w:r>
              <w:rPr>
                <w:rFonts w:hint="eastAsia" w:cs="宋体" w:asciiTheme="minorEastAsia" w:hAnsiTheme="minorEastAsia"/>
                <w:color w:val="000000"/>
                <w:kern w:val="0"/>
                <w:sz w:val="18"/>
                <w:szCs w:val="18"/>
                <w:highlight w:val="none"/>
                <w:lang w:eastAsia="zh-CN"/>
              </w:rPr>
              <w:t>（包括</w:t>
            </w:r>
            <w:r>
              <w:rPr>
                <w:rFonts w:hint="eastAsia" w:cs="宋体" w:asciiTheme="minorEastAsia" w:hAnsiTheme="minorEastAsia"/>
                <w:kern w:val="0"/>
                <w:sz w:val="18"/>
                <w:szCs w:val="18"/>
                <w:highlight w:val="none"/>
              </w:rPr>
              <w:t>交通车油费、路费、维护费等</w:t>
            </w:r>
            <w:r>
              <w:rPr>
                <w:rFonts w:hint="eastAsia" w:cs="宋体" w:asciiTheme="minorEastAsia" w:hAnsiTheme="minorEastAsia"/>
                <w:color w:val="000000"/>
                <w:kern w:val="0"/>
                <w:sz w:val="18"/>
                <w:szCs w:val="18"/>
                <w:highlight w:val="none"/>
                <w:lang w:eastAsia="zh-CN"/>
              </w:rPr>
              <w:t>）</w:t>
            </w:r>
            <w:r>
              <w:rPr>
                <w:rFonts w:hint="eastAsia" w:cs="宋体" w:asciiTheme="minorEastAsia" w:hAnsiTheme="minorEastAsia"/>
                <w:color w:val="000000"/>
                <w:kern w:val="0"/>
                <w:sz w:val="18"/>
                <w:szCs w:val="18"/>
                <w:highlight w:val="none"/>
              </w:rPr>
              <w:t>及通讯设备或单位包吃包住所发生的相关费用。</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lang w:val="en-US" w:eastAsia="zh-CN"/>
              </w:rPr>
              <w:t>8</w:t>
            </w:r>
            <w:r>
              <w:rPr>
                <w:rFonts w:hint="eastAsia" w:cs="宋体" w:asciiTheme="minorEastAsia" w:hAnsiTheme="minorEastAsia"/>
                <w:color w:val="000000"/>
                <w:kern w:val="0"/>
                <w:sz w:val="18"/>
                <w:szCs w:val="18"/>
              </w:rPr>
              <w:t>.工会经费</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16</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kern w:val="0"/>
                <w:sz w:val="18"/>
                <w:szCs w:val="18"/>
              </w:rPr>
            </w:pPr>
            <w:r>
              <w:rPr>
                <w:rFonts w:hint="eastAsia" w:cs="宋体" w:asciiTheme="minorEastAsia" w:hAnsiTheme="minorEastAsia"/>
                <w:kern w:val="0"/>
                <w:sz w:val="18"/>
                <w:szCs w:val="18"/>
              </w:rPr>
              <w:t>包括工会经费等。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lang w:val="en-US" w:eastAsia="zh-CN"/>
              </w:rPr>
              <w:t>9</w:t>
            </w:r>
            <w:r>
              <w:rPr>
                <w:rFonts w:hint="eastAsia" w:cs="宋体" w:asciiTheme="minorEastAsia" w:hAnsiTheme="minorEastAsia"/>
                <w:color w:val="000000"/>
                <w:kern w:val="0"/>
                <w:sz w:val="18"/>
                <w:szCs w:val="18"/>
              </w:rPr>
              <w:t>.职工教育经费</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17</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kern w:val="0"/>
                <w:sz w:val="18"/>
                <w:szCs w:val="18"/>
              </w:rPr>
            </w:pPr>
            <w:r>
              <w:rPr>
                <w:rFonts w:hint="eastAsia" w:cs="宋体" w:asciiTheme="minorEastAsia" w:hAnsiTheme="minorEastAsia"/>
                <w:kern w:val="0"/>
                <w:sz w:val="18"/>
                <w:szCs w:val="18"/>
              </w:rPr>
              <w:t>包括培训费、职员训练费用、职工教育经费、教育培训经费、教育经费等。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67" w:hRule="atLeas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lang w:val="en-US" w:eastAsia="zh-CN"/>
              </w:rPr>
              <w:t>10</w:t>
            </w:r>
            <w:r>
              <w:rPr>
                <w:rFonts w:hint="eastAsia" w:cs="宋体" w:asciiTheme="minorEastAsia" w:hAnsiTheme="minorEastAsia"/>
                <w:color w:val="000000"/>
                <w:kern w:val="0"/>
                <w:sz w:val="18"/>
                <w:szCs w:val="18"/>
              </w:rPr>
              <w:t>.带薪缺勤</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lang w:val="en-US" w:eastAsia="zh-CN"/>
              </w:rPr>
              <w:t>18</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包括企业对年休假、病假、短期伤残假、婚假、产假、丧假、探亲假等</w:t>
            </w:r>
            <w:r>
              <w:rPr>
                <w:rFonts w:hint="eastAsia" w:cs="宋体" w:asciiTheme="minorEastAsia" w:hAnsiTheme="minorEastAsia"/>
                <w:color w:val="000000"/>
                <w:kern w:val="0"/>
                <w:sz w:val="18"/>
                <w:szCs w:val="18"/>
              </w:rPr>
              <w:t>对各种原因产生的缺勤进行的补偿</w:t>
            </w:r>
            <w:r>
              <w:rPr>
                <w:rFonts w:hint="eastAsia" w:cs="宋体" w:asciiTheme="minorEastAsia" w:hAnsiTheme="minorEastAsia"/>
                <w:color w:val="000000"/>
                <w:kern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lang w:val="en-US" w:eastAsia="zh-CN"/>
              </w:rPr>
              <w:t>11</w:t>
            </w:r>
            <w:r>
              <w:rPr>
                <w:rFonts w:hint="eastAsia" w:cs="宋体" w:asciiTheme="minorEastAsia" w:hAnsiTheme="minorEastAsia"/>
                <w:color w:val="000000"/>
                <w:kern w:val="0"/>
                <w:sz w:val="18"/>
                <w:szCs w:val="18"/>
              </w:rPr>
              <w:t>.利润分享计划</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lang w:val="en-US" w:eastAsia="zh-CN"/>
              </w:rPr>
              <w:t>19</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kern w:val="0"/>
                <w:sz w:val="18"/>
                <w:szCs w:val="18"/>
              </w:rPr>
            </w:pPr>
            <w:r>
              <w:rPr>
                <w:rFonts w:hint="eastAsia" w:cs="宋体" w:asciiTheme="minorEastAsia" w:hAnsiTheme="minorEastAsia"/>
                <w:kern w:val="0"/>
                <w:sz w:val="18"/>
                <w:szCs w:val="18"/>
              </w:rPr>
              <w:t>包括员工激励、股权激励报酬、股份支付等。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hint="eastAsia" w:cs="宋体" w:asciiTheme="minorEastAsia" w:hAnsiTheme="minorEastAsia"/>
                <w:color w:val="000000"/>
                <w:kern w:val="0"/>
                <w:sz w:val="18"/>
                <w:szCs w:val="18"/>
                <w:lang w:val="en-US" w:eastAsia="zh-CN"/>
              </w:rPr>
              <w:t>2</w:t>
            </w:r>
            <w:r>
              <w:rPr>
                <w:rFonts w:hint="eastAsia" w:cs="宋体" w:asciiTheme="minorEastAsia" w:hAnsiTheme="minorEastAsia"/>
                <w:color w:val="000000"/>
                <w:kern w:val="0"/>
                <w:sz w:val="18"/>
                <w:szCs w:val="18"/>
              </w:rPr>
              <w:t>.辞退福利</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lang w:val="en-US" w:eastAsia="zh-CN"/>
              </w:rPr>
              <w:t>20</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kern w:val="0"/>
                <w:sz w:val="18"/>
                <w:szCs w:val="18"/>
              </w:rPr>
            </w:pPr>
            <w:r>
              <w:rPr>
                <w:rFonts w:hint="eastAsia" w:cs="宋体" w:asciiTheme="minorEastAsia" w:hAnsiTheme="minorEastAsia"/>
                <w:kern w:val="0"/>
                <w:sz w:val="18"/>
                <w:szCs w:val="18"/>
              </w:rPr>
              <w:t>指因解除与职工的劳动关系给予的补偿，包括辞退福利、一次性支付补偿、离赴任费等。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hint="eastAsia" w:cs="宋体" w:asciiTheme="minorEastAsia" w:hAnsiTheme="minorEastAsia"/>
                <w:color w:val="000000"/>
                <w:kern w:val="0"/>
                <w:sz w:val="18"/>
                <w:szCs w:val="18"/>
                <w:lang w:val="en-US" w:eastAsia="zh-CN"/>
              </w:rPr>
              <w:t>3</w:t>
            </w:r>
            <w:r>
              <w:rPr>
                <w:rFonts w:hint="eastAsia" w:cs="宋体" w:asciiTheme="minorEastAsia" w:hAnsiTheme="minorEastAsia"/>
                <w:color w:val="000000"/>
                <w:kern w:val="0"/>
                <w:sz w:val="18"/>
                <w:szCs w:val="18"/>
              </w:rPr>
              <w:t>.其他为获得职工提供的服务而给予的报酬或补偿</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lang w:val="en-US" w:eastAsia="zh-CN"/>
              </w:rPr>
              <w:t>21</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包括未含在上述各类的设定提存计划、设定收益计划、其他</w:t>
            </w:r>
            <w:r>
              <w:rPr>
                <w:rFonts w:hint="eastAsia" w:cs="宋体" w:asciiTheme="minorEastAsia" w:hAnsiTheme="minorEastAsia"/>
                <w:color w:val="000000"/>
                <w:kern w:val="0"/>
                <w:sz w:val="18"/>
                <w:szCs w:val="18"/>
                <w:highlight w:val="none"/>
                <w:lang w:eastAsia="zh-CN"/>
              </w:rPr>
              <w:t>属于劳动报酬性质的</w:t>
            </w:r>
            <w:r>
              <w:rPr>
                <w:rFonts w:hint="eastAsia" w:cs="宋体" w:asciiTheme="minorEastAsia" w:hAnsiTheme="minorEastAsia"/>
                <w:color w:val="000000"/>
                <w:kern w:val="0"/>
                <w:sz w:val="18"/>
                <w:szCs w:val="18"/>
              </w:rPr>
              <w:t>人工成本等。</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二、税金及附加</w:t>
            </w:r>
          </w:p>
          <w:p>
            <w:pPr>
              <w:keepNext w:val="0"/>
              <w:keepLines w:val="0"/>
              <w:pageBreakBefore w:val="0"/>
              <w:kinsoku/>
              <w:wordWrap/>
              <w:overflowPunct/>
              <w:topLinePunct w:val="0"/>
              <w:autoSpaceDE/>
              <w:autoSpaceDN/>
              <w:bidi w:val="0"/>
              <w:adjustRightInd/>
              <w:snapToGrid/>
              <w:spacing w:line="220" w:lineRule="exac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r>
              <w:rPr>
                <w:rFonts w:hint="eastAsia" w:cs="宋体" w:asciiTheme="minorEastAsia" w:hAnsiTheme="minorEastAsia"/>
                <w:color w:val="000000"/>
                <w:kern w:val="0"/>
                <w:sz w:val="18"/>
                <w:szCs w:val="18"/>
                <w:lang w:val="en-US" w:eastAsia="zh-CN"/>
              </w:rPr>
              <w:t>2</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23+24+25+</w:t>
            </w:r>
            <w:r>
              <w:rPr>
                <w:rFonts w:hint="eastAsia" w:cs="宋体" w:asciiTheme="minorEastAsia" w:hAnsiTheme="minorEastAsia"/>
                <w:color w:val="000000"/>
                <w:kern w:val="0"/>
                <w:sz w:val="18"/>
                <w:szCs w:val="18"/>
              </w:rPr>
              <w:t>26+27+28）</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lang w:val="en-US" w:eastAsia="zh-CN"/>
              </w:rPr>
              <w:t>22</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指企业因从事生产经营活动按税法规定</w:t>
            </w:r>
            <w:r>
              <w:rPr>
                <w:rFonts w:hint="eastAsia" w:cs="宋体" w:asciiTheme="minorEastAsia" w:hAnsiTheme="minorEastAsia"/>
                <w:b/>
                <w:bCs/>
                <w:color w:val="000000"/>
                <w:kern w:val="0"/>
                <w:sz w:val="18"/>
                <w:szCs w:val="18"/>
              </w:rPr>
              <w:t>应缴纳</w:t>
            </w:r>
            <w:r>
              <w:rPr>
                <w:rFonts w:hint="eastAsia" w:cs="宋体" w:asciiTheme="minorEastAsia" w:hAnsiTheme="minorEastAsia"/>
                <w:bCs/>
                <w:color w:val="000000"/>
                <w:kern w:val="0"/>
                <w:sz w:val="18"/>
                <w:szCs w:val="18"/>
              </w:rPr>
              <w:t>的</w:t>
            </w:r>
            <w:r>
              <w:rPr>
                <w:rFonts w:hint="eastAsia" w:cs="宋体" w:asciiTheme="minorEastAsia" w:hAnsiTheme="minorEastAsia"/>
                <w:color w:val="000000"/>
                <w:kern w:val="0"/>
                <w:sz w:val="18"/>
                <w:szCs w:val="18"/>
              </w:rPr>
              <w:t>消费税、城市维护建设税、资源税、环境保护税、教育费附加、房产税、城镇土地使用税、车船税、印花税等相关税费。</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color w:val="000000"/>
                <w:kern w:val="0"/>
                <w:sz w:val="18"/>
                <w:szCs w:val="18"/>
                <w:lang w:val="en-US" w:eastAsia="zh-CN"/>
              </w:rPr>
              <w:t>1.消费税</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23</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取自企业“费用明细表”或“科目余额表”</w:t>
            </w:r>
            <w:r>
              <w:rPr>
                <w:rFonts w:hint="eastAsia" w:cs="宋体" w:asciiTheme="minorEastAsia" w:hAnsiTheme="minorEastAsia"/>
                <w:color w:val="000000"/>
                <w:kern w:val="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hint="eastAsia" w:cs="宋体" w:asciiTheme="minorEastAsia" w:hAnsiTheme="minorEastAsia"/>
                <w:color w:val="000000"/>
                <w:kern w:val="0"/>
                <w:sz w:val="18"/>
                <w:szCs w:val="18"/>
                <w:lang w:val="en-US" w:eastAsia="zh-CN"/>
              </w:rPr>
            </w:pPr>
            <w:r>
              <w:rPr>
                <w:rFonts w:hint="eastAsia" w:cs="宋体" w:asciiTheme="minorEastAsia" w:hAnsiTheme="minorEastAsia"/>
                <w:color w:val="000000"/>
                <w:kern w:val="0"/>
                <w:sz w:val="18"/>
                <w:szCs w:val="18"/>
                <w:lang w:val="en-US" w:eastAsia="zh-CN"/>
              </w:rPr>
              <w:t>2.城市</w:t>
            </w:r>
            <w:r>
              <w:rPr>
                <w:rFonts w:hint="eastAsia" w:cs="宋体" w:asciiTheme="minorEastAsia" w:hAnsiTheme="minorEastAsia"/>
                <w:color w:val="000000"/>
                <w:kern w:val="0"/>
                <w:sz w:val="18"/>
                <w:szCs w:val="18"/>
                <w:lang w:val="en-US" w:eastAsia="zh-CN"/>
              </w:rPr>
              <w:t>维护</w:t>
            </w:r>
            <w:r>
              <w:rPr>
                <w:rFonts w:hint="eastAsia" w:cs="宋体" w:asciiTheme="minorEastAsia" w:hAnsiTheme="minorEastAsia"/>
                <w:color w:val="000000"/>
                <w:kern w:val="0"/>
                <w:sz w:val="18"/>
                <w:szCs w:val="18"/>
                <w:lang w:val="en-US" w:eastAsia="zh-CN"/>
              </w:rPr>
              <w:t>建设税</w:t>
            </w:r>
            <w:bookmarkStart w:id="485" w:name="_GoBack"/>
            <w:bookmarkEnd w:id="485"/>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24</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cs="宋体" w:asciiTheme="minorEastAsia" w:hAnsiTheme="minorEastAsia"/>
                <w:color w:val="000000"/>
                <w:kern w:val="0"/>
                <w:sz w:val="18"/>
                <w:szCs w:val="18"/>
              </w:rPr>
            </w:pPr>
          </w:p>
        </w:tc>
        <w:tc>
          <w:tcPr>
            <w:tcW w:w="262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color w:val="000000"/>
                <w:kern w:val="0"/>
                <w:sz w:val="18"/>
                <w:szCs w:val="18"/>
                <w:lang w:val="en-US" w:eastAsia="zh-CN"/>
              </w:rPr>
              <w:t>3.</w:t>
            </w:r>
            <w:r>
              <w:rPr>
                <w:rFonts w:hint="eastAsia" w:cs="宋体" w:asciiTheme="minorEastAsia" w:hAnsiTheme="minorEastAsia"/>
                <w:color w:val="000000"/>
                <w:kern w:val="0"/>
                <w:sz w:val="18"/>
                <w:szCs w:val="18"/>
              </w:rPr>
              <w:t>房产税</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25</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cs="宋体" w:asciiTheme="minorEastAsia" w:hAnsiTheme="minorEastAsia"/>
                <w:color w:val="000000"/>
                <w:kern w:val="0"/>
                <w:sz w:val="18"/>
                <w:szCs w:val="18"/>
              </w:rPr>
            </w:pPr>
          </w:p>
        </w:tc>
        <w:tc>
          <w:tcPr>
            <w:tcW w:w="262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color w:val="000000"/>
                <w:kern w:val="0"/>
                <w:sz w:val="18"/>
                <w:szCs w:val="18"/>
                <w:lang w:val="en-US" w:eastAsia="zh-CN"/>
              </w:rPr>
              <w:t>4.印花税</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26</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180" w:firstLineChars="100"/>
              <w:jc w:val="left"/>
              <w:textAlignment w:val="auto"/>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color w:val="000000"/>
                <w:kern w:val="0"/>
                <w:sz w:val="18"/>
                <w:szCs w:val="18"/>
                <w:lang w:val="en-US" w:eastAsia="zh-CN"/>
              </w:rPr>
              <w:t>5.</w:t>
            </w:r>
            <w:r>
              <w:rPr>
                <w:rFonts w:hint="eastAsia" w:cs="宋体" w:asciiTheme="minorEastAsia" w:hAnsiTheme="minorEastAsia"/>
                <w:color w:val="000000"/>
                <w:kern w:val="0"/>
                <w:sz w:val="18"/>
                <w:szCs w:val="18"/>
              </w:rPr>
              <w:t>教育费附加</w:t>
            </w:r>
            <w:r>
              <w:rPr>
                <w:rFonts w:hint="eastAsia" w:cs="宋体" w:asciiTheme="minorEastAsia" w:hAnsiTheme="minorEastAsia"/>
                <w:color w:val="000000"/>
                <w:kern w:val="0"/>
                <w:sz w:val="18"/>
                <w:szCs w:val="18"/>
                <w:lang w:eastAsia="zh-CN"/>
              </w:rPr>
              <w:t>、地方教育附加</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27</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val="en-US" w:eastAsia="zh-CN"/>
              </w:rPr>
              <w:t>6</w:t>
            </w:r>
            <w:r>
              <w:rPr>
                <w:rFonts w:hint="eastAsia" w:cs="宋体" w:asciiTheme="minorEastAsia" w:hAnsiTheme="minorEastAsia"/>
                <w:color w:val="000000"/>
                <w:kern w:val="0"/>
                <w:sz w:val="18"/>
                <w:szCs w:val="18"/>
              </w:rPr>
              <w:t>.其他</w:t>
            </w:r>
            <w:r>
              <w:rPr>
                <w:rFonts w:hint="eastAsia" w:cs="宋体" w:asciiTheme="minorEastAsia" w:hAnsiTheme="minorEastAsia"/>
                <w:color w:val="000000"/>
                <w:kern w:val="0"/>
                <w:sz w:val="18"/>
                <w:szCs w:val="18"/>
                <w:lang w:eastAsia="zh-CN"/>
              </w:rPr>
              <w:t>税费</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color w:val="000000"/>
                <w:sz w:val="18"/>
                <w:szCs w:val="18"/>
                <w:lang w:val="en-US"/>
              </w:rPr>
            </w:pPr>
            <w:r>
              <w:rPr>
                <w:rFonts w:hint="eastAsia" w:cs="宋体" w:asciiTheme="minorEastAsia" w:hAnsiTheme="minorEastAsia"/>
                <w:color w:val="000000"/>
                <w:sz w:val="18"/>
                <w:szCs w:val="18"/>
                <w:lang w:val="en-US" w:eastAsia="zh-CN"/>
              </w:rPr>
              <w:t>28</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包括</w:t>
            </w:r>
            <w:r>
              <w:rPr>
                <w:rFonts w:hint="eastAsia" w:cs="宋体" w:asciiTheme="minorEastAsia" w:hAnsiTheme="minorEastAsia"/>
                <w:b/>
                <w:bCs/>
                <w:color w:val="000000"/>
                <w:kern w:val="0"/>
                <w:sz w:val="18"/>
                <w:szCs w:val="18"/>
                <w:lang w:eastAsia="zh-CN"/>
              </w:rPr>
              <w:t>资源税、车船税、</w:t>
            </w:r>
            <w:r>
              <w:rPr>
                <w:rFonts w:hint="eastAsia" w:cs="宋体" w:asciiTheme="minorEastAsia" w:hAnsiTheme="minorEastAsia"/>
                <w:b/>
                <w:bCs/>
                <w:color w:val="000000"/>
                <w:kern w:val="0"/>
                <w:sz w:val="18"/>
                <w:szCs w:val="18"/>
              </w:rPr>
              <w:t>城镇土地使用税</w:t>
            </w:r>
            <w:r>
              <w:rPr>
                <w:rFonts w:hint="eastAsia" w:cs="宋体" w:asciiTheme="minorEastAsia" w:hAnsiTheme="minorEastAsia"/>
                <w:b/>
                <w:bCs/>
                <w:color w:val="000000"/>
                <w:kern w:val="0"/>
                <w:sz w:val="18"/>
                <w:szCs w:val="18"/>
                <w:lang w:val="en-US" w:eastAsia="zh-CN"/>
              </w:rPr>
              <w:t>、环境保护税</w:t>
            </w:r>
            <w:r>
              <w:rPr>
                <w:rFonts w:hint="eastAsia" w:cs="宋体" w:asciiTheme="minorEastAsia" w:hAnsiTheme="minorEastAsia"/>
                <w:b/>
                <w:bCs/>
                <w:color w:val="000000"/>
                <w:kern w:val="0"/>
                <w:sz w:val="18"/>
                <w:szCs w:val="18"/>
              </w:rPr>
              <w:t>、土地增值税</w:t>
            </w:r>
            <w:r>
              <w:rPr>
                <w:rFonts w:hint="eastAsia" w:cs="宋体" w:asciiTheme="minorEastAsia" w:hAnsiTheme="minorEastAsia"/>
                <w:color w:val="000000"/>
                <w:kern w:val="0"/>
                <w:sz w:val="18"/>
                <w:szCs w:val="18"/>
                <w:lang w:eastAsia="zh-CN"/>
              </w:rPr>
              <w:t>，</w:t>
            </w:r>
            <w:r>
              <w:rPr>
                <w:rFonts w:hint="eastAsia" w:cs="宋体" w:asciiTheme="minorEastAsia" w:hAnsiTheme="minorEastAsia"/>
                <w:color w:val="000000"/>
                <w:kern w:val="0"/>
                <w:sz w:val="18"/>
                <w:szCs w:val="18"/>
              </w:rPr>
              <w:t>地方水利建设基金、防洪工程维护费、</w:t>
            </w:r>
            <w:r>
              <w:rPr>
                <w:rFonts w:hint="eastAsia" w:cs="宋体" w:asciiTheme="minorEastAsia" w:hAnsiTheme="minorEastAsia"/>
                <w:color w:val="000000"/>
                <w:kern w:val="0"/>
                <w:sz w:val="18"/>
                <w:szCs w:val="18"/>
                <w:lang w:eastAsia="zh-CN"/>
              </w:rPr>
              <w:t>堤围防护费、价格调节基金、</w:t>
            </w:r>
            <w:r>
              <w:rPr>
                <w:rFonts w:hint="eastAsia" w:cs="宋体" w:asciiTheme="minorEastAsia" w:hAnsiTheme="minorEastAsia"/>
                <w:color w:val="000000"/>
                <w:kern w:val="0"/>
                <w:sz w:val="18"/>
                <w:szCs w:val="18"/>
              </w:rPr>
              <w:t>文化事业建设费、</w:t>
            </w:r>
            <w:r>
              <w:rPr>
                <w:rFonts w:hint="eastAsia" w:cs="宋体" w:asciiTheme="minorEastAsia" w:hAnsiTheme="minorEastAsia"/>
                <w:color w:val="000000"/>
                <w:kern w:val="0"/>
                <w:sz w:val="18"/>
                <w:szCs w:val="18"/>
                <w:lang w:eastAsia="zh-CN"/>
              </w:rPr>
              <w:t>城市基础设施配套费</w:t>
            </w:r>
            <w:r>
              <w:rPr>
                <w:rFonts w:hint="eastAsia" w:cs="宋体" w:asciiTheme="minorEastAsia" w:hAnsiTheme="minorEastAsia"/>
                <w:color w:val="000000"/>
                <w:kern w:val="0"/>
                <w:sz w:val="18"/>
                <w:szCs w:val="18"/>
              </w:rPr>
              <w:t>、地方行政性收费和其他上交政府的</w:t>
            </w:r>
            <w:r>
              <w:rPr>
                <w:rFonts w:hint="eastAsia" w:cs="宋体" w:asciiTheme="minorEastAsia" w:hAnsiTheme="minorEastAsia"/>
                <w:color w:val="000000"/>
                <w:kern w:val="0"/>
                <w:sz w:val="18"/>
                <w:szCs w:val="18"/>
                <w:lang w:eastAsia="zh-CN"/>
              </w:rPr>
              <w:t>非税</w:t>
            </w:r>
            <w:r>
              <w:rPr>
                <w:rFonts w:hint="eastAsia" w:cs="宋体" w:asciiTheme="minorEastAsia" w:hAnsiTheme="minorEastAsia"/>
                <w:color w:val="000000"/>
                <w:kern w:val="0"/>
                <w:sz w:val="18"/>
                <w:szCs w:val="18"/>
              </w:rPr>
              <w:t>费用。</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三、应交增值税</w:t>
            </w:r>
          </w:p>
          <w:p>
            <w:pPr>
              <w:keepNext w:val="0"/>
              <w:keepLines w:val="0"/>
              <w:pageBreakBefore w:val="0"/>
              <w:kinsoku/>
              <w:wordWrap/>
              <w:overflowPunct/>
              <w:topLinePunct w:val="0"/>
              <w:autoSpaceDE/>
              <w:autoSpaceDN/>
              <w:bidi w:val="0"/>
              <w:adjustRightInd/>
              <w:snapToGrid/>
              <w:spacing w:line="220" w:lineRule="exact"/>
              <w:textAlignment w:val="auto"/>
              <w:rPr>
                <w:rFonts w:cs="宋体" w:asciiTheme="minorEastAsia" w:hAnsiTheme="minorEastAsia"/>
                <w:kern w:val="0"/>
                <w:sz w:val="18"/>
                <w:szCs w:val="18"/>
              </w:rPr>
            </w:pPr>
            <w:r>
              <w:rPr>
                <w:rFonts w:hint="eastAsia" w:cs="宋体" w:asciiTheme="minorEastAsia" w:hAnsiTheme="minorEastAsia"/>
                <w:kern w:val="0"/>
                <w:sz w:val="18"/>
                <w:szCs w:val="18"/>
              </w:rPr>
              <w:t>（3</w:t>
            </w:r>
            <w:r>
              <w:rPr>
                <w:rFonts w:hint="eastAsia" w:cs="宋体" w:asciiTheme="minorEastAsia" w:hAnsiTheme="minorEastAsia"/>
                <w:kern w:val="0"/>
                <w:sz w:val="18"/>
                <w:szCs w:val="18"/>
                <w:lang w:val="en-US" w:eastAsia="zh-CN"/>
              </w:rPr>
              <w:t>4</w:t>
            </w:r>
            <w:r>
              <w:rPr>
                <w:rFonts w:hint="eastAsia" w:cs="宋体" w:asciiTheme="minorEastAsia" w:hAnsiTheme="minorEastAsia"/>
                <w:kern w:val="0"/>
                <w:sz w:val="18"/>
                <w:szCs w:val="18"/>
              </w:rPr>
              <w:t>=3</w:t>
            </w:r>
            <w:r>
              <w:rPr>
                <w:rFonts w:hint="eastAsia" w:cs="宋体" w:asciiTheme="minorEastAsia" w:hAnsiTheme="minorEastAsia"/>
                <w:kern w:val="0"/>
                <w:sz w:val="18"/>
                <w:szCs w:val="18"/>
                <w:lang w:val="en-US" w:eastAsia="zh-CN"/>
              </w:rPr>
              <w:t>5</w:t>
            </w:r>
            <w:r>
              <w:rPr>
                <w:rFonts w:hint="eastAsia" w:cs="宋体" w:asciiTheme="minorEastAsia" w:hAnsiTheme="minorEastAsia"/>
                <w:kern w:val="0"/>
                <w:sz w:val="18"/>
                <w:szCs w:val="18"/>
              </w:rPr>
              <w:t>或3</w:t>
            </w:r>
            <w:r>
              <w:rPr>
                <w:rFonts w:hint="eastAsia" w:cs="宋体" w:asciiTheme="minorEastAsia" w:hAnsiTheme="minorEastAsia"/>
                <w:kern w:val="0"/>
                <w:sz w:val="18"/>
                <w:szCs w:val="18"/>
                <w:lang w:val="en-US" w:eastAsia="zh-CN"/>
              </w:rPr>
              <w:t>4</w:t>
            </w:r>
            <w:r>
              <w:rPr>
                <w:rFonts w:hint="eastAsia" w:cs="宋体" w:asciiTheme="minorEastAsia" w:hAnsiTheme="minorEastAsia"/>
                <w:kern w:val="0"/>
                <w:sz w:val="18"/>
                <w:szCs w:val="18"/>
              </w:rPr>
              <w:t>=4</w:t>
            </w:r>
            <w:r>
              <w:rPr>
                <w:rFonts w:hint="eastAsia" w:cs="宋体" w:asciiTheme="minorEastAsia" w:hAnsiTheme="minorEastAsia"/>
                <w:kern w:val="0"/>
                <w:sz w:val="18"/>
                <w:szCs w:val="18"/>
                <w:lang w:val="en-US" w:eastAsia="zh-CN"/>
              </w:rPr>
              <w:t>3</w:t>
            </w:r>
            <w:r>
              <w:rPr>
                <w:rFonts w:hint="eastAsia" w:cs="宋体" w:asciiTheme="minorEastAsia" w:hAnsiTheme="minorEastAsia"/>
                <w:kern w:val="0"/>
                <w:sz w:val="18"/>
                <w:szCs w:val="18"/>
              </w:rPr>
              <w:t>或3</w:t>
            </w:r>
            <w:r>
              <w:rPr>
                <w:rFonts w:hint="eastAsia" w:cs="宋体" w:asciiTheme="minorEastAsia" w:hAnsiTheme="minorEastAsia"/>
                <w:kern w:val="0"/>
                <w:sz w:val="18"/>
                <w:szCs w:val="18"/>
                <w:lang w:val="en-US" w:eastAsia="zh-CN"/>
              </w:rPr>
              <w:t>4</w:t>
            </w:r>
            <w:r>
              <w:rPr>
                <w:rFonts w:hint="eastAsia" w:cs="宋体" w:asciiTheme="minorEastAsia" w:hAnsiTheme="minorEastAsia"/>
                <w:kern w:val="0"/>
                <w:sz w:val="18"/>
                <w:szCs w:val="18"/>
              </w:rPr>
              <w:t>=5</w:t>
            </w:r>
            <w:r>
              <w:rPr>
                <w:rFonts w:hint="eastAsia" w:cs="宋体" w:asciiTheme="minorEastAsia" w:hAnsiTheme="minorEastAsia"/>
                <w:kern w:val="0"/>
                <w:sz w:val="18"/>
                <w:szCs w:val="18"/>
                <w:lang w:val="en-US" w:eastAsia="zh-CN"/>
              </w:rPr>
              <w:t>2</w:t>
            </w:r>
            <w:r>
              <w:rPr>
                <w:rFonts w:hint="eastAsia" w:cs="宋体" w:asciiTheme="minorEastAsia" w:hAnsiTheme="minorEastAsia"/>
                <w:kern w:val="0"/>
                <w:sz w:val="18"/>
                <w:szCs w:val="18"/>
              </w:rPr>
              <w:t>）</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cs="宋体" w:asciiTheme="minorEastAsia" w:hAnsiTheme="minorEastAsia"/>
                <w:color w:val="000000"/>
                <w:sz w:val="18"/>
                <w:szCs w:val="18"/>
                <w:lang w:val="en-US" w:eastAsia="zh-CN"/>
              </w:rPr>
              <w:t>34</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eastAsia="宋体" w:cs="宋体" w:asciiTheme="minorEastAsia" w:hAnsiTheme="minorEastAsia"/>
                <w:color w:val="000000"/>
                <w:kern w:val="0"/>
                <w:sz w:val="18"/>
                <w:szCs w:val="18"/>
                <w:lang w:eastAsia="zh-CN"/>
              </w:rPr>
            </w:pPr>
            <w:r>
              <w:rPr>
                <w:rFonts w:hint="eastAsia" w:cs="宋体" w:asciiTheme="minorEastAsia" w:hAnsiTheme="minorEastAsia"/>
                <w:color w:val="000000"/>
                <w:kern w:val="0"/>
                <w:sz w:val="18"/>
                <w:szCs w:val="18"/>
              </w:rPr>
              <w:t>指按</w:t>
            </w:r>
            <w:r>
              <w:rPr>
                <w:rFonts w:hint="eastAsia" w:cs="宋体" w:asciiTheme="minorEastAsia" w:hAnsiTheme="minorEastAsia"/>
                <w:b/>
                <w:bCs/>
                <w:color w:val="000000"/>
                <w:kern w:val="0"/>
                <w:sz w:val="18"/>
                <w:szCs w:val="18"/>
              </w:rPr>
              <w:t>权责发生制</w:t>
            </w:r>
            <w:r>
              <w:rPr>
                <w:rFonts w:hint="eastAsia" w:cs="宋体" w:asciiTheme="minorEastAsia" w:hAnsiTheme="minorEastAsia"/>
                <w:color w:val="000000"/>
                <w:kern w:val="0"/>
                <w:sz w:val="18"/>
                <w:szCs w:val="18"/>
              </w:rPr>
              <w:t>核算企业本期</w:t>
            </w:r>
            <w:r>
              <w:rPr>
                <w:rFonts w:hint="eastAsia" w:cs="宋体" w:asciiTheme="minorEastAsia" w:hAnsiTheme="minorEastAsia"/>
                <w:b/>
                <w:bCs/>
                <w:color w:val="000000"/>
                <w:kern w:val="0"/>
                <w:sz w:val="18"/>
                <w:szCs w:val="18"/>
              </w:rPr>
              <w:t>应负担</w:t>
            </w:r>
            <w:r>
              <w:rPr>
                <w:rFonts w:hint="eastAsia" w:cs="宋体" w:asciiTheme="minorEastAsia" w:hAnsiTheme="minorEastAsia"/>
                <w:color w:val="000000"/>
                <w:kern w:val="0"/>
                <w:sz w:val="18"/>
                <w:szCs w:val="18"/>
              </w:rPr>
              <w:t>的增值税，并非实际缴纳的增值税，</w:t>
            </w:r>
            <w:r>
              <w:rPr>
                <w:rFonts w:hint="eastAsia" w:ascii="宋体" w:hAnsi="Calibri" w:eastAsia="宋体" w:cs="宋体"/>
                <w:b/>
                <w:bCs/>
                <w:kern w:val="0"/>
                <w:sz w:val="18"/>
                <w:szCs w:val="18"/>
              </w:rPr>
              <w:t>不设置留抵</w:t>
            </w:r>
            <w:r>
              <w:rPr>
                <w:rFonts w:hint="eastAsia" w:ascii="宋体" w:hAnsi="Calibri" w:eastAsia="宋体" w:cs="宋体"/>
                <w:kern w:val="0"/>
                <w:sz w:val="18"/>
                <w:szCs w:val="18"/>
              </w:rPr>
              <w:t>，同时也不抵扣会计账簿或增值税纳税申报表中上年年末留抵的进项税额。</w:t>
            </w:r>
            <w:r>
              <w:rPr>
                <w:rFonts w:hint="eastAsia" w:ascii="宋体" w:hAnsi="Calibri" w:eastAsia="宋体" w:cs="宋体"/>
                <w:kern w:val="0"/>
                <w:sz w:val="18"/>
                <w:szCs w:val="18"/>
                <w:lang w:eastAsia="zh-CN"/>
              </w:rPr>
              <w:t>若年度分别按一般纳税人、小规模纳税人两种方法计税，应分别计算后加总计入。</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方法1：适用一般纳税人（主要是有进出口业务企业）</w:t>
            </w:r>
          </w:p>
          <w:p>
            <w:pPr>
              <w:keepNext w:val="0"/>
              <w:keepLines w:val="0"/>
              <w:pageBreakBefore w:val="0"/>
              <w:kinsoku/>
              <w:wordWrap/>
              <w:overflowPunct/>
              <w:topLinePunct w:val="0"/>
              <w:autoSpaceDE/>
              <w:autoSpaceDN/>
              <w:bidi w:val="0"/>
              <w:adjustRightInd/>
              <w:snapToGrid/>
              <w:spacing w:line="220" w:lineRule="exac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r>
              <w:rPr>
                <w:rFonts w:hint="eastAsia" w:cs="宋体" w:asciiTheme="minorEastAsia" w:hAnsiTheme="minorEastAsia"/>
                <w:color w:val="000000"/>
                <w:kern w:val="0"/>
                <w:sz w:val="18"/>
                <w:szCs w:val="18"/>
                <w:lang w:val="en-US" w:eastAsia="zh-CN"/>
              </w:rPr>
              <w:t>5</w:t>
            </w:r>
            <w:r>
              <w:rPr>
                <w:rFonts w:hint="eastAsia" w:cs="宋体" w:asciiTheme="minorEastAsia" w:hAnsiTheme="minorEastAsia"/>
                <w:color w:val="000000"/>
                <w:kern w:val="0"/>
                <w:sz w:val="18"/>
                <w:szCs w:val="18"/>
              </w:rPr>
              <w:t>=3</w:t>
            </w:r>
            <w:r>
              <w:rPr>
                <w:rFonts w:hint="eastAsia" w:cs="宋体" w:asciiTheme="minorEastAsia" w:hAnsiTheme="minorEastAsia"/>
                <w:color w:val="000000"/>
                <w:kern w:val="0"/>
                <w:sz w:val="18"/>
                <w:szCs w:val="18"/>
                <w:lang w:val="en-US" w:eastAsia="zh-CN"/>
              </w:rPr>
              <w:t>6</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37</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38</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39</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40</w:t>
            </w:r>
            <w:r>
              <w:rPr>
                <w:rFonts w:hint="eastAsia" w:cs="宋体" w:asciiTheme="minorEastAsia" w:hAnsiTheme="minorEastAsia"/>
                <w:color w:val="000000"/>
                <w:kern w:val="0"/>
                <w:sz w:val="18"/>
                <w:szCs w:val="18"/>
              </w:rPr>
              <w:t>+4</w:t>
            </w:r>
            <w:r>
              <w:rPr>
                <w:rFonts w:hint="eastAsia" w:cs="宋体" w:asciiTheme="minorEastAsia" w:hAnsiTheme="minorEastAsia"/>
                <w:color w:val="000000"/>
                <w:kern w:val="0"/>
                <w:sz w:val="18"/>
                <w:szCs w:val="18"/>
                <w:lang w:val="en-US" w:eastAsia="zh-CN"/>
              </w:rPr>
              <w:t>1</w:t>
            </w:r>
            <w:r>
              <w:rPr>
                <w:rFonts w:hint="eastAsia" w:cs="宋体" w:asciiTheme="minorEastAsia" w:hAnsiTheme="minorEastAsia"/>
                <w:color w:val="000000"/>
                <w:kern w:val="0"/>
                <w:sz w:val="18"/>
                <w:szCs w:val="18"/>
              </w:rPr>
              <w:t>+4</w:t>
            </w:r>
            <w:r>
              <w:rPr>
                <w:rFonts w:hint="eastAsia" w:cs="宋体" w:asciiTheme="minorEastAsia" w:hAnsiTheme="minorEastAsia"/>
                <w:color w:val="000000"/>
                <w:kern w:val="0"/>
                <w:sz w:val="18"/>
                <w:szCs w:val="18"/>
                <w:lang w:val="en-US" w:eastAsia="zh-CN"/>
              </w:rPr>
              <w:t>2</w:t>
            </w:r>
            <w:r>
              <w:rPr>
                <w:rFonts w:hint="eastAsia" w:cs="宋体" w:asciiTheme="minorEastAsia" w:hAnsiTheme="minorEastAsia"/>
                <w:color w:val="000000"/>
                <w:kern w:val="0"/>
                <w:sz w:val="18"/>
                <w:szCs w:val="18"/>
              </w:rPr>
              <w:t>）</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lang w:val="en-US" w:eastAsia="zh-CN"/>
              </w:rPr>
              <w:t>35</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应交增值税=销项税额－（进项税额－进项税额转出）－出口抵减内销产品应纳税额－减免税款+出口退税+简易计税</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1.销项税额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36</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根据本期会计科目“销项税额”“进项税额转出”“出口退税”“简易计税”年初至期末</w:t>
            </w:r>
            <w:r>
              <w:rPr>
                <w:rFonts w:hint="eastAsia" w:cs="宋体" w:asciiTheme="minorEastAsia" w:hAnsiTheme="minorEastAsia"/>
                <w:b/>
                <w:bCs/>
                <w:color w:val="000000"/>
                <w:kern w:val="0"/>
                <w:sz w:val="18"/>
                <w:szCs w:val="18"/>
              </w:rPr>
              <w:t>贷方累计发生额</w:t>
            </w:r>
            <w:r>
              <w:rPr>
                <w:rFonts w:hint="eastAsia" w:cs="宋体" w:asciiTheme="minorEastAsia" w:hAnsiTheme="minorEastAsia"/>
                <w:color w:val="000000"/>
                <w:kern w:val="0"/>
                <w:sz w:val="18"/>
                <w:szCs w:val="18"/>
              </w:rPr>
              <w:t>，“进项税额”“出口抵减内销产品应纳税额”“减免税款”年初至期末</w:t>
            </w:r>
            <w:r>
              <w:rPr>
                <w:rFonts w:hint="eastAsia" w:cs="宋体" w:asciiTheme="minorEastAsia" w:hAnsiTheme="minorEastAsia"/>
                <w:b/>
                <w:bCs/>
                <w:color w:val="000000"/>
                <w:kern w:val="0"/>
                <w:sz w:val="18"/>
                <w:szCs w:val="18"/>
              </w:rPr>
              <w:t>借方累计发生额</w:t>
            </w:r>
            <w:r>
              <w:rPr>
                <w:rFonts w:hint="eastAsia" w:cs="宋体" w:asciiTheme="minorEastAsia" w:hAnsiTheme="minorEastAsia"/>
                <w:color w:val="000000"/>
                <w:kern w:val="0"/>
                <w:sz w:val="18"/>
                <w:szCs w:val="18"/>
              </w:rPr>
              <w:t>填报。</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2.进项税额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37</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3.进项税额转出</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38</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4.出口抵减内销产品应纳税额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39</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5.减免税款</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40</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6.出口退税</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41</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7.简易计税</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42</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方法2：适用一般纳税人</w:t>
            </w:r>
          </w:p>
          <w:p>
            <w:pPr>
              <w:keepNext w:val="0"/>
              <w:keepLines w:val="0"/>
              <w:pageBreakBefore w:val="0"/>
              <w:kinsoku/>
              <w:wordWrap/>
              <w:overflowPunct/>
              <w:topLinePunct w:val="0"/>
              <w:autoSpaceDE/>
              <w:autoSpaceDN/>
              <w:bidi w:val="0"/>
              <w:adjustRightInd/>
              <w:snapToGrid/>
              <w:spacing w:line="220" w:lineRule="exact"/>
              <w:textAlignment w:val="auto"/>
            </w:pPr>
            <w:r>
              <w:rPr>
                <w:rFonts w:hint="eastAsia" w:cs="宋体" w:asciiTheme="minorEastAsia" w:hAnsiTheme="minorEastAsia"/>
                <w:color w:val="000000"/>
                <w:kern w:val="0"/>
                <w:sz w:val="18"/>
                <w:szCs w:val="18"/>
              </w:rPr>
              <w:t>（4</w:t>
            </w:r>
            <w:r>
              <w:rPr>
                <w:rFonts w:hint="eastAsia" w:cs="宋体" w:asciiTheme="minorEastAsia" w:hAnsiTheme="minorEastAsia"/>
                <w:color w:val="000000"/>
                <w:kern w:val="0"/>
                <w:sz w:val="18"/>
                <w:szCs w:val="18"/>
                <w:lang w:val="en-US" w:eastAsia="zh-CN"/>
              </w:rPr>
              <w:t>3</w:t>
            </w:r>
            <w:r>
              <w:rPr>
                <w:rFonts w:hint="eastAsia" w:cs="宋体" w:asciiTheme="minorEastAsia" w:hAnsiTheme="minorEastAsia"/>
                <w:color w:val="000000"/>
                <w:kern w:val="0"/>
                <w:sz w:val="18"/>
                <w:szCs w:val="18"/>
              </w:rPr>
              <w:t>=4</w:t>
            </w:r>
            <w:r>
              <w:rPr>
                <w:rFonts w:hint="eastAsia" w:cs="宋体" w:asciiTheme="minorEastAsia" w:hAnsiTheme="minorEastAsia"/>
                <w:color w:val="000000"/>
                <w:kern w:val="0"/>
                <w:sz w:val="18"/>
                <w:szCs w:val="18"/>
                <w:lang w:val="en-US" w:eastAsia="zh-CN"/>
              </w:rPr>
              <w:t>4</w:t>
            </w:r>
            <w:r>
              <w:rPr>
                <w:rFonts w:hint="eastAsia" w:cs="宋体" w:asciiTheme="minorEastAsia" w:hAnsiTheme="minorEastAsia"/>
                <w:color w:val="000000"/>
                <w:kern w:val="0"/>
                <w:sz w:val="18"/>
                <w:szCs w:val="18"/>
              </w:rPr>
              <w:t>-4</w:t>
            </w:r>
            <w:r>
              <w:rPr>
                <w:rFonts w:hint="eastAsia" w:cs="宋体" w:asciiTheme="minorEastAsia" w:hAnsiTheme="minorEastAsia"/>
                <w:color w:val="000000"/>
                <w:kern w:val="0"/>
                <w:sz w:val="18"/>
                <w:szCs w:val="18"/>
                <w:lang w:val="en-US" w:eastAsia="zh-CN"/>
              </w:rPr>
              <w:t>5</w:t>
            </w:r>
            <w:r>
              <w:rPr>
                <w:rFonts w:hint="eastAsia" w:cs="宋体" w:asciiTheme="minorEastAsia" w:hAnsiTheme="minorEastAsia"/>
                <w:color w:val="000000"/>
                <w:kern w:val="0"/>
                <w:sz w:val="18"/>
                <w:szCs w:val="18"/>
              </w:rPr>
              <w:t>+4</w:t>
            </w:r>
            <w:r>
              <w:rPr>
                <w:rFonts w:hint="eastAsia" w:cs="宋体" w:asciiTheme="minorEastAsia" w:hAnsiTheme="minorEastAsia"/>
                <w:color w:val="000000"/>
                <w:kern w:val="0"/>
                <w:sz w:val="18"/>
                <w:szCs w:val="18"/>
                <w:lang w:val="en-US" w:eastAsia="zh-CN"/>
              </w:rPr>
              <w:t>6</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47</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48</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49</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lang w:val="en-US" w:eastAsia="zh-CN"/>
              </w:rPr>
              <w:t>50</w:t>
            </w:r>
            <w:r>
              <w:rPr>
                <w:rFonts w:hint="eastAsia" w:cs="宋体" w:asciiTheme="minorEastAsia" w:hAnsiTheme="minorEastAsia"/>
                <w:color w:val="000000"/>
                <w:kern w:val="0"/>
                <w:sz w:val="18"/>
                <w:szCs w:val="18"/>
              </w:rPr>
              <w:t>-5</w:t>
            </w:r>
            <w:r>
              <w:rPr>
                <w:rFonts w:hint="eastAsia" w:cs="宋体" w:asciiTheme="minorEastAsia" w:hAnsiTheme="minorEastAsia"/>
                <w:color w:val="000000"/>
                <w:kern w:val="0"/>
                <w:sz w:val="18"/>
                <w:szCs w:val="18"/>
                <w:lang w:val="en-US" w:eastAsia="zh-CN"/>
              </w:rPr>
              <w:t>1</w:t>
            </w:r>
            <w:r>
              <w:rPr>
                <w:rFonts w:hint="eastAsia" w:cs="宋体" w:asciiTheme="minorEastAsia" w:hAnsiTheme="minorEastAsia"/>
                <w:color w:val="000000"/>
                <w:kern w:val="0"/>
                <w:sz w:val="18"/>
                <w:szCs w:val="18"/>
              </w:rPr>
              <w:t>）</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43</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应交增值税=销项税额－（进项税额－进项税额转出－免、抵、退应退税额）+简易计税办法计算的应纳税额+按简易计税办法计算的纳税检查应补缴税额－应纳税额减征额－加计抵减额</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1.销项税额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44</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w:t>
            </w:r>
            <w:r>
              <w:rPr>
                <w:rFonts w:hint="eastAsia" w:cs="宋体" w:asciiTheme="minorEastAsia" w:hAnsiTheme="minorEastAsia"/>
                <w:color w:val="000000"/>
                <w:kern w:val="0"/>
                <w:sz w:val="18"/>
                <w:szCs w:val="18"/>
                <w:lang w:eastAsia="zh-CN"/>
              </w:rPr>
              <w:t>“一般项目”列中</w:t>
            </w:r>
            <w:r>
              <w:rPr>
                <w:rFonts w:hint="eastAsia" w:cs="宋体" w:asciiTheme="minorEastAsia" w:hAnsiTheme="minorEastAsia"/>
                <w:color w:val="000000"/>
                <w:kern w:val="0"/>
                <w:sz w:val="18"/>
                <w:szCs w:val="18"/>
              </w:rPr>
              <w:t>“本年累计”列，附表4“税额抵减情况表”（第2列减第3列）“本期发生额”-“本期调减额”的本期累计数（政策有效期内，符合加计抵减条件的企业填报）填报。</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2.进项税额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45</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3.进项税额转出</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46</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4.免、抵、退应退税额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47</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5.简易计税办法计算的应纳税额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48</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6.按简易计税办法计算的纳税检查应补缴税额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cs="宋体" w:asciiTheme="minorEastAsia" w:hAnsiTheme="minorEastAsia"/>
                <w:color w:val="000000"/>
                <w:sz w:val="18"/>
                <w:szCs w:val="18"/>
              </w:rPr>
            </w:pPr>
            <w:r>
              <w:rPr>
                <w:rFonts w:hint="eastAsia" w:asciiTheme="minorEastAsia" w:hAnsiTheme="minorEastAsia"/>
                <w:color w:val="000000"/>
                <w:sz w:val="18"/>
                <w:szCs w:val="18"/>
              </w:rPr>
              <w:t>49</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7.应纳税额减征额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50</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8.加计抵减额</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51</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方法3：适用小规模纳税人（5</w:t>
            </w:r>
            <w:r>
              <w:rPr>
                <w:rFonts w:hint="eastAsia" w:cs="宋体" w:asciiTheme="minorEastAsia" w:hAnsiTheme="minorEastAsia"/>
                <w:color w:val="000000"/>
                <w:kern w:val="0"/>
                <w:sz w:val="18"/>
                <w:szCs w:val="18"/>
                <w:lang w:val="en-US" w:eastAsia="zh-CN"/>
              </w:rPr>
              <w:t>2</w:t>
            </w:r>
            <w:r>
              <w:rPr>
                <w:rFonts w:hint="eastAsia" w:cs="宋体" w:asciiTheme="minorEastAsia" w:hAnsiTheme="minorEastAsia"/>
                <w:color w:val="000000"/>
                <w:kern w:val="0"/>
                <w:sz w:val="18"/>
                <w:szCs w:val="18"/>
              </w:rPr>
              <w:t>=5</w:t>
            </w:r>
            <w:r>
              <w:rPr>
                <w:rFonts w:hint="eastAsia" w:cs="宋体" w:asciiTheme="minorEastAsia" w:hAnsiTheme="minorEastAsia"/>
                <w:color w:val="000000"/>
                <w:kern w:val="0"/>
                <w:sz w:val="18"/>
                <w:szCs w:val="18"/>
                <w:lang w:val="en-US" w:eastAsia="zh-CN"/>
              </w:rPr>
              <w:t>3</w:t>
            </w:r>
            <w:r>
              <w:rPr>
                <w:rFonts w:hint="eastAsia" w:cs="宋体" w:asciiTheme="minorEastAsia" w:hAnsiTheme="minorEastAsia"/>
                <w:color w:val="000000"/>
                <w:kern w:val="0"/>
                <w:sz w:val="18"/>
                <w:szCs w:val="18"/>
              </w:rPr>
              <w:t>）</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rPr>
              <w:t>52</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应交增值税=应纳税额合计</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80" w:firstLineChars="100"/>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应纳税额合计</w:t>
            </w:r>
          </w:p>
        </w:tc>
        <w:tc>
          <w:tcPr>
            <w:tcW w:w="313" w:type="pct"/>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cs="宋体"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lang w:eastAsia="zh-CN"/>
              </w:rPr>
              <w:t>5</w:t>
            </w:r>
            <w:r>
              <w:rPr>
                <w:rFonts w:hint="eastAsia" w:asciiTheme="minorEastAsia" w:hAnsiTheme="minorEastAsia"/>
                <w:color w:val="000000"/>
                <w:sz w:val="18"/>
                <w:szCs w:val="18"/>
                <w:lang w:val="en-US" w:eastAsia="zh-CN"/>
              </w:rPr>
              <w:t>3</w:t>
            </w:r>
          </w:p>
        </w:tc>
        <w:tc>
          <w:tcPr>
            <w:tcW w:w="50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w:t>
            </w:r>
          </w:p>
        </w:tc>
        <w:tc>
          <w:tcPr>
            <w:tcW w:w="26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根据《增值税纳税申报表（小规模纳税人适用）》填报。</w:t>
            </w:r>
          </w:p>
        </w:tc>
      </w:tr>
    </w:tbl>
    <w:p>
      <w:pPr>
        <w:rPr>
          <w:rFonts w:asciiTheme="minorEastAsia" w:hAnsiTheme="minorEastAsia"/>
          <w:sz w:val="18"/>
          <w:szCs w:val="18"/>
        </w:rPr>
      </w:pPr>
      <w:r>
        <w:rPr>
          <w:rFonts w:hint="eastAsia" w:asciiTheme="minorEastAsia" w:hAnsiTheme="minorEastAsia"/>
          <w:sz w:val="18"/>
          <w:szCs w:val="18"/>
        </w:rPr>
        <w:t>单位负责人：          统计负责人：        填报人：         联系电话：           报出日期：</w:t>
      </w:r>
    </w:p>
    <w:p>
      <w:pPr>
        <w:keepNext w:val="0"/>
        <w:keepLines w:val="0"/>
        <w:pageBreakBefore w:val="0"/>
        <w:widowControl w:val="0"/>
        <w:kinsoku/>
        <w:wordWrap/>
        <w:overflowPunct/>
        <w:topLinePunct w:val="0"/>
        <w:autoSpaceDE/>
        <w:autoSpaceDN/>
        <w:bidi w:val="0"/>
        <w:adjustRightInd/>
        <w:snapToGrid/>
        <w:spacing w:line="240" w:lineRule="exact"/>
        <w:ind w:left="0" w:hanging="707" w:hangingChars="393"/>
        <w:textAlignment w:val="auto"/>
        <w:rPr>
          <w:rFonts w:hint="eastAsia" w:asciiTheme="minorEastAsia" w:hAnsiTheme="minorEastAsia"/>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hanging="707" w:hangingChars="393"/>
        <w:textAlignment w:val="auto"/>
        <w:rPr>
          <w:rFonts w:asciiTheme="minorEastAsia" w:hAnsiTheme="minorEastAsia"/>
          <w:sz w:val="18"/>
          <w:szCs w:val="18"/>
        </w:rPr>
      </w:pPr>
      <w:r>
        <w:rPr>
          <w:rFonts w:hint="eastAsia" w:asciiTheme="minorEastAsia" w:hAnsiTheme="minorEastAsia"/>
          <w:sz w:val="18"/>
          <w:szCs w:val="18"/>
        </w:rPr>
        <w:t>说明：1.统计范围：辖区内</w:t>
      </w:r>
      <w:r>
        <w:rPr>
          <w:rFonts w:hint="eastAsia" w:asciiTheme="minorEastAsia" w:hAnsiTheme="minorEastAsia"/>
          <w:sz w:val="18"/>
          <w:szCs w:val="18"/>
          <w:lang w:eastAsia="zh-CN"/>
        </w:rPr>
        <w:t>一套表企业</w:t>
      </w:r>
      <w:r>
        <w:rPr>
          <w:rFonts w:hint="eastAsia" w:asciiTheme="minorEastAsia" w:hAnsiTheme="minorEastAsia"/>
          <w:sz w:val="18"/>
          <w:szCs w:val="18"/>
        </w:rPr>
        <w:t>法人单位。</w:t>
      </w:r>
    </w:p>
    <w:p>
      <w:pPr>
        <w:spacing w:line="240" w:lineRule="exact"/>
        <w:ind w:left="567"/>
        <w:rPr>
          <w:rFonts w:asciiTheme="minorEastAsia" w:hAnsiTheme="minorEastAsia"/>
          <w:sz w:val="18"/>
          <w:szCs w:val="18"/>
        </w:rPr>
      </w:pPr>
      <w:r>
        <w:rPr>
          <w:rFonts w:hint="eastAsia" w:asciiTheme="minorEastAsia" w:hAnsiTheme="minorEastAsia"/>
          <w:sz w:val="18"/>
          <w:szCs w:val="18"/>
        </w:rPr>
        <w:t>2.报送日期及方式：调查单位在区级统计机构年报会审时提交纸介质台账，并加盖单位印章。</w:t>
      </w:r>
    </w:p>
    <w:p>
      <w:pPr>
        <w:spacing w:line="240" w:lineRule="exact"/>
        <w:ind w:left="703" w:leftChars="269" w:hanging="138" w:hangingChars="77"/>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z w:val="18"/>
          <w:szCs w:val="18"/>
          <w:lang w:eastAsia="zh-CN"/>
        </w:rPr>
        <w:t>一套表企业</w:t>
      </w:r>
      <w:r>
        <w:rPr>
          <w:rFonts w:hint="eastAsia" w:asciiTheme="minorEastAsia" w:hAnsiTheme="minorEastAsia"/>
          <w:sz w:val="18"/>
          <w:szCs w:val="18"/>
        </w:rPr>
        <w:t>“财务状况”</w:t>
      </w:r>
      <w:r>
        <w:rPr>
          <w:rFonts w:hint="eastAsia" w:asciiTheme="minorEastAsia" w:hAnsiTheme="minorEastAsia"/>
          <w:sz w:val="18"/>
          <w:szCs w:val="18"/>
          <w:lang w:eastAsia="zh-CN"/>
        </w:rPr>
        <w:t>表</w:t>
      </w:r>
      <w:r>
        <w:rPr>
          <w:rFonts w:hint="eastAsia" w:asciiTheme="minorEastAsia" w:hAnsiTheme="minorEastAsia"/>
          <w:sz w:val="18"/>
          <w:szCs w:val="18"/>
        </w:rPr>
        <w:t>中的“应付职工薪酬”</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401</w:t>
      </w:r>
      <w:r>
        <w:rPr>
          <w:rFonts w:hint="eastAsia" w:asciiTheme="minorEastAsia" w:hAnsiTheme="minorEastAsia"/>
          <w:sz w:val="18"/>
          <w:szCs w:val="18"/>
          <w:lang w:eastAsia="zh-CN"/>
        </w:rPr>
        <w:t>）、</w:t>
      </w:r>
      <w:r>
        <w:rPr>
          <w:rFonts w:hint="eastAsia" w:asciiTheme="minorEastAsia" w:hAnsiTheme="minorEastAsia"/>
          <w:sz w:val="18"/>
          <w:szCs w:val="18"/>
        </w:rPr>
        <w:t>“税金及附加”</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309</w:t>
      </w:r>
      <w:r>
        <w:rPr>
          <w:rFonts w:hint="eastAsia" w:asciiTheme="minorEastAsia" w:hAnsiTheme="minorEastAsia"/>
          <w:sz w:val="18"/>
          <w:szCs w:val="18"/>
          <w:lang w:eastAsia="zh-CN"/>
        </w:rPr>
        <w:t>）、</w:t>
      </w:r>
      <w:r>
        <w:rPr>
          <w:rFonts w:hint="eastAsia" w:asciiTheme="minorEastAsia" w:hAnsiTheme="minorEastAsia"/>
          <w:sz w:val="18"/>
          <w:szCs w:val="18"/>
        </w:rPr>
        <w:t>“应交增值税”</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402</w:t>
      </w:r>
      <w:r>
        <w:rPr>
          <w:rFonts w:hint="eastAsia" w:asciiTheme="minorEastAsia" w:hAnsiTheme="minorEastAsia"/>
          <w:sz w:val="18"/>
          <w:szCs w:val="18"/>
          <w:lang w:eastAsia="zh-CN"/>
        </w:rPr>
        <w:t>）</w:t>
      </w:r>
      <w:r>
        <w:rPr>
          <w:rFonts w:hint="eastAsia" w:asciiTheme="minorEastAsia" w:hAnsiTheme="minorEastAsia"/>
          <w:sz w:val="18"/>
          <w:szCs w:val="18"/>
        </w:rPr>
        <w:t>应与本台账保持一致。</w:t>
      </w:r>
    </w:p>
    <w:p>
      <w:pPr>
        <w:spacing w:line="240" w:lineRule="exact"/>
        <w:ind w:left="567"/>
        <w:rPr>
          <w:rFonts w:asciiTheme="minorEastAsia" w:hAnsiTheme="minorEastAsia"/>
          <w:sz w:val="18"/>
          <w:szCs w:val="18"/>
        </w:rPr>
      </w:pPr>
      <w:r>
        <w:rPr>
          <w:rFonts w:hint="eastAsia" w:asciiTheme="minorEastAsia" w:hAnsiTheme="minorEastAsia"/>
          <w:sz w:val="18"/>
          <w:szCs w:val="18"/>
        </w:rPr>
        <w:t>4.本台账指标均取整数，不保留小数。</w:t>
      </w:r>
    </w:p>
    <w:bookmarkEnd w:id="484"/>
    <w:p>
      <w:pPr>
        <w:spacing w:line="240" w:lineRule="exact"/>
        <w:ind w:left="567"/>
        <w:rPr>
          <w:rFonts w:hint="eastAsia" w:asciiTheme="minorEastAsia" w:hAnsiTheme="minorEastAsia"/>
          <w:sz w:val="18"/>
          <w:szCs w:val="18"/>
        </w:rPr>
      </w:pPr>
    </w:p>
    <w:p/>
    <w:sectPr>
      <w:headerReference r:id="rId12" w:type="default"/>
      <w:footerReference r:id="rId13" w:type="default"/>
      <w:pgSz w:w="11906" w:h="16838"/>
      <w:pgMar w:top="1440" w:right="1134" w:bottom="1134" w:left="113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roman"/>
    <w:pitch w:val="default"/>
    <w:sig w:usb0="00000000" w:usb1="00000000" w:usb2="0000003F" w:usb3="00000000" w:csb0="603F01FF" w:csb1="FFFF0000"/>
  </w:font>
  <w:font w:name="Century">
    <w:altName w:val="DejaVu Serif"/>
    <w:panose1 w:val="02040604050505020304"/>
    <w:charset w:val="00"/>
    <w:family w:val="roman"/>
    <w:pitch w:val="default"/>
    <w:sig w:usb0="00000000" w:usb1="00000000" w:usb2="00000000" w:usb3="00000000" w:csb0="2000009F" w:csb1="DFD70000"/>
  </w:font>
  <w:font w:name="方正小标宋_GBK">
    <w:panose1 w:val="02000000000000000000"/>
    <w:charset w:val="86"/>
    <w:family w:val="script"/>
    <w:pitch w:val="default"/>
    <w:sig w:usb0="00000001" w:usb1="08000000" w:usb2="00000000" w:usb3="00000000" w:csb0="00040000" w:csb1="00000000"/>
  </w:font>
  <w:font w:name="方正大标宋_GBK">
    <w:altName w:val="方正书宋_GBK"/>
    <w:panose1 w:val="03000509000000000000"/>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Nimbus Roman No9 L">
    <w:altName w:val="Quicksand Light"/>
    <w:panose1 w:val="00000000000000000000"/>
    <w:charset w:val="00"/>
    <w:family w:val="auto"/>
    <w:pitch w:val="default"/>
    <w:sig w:usb0="00000000" w:usb1="00000000" w:usb2="00000000" w:usb3="00000000" w:csb0="00000000" w:csb1="00000000"/>
  </w:font>
  <w:font w:name="sans-serif">
    <w:altName w:val="Quicksand Light"/>
    <w:panose1 w:val="00000000000000000000"/>
    <w:charset w:val="00"/>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200001FF" w:csb1="00000000"/>
  </w:font>
  <w:font w:name="7">
    <w:altName w:val="汉仪新人文宋简"/>
    <w:panose1 w:val="00000000000000000000"/>
    <w:charset w:val="00"/>
    <w:family w:val="auto"/>
    <w:pitch w:val="default"/>
    <w:sig w:usb0="00000000" w:usb1="00000000" w:usb2="00000000" w:usb3="00000000" w:csb0="00040001"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erif">
    <w:panose1 w:val="02060603050605020204"/>
    <w:charset w:val="00"/>
    <w:family w:val="auto"/>
    <w:pitch w:val="default"/>
    <w:sig w:usb0="E50006FF" w:usb1="5200F9FB" w:usb2="0A040020" w:usb3="00000000" w:csb0="6000009F" w:csb1="DFD7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pPr>
                        </w:p>
                      </w:txbxContent>
                    </wps:txbx>
                    <wps:bodyPr wrap="none" lIns="0" tIns="0" rIns="0" bIns="0" upright="false">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96W+K2AQAAVA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mTdXpUFD&#10;TC3m3UfMzOP7MHKaYaemUEJ/kT5qcOWLogimYLcPlw6rMROJzvlysVw2GJIYmy5Ygj3+HiHlDyo4&#10;UgxOAUdYOyv2n1I+pU4ppZoPt8baOkbrnzkQs3hYoX/iWKw8bsazpk3oDihpwOlz6nE9KbEfPTa3&#10;LMpkwGRsJmMXwWx7pKaFTWU8AuHf7TISqfxKlRP0uTiOrio8r1nZjaf3mvX4GN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elvitgEAAFQDAAAOAAAAAAAAAAEAIAAAADQBAABkcnMvZTJv&#10;RG9jLnhtbFBLBQYAAAAABgAGAFkBAABcBQ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57"/>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Bdr>
                              <w:bottom w:val="none" w:color="auto" w:sz="0" w:space="0"/>
                            </w:pBdr>
                            <w:rPr>
                              <w:rStyle w:val="34"/>
                              <w:rFonts w:hint="default" w:ascii="Times New Roman" w:hAnsi="Times New Roman" w:cs="Times New Roman"/>
                            </w:rPr>
                          </w:pPr>
                          <w:r>
                            <w:rPr>
                              <w:rStyle w:val="34"/>
                              <w:rFonts w:hint="default" w:ascii="Times New Roman" w:hAnsi="Times New Roman" w:cs="Times New Roman"/>
                            </w:rPr>
                            <w:fldChar w:fldCharType="begin"/>
                          </w:r>
                          <w:r>
                            <w:rPr>
                              <w:rStyle w:val="34"/>
                              <w:rFonts w:hint="default" w:ascii="Times New Roman" w:hAnsi="Times New Roman" w:cs="Times New Roman"/>
                            </w:rPr>
                            <w:instrText xml:space="preserve">PAGE  </w:instrText>
                          </w:r>
                          <w:r>
                            <w:rPr>
                              <w:rStyle w:val="34"/>
                              <w:rFonts w:hint="default" w:ascii="Times New Roman" w:hAnsi="Times New Roman" w:cs="Times New Roman"/>
                            </w:rPr>
                            <w:fldChar w:fldCharType="separate"/>
                          </w:r>
                          <w:r>
                            <w:rPr>
                              <w:rStyle w:val="34"/>
                              <w:rFonts w:hint="default" w:ascii="Times New Roman" w:hAnsi="Times New Roman" w:cs="Times New Roman"/>
                            </w:rPr>
                            <w:t>- 255 -</w:t>
                          </w:r>
                          <w:r>
                            <w:rPr>
                              <w:rStyle w:val="34"/>
                              <w:rFonts w:hint="default" w:ascii="Times New Roman" w:hAnsi="Times New Roman" w:cs="Times New Roman"/>
                            </w:rPr>
                            <w:fldChar w:fldCharType="end"/>
                          </w:r>
                        </w:p>
                        <w:p>
                          <w:pPr>
                            <w:rPr>
                              <w:rFonts w:hint="default" w:ascii="Times New Roman" w:hAnsi="Times New Roman" w:cs="Times New Roma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0"/>
                      <w:pBdr>
                        <w:bottom w:val="none" w:color="auto" w:sz="0" w:space="0"/>
                      </w:pBdr>
                      <w:rPr>
                        <w:rStyle w:val="34"/>
                        <w:rFonts w:hint="default" w:ascii="Times New Roman" w:hAnsi="Times New Roman" w:cs="Times New Roman"/>
                      </w:rPr>
                    </w:pPr>
                    <w:r>
                      <w:rPr>
                        <w:rStyle w:val="34"/>
                        <w:rFonts w:hint="default" w:ascii="Times New Roman" w:hAnsi="Times New Roman" w:cs="Times New Roman"/>
                      </w:rPr>
                      <w:fldChar w:fldCharType="begin"/>
                    </w:r>
                    <w:r>
                      <w:rPr>
                        <w:rStyle w:val="34"/>
                        <w:rFonts w:hint="default" w:ascii="Times New Roman" w:hAnsi="Times New Roman" w:cs="Times New Roman"/>
                      </w:rPr>
                      <w:instrText xml:space="preserve">PAGE  </w:instrText>
                    </w:r>
                    <w:r>
                      <w:rPr>
                        <w:rStyle w:val="34"/>
                        <w:rFonts w:hint="default" w:ascii="Times New Roman" w:hAnsi="Times New Roman" w:cs="Times New Roman"/>
                      </w:rPr>
                      <w:fldChar w:fldCharType="separate"/>
                    </w:r>
                    <w:r>
                      <w:rPr>
                        <w:rStyle w:val="34"/>
                        <w:rFonts w:hint="default" w:ascii="Times New Roman" w:hAnsi="Times New Roman" w:cs="Times New Roman"/>
                      </w:rPr>
                      <w:t>- 255 -</w:t>
                    </w:r>
                    <w:r>
                      <w:rPr>
                        <w:rStyle w:val="34"/>
                        <w:rFonts w:hint="default" w:ascii="Times New Roman" w:hAnsi="Times New Roman" w:cs="Times New Roman"/>
                      </w:rPr>
                      <w:fldChar w:fldCharType="end"/>
                    </w:r>
                  </w:p>
                  <w:p>
                    <w:pPr>
                      <w:rPr>
                        <w:rFonts w:hint="default" w:ascii="Times New Roman" w:hAnsi="Times New Roman" w:cs="Times New Roman"/>
                      </w:rPr>
                    </w:pPr>
                  </w:p>
                </w:txbxContent>
              </v:textbox>
            </v:shape>
          </w:pict>
        </mc:Fallback>
      </mc:AlternateContent>
    </w:r>
    <w:r>
      <w:rPr>
        <w:rFonts w:hint="eastAsia"/>
        <w:lang w:eastAsia="zh-CN"/>
      </w:rPr>
      <w:t>规模以上服务业一套表</w:t>
    </w:r>
    <w:r>
      <w:t>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706"/>
        <w:tab w:val="right" w:pos="9412"/>
        <w:tab w:val="clear" w:pos="4153"/>
        <w:tab w:val="clear" w:pos="8306"/>
      </w:tabs>
      <w:jc w:val="both"/>
    </w:pPr>
    <w:r>
      <w:fldChar w:fldCharType="begin"/>
    </w:r>
    <w:r>
      <w:instrText xml:space="preserve">PAGE   \* MERGEFORMAT</w:instrText>
    </w:r>
    <w:r>
      <w:fldChar w:fldCharType="separate"/>
    </w:r>
    <w:r>
      <w:rPr>
        <w:lang w:val="zh-CN"/>
      </w:rPr>
      <w:t>-</w:t>
    </w:r>
    <w:r>
      <w:t xml:space="preserve"> 254 -</w:t>
    </w:r>
    <w:r>
      <w:fldChar w:fldCharType="end"/>
    </w:r>
    <w:r>
      <w:tab/>
    </w:r>
    <w:r>
      <w:rPr>
        <w:rFonts w:hint="eastAsia"/>
      </w:rPr>
      <w:t>一套</w:t>
    </w:r>
    <w:r>
      <w:t>表统计调查制度</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pBdr>
        <w:bottom w:val="none" w:color="auto" w:sz="0" w:space="0"/>
      </w:pBdr>
      <w:rPr>
        <w:rStyle w:val="34"/>
        <w:rFonts w:hint="default" w:ascii="Times New Roman" w:hAnsi="Times New Roman" w:cs="Times New Roman"/>
      </w:rPr>
    </w:pPr>
    <w:r>
      <w:rPr>
        <w:rStyle w:val="34"/>
        <w:rFonts w:hint="default" w:ascii="Times New Roman" w:hAnsi="Times New Roman" w:cs="Times New Roman"/>
      </w:rPr>
      <w:fldChar w:fldCharType="begin"/>
    </w:r>
    <w:r>
      <w:rPr>
        <w:rStyle w:val="34"/>
        <w:rFonts w:hint="default" w:ascii="Times New Roman" w:hAnsi="Times New Roman" w:cs="Times New Roman"/>
      </w:rPr>
      <w:instrText xml:space="preserve">PAGE  </w:instrText>
    </w:r>
    <w:r>
      <w:rPr>
        <w:rStyle w:val="34"/>
        <w:rFonts w:hint="default" w:ascii="Times New Roman" w:hAnsi="Times New Roman" w:cs="Times New Roman"/>
      </w:rPr>
      <w:fldChar w:fldCharType="separate"/>
    </w:r>
    <w:r>
      <w:rPr>
        <w:rStyle w:val="34"/>
        <w:rFonts w:hint="default" w:ascii="Times New Roman" w:hAnsi="Times New Roman" w:cs="Times New Roman"/>
      </w:rPr>
      <w:t>- 255 -</w:t>
    </w:r>
    <w:r>
      <w:rPr>
        <w:rStyle w:val="34"/>
        <w:rFonts w:hint="default" w:ascii="Times New Roman" w:hAnsi="Times New Roman" w:cs="Times New Roman"/>
      </w:rPr>
      <w:fldChar w:fldCharType="end"/>
    </w:r>
  </w:p>
  <w:p>
    <w:pPr>
      <w:pStyle w:val="20"/>
      <w:rPr>
        <w:rFonts w:hint="default" w:ascii="Times New Roman" w:hAnsi="Times New Roman" w:cs="Times New Roman"/>
      </w:rPr>
    </w:pPr>
    <w:r>
      <w:rPr>
        <w:rFonts w:hint="default" w:ascii="Times New Roman" w:hAnsi="Times New Roman" w:cs="Times New Roman"/>
        <w:lang w:eastAsia="zh-CN"/>
      </w:rPr>
      <w:t>规模以上服务业一套表</w:t>
    </w:r>
    <w:r>
      <w:rPr>
        <w:rFonts w:hint="default" w:ascii="Times New Roman" w:hAnsi="Times New Roman" w:cs="Times New Roman"/>
      </w:rPr>
      <w:t>制度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ascii="Times New Roman" w:hAnsi="Times New Roman" w:cs="Times New Roman"/>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Bdr>
                              <w:top w:val="none" w:color="auto" w:sz="0" w:space="0"/>
                              <w:left w:val="none" w:color="auto" w:sz="0" w:space="0"/>
                              <w:bottom w:val="none" w:color="auto" w:sz="0" w:space="1"/>
                              <w:right w:val="none" w:color="auto" w:sz="0" w:space="0"/>
                              <w:between w:val="none" w:color="auto" w:sz="0" w:space="0"/>
                            </w:pBdr>
                            <w:rPr>
                              <w:rFonts w:hint="default" w:ascii="Times New Roman" w:hAnsi="Times New Roman" w:cs="Times New Roman"/>
                              <w:u w:val="none"/>
                            </w:rPr>
                          </w:pPr>
                          <w:r>
                            <w:rPr>
                              <w:rFonts w:hint="default" w:ascii="Times New Roman" w:hAnsi="Times New Roman" w:cs="Times New Roman"/>
                              <w:u w:val="none"/>
                            </w:rPr>
                            <w:fldChar w:fldCharType="begin"/>
                          </w:r>
                          <w:r>
                            <w:rPr>
                              <w:rFonts w:hint="default" w:ascii="Times New Roman" w:hAnsi="Times New Roman" w:cs="Times New Roman"/>
                              <w:u w:val="none"/>
                            </w:rPr>
                            <w:instrText xml:space="preserve"> PAGE  \* MERGEFORMAT </w:instrText>
                          </w:r>
                          <w:r>
                            <w:rPr>
                              <w:rFonts w:hint="default" w:ascii="Times New Roman" w:hAnsi="Times New Roman" w:cs="Times New Roman"/>
                              <w:u w:val="none"/>
                            </w:rPr>
                            <w:fldChar w:fldCharType="separate"/>
                          </w:r>
                          <w:r>
                            <w:rPr>
                              <w:rFonts w:hint="default" w:ascii="Times New Roman" w:hAnsi="Times New Roman" w:cs="Times New Roman"/>
                              <w:u w:val="none"/>
                            </w:rPr>
                            <w:t>- 1 -</w:t>
                          </w:r>
                          <w:r>
                            <w:rPr>
                              <w:rFonts w:hint="default" w:ascii="Times New Roman" w:hAnsi="Times New Roman" w:cs="Times New Roman"/>
                              <w:u w:val="none"/>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0"/>
                      <w:pBdr>
                        <w:top w:val="none" w:color="auto" w:sz="0" w:space="0"/>
                        <w:left w:val="none" w:color="auto" w:sz="0" w:space="0"/>
                        <w:bottom w:val="none" w:color="auto" w:sz="0" w:space="1"/>
                        <w:right w:val="none" w:color="auto" w:sz="0" w:space="0"/>
                        <w:between w:val="none" w:color="auto" w:sz="0" w:space="0"/>
                      </w:pBdr>
                      <w:rPr>
                        <w:rFonts w:hint="default" w:ascii="Times New Roman" w:hAnsi="Times New Roman" w:cs="Times New Roman"/>
                        <w:u w:val="none"/>
                      </w:rPr>
                    </w:pPr>
                    <w:r>
                      <w:rPr>
                        <w:rFonts w:hint="default" w:ascii="Times New Roman" w:hAnsi="Times New Roman" w:cs="Times New Roman"/>
                        <w:u w:val="none"/>
                      </w:rPr>
                      <w:fldChar w:fldCharType="begin"/>
                    </w:r>
                    <w:r>
                      <w:rPr>
                        <w:rFonts w:hint="default" w:ascii="Times New Roman" w:hAnsi="Times New Roman" w:cs="Times New Roman"/>
                        <w:u w:val="none"/>
                      </w:rPr>
                      <w:instrText xml:space="preserve"> PAGE  \* MERGEFORMAT </w:instrText>
                    </w:r>
                    <w:r>
                      <w:rPr>
                        <w:rFonts w:hint="default" w:ascii="Times New Roman" w:hAnsi="Times New Roman" w:cs="Times New Roman"/>
                        <w:u w:val="none"/>
                      </w:rPr>
                      <w:fldChar w:fldCharType="separate"/>
                    </w:r>
                    <w:r>
                      <w:rPr>
                        <w:rFonts w:hint="default" w:ascii="Times New Roman" w:hAnsi="Times New Roman" w:cs="Times New Roman"/>
                        <w:u w:val="none"/>
                      </w:rPr>
                      <w:t>- 1 -</w:t>
                    </w:r>
                    <w:r>
                      <w:rPr>
                        <w:rFonts w:hint="default" w:ascii="Times New Roman" w:hAnsi="Times New Roman" w:cs="Times New Roman"/>
                        <w:u w:val="none"/>
                      </w:rPr>
                      <w:fldChar w:fldCharType="end"/>
                    </w:r>
                  </w:p>
                </w:txbxContent>
              </v:textbox>
            </v:shape>
          </w:pict>
        </mc:Fallback>
      </mc:AlternateContent>
    </w:r>
    <w:r>
      <w:rPr>
        <w:rFonts w:hint="eastAsia" w:ascii="Times New Roman" w:hAnsi="Times New Roman" w:cs="Times New Roman"/>
        <w:szCs w:val="18"/>
        <w:lang w:val="en-US" w:eastAsia="zh-CN"/>
      </w:rPr>
      <w:t>规模以上服务业一套表制度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59717"/>
    <w:multiLevelType w:val="singleLevel"/>
    <w:tmpl w:val="9FB59717"/>
    <w:lvl w:ilvl="0" w:tentative="0">
      <w:start w:val="2"/>
      <w:numFmt w:val="decimal"/>
      <w:suff w:val="nothing"/>
      <w:lvlText w:val="（%1）"/>
      <w:lvlJc w:val="left"/>
    </w:lvl>
  </w:abstractNum>
  <w:abstractNum w:abstractNumId="1">
    <w:nsid w:val="00000006"/>
    <w:multiLevelType w:val="multilevel"/>
    <w:tmpl w:val="00000006"/>
    <w:lvl w:ilvl="0" w:tentative="0">
      <w:start w:val="1"/>
      <w:numFmt w:val="bullet"/>
      <w:lvlText w:val=""/>
      <w:lvlJc w:val="left"/>
      <w:pPr>
        <w:tabs>
          <w:tab w:val="left" w:pos="1320"/>
        </w:tabs>
        <w:ind w:left="1320" w:hanging="420"/>
      </w:pPr>
      <w:rPr>
        <w:rFonts w:hint="default" w:ascii="Symbol" w:hAnsi="Symbol"/>
        <w:color w:val="auto"/>
      </w:rPr>
    </w:lvl>
    <w:lvl w:ilvl="1" w:tentative="0">
      <w:start w:val="1"/>
      <w:numFmt w:val="bullet"/>
      <w:lvlText w:val="—"/>
      <w:lvlJc w:val="left"/>
      <w:pPr>
        <w:tabs>
          <w:tab w:val="left" w:pos="902"/>
        </w:tabs>
        <w:ind w:firstLine="900"/>
      </w:pPr>
      <w:rPr>
        <w:rFonts w:hint="eastAsia" w:ascii="宋体" w:hAnsi="宋体" w:eastAsia="宋体"/>
        <w:color w:val="auto"/>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63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jZlYTVkZWRkYWU0MDE3MDk4NDVmNGU5YWM5ZWEifQ=="/>
  </w:docVars>
  <w:rsids>
    <w:rsidRoot w:val="00172A27"/>
    <w:rsid w:val="00047B49"/>
    <w:rsid w:val="00091993"/>
    <w:rsid w:val="000D4EEA"/>
    <w:rsid w:val="000D7016"/>
    <w:rsid w:val="00102043"/>
    <w:rsid w:val="001328D9"/>
    <w:rsid w:val="00150E0C"/>
    <w:rsid w:val="00153497"/>
    <w:rsid w:val="00191F40"/>
    <w:rsid w:val="001A0C03"/>
    <w:rsid w:val="001A5999"/>
    <w:rsid w:val="001E3158"/>
    <w:rsid w:val="001E5BF3"/>
    <w:rsid w:val="00222D74"/>
    <w:rsid w:val="00272A04"/>
    <w:rsid w:val="00296606"/>
    <w:rsid w:val="002A1A91"/>
    <w:rsid w:val="0031642C"/>
    <w:rsid w:val="0039363A"/>
    <w:rsid w:val="003A458C"/>
    <w:rsid w:val="003B60EC"/>
    <w:rsid w:val="003C3961"/>
    <w:rsid w:val="003F02B6"/>
    <w:rsid w:val="003F2B61"/>
    <w:rsid w:val="003F61EC"/>
    <w:rsid w:val="004840B5"/>
    <w:rsid w:val="0048640C"/>
    <w:rsid w:val="004906DF"/>
    <w:rsid w:val="004B406A"/>
    <w:rsid w:val="004C646E"/>
    <w:rsid w:val="004E07EB"/>
    <w:rsid w:val="00511746"/>
    <w:rsid w:val="0052718B"/>
    <w:rsid w:val="00534559"/>
    <w:rsid w:val="00545275"/>
    <w:rsid w:val="00547F0C"/>
    <w:rsid w:val="00596C55"/>
    <w:rsid w:val="005C2798"/>
    <w:rsid w:val="005D1266"/>
    <w:rsid w:val="00615CA6"/>
    <w:rsid w:val="0063501A"/>
    <w:rsid w:val="00635CE1"/>
    <w:rsid w:val="00662578"/>
    <w:rsid w:val="00667301"/>
    <w:rsid w:val="00683643"/>
    <w:rsid w:val="00717CA9"/>
    <w:rsid w:val="00723CA6"/>
    <w:rsid w:val="00730ABD"/>
    <w:rsid w:val="00770C85"/>
    <w:rsid w:val="007A32F0"/>
    <w:rsid w:val="007B3818"/>
    <w:rsid w:val="007C3C94"/>
    <w:rsid w:val="007C636C"/>
    <w:rsid w:val="007F267B"/>
    <w:rsid w:val="008136BD"/>
    <w:rsid w:val="0083693C"/>
    <w:rsid w:val="00847FE2"/>
    <w:rsid w:val="00891340"/>
    <w:rsid w:val="008C55C0"/>
    <w:rsid w:val="00990F78"/>
    <w:rsid w:val="00994BA9"/>
    <w:rsid w:val="00995912"/>
    <w:rsid w:val="009A5CFC"/>
    <w:rsid w:val="009E7B60"/>
    <w:rsid w:val="00A91351"/>
    <w:rsid w:val="00AA52CB"/>
    <w:rsid w:val="00AC3ABC"/>
    <w:rsid w:val="00AC496E"/>
    <w:rsid w:val="00B31997"/>
    <w:rsid w:val="00B34662"/>
    <w:rsid w:val="00BA6646"/>
    <w:rsid w:val="00BD2396"/>
    <w:rsid w:val="00C01D38"/>
    <w:rsid w:val="00C100DC"/>
    <w:rsid w:val="00C319EB"/>
    <w:rsid w:val="00C66356"/>
    <w:rsid w:val="00CB5795"/>
    <w:rsid w:val="00CC1522"/>
    <w:rsid w:val="00CE26AE"/>
    <w:rsid w:val="00D05215"/>
    <w:rsid w:val="00D056F7"/>
    <w:rsid w:val="00D06CFD"/>
    <w:rsid w:val="00D778A7"/>
    <w:rsid w:val="00DB7334"/>
    <w:rsid w:val="00E02408"/>
    <w:rsid w:val="00E041F5"/>
    <w:rsid w:val="00E23D60"/>
    <w:rsid w:val="00E2544F"/>
    <w:rsid w:val="00E44CE4"/>
    <w:rsid w:val="00E67ADF"/>
    <w:rsid w:val="00E8502A"/>
    <w:rsid w:val="00E91050"/>
    <w:rsid w:val="00EB743D"/>
    <w:rsid w:val="00EE4E99"/>
    <w:rsid w:val="00F13026"/>
    <w:rsid w:val="00FA05BA"/>
    <w:rsid w:val="00FB0B26"/>
    <w:rsid w:val="00FD5F45"/>
    <w:rsid w:val="00FF4655"/>
    <w:rsid w:val="012F69CF"/>
    <w:rsid w:val="0197200D"/>
    <w:rsid w:val="03FFA4AC"/>
    <w:rsid w:val="04240678"/>
    <w:rsid w:val="044C647B"/>
    <w:rsid w:val="04A02868"/>
    <w:rsid w:val="04C711D2"/>
    <w:rsid w:val="05DFB63F"/>
    <w:rsid w:val="060C3D29"/>
    <w:rsid w:val="067F5292"/>
    <w:rsid w:val="06FF757D"/>
    <w:rsid w:val="071B4263"/>
    <w:rsid w:val="0773A414"/>
    <w:rsid w:val="079FD266"/>
    <w:rsid w:val="07B80497"/>
    <w:rsid w:val="07B9AD18"/>
    <w:rsid w:val="088B7712"/>
    <w:rsid w:val="091278BD"/>
    <w:rsid w:val="096A30C7"/>
    <w:rsid w:val="09892530"/>
    <w:rsid w:val="0A763B6A"/>
    <w:rsid w:val="0A8156E5"/>
    <w:rsid w:val="0ABBDA5A"/>
    <w:rsid w:val="0AD57EC8"/>
    <w:rsid w:val="0ADF33C2"/>
    <w:rsid w:val="0B024171"/>
    <w:rsid w:val="0B870C26"/>
    <w:rsid w:val="0BB6EAAF"/>
    <w:rsid w:val="0BFB5434"/>
    <w:rsid w:val="0BFF9AB4"/>
    <w:rsid w:val="0BFFA5E6"/>
    <w:rsid w:val="0CF21F9A"/>
    <w:rsid w:val="0CF63E7D"/>
    <w:rsid w:val="0CFF68A9"/>
    <w:rsid w:val="0D7556BE"/>
    <w:rsid w:val="0D7F7E90"/>
    <w:rsid w:val="0DBD72BA"/>
    <w:rsid w:val="0DDFB540"/>
    <w:rsid w:val="0DF97FC4"/>
    <w:rsid w:val="0DFF2841"/>
    <w:rsid w:val="0E2B07E3"/>
    <w:rsid w:val="0E2FC85D"/>
    <w:rsid w:val="0E914818"/>
    <w:rsid w:val="0EBB1B55"/>
    <w:rsid w:val="0EDD7F48"/>
    <w:rsid w:val="0EEB139A"/>
    <w:rsid w:val="0EEF5D37"/>
    <w:rsid w:val="0F3DF4E6"/>
    <w:rsid w:val="0F4606C2"/>
    <w:rsid w:val="0F5F7D20"/>
    <w:rsid w:val="0F6F3E7E"/>
    <w:rsid w:val="0FABBA0E"/>
    <w:rsid w:val="0FAD6ACC"/>
    <w:rsid w:val="0FBDEB3E"/>
    <w:rsid w:val="0FDDEE60"/>
    <w:rsid w:val="0FDFF4F1"/>
    <w:rsid w:val="0FEF3563"/>
    <w:rsid w:val="0FEF5794"/>
    <w:rsid w:val="0FEFBC88"/>
    <w:rsid w:val="0FFD05BF"/>
    <w:rsid w:val="0FFF02E6"/>
    <w:rsid w:val="0FFF57B7"/>
    <w:rsid w:val="0FFFF9D9"/>
    <w:rsid w:val="11656F9A"/>
    <w:rsid w:val="11AF7F3B"/>
    <w:rsid w:val="11C955EF"/>
    <w:rsid w:val="1253B5E5"/>
    <w:rsid w:val="12D91013"/>
    <w:rsid w:val="135BB8B8"/>
    <w:rsid w:val="13E66D5F"/>
    <w:rsid w:val="13FC77B1"/>
    <w:rsid w:val="140C77EE"/>
    <w:rsid w:val="14342525"/>
    <w:rsid w:val="145214C8"/>
    <w:rsid w:val="14FF1969"/>
    <w:rsid w:val="15135F1D"/>
    <w:rsid w:val="157701B9"/>
    <w:rsid w:val="159F701F"/>
    <w:rsid w:val="15A253BE"/>
    <w:rsid w:val="15CD21E5"/>
    <w:rsid w:val="15DF9BFE"/>
    <w:rsid w:val="15EAEA69"/>
    <w:rsid w:val="15EDF778"/>
    <w:rsid w:val="15F77DB3"/>
    <w:rsid w:val="15FBB2B3"/>
    <w:rsid w:val="15FF4F2F"/>
    <w:rsid w:val="15FFCFC7"/>
    <w:rsid w:val="165F6514"/>
    <w:rsid w:val="16973156"/>
    <w:rsid w:val="16CF2AAE"/>
    <w:rsid w:val="16DB4D11"/>
    <w:rsid w:val="16FF6A05"/>
    <w:rsid w:val="171FDAFE"/>
    <w:rsid w:val="173F0709"/>
    <w:rsid w:val="177BF3F7"/>
    <w:rsid w:val="17ACD242"/>
    <w:rsid w:val="17B5CAE4"/>
    <w:rsid w:val="17B739CE"/>
    <w:rsid w:val="17B7DB80"/>
    <w:rsid w:val="17BD4527"/>
    <w:rsid w:val="17BF01C8"/>
    <w:rsid w:val="17CFD463"/>
    <w:rsid w:val="17F93E51"/>
    <w:rsid w:val="17FF3B42"/>
    <w:rsid w:val="180765D9"/>
    <w:rsid w:val="18ED086B"/>
    <w:rsid w:val="19159E89"/>
    <w:rsid w:val="193F3FCF"/>
    <w:rsid w:val="19BD027A"/>
    <w:rsid w:val="19F68A74"/>
    <w:rsid w:val="19F7C4F1"/>
    <w:rsid w:val="19FE788B"/>
    <w:rsid w:val="1A1C35B0"/>
    <w:rsid w:val="1A5150DD"/>
    <w:rsid w:val="1ACE6763"/>
    <w:rsid w:val="1ADF263C"/>
    <w:rsid w:val="1AF4EF55"/>
    <w:rsid w:val="1B1A51B6"/>
    <w:rsid w:val="1B3BA920"/>
    <w:rsid w:val="1B71CB1C"/>
    <w:rsid w:val="1B72C5AD"/>
    <w:rsid w:val="1B850DEA"/>
    <w:rsid w:val="1B9F9A12"/>
    <w:rsid w:val="1BD18F2F"/>
    <w:rsid w:val="1BF904F8"/>
    <w:rsid w:val="1BFF4156"/>
    <w:rsid w:val="1BFFCBB0"/>
    <w:rsid w:val="1C7E6639"/>
    <w:rsid w:val="1CBA6C35"/>
    <w:rsid w:val="1CFC037B"/>
    <w:rsid w:val="1D379D25"/>
    <w:rsid w:val="1D7F8AF9"/>
    <w:rsid w:val="1D9F5706"/>
    <w:rsid w:val="1DBEB1D0"/>
    <w:rsid w:val="1DBFCBD9"/>
    <w:rsid w:val="1DDFECB8"/>
    <w:rsid w:val="1DE723C3"/>
    <w:rsid w:val="1DEBBF66"/>
    <w:rsid w:val="1DF376A1"/>
    <w:rsid w:val="1DF50C17"/>
    <w:rsid w:val="1DF7D0E1"/>
    <w:rsid w:val="1DF7F3C4"/>
    <w:rsid w:val="1DFDDE5E"/>
    <w:rsid w:val="1DFE7A24"/>
    <w:rsid w:val="1DFF0570"/>
    <w:rsid w:val="1E1B690C"/>
    <w:rsid w:val="1E1C49AE"/>
    <w:rsid w:val="1E23837B"/>
    <w:rsid w:val="1E3F1D95"/>
    <w:rsid w:val="1E578E29"/>
    <w:rsid w:val="1E5F5B36"/>
    <w:rsid w:val="1E7A94BE"/>
    <w:rsid w:val="1E7E2130"/>
    <w:rsid w:val="1E7F5E85"/>
    <w:rsid w:val="1EAB5F67"/>
    <w:rsid w:val="1EAB7EF6"/>
    <w:rsid w:val="1EBF6AD3"/>
    <w:rsid w:val="1EBFE41A"/>
    <w:rsid w:val="1EDBDB05"/>
    <w:rsid w:val="1EF6CA69"/>
    <w:rsid w:val="1EF793C9"/>
    <w:rsid w:val="1EFB5A57"/>
    <w:rsid w:val="1EFBC9C7"/>
    <w:rsid w:val="1F06438B"/>
    <w:rsid w:val="1F5F321C"/>
    <w:rsid w:val="1F650378"/>
    <w:rsid w:val="1F6F0047"/>
    <w:rsid w:val="1F73AC10"/>
    <w:rsid w:val="1F77F291"/>
    <w:rsid w:val="1F7F08E7"/>
    <w:rsid w:val="1F802A4F"/>
    <w:rsid w:val="1F899BF0"/>
    <w:rsid w:val="1F9F0A19"/>
    <w:rsid w:val="1FA9561E"/>
    <w:rsid w:val="1FAAFA09"/>
    <w:rsid w:val="1FC6F063"/>
    <w:rsid w:val="1FD77615"/>
    <w:rsid w:val="1FDF7342"/>
    <w:rsid w:val="1FE3653B"/>
    <w:rsid w:val="1FE8AD20"/>
    <w:rsid w:val="1FEB1F4B"/>
    <w:rsid w:val="1FEE0329"/>
    <w:rsid w:val="1FEFC202"/>
    <w:rsid w:val="1FF007E0"/>
    <w:rsid w:val="1FF552A6"/>
    <w:rsid w:val="1FF771EC"/>
    <w:rsid w:val="1FF962CE"/>
    <w:rsid w:val="1FFF5AC3"/>
    <w:rsid w:val="1FFFA6D0"/>
    <w:rsid w:val="1FFFBE4B"/>
    <w:rsid w:val="1FFFCE93"/>
    <w:rsid w:val="201047FB"/>
    <w:rsid w:val="215406C5"/>
    <w:rsid w:val="2199172B"/>
    <w:rsid w:val="21ED1787"/>
    <w:rsid w:val="22BF0387"/>
    <w:rsid w:val="22DD6258"/>
    <w:rsid w:val="23B32564"/>
    <w:rsid w:val="23B7F263"/>
    <w:rsid w:val="252715A7"/>
    <w:rsid w:val="2571F7F5"/>
    <w:rsid w:val="25975388"/>
    <w:rsid w:val="25AF5DF0"/>
    <w:rsid w:val="25BD6A65"/>
    <w:rsid w:val="25CF846E"/>
    <w:rsid w:val="25D246EF"/>
    <w:rsid w:val="25F2DCDB"/>
    <w:rsid w:val="25F66EC3"/>
    <w:rsid w:val="26AF423C"/>
    <w:rsid w:val="26EE41EE"/>
    <w:rsid w:val="26F72DA5"/>
    <w:rsid w:val="26FF433E"/>
    <w:rsid w:val="273C0595"/>
    <w:rsid w:val="273D9599"/>
    <w:rsid w:val="276512F3"/>
    <w:rsid w:val="276DAF42"/>
    <w:rsid w:val="278840F4"/>
    <w:rsid w:val="27B77621"/>
    <w:rsid w:val="27BA3383"/>
    <w:rsid w:val="27DE0FD1"/>
    <w:rsid w:val="27DED9CF"/>
    <w:rsid w:val="27DF4CD3"/>
    <w:rsid w:val="27E7C07B"/>
    <w:rsid w:val="27E7E221"/>
    <w:rsid w:val="27EBD60D"/>
    <w:rsid w:val="27EC5067"/>
    <w:rsid w:val="27EF688C"/>
    <w:rsid w:val="27F75ACE"/>
    <w:rsid w:val="27FD5459"/>
    <w:rsid w:val="27FFC57D"/>
    <w:rsid w:val="28B14579"/>
    <w:rsid w:val="28D37CC0"/>
    <w:rsid w:val="2977C2E3"/>
    <w:rsid w:val="299EAAEF"/>
    <w:rsid w:val="29B42447"/>
    <w:rsid w:val="29EDEF64"/>
    <w:rsid w:val="29EE27D8"/>
    <w:rsid w:val="29F77C8D"/>
    <w:rsid w:val="29FDC7A5"/>
    <w:rsid w:val="29FF3923"/>
    <w:rsid w:val="2A7EB7BF"/>
    <w:rsid w:val="2A9EE975"/>
    <w:rsid w:val="2AFE56E2"/>
    <w:rsid w:val="2AFF8269"/>
    <w:rsid w:val="2B3F63C3"/>
    <w:rsid w:val="2B6722DA"/>
    <w:rsid w:val="2B7F1B5D"/>
    <w:rsid w:val="2BA747F9"/>
    <w:rsid w:val="2BCA9BF7"/>
    <w:rsid w:val="2BD76C2D"/>
    <w:rsid w:val="2BD9BBC8"/>
    <w:rsid w:val="2BEFB4AD"/>
    <w:rsid w:val="2BFD2EE7"/>
    <w:rsid w:val="2BFF322C"/>
    <w:rsid w:val="2C8431A0"/>
    <w:rsid w:val="2C998FF9"/>
    <w:rsid w:val="2CB77A93"/>
    <w:rsid w:val="2CE7F794"/>
    <w:rsid w:val="2CEB741E"/>
    <w:rsid w:val="2CEFC2A5"/>
    <w:rsid w:val="2CF63A70"/>
    <w:rsid w:val="2CFFCBB4"/>
    <w:rsid w:val="2D5D88B8"/>
    <w:rsid w:val="2D5F905E"/>
    <w:rsid w:val="2D6FB510"/>
    <w:rsid w:val="2D7DC001"/>
    <w:rsid w:val="2D7DF86E"/>
    <w:rsid w:val="2D9CD97F"/>
    <w:rsid w:val="2DEF194D"/>
    <w:rsid w:val="2DF33C23"/>
    <w:rsid w:val="2DFE77C3"/>
    <w:rsid w:val="2DFF70F0"/>
    <w:rsid w:val="2DFFAF6D"/>
    <w:rsid w:val="2DFFCF0D"/>
    <w:rsid w:val="2DFFF671"/>
    <w:rsid w:val="2E31C53B"/>
    <w:rsid w:val="2E77EF40"/>
    <w:rsid w:val="2E7B20F0"/>
    <w:rsid w:val="2E7F913B"/>
    <w:rsid w:val="2E9EA293"/>
    <w:rsid w:val="2EA3075D"/>
    <w:rsid w:val="2EA716C6"/>
    <w:rsid w:val="2EBEC193"/>
    <w:rsid w:val="2ECE33EB"/>
    <w:rsid w:val="2EDB0391"/>
    <w:rsid w:val="2EEB120D"/>
    <w:rsid w:val="2EFE8FB0"/>
    <w:rsid w:val="2EFF4B48"/>
    <w:rsid w:val="2F52B718"/>
    <w:rsid w:val="2F56FE7E"/>
    <w:rsid w:val="2F58107A"/>
    <w:rsid w:val="2F6F1519"/>
    <w:rsid w:val="2F75008D"/>
    <w:rsid w:val="2F774A59"/>
    <w:rsid w:val="2F7B59E0"/>
    <w:rsid w:val="2F7F3D99"/>
    <w:rsid w:val="2F7FACE3"/>
    <w:rsid w:val="2F7FF33B"/>
    <w:rsid w:val="2F7FFBEF"/>
    <w:rsid w:val="2F816281"/>
    <w:rsid w:val="2F8F50DC"/>
    <w:rsid w:val="2F972699"/>
    <w:rsid w:val="2FB4FDD6"/>
    <w:rsid w:val="2FB7A77A"/>
    <w:rsid w:val="2FBB5375"/>
    <w:rsid w:val="2FBB56CA"/>
    <w:rsid w:val="2FBE592A"/>
    <w:rsid w:val="2FBF1AFF"/>
    <w:rsid w:val="2FCB4C08"/>
    <w:rsid w:val="2FCE508A"/>
    <w:rsid w:val="2FCE8F23"/>
    <w:rsid w:val="2FCFC0EF"/>
    <w:rsid w:val="2FD33F88"/>
    <w:rsid w:val="2FD9B3D5"/>
    <w:rsid w:val="2FDE2534"/>
    <w:rsid w:val="2FDF01C5"/>
    <w:rsid w:val="2FDF424C"/>
    <w:rsid w:val="2FDFF32D"/>
    <w:rsid w:val="2FE6BBA4"/>
    <w:rsid w:val="2FE6ED87"/>
    <w:rsid w:val="2FED554B"/>
    <w:rsid w:val="2FF74C27"/>
    <w:rsid w:val="2FFB57A6"/>
    <w:rsid w:val="2FFBDA97"/>
    <w:rsid w:val="2FFBEDFC"/>
    <w:rsid w:val="2FFC6389"/>
    <w:rsid w:val="2FFD5C51"/>
    <w:rsid w:val="2FFDAED8"/>
    <w:rsid w:val="2FFE0E68"/>
    <w:rsid w:val="2FFE54D4"/>
    <w:rsid w:val="2FFEA260"/>
    <w:rsid w:val="2FFEC27F"/>
    <w:rsid w:val="2FFF06DB"/>
    <w:rsid w:val="2FFFA8ED"/>
    <w:rsid w:val="2FFFD987"/>
    <w:rsid w:val="316772C3"/>
    <w:rsid w:val="317F22E6"/>
    <w:rsid w:val="319FCBF4"/>
    <w:rsid w:val="31EDDFE5"/>
    <w:rsid w:val="3253E335"/>
    <w:rsid w:val="32BD75B5"/>
    <w:rsid w:val="32BF920E"/>
    <w:rsid w:val="32D7A16F"/>
    <w:rsid w:val="32FC7274"/>
    <w:rsid w:val="33203C5A"/>
    <w:rsid w:val="3336007E"/>
    <w:rsid w:val="335D7701"/>
    <w:rsid w:val="3365741B"/>
    <w:rsid w:val="339F9B4C"/>
    <w:rsid w:val="33AE5E0B"/>
    <w:rsid w:val="33BFECA1"/>
    <w:rsid w:val="33D3B634"/>
    <w:rsid w:val="33D6341D"/>
    <w:rsid w:val="33DBE450"/>
    <w:rsid w:val="33DDE657"/>
    <w:rsid w:val="33E98174"/>
    <w:rsid w:val="33EBC346"/>
    <w:rsid w:val="33F145DD"/>
    <w:rsid w:val="33FA4634"/>
    <w:rsid w:val="33FAAAA7"/>
    <w:rsid w:val="33FCAB56"/>
    <w:rsid w:val="33FF0CC3"/>
    <w:rsid w:val="33FF9011"/>
    <w:rsid w:val="3472EB1F"/>
    <w:rsid w:val="349F6866"/>
    <w:rsid w:val="34F3CB71"/>
    <w:rsid w:val="34F73F34"/>
    <w:rsid w:val="34F77AD7"/>
    <w:rsid w:val="34F7B6DA"/>
    <w:rsid w:val="35717239"/>
    <w:rsid w:val="357C67FE"/>
    <w:rsid w:val="35AB1603"/>
    <w:rsid w:val="35BF8800"/>
    <w:rsid w:val="35CD12CF"/>
    <w:rsid w:val="35CE81BC"/>
    <w:rsid w:val="35CF3C58"/>
    <w:rsid w:val="35DCD614"/>
    <w:rsid w:val="35EE5A80"/>
    <w:rsid w:val="35FA3FF0"/>
    <w:rsid w:val="35FBC73C"/>
    <w:rsid w:val="35FD48E9"/>
    <w:rsid w:val="35FD8F77"/>
    <w:rsid w:val="35FD9D14"/>
    <w:rsid w:val="35FD9E11"/>
    <w:rsid w:val="35FDD256"/>
    <w:rsid w:val="363F6D94"/>
    <w:rsid w:val="365608EC"/>
    <w:rsid w:val="3663C7D2"/>
    <w:rsid w:val="36772FB5"/>
    <w:rsid w:val="36773C84"/>
    <w:rsid w:val="3677B9AF"/>
    <w:rsid w:val="367D2B63"/>
    <w:rsid w:val="367F99AD"/>
    <w:rsid w:val="369E4DB3"/>
    <w:rsid w:val="36ABC89F"/>
    <w:rsid w:val="36C170C6"/>
    <w:rsid w:val="36C66E7F"/>
    <w:rsid w:val="36D627E2"/>
    <w:rsid w:val="36D7FE8F"/>
    <w:rsid w:val="36DC2A6A"/>
    <w:rsid w:val="36DF15DD"/>
    <w:rsid w:val="36F4847A"/>
    <w:rsid w:val="36FEEFBC"/>
    <w:rsid w:val="36FFA007"/>
    <w:rsid w:val="36FFD105"/>
    <w:rsid w:val="3727B45A"/>
    <w:rsid w:val="372993BB"/>
    <w:rsid w:val="372C0C0A"/>
    <w:rsid w:val="372E8851"/>
    <w:rsid w:val="372FBE5B"/>
    <w:rsid w:val="3749CC7B"/>
    <w:rsid w:val="375F0CAF"/>
    <w:rsid w:val="375FB128"/>
    <w:rsid w:val="3765C495"/>
    <w:rsid w:val="376F5120"/>
    <w:rsid w:val="376FBA40"/>
    <w:rsid w:val="376FEB40"/>
    <w:rsid w:val="377D6EAF"/>
    <w:rsid w:val="379FC0D9"/>
    <w:rsid w:val="37A92478"/>
    <w:rsid w:val="37B585CA"/>
    <w:rsid w:val="37BF03A3"/>
    <w:rsid w:val="37BF7AB5"/>
    <w:rsid w:val="37BFA29F"/>
    <w:rsid w:val="37BFB24C"/>
    <w:rsid w:val="37D92858"/>
    <w:rsid w:val="37DE8B32"/>
    <w:rsid w:val="37DF1D0E"/>
    <w:rsid w:val="37DF25A0"/>
    <w:rsid w:val="37E97E0D"/>
    <w:rsid w:val="37ED9D1D"/>
    <w:rsid w:val="37EEF0AD"/>
    <w:rsid w:val="37EF4EB4"/>
    <w:rsid w:val="37EF7083"/>
    <w:rsid w:val="37EF9E99"/>
    <w:rsid w:val="37FAE825"/>
    <w:rsid w:val="37FB8166"/>
    <w:rsid w:val="37FBE80A"/>
    <w:rsid w:val="37FC7411"/>
    <w:rsid w:val="37FEA41F"/>
    <w:rsid w:val="37FF3CEE"/>
    <w:rsid w:val="37FF4C77"/>
    <w:rsid w:val="37FF6034"/>
    <w:rsid w:val="37FF699D"/>
    <w:rsid w:val="37FF914D"/>
    <w:rsid w:val="37FFF122"/>
    <w:rsid w:val="3837AD1F"/>
    <w:rsid w:val="387D935C"/>
    <w:rsid w:val="389D4D2D"/>
    <w:rsid w:val="389F6993"/>
    <w:rsid w:val="38DF34C4"/>
    <w:rsid w:val="38F49B21"/>
    <w:rsid w:val="3932D2C3"/>
    <w:rsid w:val="39355ABC"/>
    <w:rsid w:val="3967139F"/>
    <w:rsid w:val="397C3248"/>
    <w:rsid w:val="399D5039"/>
    <w:rsid w:val="39CDE72C"/>
    <w:rsid w:val="39D7C18C"/>
    <w:rsid w:val="39DFC80C"/>
    <w:rsid w:val="39E631D0"/>
    <w:rsid w:val="39F41154"/>
    <w:rsid w:val="39FC9911"/>
    <w:rsid w:val="39FF2DC2"/>
    <w:rsid w:val="39FF6FA1"/>
    <w:rsid w:val="39FFC5AA"/>
    <w:rsid w:val="39FFD0D3"/>
    <w:rsid w:val="39FFFA8F"/>
    <w:rsid w:val="3A075049"/>
    <w:rsid w:val="3A5AC66A"/>
    <w:rsid w:val="3AAD3020"/>
    <w:rsid w:val="3AAF82FD"/>
    <w:rsid w:val="3AB5112F"/>
    <w:rsid w:val="3AB5F0E0"/>
    <w:rsid w:val="3AB7FE8D"/>
    <w:rsid w:val="3AD7B923"/>
    <w:rsid w:val="3AE53E35"/>
    <w:rsid w:val="3AF3B8B6"/>
    <w:rsid w:val="3AF76342"/>
    <w:rsid w:val="3AF7D20D"/>
    <w:rsid w:val="3AFBCC54"/>
    <w:rsid w:val="3AFF51D2"/>
    <w:rsid w:val="3B4ED4C1"/>
    <w:rsid w:val="3B5C5158"/>
    <w:rsid w:val="3B6B6EC8"/>
    <w:rsid w:val="3B6D49D6"/>
    <w:rsid w:val="3B6E40BF"/>
    <w:rsid w:val="3B6FE0CF"/>
    <w:rsid w:val="3B735CD7"/>
    <w:rsid w:val="3B7D9617"/>
    <w:rsid w:val="3B7E9B58"/>
    <w:rsid w:val="3B7FD56D"/>
    <w:rsid w:val="3B7FF3E6"/>
    <w:rsid w:val="3BA7B7A0"/>
    <w:rsid w:val="3BAB16F8"/>
    <w:rsid w:val="3BB586A1"/>
    <w:rsid w:val="3BBEBED7"/>
    <w:rsid w:val="3BCBCC2A"/>
    <w:rsid w:val="3BD7D2AA"/>
    <w:rsid w:val="3BD9807F"/>
    <w:rsid w:val="3BDA3478"/>
    <w:rsid w:val="3BDBF5C2"/>
    <w:rsid w:val="3BDF05C3"/>
    <w:rsid w:val="3BDF4189"/>
    <w:rsid w:val="3BDF5C59"/>
    <w:rsid w:val="3BE62022"/>
    <w:rsid w:val="3BE64ED1"/>
    <w:rsid w:val="3BEE0CD5"/>
    <w:rsid w:val="3BEE249A"/>
    <w:rsid w:val="3BEF16C0"/>
    <w:rsid w:val="3BF34494"/>
    <w:rsid w:val="3BF36C17"/>
    <w:rsid w:val="3BF5EFF4"/>
    <w:rsid w:val="3BF7A8C5"/>
    <w:rsid w:val="3BF7C653"/>
    <w:rsid w:val="3BF928A1"/>
    <w:rsid w:val="3BFB2EAF"/>
    <w:rsid w:val="3BFBDA03"/>
    <w:rsid w:val="3BFD86CC"/>
    <w:rsid w:val="3BFDCA1A"/>
    <w:rsid w:val="3BFE9F19"/>
    <w:rsid w:val="3BFF09DC"/>
    <w:rsid w:val="3BFF5AD4"/>
    <w:rsid w:val="3BFF6DC4"/>
    <w:rsid w:val="3BFF6F0A"/>
    <w:rsid w:val="3BFF9BA6"/>
    <w:rsid w:val="3C0253C5"/>
    <w:rsid w:val="3C42130D"/>
    <w:rsid w:val="3CAFC9E0"/>
    <w:rsid w:val="3CBF2EA9"/>
    <w:rsid w:val="3CD72E16"/>
    <w:rsid w:val="3CE728D4"/>
    <w:rsid w:val="3CEFB551"/>
    <w:rsid w:val="3CF127AF"/>
    <w:rsid w:val="3CF78EDA"/>
    <w:rsid w:val="3CFBCC96"/>
    <w:rsid w:val="3CFD6CB7"/>
    <w:rsid w:val="3CFF1849"/>
    <w:rsid w:val="3D3E5903"/>
    <w:rsid w:val="3D732BAB"/>
    <w:rsid w:val="3D7461D5"/>
    <w:rsid w:val="3D75A081"/>
    <w:rsid w:val="3D77F67F"/>
    <w:rsid w:val="3D7CB550"/>
    <w:rsid w:val="3D7DC2C4"/>
    <w:rsid w:val="3D7ECD98"/>
    <w:rsid w:val="3D7F6211"/>
    <w:rsid w:val="3D9D2C2E"/>
    <w:rsid w:val="3D9EAB6D"/>
    <w:rsid w:val="3DAF31AD"/>
    <w:rsid w:val="3DB19E18"/>
    <w:rsid w:val="3DB388FC"/>
    <w:rsid w:val="3DB7AD0C"/>
    <w:rsid w:val="3DBB328C"/>
    <w:rsid w:val="3DBC5CA1"/>
    <w:rsid w:val="3DBD1482"/>
    <w:rsid w:val="3DCDB569"/>
    <w:rsid w:val="3DD0D11C"/>
    <w:rsid w:val="3DD97D43"/>
    <w:rsid w:val="3DDBDB36"/>
    <w:rsid w:val="3DDDF994"/>
    <w:rsid w:val="3DDEC8E3"/>
    <w:rsid w:val="3DDF649D"/>
    <w:rsid w:val="3DE25A96"/>
    <w:rsid w:val="3DE729EF"/>
    <w:rsid w:val="3DEA410F"/>
    <w:rsid w:val="3DECD3B0"/>
    <w:rsid w:val="3DEEC70A"/>
    <w:rsid w:val="3DEF22FF"/>
    <w:rsid w:val="3DF32DC0"/>
    <w:rsid w:val="3DF35D7A"/>
    <w:rsid w:val="3DF360E0"/>
    <w:rsid w:val="3DF37F58"/>
    <w:rsid w:val="3DF73FA4"/>
    <w:rsid w:val="3DFB2183"/>
    <w:rsid w:val="3DFDA879"/>
    <w:rsid w:val="3DFDC5E2"/>
    <w:rsid w:val="3DFF8921"/>
    <w:rsid w:val="3DFFF92D"/>
    <w:rsid w:val="3E1E3AAB"/>
    <w:rsid w:val="3E5B28DE"/>
    <w:rsid w:val="3E5B2AE7"/>
    <w:rsid w:val="3E64DA0C"/>
    <w:rsid w:val="3E734769"/>
    <w:rsid w:val="3E78A63B"/>
    <w:rsid w:val="3E795CF4"/>
    <w:rsid w:val="3E7D5AAE"/>
    <w:rsid w:val="3E7FE9D5"/>
    <w:rsid w:val="3E9FEF1D"/>
    <w:rsid w:val="3EAB0813"/>
    <w:rsid w:val="3EBDD81F"/>
    <w:rsid w:val="3EBEB846"/>
    <w:rsid w:val="3EBEC045"/>
    <w:rsid w:val="3EBF3AA6"/>
    <w:rsid w:val="3EC7976A"/>
    <w:rsid w:val="3ECA0FAD"/>
    <w:rsid w:val="3ED64A7A"/>
    <w:rsid w:val="3ED743D7"/>
    <w:rsid w:val="3ED7AE8F"/>
    <w:rsid w:val="3ED8D23A"/>
    <w:rsid w:val="3EDB6819"/>
    <w:rsid w:val="3EDBD030"/>
    <w:rsid w:val="3EDF307D"/>
    <w:rsid w:val="3EDFC269"/>
    <w:rsid w:val="3EEC50BC"/>
    <w:rsid w:val="3EED2D44"/>
    <w:rsid w:val="3EEE658E"/>
    <w:rsid w:val="3EF10E35"/>
    <w:rsid w:val="3EF13EAF"/>
    <w:rsid w:val="3EF2522C"/>
    <w:rsid w:val="3EF3F4D6"/>
    <w:rsid w:val="3EF63DB7"/>
    <w:rsid w:val="3EF7AD19"/>
    <w:rsid w:val="3EF7DD8F"/>
    <w:rsid w:val="3EF96F2D"/>
    <w:rsid w:val="3EFC372A"/>
    <w:rsid w:val="3EFD1724"/>
    <w:rsid w:val="3EFD8E11"/>
    <w:rsid w:val="3EFDB01A"/>
    <w:rsid w:val="3EFDE9EE"/>
    <w:rsid w:val="3EFF0A2F"/>
    <w:rsid w:val="3EFFA5AA"/>
    <w:rsid w:val="3F1305C1"/>
    <w:rsid w:val="3F25D36D"/>
    <w:rsid w:val="3F279A7F"/>
    <w:rsid w:val="3F35BE42"/>
    <w:rsid w:val="3F37D3C8"/>
    <w:rsid w:val="3F3B9082"/>
    <w:rsid w:val="3F3E26FB"/>
    <w:rsid w:val="3F3F27C1"/>
    <w:rsid w:val="3F3F892F"/>
    <w:rsid w:val="3F3FF94B"/>
    <w:rsid w:val="3F4D1FBD"/>
    <w:rsid w:val="3F4D3EDE"/>
    <w:rsid w:val="3F55A7EF"/>
    <w:rsid w:val="3F55EFE2"/>
    <w:rsid w:val="3F5D4E66"/>
    <w:rsid w:val="3F5EF8FC"/>
    <w:rsid w:val="3F632E87"/>
    <w:rsid w:val="3F656A54"/>
    <w:rsid w:val="3F65DE07"/>
    <w:rsid w:val="3F6B03CA"/>
    <w:rsid w:val="3F6E330A"/>
    <w:rsid w:val="3F769326"/>
    <w:rsid w:val="3F76DC18"/>
    <w:rsid w:val="3F77F69B"/>
    <w:rsid w:val="3F7C3B18"/>
    <w:rsid w:val="3F7EE6A8"/>
    <w:rsid w:val="3F7F3CAA"/>
    <w:rsid w:val="3F7F9650"/>
    <w:rsid w:val="3F94CA6E"/>
    <w:rsid w:val="3F965A39"/>
    <w:rsid w:val="3F9DF3B2"/>
    <w:rsid w:val="3F9F7A4B"/>
    <w:rsid w:val="3F9F9488"/>
    <w:rsid w:val="3F9FEFDC"/>
    <w:rsid w:val="3FAB1ECB"/>
    <w:rsid w:val="3FAF6F46"/>
    <w:rsid w:val="3FAFDDCD"/>
    <w:rsid w:val="3FB426C4"/>
    <w:rsid w:val="3FB549AF"/>
    <w:rsid w:val="3FB54B30"/>
    <w:rsid w:val="3FB6C148"/>
    <w:rsid w:val="3FB7C05E"/>
    <w:rsid w:val="3FBB4E18"/>
    <w:rsid w:val="3FBC2117"/>
    <w:rsid w:val="3FBE26D7"/>
    <w:rsid w:val="3FBECB76"/>
    <w:rsid w:val="3FBF0D32"/>
    <w:rsid w:val="3FBF0DE3"/>
    <w:rsid w:val="3FBF5F74"/>
    <w:rsid w:val="3FBFD9BD"/>
    <w:rsid w:val="3FBFE7D8"/>
    <w:rsid w:val="3FCB1D25"/>
    <w:rsid w:val="3FCD5CA5"/>
    <w:rsid w:val="3FCE16B5"/>
    <w:rsid w:val="3FCF6360"/>
    <w:rsid w:val="3FD03656"/>
    <w:rsid w:val="3FD73D1B"/>
    <w:rsid w:val="3FD7DA1A"/>
    <w:rsid w:val="3FDB21C0"/>
    <w:rsid w:val="3FDD1906"/>
    <w:rsid w:val="3FDD3101"/>
    <w:rsid w:val="3FDDDB23"/>
    <w:rsid w:val="3FDE01A2"/>
    <w:rsid w:val="3FDF37A3"/>
    <w:rsid w:val="3FDFA458"/>
    <w:rsid w:val="3FDFD2E3"/>
    <w:rsid w:val="3FE71090"/>
    <w:rsid w:val="3FE74CCB"/>
    <w:rsid w:val="3FE7E4EA"/>
    <w:rsid w:val="3FEB175A"/>
    <w:rsid w:val="3FEB628C"/>
    <w:rsid w:val="3FEB90E3"/>
    <w:rsid w:val="3FEB9B37"/>
    <w:rsid w:val="3FEBFC45"/>
    <w:rsid w:val="3FEC0611"/>
    <w:rsid w:val="3FEF27AD"/>
    <w:rsid w:val="3FEF9435"/>
    <w:rsid w:val="3FEF9840"/>
    <w:rsid w:val="3FF30575"/>
    <w:rsid w:val="3FF326CD"/>
    <w:rsid w:val="3FF34C48"/>
    <w:rsid w:val="3FF62AD9"/>
    <w:rsid w:val="3FF6D19C"/>
    <w:rsid w:val="3FF70CBF"/>
    <w:rsid w:val="3FF7304F"/>
    <w:rsid w:val="3FF73191"/>
    <w:rsid w:val="3FF74E0F"/>
    <w:rsid w:val="3FF77C71"/>
    <w:rsid w:val="3FF786A8"/>
    <w:rsid w:val="3FF88EDE"/>
    <w:rsid w:val="3FF9AA69"/>
    <w:rsid w:val="3FFA8250"/>
    <w:rsid w:val="3FFB7B68"/>
    <w:rsid w:val="3FFB9C00"/>
    <w:rsid w:val="3FFBC2B1"/>
    <w:rsid w:val="3FFBD47B"/>
    <w:rsid w:val="3FFBDF49"/>
    <w:rsid w:val="3FFBF1ED"/>
    <w:rsid w:val="3FFD3992"/>
    <w:rsid w:val="3FFD6806"/>
    <w:rsid w:val="3FFDA622"/>
    <w:rsid w:val="3FFDBC2A"/>
    <w:rsid w:val="3FFDC3DE"/>
    <w:rsid w:val="3FFDF843"/>
    <w:rsid w:val="3FFE160F"/>
    <w:rsid w:val="3FFE1D8B"/>
    <w:rsid w:val="3FFE54BB"/>
    <w:rsid w:val="3FFE6AD6"/>
    <w:rsid w:val="3FFE84C4"/>
    <w:rsid w:val="3FFE942F"/>
    <w:rsid w:val="3FFEC207"/>
    <w:rsid w:val="3FFF12A2"/>
    <w:rsid w:val="3FFF2C9B"/>
    <w:rsid w:val="3FFF335F"/>
    <w:rsid w:val="3FFF5401"/>
    <w:rsid w:val="3FFF572D"/>
    <w:rsid w:val="3FFF67F5"/>
    <w:rsid w:val="3FFF92B3"/>
    <w:rsid w:val="3FFF9408"/>
    <w:rsid w:val="3FFFAB88"/>
    <w:rsid w:val="3FFFADA4"/>
    <w:rsid w:val="3FFFAF7F"/>
    <w:rsid w:val="3FFFD1DA"/>
    <w:rsid w:val="3FFFD73B"/>
    <w:rsid w:val="3FFFD783"/>
    <w:rsid w:val="3FFFD8BF"/>
    <w:rsid w:val="3FFFDAF3"/>
    <w:rsid w:val="3FFFF663"/>
    <w:rsid w:val="3FFFFA47"/>
    <w:rsid w:val="404D423C"/>
    <w:rsid w:val="4057F44D"/>
    <w:rsid w:val="40EB4CD8"/>
    <w:rsid w:val="410578B4"/>
    <w:rsid w:val="416F897B"/>
    <w:rsid w:val="417D41EB"/>
    <w:rsid w:val="41FF0FBF"/>
    <w:rsid w:val="42201C8C"/>
    <w:rsid w:val="422932ED"/>
    <w:rsid w:val="423F2646"/>
    <w:rsid w:val="42C622A5"/>
    <w:rsid w:val="42DF8FE7"/>
    <w:rsid w:val="433B9724"/>
    <w:rsid w:val="435DECF3"/>
    <w:rsid w:val="437B7A76"/>
    <w:rsid w:val="437FBE79"/>
    <w:rsid w:val="439AF4CF"/>
    <w:rsid w:val="43DEBB6D"/>
    <w:rsid w:val="43F9614E"/>
    <w:rsid w:val="445605DA"/>
    <w:rsid w:val="447A3FE5"/>
    <w:rsid w:val="44E70F26"/>
    <w:rsid w:val="45BEE3C4"/>
    <w:rsid w:val="45F4F9D7"/>
    <w:rsid w:val="45FF321C"/>
    <w:rsid w:val="46F7D462"/>
    <w:rsid w:val="47357F8A"/>
    <w:rsid w:val="474D2B4E"/>
    <w:rsid w:val="476710A3"/>
    <w:rsid w:val="4773E6E3"/>
    <w:rsid w:val="47BD881A"/>
    <w:rsid w:val="47DF621D"/>
    <w:rsid w:val="47E381D7"/>
    <w:rsid w:val="47FE51A8"/>
    <w:rsid w:val="47FF6308"/>
    <w:rsid w:val="48513B13"/>
    <w:rsid w:val="48565DF2"/>
    <w:rsid w:val="491F5EC6"/>
    <w:rsid w:val="49780EAD"/>
    <w:rsid w:val="497F2A16"/>
    <w:rsid w:val="497FC6CD"/>
    <w:rsid w:val="499785E0"/>
    <w:rsid w:val="49B7834F"/>
    <w:rsid w:val="49B7B24F"/>
    <w:rsid w:val="49B825D5"/>
    <w:rsid w:val="49EF30D5"/>
    <w:rsid w:val="49FEC159"/>
    <w:rsid w:val="4AE8511F"/>
    <w:rsid w:val="4AFFC027"/>
    <w:rsid w:val="4B3ACE69"/>
    <w:rsid w:val="4B6B06B7"/>
    <w:rsid w:val="4B7B1661"/>
    <w:rsid w:val="4B8B5AF7"/>
    <w:rsid w:val="4B8F49CA"/>
    <w:rsid w:val="4B9E23D7"/>
    <w:rsid w:val="4BB2A59A"/>
    <w:rsid w:val="4BBFD968"/>
    <w:rsid w:val="4BF7496F"/>
    <w:rsid w:val="4BF7AE88"/>
    <w:rsid w:val="4BF7B159"/>
    <w:rsid w:val="4BFE725C"/>
    <w:rsid w:val="4BFFF9C7"/>
    <w:rsid w:val="4C4345C8"/>
    <w:rsid w:val="4C485415"/>
    <w:rsid w:val="4C536802"/>
    <w:rsid w:val="4C650899"/>
    <w:rsid w:val="4CDF1DAD"/>
    <w:rsid w:val="4CDF4617"/>
    <w:rsid w:val="4CFF4AE6"/>
    <w:rsid w:val="4D737707"/>
    <w:rsid w:val="4D7E4897"/>
    <w:rsid w:val="4D7E90EE"/>
    <w:rsid w:val="4D7EBA0C"/>
    <w:rsid w:val="4DA1BB7A"/>
    <w:rsid w:val="4DBD55A4"/>
    <w:rsid w:val="4DCBEE37"/>
    <w:rsid w:val="4DF30E0B"/>
    <w:rsid w:val="4DF3DF1C"/>
    <w:rsid w:val="4DF7EE6E"/>
    <w:rsid w:val="4DFBEEA7"/>
    <w:rsid w:val="4DFCD917"/>
    <w:rsid w:val="4DFFECDB"/>
    <w:rsid w:val="4E3DB173"/>
    <w:rsid w:val="4E66927B"/>
    <w:rsid w:val="4E7D9420"/>
    <w:rsid w:val="4E7F02A6"/>
    <w:rsid w:val="4E7FD3BF"/>
    <w:rsid w:val="4E9DA75E"/>
    <w:rsid w:val="4EAEEA64"/>
    <w:rsid w:val="4EBB0A89"/>
    <w:rsid w:val="4EBFAEFC"/>
    <w:rsid w:val="4EBFD656"/>
    <w:rsid w:val="4EDD49DB"/>
    <w:rsid w:val="4EDF1B96"/>
    <w:rsid w:val="4EE694D0"/>
    <w:rsid w:val="4EFB6AAA"/>
    <w:rsid w:val="4EFFC9E3"/>
    <w:rsid w:val="4F1B13EE"/>
    <w:rsid w:val="4F3D6713"/>
    <w:rsid w:val="4F3DCA7F"/>
    <w:rsid w:val="4F57D68C"/>
    <w:rsid w:val="4F5F1EE7"/>
    <w:rsid w:val="4F6FAA73"/>
    <w:rsid w:val="4F6FEB47"/>
    <w:rsid w:val="4F754E8E"/>
    <w:rsid w:val="4F7E21A0"/>
    <w:rsid w:val="4F7EA9F2"/>
    <w:rsid w:val="4F7FF426"/>
    <w:rsid w:val="4F7FFAFB"/>
    <w:rsid w:val="4F8674C2"/>
    <w:rsid w:val="4F8CF282"/>
    <w:rsid w:val="4F8F2E1C"/>
    <w:rsid w:val="4F907895"/>
    <w:rsid w:val="4FA5B0FB"/>
    <w:rsid w:val="4FADD061"/>
    <w:rsid w:val="4FB3DB74"/>
    <w:rsid w:val="4FB42E80"/>
    <w:rsid w:val="4FB6B939"/>
    <w:rsid w:val="4FBA5042"/>
    <w:rsid w:val="4FBB0B04"/>
    <w:rsid w:val="4FBBDA2B"/>
    <w:rsid w:val="4FBF8C05"/>
    <w:rsid w:val="4FD725DF"/>
    <w:rsid w:val="4FDD66D9"/>
    <w:rsid w:val="4FDF80E5"/>
    <w:rsid w:val="4FE46CC0"/>
    <w:rsid w:val="4FE90C18"/>
    <w:rsid w:val="4FEA69E1"/>
    <w:rsid w:val="4FED9610"/>
    <w:rsid w:val="4FEDB0CE"/>
    <w:rsid w:val="4FEF308C"/>
    <w:rsid w:val="4FF2E61A"/>
    <w:rsid w:val="4FF51701"/>
    <w:rsid w:val="4FF75B07"/>
    <w:rsid w:val="4FF78A4E"/>
    <w:rsid w:val="4FF78D14"/>
    <w:rsid w:val="4FF7BE20"/>
    <w:rsid w:val="4FFA73B9"/>
    <w:rsid w:val="4FFB0C3B"/>
    <w:rsid w:val="4FFE7F55"/>
    <w:rsid w:val="4FFE99E5"/>
    <w:rsid w:val="4FFEA57F"/>
    <w:rsid w:val="4FFEB79D"/>
    <w:rsid w:val="4FFF3AA6"/>
    <w:rsid w:val="4FFF577C"/>
    <w:rsid w:val="4FFF5867"/>
    <w:rsid w:val="4FFF8930"/>
    <w:rsid w:val="4FFFA616"/>
    <w:rsid w:val="50596486"/>
    <w:rsid w:val="505F4317"/>
    <w:rsid w:val="50642301"/>
    <w:rsid w:val="50D54272"/>
    <w:rsid w:val="5175B102"/>
    <w:rsid w:val="517B9615"/>
    <w:rsid w:val="51EF621C"/>
    <w:rsid w:val="51EFD413"/>
    <w:rsid w:val="51F738EC"/>
    <w:rsid w:val="52A7F789"/>
    <w:rsid w:val="52B7EEE4"/>
    <w:rsid w:val="52EB158E"/>
    <w:rsid w:val="52ED9737"/>
    <w:rsid w:val="52F33D9A"/>
    <w:rsid w:val="52FD8EA5"/>
    <w:rsid w:val="533F33D4"/>
    <w:rsid w:val="533FDFB1"/>
    <w:rsid w:val="534772D1"/>
    <w:rsid w:val="537F0E61"/>
    <w:rsid w:val="53D708F7"/>
    <w:rsid w:val="53D76764"/>
    <w:rsid w:val="53D7AB6E"/>
    <w:rsid w:val="53E932F0"/>
    <w:rsid w:val="53F6548B"/>
    <w:rsid w:val="53FB73DD"/>
    <w:rsid w:val="53FD2077"/>
    <w:rsid w:val="53FF2593"/>
    <w:rsid w:val="53FFC1F6"/>
    <w:rsid w:val="5476B4F6"/>
    <w:rsid w:val="548F7A05"/>
    <w:rsid w:val="54DA11DC"/>
    <w:rsid w:val="54DF1C55"/>
    <w:rsid w:val="54DF77C9"/>
    <w:rsid w:val="54EEF83F"/>
    <w:rsid w:val="54F713BA"/>
    <w:rsid w:val="5501407C"/>
    <w:rsid w:val="55654D7F"/>
    <w:rsid w:val="55655179"/>
    <w:rsid w:val="557F63BF"/>
    <w:rsid w:val="55B3ACAE"/>
    <w:rsid w:val="55BE2A22"/>
    <w:rsid w:val="55BFA105"/>
    <w:rsid w:val="55DB37F9"/>
    <w:rsid w:val="55ECBAB2"/>
    <w:rsid w:val="55F5219B"/>
    <w:rsid w:val="55F557A8"/>
    <w:rsid w:val="55FE02B1"/>
    <w:rsid w:val="55FF62B1"/>
    <w:rsid w:val="55FFB5E8"/>
    <w:rsid w:val="567BE53E"/>
    <w:rsid w:val="5692058F"/>
    <w:rsid w:val="5699DEFD"/>
    <w:rsid w:val="569AF72A"/>
    <w:rsid w:val="56AF61C0"/>
    <w:rsid w:val="56BF0CF7"/>
    <w:rsid w:val="56CD726A"/>
    <w:rsid w:val="56CF0EA5"/>
    <w:rsid w:val="56D70AF9"/>
    <w:rsid w:val="56DFB589"/>
    <w:rsid w:val="56E651D5"/>
    <w:rsid w:val="56EE6F6B"/>
    <w:rsid w:val="56EEBD73"/>
    <w:rsid w:val="56FA15DE"/>
    <w:rsid w:val="56FB35D6"/>
    <w:rsid w:val="56FF6F8E"/>
    <w:rsid w:val="570DDBEE"/>
    <w:rsid w:val="571FB61D"/>
    <w:rsid w:val="572BD0D0"/>
    <w:rsid w:val="573F0B4C"/>
    <w:rsid w:val="573FD9C2"/>
    <w:rsid w:val="575DFD67"/>
    <w:rsid w:val="575E811F"/>
    <w:rsid w:val="5766754B"/>
    <w:rsid w:val="57673201"/>
    <w:rsid w:val="576DB1D8"/>
    <w:rsid w:val="576F16DE"/>
    <w:rsid w:val="5771EA18"/>
    <w:rsid w:val="57721644"/>
    <w:rsid w:val="577D2EDF"/>
    <w:rsid w:val="577EDFA7"/>
    <w:rsid w:val="579D2317"/>
    <w:rsid w:val="579F62BE"/>
    <w:rsid w:val="57AEFA38"/>
    <w:rsid w:val="57AFE685"/>
    <w:rsid w:val="57B7C403"/>
    <w:rsid w:val="57B9D4F9"/>
    <w:rsid w:val="57BD1942"/>
    <w:rsid w:val="57BD3DB4"/>
    <w:rsid w:val="57BD6D1A"/>
    <w:rsid w:val="57BF07BC"/>
    <w:rsid w:val="57BF8229"/>
    <w:rsid w:val="57BFF98B"/>
    <w:rsid w:val="57CA13B5"/>
    <w:rsid w:val="57D5BF6B"/>
    <w:rsid w:val="57D61665"/>
    <w:rsid w:val="57D743F6"/>
    <w:rsid w:val="57D919A4"/>
    <w:rsid w:val="57DA34F4"/>
    <w:rsid w:val="57DD4503"/>
    <w:rsid w:val="57DF584C"/>
    <w:rsid w:val="57DFC69C"/>
    <w:rsid w:val="57E5D51C"/>
    <w:rsid w:val="57E7015D"/>
    <w:rsid w:val="57EA3518"/>
    <w:rsid w:val="57EEEE5A"/>
    <w:rsid w:val="57EF189A"/>
    <w:rsid w:val="57F5C3D2"/>
    <w:rsid w:val="57F72358"/>
    <w:rsid w:val="57F7B5D8"/>
    <w:rsid w:val="57F7FF37"/>
    <w:rsid w:val="57F9C6E1"/>
    <w:rsid w:val="57FB35AD"/>
    <w:rsid w:val="57FBBD62"/>
    <w:rsid w:val="57FBF4C4"/>
    <w:rsid w:val="57FDBDF0"/>
    <w:rsid w:val="57FE074D"/>
    <w:rsid w:val="57FE23F7"/>
    <w:rsid w:val="57FF4A0A"/>
    <w:rsid w:val="57FF8684"/>
    <w:rsid w:val="586D841D"/>
    <w:rsid w:val="589E5B8E"/>
    <w:rsid w:val="58CF0F35"/>
    <w:rsid w:val="58FFAE80"/>
    <w:rsid w:val="5905EDBE"/>
    <w:rsid w:val="592B1BC1"/>
    <w:rsid w:val="59581F43"/>
    <w:rsid w:val="595F2417"/>
    <w:rsid w:val="598B3860"/>
    <w:rsid w:val="59C70C18"/>
    <w:rsid w:val="59CEFF68"/>
    <w:rsid w:val="59DD5BFE"/>
    <w:rsid w:val="59E55EFA"/>
    <w:rsid w:val="59FB0E63"/>
    <w:rsid w:val="59FDA9F2"/>
    <w:rsid w:val="5A2FB1B7"/>
    <w:rsid w:val="5A3BB013"/>
    <w:rsid w:val="5A7476F4"/>
    <w:rsid w:val="5AB6473F"/>
    <w:rsid w:val="5ABFC915"/>
    <w:rsid w:val="5AD5873D"/>
    <w:rsid w:val="5ADD1794"/>
    <w:rsid w:val="5ADFA2A2"/>
    <w:rsid w:val="5AE7C645"/>
    <w:rsid w:val="5AE7DA38"/>
    <w:rsid w:val="5AEF76C6"/>
    <w:rsid w:val="5AF70533"/>
    <w:rsid w:val="5AFDB159"/>
    <w:rsid w:val="5B5B10EA"/>
    <w:rsid w:val="5B755EA0"/>
    <w:rsid w:val="5B778AA8"/>
    <w:rsid w:val="5B77A37C"/>
    <w:rsid w:val="5B7F07FC"/>
    <w:rsid w:val="5B7F33E2"/>
    <w:rsid w:val="5B7F532B"/>
    <w:rsid w:val="5B8B2D87"/>
    <w:rsid w:val="5B9D5B80"/>
    <w:rsid w:val="5BA97505"/>
    <w:rsid w:val="5BB766C6"/>
    <w:rsid w:val="5BBBCADF"/>
    <w:rsid w:val="5BBF2E69"/>
    <w:rsid w:val="5BCFA394"/>
    <w:rsid w:val="5BDE45EE"/>
    <w:rsid w:val="5BDE684B"/>
    <w:rsid w:val="5BDE6B8D"/>
    <w:rsid w:val="5BDF3AFB"/>
    <w:rsid w:val="5BEA4981"/>
    <w:rsid w:val="5BEAA385"/>
    <w:rsid w:val="5BEDCD0E"/>
    <w:rsid w:val="5BEFD992"/>
    <w:rsid w:val="5BF28549"/>
    <w:rsid w:val="5BF291E0"/>
    <w:rsid w:val="5BF2EB57"/>
    <w:rsid w:val="5BF5646F"/>
    <w:rsid w:val="5BF6FFD7"/>
    <w:rsid w:val="5BF700AE"/>
    <w:rsid w:val="5BF72556"/>
    <w:rsid w:val="5BF75674"/>
    <w:rsid w:val="5BF9AAF5"/>
    <w:rsid w:val="5BFA0C41"/>
    <w:rsid w:val="5BFE0C96"/>
    <w:rsid w:val="5BFE1173"/>
    <w:rsid w:val="5BFE9D5F"/>
    <w:rsid w:val="5BFF0DFA"/>
    <w:rsid w:val="5BFF6102"/>
    <w:rsid w:val="5BFF6DE5"/>
    <w:rsid w:val="5BFF7DC8"/>
    <w:rsid w:val="5C1E4387"/>
    <w:rsid w:val="5C674745"/>
    <w:rsid w:val="5C6B1989"/>
    <w:rsid w:val="5C70F7F6"/>
    <w:rsid w:val="5C7F0AFD"/>
    <w:rsid w:val="5C8DF393"/>
    <w:rsid w:val="5CBFEB81"/>
    <w:rsid w:val="5CDEE04F"/>
    <w:rsid w:val="5CDFC750"/>
    <w:rsid w:val="5CEFA0A2"/>
    <w:rsid w:val="5CF7EA0D"/>
    <w:rsid w:val="5CFBA6B1"/>
    <w:rsid w:val="5CFDA970"/>
    <w:rsid w:val="5CFF3704"/>
    <w:rsid w:val="5CFF4320"/>
    <w:rsid w:val="5D0222A5"/>
    <w:rsid w:val="5D17538A"/>
    <w:rsid w:val="5D19EE2B"/>
    <w:rsid w:val="5D2F45A9"/>
    <w:rsid w:val="5D3F5311"/>
    <w:rsid w:val="5D7548CA"/>
    <w:rsid w:val="5D755B42"/>
    <w:rsid w:val="5D762DD1"/>
    <w:rsid w:val="5D775E8A"/>
    <w:rsid w:val="5D77F47F"/>
    <w:rsid w:val="5D7B24AA"/>
    <w:rsid w:val="5D7DFF17"/>
    <w:rsid w:val="5D7FBEF6"/>
    <w:rsid w:val="5D976A2F"/>
    <w:rsid w:val="5D97C763"/>
    <w:rsid w:val="5DA3B221"/>
    <w:rsid w:val="5DAD10C9"/>
    <w:rsid w:val="5DAFE196"/>
    <w:rsid w:val="5DB98DF3"/>
    <w:rsid w:val="5DBB6561"/>
    <w:rsid w:val="5DBD4B9F"/>
    <w:rsid w:val="5DBD6022"/>
    <w:rsid w:val="5DBF1186"/>
    <w:rsid w:val="5DBF80FB"/>
    <w:rsid w:val="5DD31723"/>
    <w:rsid w:val="5DD4ACFC"/>
    <w:rsid w:val="5DD60D0D"/>
    <w:rsid w:val="5DD6A81A"/>
    <w:rsid w:val="5DD90167"/>
    <w:rsid w:val="5DDB41FE"/>
    <w:rsid w:val="5DDC74B7"/>
    <w:rsid w:val="5DDDC1C6"/>
    <w:rsid w:val="5DDEC324"/>
    <w:rsid w:val="5DDF6BB8"/>
    <w:rsid w:val="5DDFE2C8"/>
    <w:rsid w:val="5DE38623"/>
    <w:rsid w:val="5DE40570"/>
    <w:rsid w:val="5DE793BD"/>
    <w:rsid w:val="5DEA3085"/>
    <w:rsid w:val="5DEBE596"/>
    <w:rsid w:val="5DEF2581"/>
    <w:rsid w:val="5DEF3D94"/>
    <w:rsid w:val="5DEF5570"/>
    <w:rsid w:val="5DEFC82E"/>
    <w:rsid w:val="5DF6C785"/>
    <w:rsid w:val="5DF70582"/>
    <w:rsid w:val="5DF7080C"/>
    <w:rsid w:val="5DF7DE9B"/>
    <w:rsid w:val="5DFA06F7"/>
    <w:rsid w:val="5DFAB190"/>
    <w:rsid w:val="5DFBF310"/>
    <w:rsid w:val="5DFCD627"/>
    <w:rsid w:val="5DFDD4A8"/>
    <w:rsid w:val="5DFE8407"/>
    <w:rsid w:val="5DFEAEDC"/>
    <w:rsid w:val="5DFF2EEA"/>
    <w:rsid w:val="5DFF74BA"/>
    <w:rsid w:val="5E406534"/>
    <w:rsid w:val="5E4D0659"/>
    <w:rsid w:val="5E5F553F"/>
    <w:rsid w:val="5E6BF2D8"/>
    <w:rsid w:val="5E6D915E"/>
    <w:rsid w:val="5E71DE1B"/>
    <w:rsid w:val="5E7AA173"/>
    <w:rsid w:val="5E7D9E32"/>
    <w:rsid w:val="5E7FC11D"/>
    <w:rsid w:val="5E8FBC01"/>
    <w:rsid w:val="5E9ECE71"/>
    <w:rsid w:val="5E9F0A28"/>
    <w:rsid w:val="5E9F7D59"/>
    <w:rsid w:val="5EA30806"/>
    <w:rsid w:val="5EAFFBDA"/>
    <w:rsid w:val="5EBA7E34"/>
    <w:rsid w:val="5EBBC965"/>
    <w:rsid w:val="5EBF8E28"/>
    <w:rsid w:val="5EC7698C"/>
    <w:rsid w:val="5EC7937F"/>
    <w:rsid w:val="5ED29D17"/>
    <w:rsid w:val="5ED577F4"/>
    <w:rsid w:val="5ED75E91"/>
    <w:rsid w:val="5ED7D57B"/>
    <w:rsid w:val="5EDF3521"/>
    <w:rsid w:val="5EDFE3D3"/>
    <w:rsid w:val="5EE7BDA2"/>
    <w:rsid w:val="5EE7C35D"/>
    <w:rsid w:val="5EEBDC5F"/>
    <w:rsid w:val="5EEE9027"/>
    <w:rsid w:val="5EEEBE6C"/>
    <w:rsid w:val="5EF32B3C"/>
    <w:rsid w:val="5EF3D828"/>
    <w:rsid w:val="5EFA8F48"/>
    <w:rsid w:val="5EFAACBC"/>
    <w:rsid w:val="5EFB0403"/>
    <w:rsid w:val="5EFC8799"/>
    <w:rsid w:val="5EFCFEE7"/>
    <w:rsid w:val="5EFD502A"/>
    <w:rsid w:val="5EFD97C1"/>
    <w:rsid w:val="5EFF353A"/>
    <w:rsid w:val="5EFF484F"/>
    <w:rsid w:val="5EFF558A"/>
    <w:rsid w:val="5EFFFE0A"/>
    <w:rsid w:val="5F0FE208"/>
    <w:rsid w:val="5F133E67"/>
    <w:rsid w:val="5F1F26FB"/>
    <w:rsid w:val="5F279850"/>
    <w:rsid w:val="5F2D772C"/>
    <w:rsid w:val="5F2F87D8"/>
    <w:rsid w:val="5F39DBFA"/>
    <w:rsid w:val="5F4DEB4F"/>
    <w:rsid w:val="5F531E17"/>
    <w:rsid w:val="5F57EAC9"/>
    <w:rsid w:val="5F5C8F93"/>
    <w:rsid w:val="5F5D4FEC"/>
    <w:rsid w:val="5F5D5A4F"/>
    <w:rsid w:val="5F5E4A41"/>
    <w:rsid w:val="5F5FCFE7"/>
    <w:rsid w:val="5F5FED6A"/>
    <w:rsid w:val="5F61028D"/>
    <w:rsid w:val="5F66CEA4"/>
    <w:rsid w:val="5F672940"/>
    <w:rsid w:val="5F67BFF6"/>
    <w:rsid w:val="5F6ABF8E"/>
    <w:rsid w:val="5F6B3A5C"/>
    <w:rsid w:val="5F6DE69C"/>
    <w:rsid w:val="5F6F0613"/>
    <w:rsid w:val="5F75680B"/>
    <w:rsid w:val="5F76622C"/>
    <w:rsid w:val="5F774D54"/>
    <w:rsid w:val="5F77E1A1"/>
    <w:rsid w:val="5F7CA90E"/>
    <w:rsid w:val="5F7D78A3"/>
    <w:rsid w:val="5F7F370C"/>
    <w:rsid w:val="5F7F774E"/>
    <w:rsid w:val="5F7FCFC5"/>
    <w:rsid w:val="5F7FD2C1"/>
    <w:rsid w:val="5F8F8A8D"/>
    <w:rsid w:val="5F97364A"/>
    <w:rsid w:val="5F99CA0B"/>
    <w:rsid w:val="5F9EF76E"/>
    <w:rsid w:val="5F9F88DA"/>
    <w:rsid w:val="5FA3AF2A"/>
    <w:rsid w:val="5FA76FF7"/>
    <w:rsid w:val="5FAB3455"/>
    <w:rsid w:val="5FAD8922"/>
    <w:rsid w:val="5FAFB62F"/>
    <w:rsid w:val="5FB1440A"/>
    <w:rsid w:val="5FB3549E"/>
    <w:rsid w:val="5FB7287C"/>
    <w:rsid w:val="5FB77F74"/>
    <w:rsid w:val="5FBB3A13"/>
    <w:rsid w:val="5FBB4B96"/>
    <w:rsid w:val="5FBDFEB3"/>
    <w:rsid w:val="5FBF1B60"/>
    <w:rsid w:val="5FBF47BD"/>
    <w:rsid w:val="5FBF587B"/>
    <w:rsid w:val="5FBFA280"/>
    <w:rsid w:val="5FBFE399"/>
    <w:rsid w:val="5FC78D73"/>
    <w:rsid w:val="5FCECE3B"/>
    <w:rsid w:val="5FCF8966"/>
    <w:rsid w:val="5FD33C72"/>
    <w:rsid w:val="5FD50CCB"/>
    <w:rsid w:val="5FD6E2FF"/>
    <w:rsid w:val="5FD9E5BD"/>
    <w:rsid w:val="5FDAC8CC"/>
    <w:rsid w:val="5FDB583B"/>
    <w:rsid w:val="5FDB6EA7"/>
    <w:rsid w:val="5FDC407A"/>
    <w:rsid w:val="5FDCF718"/>
    <w:rsid w:val="5FDD33A6"/>
    <w:rsid w:val="5FDD3729"/>
    <w:rsid w:val="5FDDD4B6"/>
    <w:rsid w:val="5FDDE69F"/>
    <w:rsid w:val="5FDF48E0"/>
    <w:rsid w:val="5FDF4C3D"/>
    <w:rsid w:val="5FDF5A46"/>
    <w:rsid w:val="5FDFADD9"/>
    <w:rsid w:val="5FDFC3B8"/>
    <w:rsid w:val="5FE00369"/>
    <w:rsid w:val="5FE31203"/>
    <w:rsid w:val="5FE5019B"/>
    <w:rsid w:val="5FE67E2B"/>
    <w:rsid w:val="5FE69785"/>
    <w:rsid w:val="5FE726F9"/>
    <w:rsid w:val="5FE9F382"/>
    <w:rsid w:val="5FE9F61A"/>
    <w:rsid w:val="5FE9FFF4"/>
    <w:rsid w:val="5FEADB31"/>
    <w:rsid w:val="5FEB0E99"/>
    <w:rsid w:val="5FEB9B21"/>
    <w:rsid w:val="5FEE7098"/>
    <w:rsid w:val="5FEED1AB"/>
    <w:rsid w:val="5FEF2F5B"/>
    <w:rsid w:val="5FEF6DCE"/>
    <w:rsid w:val="5FEF7964"/>
    <w:rsid w:val="5FEF9F10"/>
    <w:rsid w:val="5FEFD230"/>
    <w:rsid w:val="5FF14660"/>
    <w:rsid w:val="5FF176DF"/>
    <w:rsid w:val="5FF2C8BF"/>
    <w:rsid w:val="5FF6C56A"/>
    <w:rsid w:val="5FF72AF3"/>
    <w:rsid w:val="5FF77260"/>
    <w:rsid w:val="5FF7824F"/>
    <w:rsid w:val="5FF7A579"/>
    <w:rsid w:val="5FF7BF7C"/>
    <w:rsid w:val="5FF99C58"/>
    <w:rsid w:val="5FF9B628"/>
    <w:rsid w:val="5FF9DF8B"/>
    <w:rsid w:val="5FFA6B3B"/>
    <w:rsid w:val="5FFB162D"/>
    <w:rsid w:val="5FFB96BC"/>
    <w:rsid w:val="5FFBD59D"/>
    <w:rsid w:val="5FFBF7B0"/>
    <w:rsid w:val="5FFBF9E3"/>
    <w:rsid w:val="5FFC793C"/>
    <w:rsid w:val="5FFDA0CF"/>
    <w:rsid w:val="5FFDD334"/>
    <w:rsid w:val="5FFDF119"/>
    <w:rsid w:val="5FFEDB28"/>
    <w:rsid w:val="5FFF0379"/>
    <w:rsid w:val="5FFF07F5"/>
    <w:rsid w:val="5FFF137A"/>
    <w:rsid w:val="5FFF1777"/>
    <w:rsid w:val="5FFF1FC0"/>
    <w:rsid w:val="5FFF1FDF"/>
    <w:rsid w:val="5FFF28D5"/>
    <w:rsid w:val="5FFF2A7B"/>
    <w:rsid w:val="5FFF5480"/>
    <w:rsid w:val="5FFF5C4C"/>
    <w:rsid w:val="5FFF87BD"/>
    <w:rsid w:val="5FFF97E1"/>
    <w:rsid w:val="5FFFAC8E"/>
    <w:rsid w:val="5FFFAEE1"/>
    <w:rsid w:val="5FFFD859"/>
    <w:rsid w:val="60B9DA66"/>
    <w:rsid w:val="617F0C70"/>
    <w:rsid w:val="61874AB2"/>
    <w:rsid w:val="619DB1C5"/>
    <w:rsid w:val="61A176A3"/>
    <w:rsid w:val="61AFFCDA"/>
    <w:rsid w:val="61BEDF3E"/>
    <w:rsid w:val="61E3BDAC"/>
    <w:rsid w:val="61FBA19B"/>
    <w:rsid w:val="61FF3537"/>
    <w:rsid w:val="626FE037"/>
    <w:rsid w:val="627DD305"/>
    <w:rsid w:val="627EA9C1"/>
    <w:rsid w:val="62B83281"/>
    <w:rsid w:val="62EBE821"/>
    <w:rsid w:val="62FDE38D"/>
    <w:rsid w:val="63763028"/>
    <w:rsid w:val="638D5BE1"/>
    <w:rsid w:val="63B70949"/>
    <w:rsid w:val="63C64E56"/>
    <w:rsid w:val="63CB5A0E"/>
    <w:rsid w:val="63CE160A"/>
    <w:rsid w:val="63D3A6C3"/>
    <w:rsid w:val="63EA1C82"/>
    <w:rsid w:val="63EBE0E9"/>
    <w:rsid w:val="63ED553C"/>
    <w:rsid w:val="63ED964A"/>
    <w:rsid w:val="63F53C7F"/>
    <w:rsid w:val="63F699B1"/>
    <w:rsid w:val="63FC1DE9"/>
    <w:rsid w:val="63FE3191"/>
    <w:rsid w:val="63FF2559"/>
    <w:rsid w:val="63FF9A43"/>
    <w:rsid w:val="64875310"/>
    <w:rsid w:val="648FCF41"/>
    <w:rsid w:val="64BE4435"/>
    <w:rsid w:val="64C900D9"/>
    <w:rsid w:val="657EF2A0"/>
    <w:rsid w:val="657F7DBC"/>
    <w:rsid w:val="659E3BFB"/>
    <w:rsid w:val="65BBE402"/>
    <w:rsid w:val="65DA292A"/>
    <w:rsid w:val="65DDAF2F"/>
    <w:rsid w:val="65DE4FA3"/>
    <w:rsid w:val="65DE8966"/>
    <w:rsid w:val="65ECFE1A"/>
    <w:rsid w:val="65EF69DC"/>
    <w:rsid w:val="65F06E86"/>
    <w:rsid w:val="65FAE592"/>
    <w:rsid w:val="65FD2A8B"/>
    <w:rsid w:val="65FD5A40"/>
    <w:rsid w:val="65FEB834"/>
    <w:rsid w:val="65FF4CDF"/>
    <w:rsid w:val="65FFFDF9"/>
    <w:rsid w:val="663F142A"/>
    <w:rsid w:val="6673E2F1"/>
    <w:rsid w:val="66757192"/>
    <w:rsid w:val="667E8759"/>
    <w:rsid w:val="66BD5043"/>
    <w:rsid w:val="66BE5F73"/>
    <w:rsid w:val="66DB45B8"/>
    <w:rsid w:val="66DC0555"/>
    <w:rsid w:val="66DF582A"/>
    <w:rsid w:val="66ED2709"/>
    <w:rsid w:val="66EF4DEC"/>
    <w:rsid w:val="66EFA5AC"/>
    <w:rsid w:val="66F71541"/>
    <w:rsid w:val="66FF8EE0"/>
    <w:rsid w:val="66FFF138"/>
    <w:rsid w:val="67176622"/>
    <w:rsid w:val="6733168E"/>
    <w:rsid w:val="673CBA76"/>
    <w:rsid w:val="673E557E"/>
    <w:rsid w:val="67579791"/>
    <w:rsid w:val="67579D97"/>
    <w:rsid w:val="675F9020"/>
    <w:rsid w:val="676A61A2"/>
    <w:rsid w:val="676F1F81"/>
    <w:rsid w:val="6775F007"/>
    <w:rsid w:val="67767672"/>
    <w:rsid w:val="677F452B"/>
    <w:rsid w:val="677F95F7"/>
    <w:rsid w:val="67A9EFA0"/>
    <w:rsid w:val="67AAF7D6"/>
    <w:rsid w:val="67BC98DB"/>
    <w:rsid w:val="67BFBA37"/>
    <w:rsid w:val="67BFC92F"/>
    <w:rsid w:val="67D7E45B"/>
    <w:rsid w:val="67D9F727"/>
    <w:rsid w:val="67DB4198"/>
    <w:rsid w:val="67DD326B"/>
    <w:rsid w:val="67DE9267"/>
    <w:rsid w:val="67DEA8AC"/>
    <w:rsid w:val="67EFAE12"/>
    <w:rsid w:val="67F3D08E"/>
    <w:rsid w:val="67F548C8"/>
    <w:rsid w:val="67F70D63"/>
    <w:rsid w:val="67F78670"/>
    <w:rsid w:val="67FB4F69"/>
    <w:rsid w:val="67FBD347"/>
    <w:rsid w:val="67FE10D8"/>
    <w:rsid w:val="67FE8239"/>
    <w:rsid w:val="67FF481D"/>
    <w:rsid w:val="67FF62D5"/>
    <w:rsid w:val="67FF95B4"/>
    <w:rsid w:val="67FFE62E"/>
    <w:rsid w:val="683C676A"/>
    <w:rsid w:val="683FC40F"/>
    <w:rsid w:val="6857AFE1"/>
    <w:rsid w:val="6867AE5D"/>
    <w:rsid w:val="68CDAA81"/>
    <w:rsid w:val="68DB8B26"/>
    <w:rsid w:val="68DD9EFA"/>
    <w:rsid w:val="68EDF3D5"/>
    <w:rsid w:val="68EE4235"/>
    <w:rsid w:val="68EF8D6E"/>
    <w:rsid w:val="68FF11B3"/>
    <w:rsid w:val="68FF7BA1"/>
    <w:rsid w:val="694A1784"/>
    <w:rsid w:val="69623597"/>
    <w:rsid w:val="697F5AA3"/>
    <w:rsid w:val="69934B37"/>
    <w:rsid w:val="69BF52C0"/>
    <w:rsid w:val="69DDA4A7"/>
    <w:rsid w:val="69E54798"/>
    <w:rsid w:val="69ED05D4"/>
    <w:rsid w:val="69EDDE06"/>
    <w:rsid w:val="69F58497"/>
    <w:rsid w:val="69F982FF"/>
    <w:rsid w:val="69FB4D62"/>
    <w:rsid w:val="69FBDDFC"/>
    <w:rsid w:val="69FD7660"/>
    <w:rsid w:val="69FE34F4"/>
    <w:rsid w:val="69FF1489"/>
    <w:rsid w:val="69FF5B5B"/>
    <w:rsid w:val="6A652C33"/>
    <w:rsid w:val="6A672C55"/>
    <w:rsid w:val="6A6A77E6"/>
    <w:rsid w:val="6A7F3B27"/>
    <w:rsid w:val="6A82750E"/>
    <w:rsid w:val="6A9F1E3F"/>
    <w:rsid w:val="6ABFACFA"/>
    <w:rsid w:val="6ACF649C"/>
    <w:rsid w:val="6AD927B1"/>
    <w:rsid w:val="6AE72277"/>
    <w:rsid w:val="6AFF813A"/>
    <w:rsid w:val="6B2CB070"/>
    <w:rsid w:val="6B350954"/>
    <w:rsid w:val="6B3D5C71"/>
    <w:rsid w:val="6B3F033B"/>
    <w:rsid w:val="6B4EBD32"/>
    <w:rsid w:val="6B59717D"/>
    <w:rsid w:val="6B5EC6D2"/>
    <w:rsid w:val="6B6D728A"/>
    <w:rsid w:val="6B7D1C14"/>
    <w:rsid w:val="6B7DB37C"/>
    <w:rsid w:val="6B7EBD3A"/>
    <w:rsid w:val="6B8ECE9C"/>
    <w:rsid w:val="6B9D9D37"/>
    <w:rsid w:val="6BA59BF0"/>
    <w:rsid w:val="6BAFB7DA"/>
    <w:rsid w:val="6BBEC044"/>
    <w:rsid w:val="6BBF21E0"/>
    <w:rsid w:val="6BCE74B6"/>
    <w:rsid w:val="6BDA0403"/>
    <w:rsid w:val="6BDAF70B"/>
    <w:rsid w:val="6BDD1494"/>
    <w:rsid w:val="6BEAA2AB"/>
    <w:rsid w:val="6BEC0964"/>
    <w:rsid w:val="6BED25E2"/>
    <w:rsid w:val="6BEE3164"/>
    <w:rsid w:val="6BEEF440"/>
    <w:rsid w:val="6BF2C3E9"/>
    <w:rsid w:val="6BF4CDDF"/>
    <w:rsid w:val="6BF75B6F"/>
    <w:rsid w:val="6BFC1198"/>
    <w:rsid w:val="6BFF0BD4"/>
    <w:rsid w:val="6BFF50AA"/>
    <w:rsid w:val="6BFF7621"/>
    <w:rsid w:val="6BFF9D26"/>
    <w:rsid w:val="6BFFD5F1"/>
    <w:rsid w:val="6C1F9391"/>
    <w:rsid w:val="6C561FF8"/>
    <w:rsid w:val="6C77D5AF"/>
    <w:rsid w:val="6C8D1D8A"/>
    <w:rsid w:val="6C8E0714"/>
    <w:rsid w:val="6C961382"/>
    <w:rsid w:val="6CBDE152"/>
    <w:rsid w:val="6CBF2FB0"/>
    <w:rsid w:val="6CBF572F"/>
    <w:rsid w:val="6CBFFE40"/>
    <w:rsid w:val="6CDFAC2F"/>
    <w:rsid w:val="6CE9ACB4"/>
    <w:rsid w:val="6CEF8255"/>
    <w:rsid w:val="6CF35E18"/>
    <w:rsid w:val="6CFA1ED2"/>
    <w:rsid w:val="6CFDC654"/>
    <w:rsid w:val="6CFE910D"/>
    <w:rsid w:val="6CFF5548"/>
    <w:rsid w:val="6D35367E"/>
    <w:rsid w:val="6D355757"/>
    <w:rsid w:val="6D3FF22E"/>
    <w:rsid w:val="6D4F8E1D"/>
    <w:rsid w:val="6D5D3E57"/>
    <w:rsid w:val="6D5F25F1"/>
    <w:rsid w:val="6D731922"/>
    <w:rsid w:val="6D75267A"/>
    <w:rsid w:val="6D763549"/>
    <w:rsid w:val="6D770964"/>
    <w:rsid w:val="6D783C3C"/>
    <w:rsid w:val="6D7D246B"/>
    <w:rsid w:val="6D7F260E"/>
    <w:rsid w:val="6D7F5EE6"/>
    <w:rsid w:val="6DA06EB9"/>
    <w:rsid w:val="6DAFB8C7"/>
    <w:rsid w:val="6DB955E4"/>
    <w:rsid w:val="6DBCC188"/>
    <w:rsid w:val="6DBE2954"/>
    <w:rsid w:val="6DBE592D"/>
    <w:rsid w:val="6DBF5C84"/>
    <w:rsid w:val="6DCBFB3F"/>
    <w:rsid w:val="6DD7602D"/>
    <w:rsid w:val="6DD7AA77"/>
    <w:rsid w:val="6DDA6A61"/>
    <w:rsid w:val="6DDC362E"/>
    <w:rsid w:val="6DDFE8A8"/>
    <w:rsid w:val="6DF2D81F"/>
    <w:rsid w:val="6DF69CC6"/>
    <w:rsid w:val="6DFB6B6D"/>
    <w:rsid w:val="6DFBC002"/>
    <w:rsid w:val="6DFD5707"/>
    <w:rsid w:val="6DFDEE6B"/>
    <w:rsid w:val="6DFEF1C2"/>
    <w:rsid w:val="6DFEF439"/>
    <w:rsid w:val="6DFF0C3D"/>
    <w:rsid w:val="6DFF3297"/>
    <w:rsid w:val="6E1D1381"/>
    <w:rsid w:val="6E1E7A3F"/>
    <w:rsid w:val="6E2959F8"/>
    <w:rsid w:val="6E2FB654"/>
    <w:rsid w:val="6E55379C"/>
    <w:rsid w:val="6E5DBC4F"/>
    <w:rsid w:val="6E6B66C4"/>
    <w:rsid w:val="6E6F9D73"/>
    <w:rsid w:val="6E7F1CDE"/>
    <w:rsid w:val="6E97C7BC"/>
    <w:rsid w:val="6E9F7714"/>
    <w:rsid w:val="6E9F9E01"/>
    <w:rsid w:val="6EA1CB71"/>
    <w:rsid w:val="6EAA16FD"/>
    <w:rsid w:val="6EB642B9"/>
    <w:rsid w:val="6EB73EE1"/>
    <w:rsid w:val="6EBAB074"/>
    <w:rsid w:val="6EBB4060"/>
    <w:rsid w:val="6EC79B1E"/>
    <w:rsid w:val="6ED33D6B"/>
    <w:rsid w:val="6ED74FE5"/>
    <w:rsid w:val="6ED8A377"/>
    <w:rsid w:val="6EDED57E"/>
    <w:rsid w:val="6EE36CB4"/>
    <w:rsid w:val="6EE3CF19"/>
    <w:rsid w:val="6EED5ABB"/>
    <w:rsid w:val="6EEEAEB9"/>
    <w:rsid w:val="6EF30CBF"/>
    <w:rsid w:val="6EF3F10A"/>
    <w:rsid w:val="6EF69387"/>
    <w:rsid w:val="6EF74E8F"/>
    <w:rsid w:val="6EFB8C3D"/>
    <w:rsid w:val="6EFD7E86"/>
    <w:rsid w:val="6EFEAFC7"/>
    <w:rsid w:val="6EFF20CA"/>
    <w:rsid w:val="6EFF3465"/>
    <w:rsid w:val="6EFF49CC"/>
    <w:rsid w:val="6EFF6142"/>
    <w:rsid w:val="6EFF8E0A"/>
    <w:rsid w:val="6EFFAA61"/>
    <w:rsid w:val="6EFFE552"/>
    <w:rsid w:val="6EFFEB09"/>
    <w:rsid w:val="6F1F6B61"/>
    <w:rsid w:val="6F2F56BD"/>
    <w:rsid w:val="6F3A7AFD"/>
    <w:rsid w:val="6F3B49A7"/>
    <w:rsid w:val="6F3DBA93"/>
    <w:rsid w:val="6F3F93C4"/>
    <w:rsid w:val="6F5412E1"/>
    <w:rsid w:val="6F5B17D7"/>
    <w:rsid w:val="6F5C069C"/>
    <w:rsid w:val="6F5F2EF6"/>
    <w:rsid w:val="6F5F3A1B"/>
    <w:rsid w:val="6F691BA4"/>
    <w:rsid w:val="6F6AD237"/>
    <w:rsid w:val="6F6BB6DE"/>
    <w:rsid w:val="6F6FA897"/>
    <w:rsid w:val="6F7752B5"/>
    <w:rsid w:val="6F793FF9"/>
    <w:rsid w:val="6F79CD84"/>
    <w:rsid w:val="6F7B8DFC"/>
    <w:rsid w:val="6F7D5B68"/>
    <w:rsid w:val="6F7DFE4A"/>
    <w:rsid w:val="6F7E3FAE"/>
    <w:rsid w:val="6F7E88B5"/>
    <w:rsid w:val="6F7F234A"/>
    <w:rsid w:val="6F7F5FD8"/>
    <w:rsid w:val="6F7F6F7B"/>
    <w:rsid w:val="6F7F86E7"/>
    <w:rsid w:val="6F7FBE06"/>
    <w:rsid w:val="6F8A70E9"/>
    <w:rsid w:val="6F8FEF4A"/>
    <w:rsid w:val="6F9D0520"/>
    <w:rsid w:val="6F9EADF7"/>
    <w:rsid w:val="6F9F9FD0"/>
    <w:rsid w:val="6F9FD516"/>
    <w:rsid w:val="6FA74FE6"/>
    <w:rsid w:val="6FA7A4C3"/>
    <w:rsid w:val="6FA7B6B0"/>
    <w:rsid w:val="6FAAD697"/>
    <w:rsid w:val="6FAB7218"/>
    <w:rsid w:val="6FADB302"/>
    <w:rsid w:val="6FADFE00"/>
    <w:rsid w:val="6FAE470D"/>
    <w:rsid w:val="6FAFA3F3"/>
    <w:rsid w:val="6FAFFC68"/>
    <w:rsid w:val="6FB4383C"/>
    <w:rsid w:val="6FB61504"/>
    <w:rsid w:val="6FBAC2C2"/>
    <w:rsid w:val="6FBB2CFF"/>
    <w:rsid w:val="6FBB892C"/>
    <w:rsid w:val="6FBB9A0B"/>
    <w:rsid w:val="6FBD131B"/>
    <w:rsid w:val="6FBE0857"/>
    <w:rsid w:val="6FBF4D10"/>
    <w:rsid w:val="6FBF6E36"/>
    <w:rsid w:val="6FBFCDD1"/>
    <w:rsid w:val="6FBFED66"/>
    <w:rsid w:val="6FC6F8DD"/>
    <w:rsid w:val="6FCF8469"/>
    <w:rsid w:val="6FCF8C70"/>
    <w:rsid w:val="6FCFBE3A"/>
    <w:rsid w:val="6FD1CD93"/>
    <w:rsid w:val="6FD52B9D"/>
    <w:rsid w:val="6FD7075F"/>
    <w:rsid w:val="6FD74C8D"/>
    <w:rsid w:val="6FD76F8E"/>
    <w:rsid w:val="6FDBB623"/>
    <w:rsid w:val="6FDC5E77"/>
    <w:rsid w:val="6FDC734B"/>
    <w:rsid w:val="6FDE38FA"/>
    <w:rsid w:val="6FDE72F2"/>
    <w:rsid w:val="6FDE9654"/>
    <w:rsid w:val="6FDF15B6"/>
    <w:rsid w:val="6FDF2080"/>
    <w:rsid w:val="6FDF2283"/>
    <w:rsid w:val="6FDF52FE"/>
    <w:rsid w:val="6FDF5DC2"/>
    <w:rsid w:val="6FDF681E"/>
    <w:rsid w:val="6FDFACC2"/>
    <w:rsid w:val="6FDFC9F0"/>
    <w:rsid w:val="6FDFDEA6"/>
    <w:rsid w:val="6FE188B2"/>
    <w:rsid w:val="6FE73203"/>
    <w:rsid w:val="6FEA0E3A"/>
    <w:rsid w:val="6FEA7D1E"/>
    <w:rsid w:val="6FEAA7F8"/>
    <w:rsid w:val="6FEB8395"/>
    <w:rsid w:val="6FEC2151"/>
    <w:rsid w:val="6FECEC91"/>
    <w:rsid w:val="6FEDC95E"/>
    <w:rsid w:val="6FEE1FCA"/>
    <w:rsid w:val="6FEEEA6D"/>
    <w:rsid w:val="6FEEEF00"/>
    <w:rsid w:val="6FEF19BC"/>
    <w:rsid w:val="6FEF1C92"/>
    <w:rsid w:val="6FEF8444"/>
    <w:rsid w:val="6FEFD158"/>
    <w:rsid w:val="6FEFE526"/>
    <w:rsid w:val="6FF53213"/>
    <w:rsid w:val="6FF533BF"/>
    <w:rsid w:val="6FF53A5E"/>
    <w:rsid w:val="6FF5F03C"/>
    <w:rsid w:val="6FF669A8"/>
    <w:rsid w:val="6FF6E34A"/>
    <w:rsid w:val="6FF7091C"/>
    <w:rsid w:val="6FF763F1"/>
    <w:rsid w:val="6FF78B37"/>
    <w:rsid w:val="6FF78FFC"/>
    <w:rsid w:val="6FF7A767"/>
    <w:rsid w:val="6FF7DF29"/>
    <w:rsid w:val="6FF98ADA"/>
    <w:rsid w:val="6FF9E263"/>
    <w:rsid w:val="6FFA8CD7"/>
    <w:rsid w:val="6FFB1AC9"/>
    <w:rsid w:val="6FFB4146"/>
    <w:rsid w:val="6FFB56C0"/>
    <w:rsid w:val="6FFB63C6"/>
    <w:rsid w:val="6FFBF58A"/>
    <w:rsid w:val="6FFBFC80"/>
    <w:rsid w:val="6FFC7641"/>
    <w:rsid w:val="6FFCDF78"/>
    <w:rsid w:val="6FFD0016"/>
    <w:rsid w:val="6FFD2047"/>
    <w:rsid w:val="6FFD31AF"/>
    <w:rsid w:val="6FFD4717"/>
    <w:rsid w:val="6FFDB37A"/>
    <w:rsid w:val="6FFE2406"/>
    <w:rsid w:val="6FFE312F"/>
    <w:rsid w:val="6FFEBC54"/>
    <w:rsid w:val="6FFEC152"/>
    <w:rsid w:val="6FFEDCDE"/>
    <w:rsid w:val="6FFEE117"/>
    <w:rsid w:val="6FFEEB4D"/>
    <w:rsid w:val="6FFF3933"/>
    <w:rsid w:val="6FFF5A47"/>
    <w:rsid w:val="6FFF7EDB"/>
    <w:rsid w:val="6FFFA2A6"/>
    <w:rsid w:val="6FFFAF10"/>
    <w:rsid w:val="6FFFBEA5"/>
    <w:rsid w:val="6FFFE97C"/>
    <w:rsid w:val="702E4699"/>
    <w:rsid w:val="708F5279"/>
    <w:rsid w:val="70C04321"/>
    <w:rsid w:val="70FBE9E5"/>
    <w:rsid w:val="70FFA32D"/>
    <w:rsid w:val="716FCA84"/>
    <w:rsid w:val="71BFC3B0"/>
    <w:rsid w:val="71D9478F"/>
    <w:rsid w:val="71E7171A"/>
    <w:rsid w:val="71EDDBCA"/>
    <w:rsid w:val="71EE67C5"/>
    <w:rsid w:val="71EE82AB"/>
    <w:rsid w:val="71EFA23A"/>
    <w:rsid w:val="71FA5A2F"/>
    <w:rsid w:val="71FB136B"/>
    <w:rsid w:val="71FD3E18"/>
    <w:rsid w:val="71FD6065"/>
    <w:rsid w:val="7237EC2D"/>
    <w:rsid w:val="725BBD1A"/>
    <w:rsid w:val="728E5FE9"/>
    <w:rsid w:val="729EB59E"/>
    <w:rsid w:val="72B26E95"/>
    <w:rsid w:val="72BB1CC4"/>
    <w:rsid w:val="72BBD565"/>
    <w:rsid w:val="72BF2D11"/>
    <w:rsid w:val="72DB583A"/>
    <w:rsid w:val="72DE4919"/>
    <w:rsid w:val="72DFD5C8"/>
    <w:rsid w:val="72EFA293"/>
    <w:rsid w:val="72F98B33"/>
    <w:rsid w:val="72FB0797"/>
    <w:rsid w:val="72FBBFEB"/>
    <w:rsid w:val="72FE8791"/>
    <w:rsid w:val="72FF1E61"/>
    <w:rsid w:val="731E51BB"/>
    <w:rsid w:val="73213E21"/>
    <w:rsid w:val="7323A5D3"/>
    <w:rsid w:val="73352BF1"/>
    <w:rsid w:val="73375140"/>
    <w:rsid w:val="7337BEB1"/>
    <w:rsid w:val="7376582F"/>
    <w:rsid w:val="737B8870"/>
    <w:rsid w:val="737F7D1D"/>
    <w:rsid w:val="738FD600"/>
    <w:rsid w:val="73918D61"/>
    <w:rsid w:val="73A4F1FB"/>
    <w:rsid w:val="73A50B78"/>
    <w:rsid w:val="73A9DBD6"/>
    <w:rsid w:val="73AB81E0"/>
    <w:rsid w:val="73B748E3"/>
    <w:rsid w:val="73BAF087"/>
    <w:rsid w:val="73BBF6FB"/>
    <w:rsid w:val="73BF66C3"/>
    <w:rsid w:val="73BF7C39"/>
    <w:rsid w:val="73BFFBA3"/>
    <w:rsid w:val="73CCD041"/>
    <w:rsid w:val="73D19270"/>
    <w:rsid w:val="73DCFF93"/>
    <w:rsid w:val="73DF19C1"/>
    <w:rsid w:val="73E9E425"/>
    <w:rsid w:val="73ED9696"/>
    <w:rsid w:val="73EE5C9E"/>
    <w:rsid w:val="73F1A5DD"/>
    <w:rsid w:val="73F69F6C"/>
    <w:rsid w:val="73F91201"/>
    <w:rsid w:val="73F9646F"/>
    <w:rsid w:val="73F9EFB3"/>
    <w:rsid w:val="73FBC4F4"/>
    <w:rsid w:val="73FC6019"/>
    <w:rsid w:val="73FD3647"/>
    <w:rsid w:val="73FE1BF4"/>
    <w:rsid w:val="73FE7D72"/>
    <w:rsid w:val="73FEB6E4"/>
    <w:rsid w:val="73FF1F93"/>
    <w:rsid w:val="73FFA06F"/>
    <w:rsid w:val="73FFEDBE"/>
    <w:rsid w:val="744143A9"/>
    <w:rsid w:val="7463D089"/>
    <w:rsid w:val="746A78F7"/>
    <w:rsid w:val="747F1A4A"/>
    <w:rsid w:val="749F90EA"/>
    <w:rsid w:val="749FAD4C"/>
    <w:rsid w:val="74EB19A9"/>
    <w:rsid w:val="74EF06F9"/>
    <w:rsid w:val="74FBBF1B"/>
    <w:rsid w:val="74FC77D1"/>
    <w:rsid w:val="74FFB64C"/>
    <w:rsid w:val="752FEE52"/>
    <w:rsid w:val="7550C41C"/>
    <w:rsid w:val="75587EE6"/>
    <w:rsid w:val="756F55DA"/>
    <w:rsid w:val="756FB463"/>
    <w:rsid w:val="75717D67"/>
    <w:rsid w:val="757324B1"/>
    <w:rsid w:val="7573A99A"/>
    <w:rsid w:val="757AB471"/>
    <w:rsid w:val="757BFAFD"/>
    <w:rsid w:val="757EDFF4"/>
    <w:rsid w:val="758DE8E9"/>
    <w:rsid w:val="759F6B54"/>
    <w:rsid w:val="759F8B5C"/>
    <w:rsid w:val="759FC5EA"/>
    <w:rsid w:val="75AF2091"/>
    <w:rsid w:val="75AF38B5"/>
    <w:rsid w:val="75B52632"/>
    <w:rsid w:val="75BCA186"/>
    <w:rsid w:val="75BF85B0"/>
    <w:rsid w:val="75C7E6BD"/>
    <w:rsid w:val="75CF9B4F"/>
    <w:rsid w:val="75D71413"/>
    <w:rsid w:val="75DD7948"/>
    <w:rsid w:val="75DEE537"/>
    <w:rsid w:val="75DF13E3"/>
    <w:rsid w:val="75E5023F"/>
    <w:rsid w:val="75E99DC5"/>
    <w:rsid w:val="75EA7AE1"/>
    <w:rsid w:val="75EB781E"/>
    <w:rsid w:val="75ED39EA"/>
    <w:rsid w:val="75ED65B3"/>
    <w:rsid w:val="75ED963B"/>
    <w:rsid w:val="75EDFF26"/>
    <w:rsid w:val="75EF1B70"/>
    <w:rsid w:val="75EFA54E"/>
    <w:rsid w:val="75EFF3EB"/>
    <w:rsid w:val="75F3A935"/>
    <w:rsid w:val="75F72DE5"/>
    <w:rsid w:val="75F767CC"/>
    <w:rsid w:val="75F7A502"/>
    <w:rsid w:val="75F94372"/>
    <w:rsid w:val="75F9F1B4"/>
    <w:rsid w:val="75FB4198"/>
    <w:rsid w:val="75FB753A"/>
    <w:rsid w:val="75FBD2AD"/>
    <w:rsid w:val="75FDCEEC"/>
    <w:rsid w:val="75FF1B9F"/>
    <w:rsid w:val="75FF93DB"/>
    <w:rsid w:val="763BB046"/>
    <w:rsid w:val="763DB6B0"/>
    <w:rsid w:val="765F9F66"/>
    <w:rsid w:val="767773F2"/>
    <w:rsid w:val="767EDE21"/>
    <w:rsid w:val="767EE24E"/>
    <w:rsid w:val="767FB6A8"/>
    <w:rsid w:val="768BEEF5"/>
    <w:rsid w:val="76B73313"/>
    <w:rsid w:val="76BE533D"/>
    <w:rsid w:val="76BF597A"/>
    <w:rsid w:val="76CA3091"/>
    <w:rsid w:val="76D5A3C2"/>
    <w:rsid w:val="76DABC1D"/>
    <w:rsid w:val="76DBE58C"/>
    <w:rsid w:val="76DF1D0B"/>
    <w:rsid w:val="76DF6F81"/>
    <w:rsid w:val="76E12764"/>
    <w:rsid w:val="76E3D38D"/>
    <w:rsid w:val="76E7EE20"/>
    <w:rsid w:val="76EFF5D6"/>
    <w:rsid w:val="76EFF929"/>
    <w:rsid w:val="76F1DA89"/>
    <w:rsid w:val="76F31C3B"/>
    <w:rsid w:val="76F3C143"/>
    <w:rsid w:val="76F423BF"/>
    <w:rsid w:val="76F57AE3"/>
    <w:rsid w:val="76F8978C"/>
    <w:rsid w:val="76FDA859"/>
    <w:rsid w:val="76FF024C"/>
    <w:rsid w:val="76FF195A"/>
    <w:rsid w:val="76FF83F7"/>
    <w:rsid w:val="76FF8FDB"/>
    <w:rsid w:val="76FFCE1D"/>
    <w:rsid w:val="7732227D"/>
    <w:rsid w:val="773936FA"/>
    <w:rsid w:val="773B4622"/>
    <w:rsid w:val="773F77AC"/>
    <w:rsid w:val="773FEC8D"/>
    <w:rsid w:val="7749818D"/>
    <w:rsid w:val="77568D80"/>
    <w:rsid w:val="775F69D5"/>
    <w:rsid w:val="776FDBA1"/>
    <w:rsid w:val="77779A08"/>
    <w:rsid w:val="77793C94"/>
    <w:rsid w:val="777B6EDE"/>
    <w:rsid w:val="777BC15C"/>
    <w:rsid w:val="777E9353"/>
    <w:rsid w:val="777EAF99"/>
    <w:rsid w:val="777EC4A3"/>
    <w:rsid w:val="777F441A"/>
    <w:rsid w:val="777F4852"/>
    <w:rsid w:val="777FA950"/>
    <w:rsid w:val="777FBB0D"/>
    <w:rsid w:val="7797C72C"/>
    <w:rsid w:val="779E9A43"/>
    <w:rsid w:val="779F20D5"/>
    <w:rsid w:val="779F7091"/>
    <w:rsid w:val="77A7F0EE"/>
    <w:rsid w:val="77AAC097"/>
    <w:rsid w:val="77AE970B"/>
    <w:rsid w:val="77B5DFF0"/>
    <w:rsid w:val="77B7669A"/>
    <w:rsid w:val="77B77980"/>
    <w:rsid w:val="77BB16E2"/>
    <w:rsid w:val="77BB9132"/>
    <w:rsid w:val="77BBCB98"/>
    <w:rsid w:val="77BE9F3D"/>
    <w:rsid w:val="77BEBED7"/>
    <w:rsid w:val="77BF8DE5"/>
    <w:rsid w:val="77C359F1"/>
    <w:rsid w:val="77C41467"/>
    <w:rsid w:val="77C53182"/>
    <w:rsid w:val="77C9C302"/>
    <w:rsid w:val="77CDD157"/>
    <w:rsid w:val="77D37330"/>
    <w:rsid w:val="77D3ADB3"/>
    <w:rsid w:val="77D54A27"/>
    <w:rsid w:val="77D683B0"/>
    <w:rsid w:val="77D76D71"/>
    <w:rsid w:val="77D7E077"/>
    <w:rsid w:val="77D9BE97"/>
    <w:rsid w:val="77DA4EDB"/>
    <w:rsid w:val="77DB407E"/>
    <w:rsid w:val="77DB7FC7"/>
    <w:rsid w:val="77DB8D36"/>
    <w:rsid w:val="77DBFC21"/>
    <w:rsid w:val="77DDD0F8"/>
    <w:rsid w:val="77DE2E59"/>
    <w:rsid w:val="77DF03B1"/>
    <w:rsid w:val="77DF282F"/>
    <w:rsid w:val="77DF338D"/>
    <w:rsid w:val="77DF4011"/>
    <w:rsid w:val="77DF49C0"/>
    <w:rsid w:val="77DFFCF9"/>
    <w:rsid w:val="77E574AB"/>
    <w:rsid w:val="77E713E6"/>
    <w:rsid w:val="77E7F58C"/>
    <w:rsid w:val="77E7FA46"/>
    <w:rsid w:val="77E896FF"/>
    <w:rsid w:val="77EAB889"/>
    <w:rsid w:val="77EAE299"/>
    <w:rsid w:val="77EBD446"/>
    <w:rsid w:val="77ED2967"/>
    <w:rsid w:val="77EF2E78"/>
    <w:rsid w:val="77EF3862"/>
    <w:rsid w:val="77F13440"/>
    <w:rsid w:val="77F463D8"/>
    <w:rsid w:val="77F67115"/>
    <w:rsid w:val="77F71097"/>
    <w:rsid w:val="77F76590"/>
    <w:rsid w:val="77F7DF01"/>
    <w:rsid w:val="77F7E08C"/>
    <w:rsid w:val="77F7E8CE"/>
    <w:rsid w:val="77FA12CB"/>
    <w:rsid w:val="77FA2D22"/>
    <w:rsid w:val="77FB203F"/>
    <w:rsid w:val="77FB7D7B"/>
    <w:rsid w:val="77FC02CC"/>
    <w:rsid w:val="77FD166A"/>
    <w:rsid w:val="77FDB36E"/>
    <w:rsid w:val="77FE1A14"/>
    <w:rsid w:val="77FE29BD"/>
    <w:rsid w:val="77FE72DD"/>
    <w:rsid w:val="77FEC3E3"/>
    <w:rsid w:val="77FEE696"/>
    <w:rsid w:val="77FEED39"/>
    <w:rsid w:val="77FF1182"/>
    <w:rsid w:val="77FF13B2"/>
    <w:rsid w:val="77FF1C96"/>
    <w:rsid w:val="77FF1DD5"/>
    <w:rsid w:val="77FF366F"/>
    <w:rsid w:val="77FF3BE8"/>
    <w:rsid w:val="77FF3E79"/>
    <w:rsid w:val="77FF57EC"/>
    <w:rsid w:val="77FF83DF"/>
    <w:rsid w:val="77FF8FF2"/>
    <w:rsid w:val="77FF9884"/>
    <w:rsid w:val="77FFAD18"/>
    <w:rsid w:val="77FFBB25"/>
    <w:rsid w:val="77FFBF09"/>
    <w:rsid w:val="77FFC447"/>
    <w:rsid w:val="77FFE2C3"/>
    <w:rsid w:val="77FFFB1B"/>
    <w:rsid w:val="77FFFFA0"/>
    <w:rsid w:val="78131C85"/>
    <w:rsid w:val="784B788E"/>
    <w:rsid w:val="78731BED"/>
    <w:rsid w:val="78972982"/>
    <w:rsid w:val="78ABE6AB"/>
    <w:rsid w:val="78AF2051"/>
    <w:rsid w:val="78B71B32"/>
    <w:rsid w:val="78BB8365"/>
    <w:rsid w:val="78BDA9A8"/>
    <w:rsid w:val="78F65E8A"/>
    <w:rsid w:val="78FB718A"/>
    <w:rsid w:val="78FB80DC"/>
    <w:rsid w:val="78FF5B2F"/>
    <w:rsid w:val="78FFC160"/>
    <w:rsid w:val="790F2444"/>
    <w:rsid w:val="791FE6AE"/>
    <w:rsid w:val="794F1459"/>
    <w:rsid w:val="7953E83D"/>
    <w:rsid w:val="795DC874"/>
    <w:rsid w:val="796D6150"/>
    <w:rsid w:val="79730DD3"/>
    <w:rsid w:val="7976A824"/>
    <w:rsid w:val="7977C089"/>
    <w:rsid w:val="7979C4F5"/>
    <w:rsid w:val="797BE3C0"/>
    <w:rsid w:val="799D5596"/>
    <w:rsid w:val="79A2C616"/>
    <w:rsid w:val="79A7AAC5"/>
    <w:rsid w:val="79A96293"/>
    <w:rsid w:val="79AEF349"/>
    <w:rsid w:val="79AFC17A"/>
    <w:rsid w:val="79B3E451"/>
    <w:rsid w:val="79B858CD"/>
    <w:rsid w:val="79BBFD99"/>
    <w:rsid w:val="79BD4858"/>
    <w:rsid w:val="79BF05FD"/>
    <w:rsid w:val="79BFA81B"/>
    <w:rsid w:val="79CBF960"/>
    <w:rsid w:val="79D383A9"/>
    <w:rsid w:val="79DBC207"/>
    <w:rsid w:val="79DF3F08"/>
    <w:rsid w:val="79DF86E9"/>
    <w:rsid w:val="79DF93DF"/>
    <w:rsid w:val="79E7BA6A"/>
    <w:rsid w:val="79ED4499"/>
    <w:rsid w:val="79ED803F"/>
    <w:rsid w:val="79EE1018"/>
    <w:rsid w:val="79EEFC94"/>
    <w:rsid w:val="79EFA9FA"/>
    <w:rsid w:val="79F3C9B2"/>
    <w:rsid w:val="79F55DFE"/>
    <w:rsid w:val="79F646E0"/>
    <w:rsid w:val="79F7D70D"/>
    <w:rsid w:val="79F96C2A"/>
    <w:rsid w:val="79F9C6AC"/>
    <w:rsid w:val="79FB3D8B"/>
    <w:rsid w:val="79FD373E"/>
    <w:rsid w:val="79FD56BD"/>
    <w:rsid w:val="79FDB123"/>
    <w:rsid w:val="79FDDE35"/>
    <w:rsid w:val="79FEE8F4"/>
    <w:rsid w:val="79FF0FAD"/>
    <w:rsid w:val="79FF4286"/>
    <w:rsid w:val="7A76C03B"/>
    <w:rsid w:val="7A773590"/>
    <w:rsid w:val="7A7AFCEC"/>
    <w:rsid w:val="7A7BBD6D"/>
    <w:rsid w:val="7A7F85F0"/>
    <w:rsid w:val="7A7FE2DB"/>
    <w:rsid w:val="7A8F5117"/>
    <w:rsid w:val="7A9FB976"/>
    <w:rsid w:val="7AAFA543"/>
    <w:rsid w:val="7ABAA785"/>
    <w:rsid w:val="7ABBF48B"/>
    <w:rsid w:val="7ABD7CD3"/>
    <w:rsid w:val="7AC5EC2E"/>
    <w:rsid w:val="7ACCA334"/>
    <w:rsid w:val="7ACF87FF"/>
    <w:rsid w:val="7ADA32CF"/>
    <w:rsid w:val="7AE3119D"/>
    <w:rsid w:val="7AE7807D"/>
    <w:rsid w:val="7AEB1A87"/>
    <w:rsid w:val="7AEBBB9C"/>
    <w:rsid w:val="7AEFD44B"/>
    <w:rsid w:val="7AEFE7A9"/>
    <w:rsid w:val="7AF5250D"/>
    <w:rsid w:val="7AFB0DC0"/>
    <w:rsid w:val="7AFB50BD"/>
    <w:rsid w:val="7AFB55A6"/>
    <w:rsid w:val="7AFC1CB1"/>
    <w:rsid w:val="7AFC5697"/>
    <w:rsid w:val="7AFD5A30"/>
    <w:rsid w:val="7AFD7322"/>
    <w:rsid w:val="7AFDC0C3"/>
    <w:rsid w:val="7AFE2D1B"/>
    <w:rsid w:val="7AFE895D"/>
    <w:rsid w:val="7AFF1A70"/>
    <w:rsid w:val="7AFF58BF"/>
    <w:rsid w:val="7AFFA280"/>
    <w:rsid w:val="7AFFA8D4"/>
    <w:rsid w:val="7AFFC322"/>
    <w:rsid w:val="7AFFD63B"/>
    <w:rsid w:val="7AFFEF2C"/>
    <w:rsid w:val="7AFFF4D7"/>
    <w:rsid w:val="7B2A0575"/>
    <w:rsid w:val="7B2F92DB"/>
    <w:rsid w:val="7B36C20C"/>
    <w:rsid w:val="7B371501"/>
    <w:rsid w:val="7B3A0505"/>
    <w:rsid w:val="7B3B700F"/>
    <w:rsid w:val="7B3CDA16"/>
    <w:rsid w:val="7B3E42A2"/>
    <w:rsid w:val="7B42A630"/>
    <w:rsid w:val="7B47D2FC"/>
    <w:rsid w:val="7B4CCFB1"/>
    <w:rsid w:val="7B5B6952"/>
    <w:rsid w:val="7B5BE37A"/>
    <w:rsid w:val="7B5E02D1"/>
    <w:rsid w:val="7B5FA22F"/>
    <w:rsid w:val="7B66C339"/>
    <w:rsid w:val="7B6701E4"/>
    <w:rsid w:val="7B6707F7"/>
    <w:rsid w:val="7B679812"/>
    <w:rsid w:val="7B6A77DA"/>
    <w:rsid w:val="7B6D8DE4"/>
    <w:rsid w:val="7B6F7A1E"/>
    <w:rsid w:val="7B6FFADC"/>
    <w:rsid w:val="7B736D62"/>
    <w:rsid w:val="7B752186"/>
    <w:rsid w:val="7B7BA5DE"/>
    <w:rsid w:val="7B7C8A3E"/>
    <w:rsid w:val="7B7D40B0"/>
    <w:rsid w:val="7B7DB552"/>
    <w:rsid w:val="7B7EC82B"/>
    <w:rsid w:val="7B7F050A"/>
    <w:rsid w:val="7B7F2098"/>
    <w:rsid w:val="7B7F4DA5"/>
    <w:rsid w:val="7B7FB42E"/>
    <w:rsid w:val="7B8EB55E"/>
    <w:rsid w:val="7B97AA23"/>
    <w:rsid w:val="7B9E1EBD"/>
    <w:rsid w:val="7B9FE030"/>
    <w:rsid w:val="7B9FE8F9"/>
    <w:rsid w:val="7BA6D9A3"/>
    <w:rsid w:val="7BAB41D2"/>
    <w:rsid w:val="7BAB698C"/>
    <w:rsid w:val="7BAE3736"/>
    <w:rsid w:val="7BAE79C6"/>
    <w:rsid w:val="7BAE995F"/>
    <w:rsid w:val="7BAF104B"/>
    <w:rsid w:val="7BAF2E69"/>
    <w:rsid w:val="7BB75B55"/>
    <w:rsid w:val="7BB94F41"/>
    <w:rsid w:val="7BBA5782"/>
    <w:rsid w:val="7BBCC2EB"/>
    <w:rsid w:val="7BBD8762"/>
    <w:rsid w:val="7BBF002A"/>
    <w:rsid w:val="7BBF6D86"/>
    <w:rsid w:val="7BBF99AA"/>
    <w:rsid w:val="7BBFBD31"/>
    <w:rsid w:val="7BBFC775"/>
    <w:rsid w:val="7BBFCB47"/>
    <w:rsid w:val="7BC853F2"/>
    <w:rsid w:val="7BCFC321"/>
    <w:rsid w:val="7BDAB5B6"/>
    <w:rsid w:val="7BDB5808"/>
    <w:rsid w:val="7BDD2CDC"/>
    <w:rsid w:val="7BDDBBB7"/>
    <w:rsid w:val="7BDE9454"/>
    <w:rsid w:val="7BDF583E"/>
    <w:rsid w:val="7BDFA2C6"/>
    <w:rsid w:val="7BDFDABC"/>
    <w:rsid w:val="7BDFF2B5"/>
    <w:rsid w:val="7BE3A149"/>
    <w:rsid w:val="7BE68C90"/>
    <w:rsid w:val="7BEA449C"/>
    <w:rsid w:val="7BEA7F7A"/>
    <w:rsid w:val="7BEB2514"/>
    <w:rsid w:val="7BEBA808"/>
    <w:rsid w:val="7BEBB3EF"/>
    <w:rsid w:val="7BEBEFCD"/>
    <w:rsid w:val="7BED0A52"/>
    <w:rsid w:val="7BEDE25E"/>
    <w:rsid w:val="7BEE2229"/>
    <w:rsid w:val="7BEEF0C6"/>
    <w:rsid w:val="7BEF01D7"/>
    <w:rsid w:val="7BEF1629"/>
    <w:rsid w:val="7BEF1821"/>
    <w:rsid w:val="7BEF1DF3"/>
    <w:rsid w:val="7BEF27B9"/>
    <w:rsid w:val="7BEF4E2E"/>
    <w:rsid w:val="7BF10959"/>
    <w:rsid w:val="7BF37524"/>
    <w:rsid w:val="7BF4D71C"/>
    <w:rsid w:val="7BF752CD"/>
    <w:rsid w:val="7BF84FE5"/>
    <w:rsid w:val="7BF8E195"/>
    <w:rsid w:val="7BFAA412"/>
    <w:rsid w:val="7BFAEF09"/>
    <w:rsid w:val="7BFB060F"/>
    <w:rsid w:val="7BFB5D0B"/>
    <w:rsid w:val="7BFB95B0"/>
    <w:rsid w:val="7BFBA55D"/>
    <w:rsid w:val="7BFBCF14"/>
    <w:rsid w:val="7BFBDDA3"/>
    <w:rsid w:val="7BFC3571"/>
    <w:rsid w:val="7BFCB2DF"/>
    <w:rsid w:val="7BFD06A8"/>
    <w:rsid w:val="7BFD2E08"/>
    <w:rsid w:val="7BFD5968"/>
    <w:rsid w:val="7BFDB4AC"/>
    <w:rsid w:val="7BFDF52C"/>
    <w:rsid w:val="7BFE163F"/>
    <w:rsid w:val="7BFE37C4"/>
    <w:rsid w:val="7BFE5B5D"/>
    <w:rsid w:val="7BFE8087"/>
    <w:rsid w:val="7BFE913E"/>
    <w:rsid w:val="7BFF2607"/>
    <w:rsid w:val="7BFF27AC"/>
    <w:rsid w:val="7BFF294C"/>
    <w:rsid w:val="7BFF2D63"/>
    <w:rsid w:val="7BFF352D"/>
    <w:rsid w:val="7BFF3DF6"/>
    <w:rsid w:val="7BFF41C3"/>
    <w:rsid w:val="7BFF5727"/>
    <w:rsid w:val="7BFF637D"/>
    <w:rsid w:val="7BFF6FCA"/>
    <w:rsid w:val="7BFF94C2"/>
    <w:rsid w:val="7BFFA365"/>
    <w:rsid w:val="7BFFB680"/>
    <w:rsid w:val="7C49D19D"/>
    <w:rsid w:val="7C4DC21A"/>
    <w:rsid w:val="7C57CBAC"/>
    <w:rsid w:val="7C76F9D4"/>
    <w:rsid w:val="7C784B8E"/>
    <w:rsid w:val="7CA221CC"/>
    <w:rsid w:val="7CA79661"/>
    <w:rsid w:val="7CAD5814"/>
    <w:rsid w:val="7CB5380E"/>
    <w:rsid w:val="7CBD2925"/>
    <w:rsid w:val="7CBDCE72"/>
    <w:rsid w:val="7CBFBA11"/>
    <w:rsid w:val="7CCE6E6A"/>
    <w:rsid w:val="7CCEC6C4"/>
    <w:rsid w:val="7CD79E9D"/>
    <w:rsid w:val="7CD7DBEC"/>
    <w:rsid w:val="7CDB9EAC"/>
    <w:rsid w:val="7CDDA537"/>
    <w:rsid w:val="7CDE79FD"/>
    <w:rsid w:val="7CDF9B6D"/>
    <w:rsid w:val="7CE9AE55"/>
    <w:rsid w:val="7CEDA960"/>
    <w:rsid w:val="7CEF55AB"/>
    <w:rsid w:val="7CEF7662"/>
    <w:rsid w:val="7CF70F08"/>
    <w:rsid w:val="7CF70FF8"/>
    <w:rsid w:val="7CF71C52"/>
    <w:rsid w:val="7CF9A784"/>
    <w:rsid w:val="7CFB9C3F"/>
    <w:rsid w:val="7CFBF793"/>
    <w:rsid w:val="7CFD5251"/>
    <w:rsid w:val="7CFE429F"/>
    <w:rsid w:val="7CFF2FD9"/>
    <w:rsid w:val="7CFF3AF2"/>
    <w:rsid w:val="7CFF960E"/>
    <w:rsid w:val="7D1F37C1"/>
    <w:rsid w:val="7D24C58E"/>
    <w:rsid w:val="7D3659FA"/>
    <w:rsid w:val="7D37FBC3"/>
    <w:rsid w:val="7D3D93F4"/>
    <w:rsid w:val="7D3E375F"/>
    <w:rsid w:val="7D3F3696"/>
    <w:rsid w:val="7D3FEE27"/>
    <w:rsid w:val="7D4BDAAB"/>
    <w:rsid w:val="7D576FB7"/>
    <w:rsid w:val="7D5B1C35"/>
    <w:rsid w:val="7D5F8C03"/>
    <w:rsid w:val="7D5FBEB4"/>
    <w:rsid w:val="7D67901D"/>
    <w:rsid w:val="7D67C611"/>
    <w:rsid w:val="7D67CDC3"/>
    <w:rsid w:val="7D6939EE"/>
    <w:rsid w:val="7D6E2CFB"/>
    <w:rsid w:val="7D6F39DA"/>
    <w:rsid w:val="7D6F527C"/>
    <w:rsid w:val="7D720553"/>
    <w:rsid w:val="7D7565FD"/>
    <w:rsid w:val="7D7771DD"/>
    <w:rsid w:val="7D7985B3"/>
    <w:rsid w:val="7D7BF9EE"/>
    <w:rsid w:val="7D7C03CD"/>
    <w:rsid w:val="7D7D89C5"/>
    <w:rsid w:val="7D7D9BF2"/>
    <w:rsid w:val="7D7DCB39"/>
    <w:rsid w:val="7D7DCEE0"/>
    <w:rsid w:val="7D7EA10B"/>
    <w:rsid w:val="7D7F2516"/>
    <w:rsid w:val="7D7F42B5"/>
    <w:rsid w:val="7D7F4DB3"/>
    <w:rsid w:val="7D7F9E0C"/>
    <w:rsid w:val="7D7FA9E0"/>
    <w:rsid w:val="7D7FE3CA"/>
    <w:rsid w:val="7D8CE733"/>
    <w:rsid w:val="7D8D37FB"/>
    <w:rsid w:val="7D9F5BB2"/>
    <w:rsid w:val="7DA62DB8"/>
    <w:rsid w:val="7DA77E00"/>
    <w:rsid w:val="7DAF2029"/>
    <w:rsid w:val="7DAF64B1"/>
    <w:rsid w:val="7DB683A5"/>
    <w:rsid w:val="7DB78541"/>
    <w:rsid w:val="7DB99203"/>
    <w:rsid w:val="7DBA77F8"/>
    <w:rsid w:val="7DBAFAE3"/>
    <w:rsid w:val="7DBD44B9"/>
    <w:rsid w:val="7DBEA4B7"/>
    <w:rsid w:val="7DBF04E3"/>
    <w:rsid w:val="7DBF392E"/>
    <w:rsid w:val="7DBFA950"/>
    <w:rsid w:val="7DBFC5A1"/>
    <w:rsid w:val="7DBFF4A2"/>
    <w:rsid w:val="7DCA3181"/>
    <w:rsid w:val="7DCAD793"/>
    <w:rsid w:val="7DCF5F32"/>
    <w:rsid w:val="7DD73603"/>
    <w:rsid w:val="7DD9486B"/>
    <w:rsid w:val="7DD94CC0"/>
    <w:rsid w:val="7DDCD88B"/>
    <w:rsid w:val="7DDD2207"/>
    <w:rsid w:val="7DDD7467"/>
    <w:rsid w:val="7DDDB8FF"/>
    <w:rsid w:val="7DDECA9A"/>
    <w:rsid w:val="7DDF5351"/>
    <w:rsid w:val="7DDF7101"/>
    <w:rsid w:val="7DE06B24"/>
    <w:rsid w:val="7DE47D24"/>
    <w:rsid w:val="7DE7579D"/>
    <w:rsid w:val="7DE79431"/>
    <w:rsid w:val="7DE7B578"/>
    <w:rsid w:val="7DEA686E"/>
    <w:rsid w:val="7DEB5CD3"/>
    <w:rsid w:val="7DECA92E"/>
    <w:rsid w:val="7DEDD898"/>
    <w:rsid w:val="7DEFCFDC"/>
    <w:rsid w:val="7DF13928"/>
    <w:rsid w:val="7DF21792"/>
    <w:rsid w:val="7DF532B5"/>
    <w:rsid w:val="7DF5F985"/>
    <w:rsid w:val="7DF7077C"/>
    <w:rsid w:val="7DF73283"/>
    <w:rsid w:val="7DF7363F"/>
    <w:rsid w:val="7DF7B92C"/>
    <w:rsid w:val="7DF7C73C"/>
    <w:rsid w:val="7DF9CB62"/>
    <w:rsid w:val="7DFA4233"/>
    <w:rsid w:val="7DFAE121"/>
    <w:rsid w:val="7DFB771A"/>
    <w:rsid w:val="7DFB831A"/>
    <w:rsid w:val="7DFC6011"/>
    <w:rsid w:val="7DFCD90A"/>
    <w:rsid w:val="7DFDFB61"/>
    <w:rsid w:val="7DFE0B03"/>
    <w:rsid w:val="7DFEA99A"/>
    <w:rsid w:val="7DFEAE0A"/>
    <w:rsid w:val="7DFEB3E1"/>
    <w:rsid w:val="7DFF0F75"/>
    <w:rsid w:val="7DFF1AB1"/>
    <w:rsid w:val="7DFF79DE"/>
    <w:rsid w:val="7DFF8027"/>
    <w:rsid w:val="7DFFA44F"/>
    <w:rsid w:val="7DFFF4E2"/>
    <w:rsid w:val="7E1AA90C"/>
    <w:rsid w:val="7E1B871B"/>
    <w:rsid w:val="7E1D4188"/>
    <w:rsid w:val="7E2E8763"/>
    <w:rsid w:val="7E2FC996"/>
    <w:rsid w:val="7E350956"/>
    <w:rsid w:val="7E351D5D"/>
    <w:rsid w:val="7E3A19A0"/>
    <w:rsid w:val="7E3EACC6"/>
    <w:rsid w:val="7E3FF67F"/>
    <w:rsid w:val="7E479089"/>
    <w:rsid w:val="7E4AB872"/>
    <w:rsid w:val="7E4D11F1"/>
    <w:rsid w:val="7E585FD7"/>
    <w:rsid w:val="7E5ACFF6"/>
    <w:rsid w:val="7E5D10EE"/>
    <w:rsid w:val="7E5F5031"/>
    <w:rsid w:val="7E5F9FE0"/>
    <w:rsid w:val="7E679B75"/>
    <w:rsid w:val="7E6BEEDA"/>
    <w:rsid w:val="7E6F761A"/>
    <w:rsid w:val="7E6FA695"/>
    <w:rsid w:val="7E6FD5C1"/>
    <w:rsid w:val="7E70071E"/>
    <w:rsid w:val="7E7ACE82"/>
    <w:rsid w:val="7E7B3CF5"/>
    <w:rsid w:val="7E7C584D"/>
    <w:rsid w:val="7E7E4201"/>
    <w:rsid w:val="7E7EFE70"/>
    <w:rsid w:val="7E7F29A2"/>
    <w:rsid w:val="7E7FDA12"/>
    <w:rsid w:val="7E935F0E"/>
    <w:rsid w:val="7E939D17"/>
    <w:rsid w:val="7E954A6A"/>
    <w:rsid w:val="7E9792F0"/>
    <w:rsid w:val="7E9B6FFB"/>
    <w:rsid w:val="7E9E2BE6"/>
    <w:rsid w:val="7E9F5253"/>
    <w:rsid w:val="7E9F9045"/>
    <w:rsid w:val="7EA5B608"/>
    <w:rsid w:val="7EA92BFF"/>
    <w:rsid w:val="7EA9B68E"/>
    <w:rsid w:val="7EAB81CE"/>
    <w:rsid w:val="7EAE2CBC"/>
    <w:rsid w:val="7EAF1F32"/>
    <w:rsid w:val="7EAF3DD2"/>
    <w:rsid w:val="7EB6052F"/>
    <w:rsid w:val="7EB75C1A"/>
    <w:rsid w:val="7EB79311"/>
    <w:rsid w:val="7EBB2F67"/>
    <w:rsid w:val="7EBC42C4"/>
    <w:rsid w:val="7EBE9A1E"/>
    <w:rsid w:val="7EBF192E"/>
    <w:rsid w:val="7EBF79C3"/>
    <w:rsid w:val="7EBFC3B5"/>
    <w:rsid w:val="7EC4BBC1"/>
    <w:rsid w:val="7EC71C2E"/>
    <w:rsid w:val="7ECD1777"/>
    <w:rsid w:val="7ECE7D87"/>
    <w:rsid w:val="7ECF02CD"/>
    <w:rsid w:val="7ECF5464"/>
    <w:rsid w:val="7ED34896"/>
    <w:rsid w:val="7ED3A66D"/>
    <w:rsid w:val="7ED451DA"/>
    <w:rsid w:val="7ED7082B"/>
    <w:rsid w:val="7EDB4A62"/>
    <w:rsid w:val="7EDD307E"/>
    <w:rsid w:val="7EDDE2C2"/>
    <w:rsid w:val="7EDF121A"/>
    <w:rsid w:val="7EDF2FE0"/>
    <w:rsid w:val="7EDF4467"/>
    <w:rsid w:val="7EDF6C15"/>
    <w:rsid w:val="7EDFC88A"/>
    <w:rsid w:val="7EE307B3"/>
    <w:rsid w:val="7EE3F550"/>
    <w:rsid w:val="7EE57DD2"/>
    <w:rsid w:val="7EE59E75"/>
    <w:rsid w:val="7EE68510"/>
    <w:rsid w:val="7EE7268E"/>
    <w:rsid w:val="7EE79125"/>
    <w:rsid w:val="7EE90D82"/>
    <w:rsid w:val="7EE9B20A"/>
    <w:rsid w:val="7EEA41F1"/>
    <w:rsid w:val="7EEB1009"/>
    <w:rsid w:val="7EEB81A5"/>
    <w:rsid w:val="7EEBDFC7"/>
    <w:rsid w:val="7EEC898C"/>
    <w:rsid w:val="7EEE7550"/>
    <w:rsid w:val="7EF300D4"/>
    <w:rsid w:val="7EF30B2F"/>
    <w:rsid w:val="7EF3533A"/>
    <w:rsid w:val="7EF37548"/>
    <w:rsid w:val="7EF50A29"/>
    <w:rsid w:val="7EF6FE63"/>
    <w:rsid w:val="7EF7A4BA"/>
    <w:rsid w:val="7EF7AC68"/>
    <w:rsid w:val="7EF7DD67"/>
    <w:rsid w:val="7EF89969"/>
    <w:rsid w:val="7EFA81C7"/>
    <w:rsid w:val="7EFB35B0"/>
    <w:rsid w:val="7EFB7FBB"/>
    <w:rsid w:val="7EFBB960"/>
    <w:rsid w:val="7EFC0715"/>
    <w:rsid w:val="7EFD1E34"/>
    <w:rsid w:val="7EFD204F"/>
    <w:rsid w:val="7EFD42DA"/>
    <w:rsid w:val="7EFD8F2C"/>
    <w:rsid w:val="7EFE59D6"/>
    <w:rsid w:val="7EFE83C8"/>
    <w:rsid w:val="7EFE8ABD"/>
    <w:rsid w:val="7EFEBDD4"/>
    <w:rsid w:val="7EFF0603"/>
    <w:rsid w:val="7EFF241B"/>
    <w:rsid w:val="7EFF3CB0"/>
    <w:rsid w:val="7EFF44AC"/>
    <w:rsid w:val="7EFF5DD5"/>
    <w:rsid w:val="7EFF5F07"/>
    <w:rsid w:val="7EFF5F6F"/>
    <w:rsid w:val="7EFF8228"/>
    <w:rsid w:val="7EFF8C1D"/>
    <w:rsid w:val="7EFF8EFA"/>
    <w:rsid w:val="7EFFA0DC"/>
    <w:rsid w:val="7EFFB02E"/>
    <w:rsid w:val="7EFFB4CB"/>
    <w:rsid w:val="7EFFB4E8"/>
    <w:rsid w:val="7EFFCB70"/>
    <w:rsid w:val="7EFFEA56"/>
    <w:rsid w:val="7EFFFAD5"/>
    <w:rsid w:val="7EFFFDA7"/>
    <w:rsid w:val="7F1BEF74"/>
    <w:rsid w:val="7F1E273E"/>
    <w:rsid w:val="7F1E33FC"/>
    <w:rsid w:val="7F1F3207"/>
    <w:rsid w:val="7F2C21A9"/>
    <w:rsid w:val="7F2EC2DE"/>
    <w:rsid w:val="7F33CF62"/>
    <w:rsid w:val="7F3735A7"/>
    <w:rsid w:val="7F38B8B2"/>
    <w:rsid w:val="7F3BEFFF"/>
    <w:rsid w:val="7F3C8197"/>
    <w:rsid w:val="7F3CC46A"/>
    <w:rsid w:val="7F3DF05A"/>
    <w:rsid w:val="7F3F2B62"/>
    <w:rsid w:val="7F3F3CD9"/>
    <w:rsid w:val="7F3F7849"/>
    <w:rsid w:val="7F3FA65F"/>
    <w:rsid w:val="7F3FDA16"/>
    <w:rsid w:val="7F3FF463"/>
    <w:rsid w:val="7F3FFC84"/>
    <w:rsid w:val="7F4F002E"/>
    <w:rsid w:val="7F4FC524"/>
    <w:rsid w:val="7F533C63"/>
    <w:rsid w:val="7F571463"/>
    <w:rsid w:val="7F57404F"/>
    <w:rsid w:val="7F57D68F"/>
    <w:rsid w:val="7F5A5FDA"/>
    <w:rsid w:val="7F5AE6B8"/>
    <w:rsid w:val="7F5AFAF9"/>
    <w:rsid w:val="7F5B1552"/>
    <w:rsid w:val="7F5B6561"/>
    <w:rsid w:val="7F5C421B"/>
    <w:rsid w:val="7F5D4C04"/>
    <w:rsid w:val="7F5E3DAC"/>
    <w:rsid w:val="7F5F54DE"/>
    <w:rsid w:val="7F638D2E"/>
    <w:rsid w:val="7F660324"/>
    <w:rsid w:val="7F6622C8"/>
    <w:rsid w:val="7F66C663"/>
    <w:rsid w:val="7F671C5B"/>
    <w:rsid w:val="7F6856E7"/>
    <w:rsid w:val="7F6A7CDE"/>
    <w:rsid w:val="7F6A8D96"/>
    <w:rsid w:val="7F6D23FA"/>
    <w:rsid w:val="7F6D405F"/>
    <w:rsid w:val="7F6E1E30"/>
    <w:rsid w:val="7F6F4CAB"/>
    <w:rsid w:val="7F6F58BD"/>
    <w:rsid w:val="7F6FBAD5"/>
    <w:rsid w:val="7F7353ED"/>
    <w:rsid w:val="7F7376B3"/>
    <w:rsid w:val="7F73C25C"/>
    <w:rsid w:val="7F73D4F8"/>
    <w:rsid w:val="7F7582A6"/>
    <w:rsid w:val="7F75BE8C"/>
    <w:rsid w:val="7F777DE8"/>
    <w:rsid w:val="7F7798FF"/>
    <w:rsid w:val="7F77C5BF"/>
    <w:rsid w:val="7F78889D"/>
    <w:rsid w:val="7F788F26"/>
    <w:rsid w:val="7F7AA611"/>
    <w:rsid w:val="7F7AA61A"/>
    <w:rsid w:val="7F7B8030"/>
    <w:rsid w:val="7F7B8ACF"/>
    <w:rsid w:val="7F7BC636"/>
    <w:rsid w:val="7F7BE0ED"/>
    <w:rsid w:val="7F7CE74B"/>
    <w:rsid w:val="7F7D0B93"/>
    <w:rsid w:val="7F7DD052"/>
    <w:rsid w:val="7F7DD5CE"/>
    <w:rsid w:val="7F7E5705"/>
    <w:rsid w:val="7F7ECC6A"/>
    <w:rsid w:val="7F7F01D2"/>
    <w:rsid w:val="7F7F0737"/>
    <w:rsid w:val="7F7F1E1F"/>
    <w:rsid w:val="7F7F1ECD"/>
    <w:rsid w:val="7F7F538B"/>
    <w:rsid w:val="7F7F5FE8"/>
    <w:rsid w:val="7F7F7EFB"/>
    <w:rsid w:val="7F7F7F4E"/>
    <w:rsid w:val="7F7F9837"/>
    <w:rsid w:val="7F7FB8AD"/>
    <w:rsid w:val="7F7FBE07"/>
    <w:rsid w:val="7F7FD2BD"/>
    <w:rsid w:val="7F7FD4CA"/>
    <w:rsid w:val="7F7FDC3C"/>
    <w:rsid w:val="7F7FF27A"/>
    <w:rsid w:val="7F7FF88F"/>
    <w:rsid w:val="7F89BA09"/>
    <w:rsid w:val="7F8E3C43"/>
    <w:rsid w:val="7F8ED718"/>
    <w:rsid w:val="7F8F4429"/>
    <w:rsid w:val="7F8FDC3A"/>
    <w:rsid w:val="7F9709DF"/>
    <w:rsid w:val="7F972732"/>
    <w:rsid w:val="7F97E11D"/>
    <w:rsid w:val="7F992A53"/>
    <w:rsid w:val="7F999AAB"/>
    <w:rsid w:val="7F9AC9E9"/>
    <w:rsid w:val="7F9B7F67"/>
    <w:rsid w:val="7F9BB935"/>
    <w:rsid w:val="7F9BE427"/>
    <w:rsid w:val="7F9C23A9"/>
    <w:rsid w:val="7F9CCF59"/>
    <w:rsid w:val="7F9D9CA9"/>
    <w:rsid w:val="7F9F2A2F"/>
    <w:rsid w:val="7F9F46BA"/>
    <w:rsid w:val="7FA6719E"/>
    <w:rsid w:val="7FA7481C"/>
    <w:rsid w:val="7FAABA4C"/>
    <w:rsid w:val="7FAAD1A3"/>
    <w:rsid w:val="7FAB2EB4"/>
    <w:rsid w:val="7FAB7D3F"/>
    <w:rsid w:val="7FABC6DA"/>
    <w:rsid w:val="7FADC3F8"/>
    <w:rsid w:val="7FADE54B"/>
    <w:rsid w:val="7FAF00F5"/>
    <w:rsid w:val="7FAF133E"/>
    <w:rsid w:val="7FAF8069"/>
    <w:rsid w:val="7FAFD7AD"/>
    <w:rsid w:val="7FB1AB3C"/>
    <w:rsid w:val="7FB34B1E"/>
    <w:rsid w:val="7FB36453"/>
    <w:rsid w:val="7FB5E2EA"/>
    <w:rsid w:val="7FB719AB"/>
    <w:rsid w:val="7FB72C1A"/>
    <w:rsid w:val="7FB7B440"/>
    <w:rsid w:val="7FB7D1AF"/>
    <w:rsid w:val="7FB7D333"/>
    <w:rsid w:val="7FB7F944"/>
    <w:rsid w:val="7FB7FE4C"/>
    <w:rsid w:val="7FBA3B29"/>
    <w:rsid w:val="7FBB06E2"/>
    <w:rsid w:val="7FBB32AC"/>
    <w:rsid w:val="7FBB73AC"/>
    <w:rsid w:val="7FBB8573"/>
    <w:rsid w:val="7FBB9567"/>
    <w:rsid w:val="7FBC1F3D"/>
    <w:rsid w:val="7FBC973E"/>
    <w:rsid w:val="7FBCFD5A"/>
    <w:rsid w:val="7FBE925A"/>
    <w:rsid w:val="7FBEC4BF"/>
    <w:rsid w:val="7FBF1BD7"/>
    <w:rsid w:val="7FBF1F67"/>
    <w:rsid w:val="7FBF1FD4"/>
    <w:rsid w:val="7FBF30C7"/>
    <w:rsid w:val="7FBF40AA"/>
    <w:rsid w:val="7FBF4227"/>
    <w:rsid w:val="7FBF465B"/>
    <w:rsid w:val="7FBF4EFB"/>
    <w:rsid w:val="7FBF6EC5"/>
    <w:rsid w:val="7FBFA130"/>
    <w:rsid w:val="7FBFA2F0"/>
    <w:rsid w:val="7FBFACB4"/>
    <w:rsid w:val="7FBFAE7E"/>
    <w:rsid w:val="7FBFCA76"/>
    <w:rsid w:val="7FBFD010"/>
    <w:rsid w:val="7FBFD050"/>
    <w:rsid w:val="7FBFD7F8"/>
    <w:rsid w:val="7FBFE252"/>
    <w:rsid w:val="7FBFE9E3"/>
    <w:rsid w:val="7FC70EB6"/>
    <w:rsid w:val="7FC79370"/>
    <w:rsid w:val="7FCA1227"/>
    <w:rsid w:val="7FCB3F58"/>
    <w:rsid w:val="7FCB4612"/>
    <w:rsid w:val="7FCB86DB"/>
    <w:rsid w:val="7FCD90BD"/>
    <w:rsid w:val="7FCD9805"/>
    <w:rsid w:val="7FCDA416"/>
    <w:rsid w:val="7FCE0ECE"/>
    <w:rsid w:val="7FCF54E3"/>
    <w:rsid w:val="7FCF580B"/>
    <w:rsid w:val="7FCF9A18"/>
    <w:rsid w:val="7FCFFB90"/>
    <w:rsid w:val="7FD3244C"/>
    <w:rsid w:val="7FD38FEF"/>
    <w:rsid w:val="7FD75190"/>
    <w:rsid w:val="7FD769D8"/>
    <w:rsid w:val="7FD77C9F"/>
    <w:rsid w:val="7FD793DA"/>
    <w:rsid w:val="7FD7AC11"/>
    <w:rsid w:val="7FD7AE30"/>
    <w:rsid w:val="7FD7BF58"/>
    <w:rsid w:val="7FD8454E"/>
    <w:rsid w:val="7FDA2AF5"/>
    <w:rsid w:val="7FDA9234"/>
    <w:rsid w:val="7FDBCDC1"/>
    <w:rsid w:val="7FDC2D56"/>
    <w:rsid w:val="7FDD188B"/>
    <w:rsid w:val="7FDE0E14"/>
    <w:rsid w:val="7FDE2C33"/>
    <w:rsid w:val="7FDE6D16"/>
    <w:rsid w:val="7FDE980B"/>
    <w:rsid w:val="7FDF0016"/>
    <w:rsid w:val="7FDF085A"/>
    <w:rsid w:val="7FDF095D"/>
    <w:rsid w:val="7FDF30DB"/>
    <w:rsid w:val="7FDF4767"/>
    <w:rsid w:val="7FDF88CF"/>
    <w:rsid w:val="7FDF90CA"/>
    <w:rsid w:val="7FDF9545"/>
    <w:rsid w:val="7FDF9983"/>
    <w:rsid w:val="7FDFB446"/>
    <w:rsid w:val="7FDFCE0B"/>
    <w:rsid w:val="7FE3443A"/>
    <w:rsid w:val="7FE3C157"/>
    <w:rsid w:val="7FE4C424"/>
    <w:rsid w:val="7FE700F1"/>
    <w:rsid w:val="7FE7201E"/>
    <w:rsid w:val="7FE74DFF"/>
    <w:rsid w:val="7FE75030"/>
    <w:rsid w:val="7FE7E96C"/>
    <w:rsid w:val="7FE7F428"/>
    <w:rsid w:val="7FE8E5DD"/>
    <w:rsid w:val="7FEA2709"/>
    <w:rsid w:val="7FEA3035"/>
    <w:rsid w:val="7FEBF9B2"/>
    <w:rsid w:val="7FEC99F9"/>
    <w:rsid w:val="7FED4D1E"/>
    <w:rsid w:val="7FEDE5C4"/>
    <w:rsid w:val="7FEDFB3D"/>
    <w:rsid w:val="7FEE15CC"/>
    <w:rsid w:val="7FEE16C7"/>
    <w:rsid w:val="7FEE39FB"/>
    <w:rsid w:val="7FEE4619"/>
    <w:rsid w:val="7FEE812E"/>
    <w:rsid w:val="7FEED944"/>
    <w:rsid w:val="7FEF6D31"/>
    <w:rsid w:val="7FEF72CF"/>
    <w:rsid w:val="7FEF7527"/>
    <w:rsid w:val="7FEF79AA"/>
    <w:rsid w:val="7FEF88FC"/>
    <w:rsid w:val="7FEFC35C"/>
    <w:rsid w:val="7FEFC9A0"/>
    <w:rsid w:val="7FEFD8F1"/>
    <w:rsid w:val="7FEFE566"/>
    <w:rsid w:val="7FEFFD7B"/>
    <w:rsid w:val="7FF009A8"/>
    <w:rsid w:val="7FF30BB1"/>
    <w:rsid w:val="7FF35B7D"/>
    <w:rsid w:val="7FF366DA"/>
    <w:rsid w:val="7FF3882C"/>
    <w:rsid w:val="7FF3BF1D"/>
    <w:rsid w:val="7FF3C378"/>
    <w:rsid w:val="7FF4B2AF"/>
    <w:rsid w:val="7FF4D440"/>
    <w:rsid w:val="7FF504C7"/>
    <w:rsid w:val="7FF53BF0"/>
    <w:rsid w:val="7FF545BA"/>
    <w:rsid w:val="7FF5460E"/>
    <w:rsid w:val="7FF547EC"/>
    <w:rsid w:val="7FF58FCC"/>
    <w:rsid w:val="7FF5A68C"/>
    <w:rsid w:val="7FF5FF07"/>
    <w:rsid w:val="7FF689C6"/>
    <w:rsid w:val="7FF6993C"/>
    <w:rsid w:val="7FF70A88"/>
    <w:rsid w:val="7FF72A6C"/>
    <w:rsid w:val="7FF72C74"/>
    <w:rsid w:val="7FF73053"/>
    <w:rsid w:val="7FF75CD0"/>
    <w:rsid w:val="7FF76BB8"/>
    <w:rsid w:val="7FF7832B"/>
    <w:rsid w:val="7FF7B081"/>
    <w:rsid w:val="7FF7BA89"/>
    <w:rsid w:val="7FF7F39F"/>
    <w:rsid w:val="7FF7FA48"/>
    <w:rsid w:val="7FF825D3"/>
    <w:rsid w:val="7FF8A8B3"/>
    <w:rsid w:val="7FF8B13F"/>
    <w:rsid w:val="7FF924EA"/>
    <w:rsid w:val="7FF96231"/>
    <w:rsid w:val="7FF9BB63"/>
    <w:rsid w:val="7FF9E1E4"/>
    <w:rsid w:val="7FFA129E"/>
    <w:rsid w:val="7FFA1744"/>
    <w:rsid w:val="7FFA69F5"/>
    <w:rsid w:val="7FFA9EAA"/>
    <w:rsid w:val="7FFAA057"/>
    <w:rsid w:val="7FFAE34C"/>
    <w:rsid w:val="7FFAE6F7"/>
    <w:rsid w:val="7FFB0ED9"/>
    <w:rsid w:val="7FFB17CD"/>
    <w:rsid w:val="7FFB24DD"/>
    <w:rsid w:val="7FFB2663"/>
    <w:rsid w:val="7FFB49CC"/>
    <w:rsid w:val="7FFB75E7"/>
    <w:rsid w:val="7FFB7AD4"/>
    <w:rsid w:val="7FFB7BCA"/>
    <w:rsid w:val="7FFBC4B8"/>
    <w:rsid w:val="7FFC64F9"/>
    <w:rsid w:val="7FFCE6AD"/>
    <w:rsid w:val="7FFCEDB7"/>
    <w:rsid w:val="7FFCFBA4"/>
    <w:rsid w:val="7FFCFFCD"/>
    <w:rsid w:val="7FFD2726"/>
    <w:rsid w:val="7FFD4B9A"/>
    <w:rsid w:val="7FFD4FFD"/>
    <w:rsid w:val="7FFD7037"/>
    <w:rsid w:val="7FFD8D33"/>
    <w:rsid w:val="7FFDAD4D"/>
    <w:rsid w:val="7FFDDC96"/>
    <w:rsid w:val="7FFDE066"/>
    <w:rsid w:val="7FFE053F"/>
    <w:rsid w:val="7FFE1B38"/>
    <w:rsid w:val="7FFE391D"/>
    <w:rsid w:val="7FFE52DA"/>
    <w:rsid w:val="7FFE5FD4"/>
    <w:rsid w:val="7FFE7DCE"/>
    <w:rsid w:val="7FFE9BFF"/>
    <w:rsid w:val="7FFED8A2"/>
    <w:rsid w:val="7FFF0F4E"/>
    <w:rsid w:val="7FFF10E8"/>
    <w:rsid w:val="7FFF15C7"/>
    <w:rsid w:val="7FFF1B60"/>
    <w:rsid w:val="7FFF1D7D"/>
    <w:rsid w:val="7FFF2826"/>
    <w:rsid w:val="7FFF334C"/>
    <w:rsid w:val="7FFF3645"/>
    <w:rsid w:val="7FFF453F"/>
    <w:rsid w:val="7FFF4795"/>
    <w:rsid w:val="7FFF4C0A"/>
    <w:rsid w:val="7FFF543A"/>
    <w:rsid w:val="7FFF5745"/>
    <w:rsid w:val="7FFF62BA"/>
    <w:rsid w:val="7FFF6404"/>
    <w:rsid w:val="7FFF668C"/>
    <w:rsid w:val="7FFF7FB3"/>
    <w:rsid w:val="7FFF85C0"/>
    <w:rsid w:val="7FFF925C"/>
    <w:rsid w:val="7FFF97F4"/>
    <w:rsid w:val="7FFF9DAB"/>
    <w:rsid w:val="7FFF9EAD"/>
    <w:rsid w:val="7FFFA026"/>
    <w:rsid w:val="7FFFC3CD"/>
    <w:rsid w:val="7FFFC5C4"/>
    <w:rsid w:val="7FFFC716"/>
    <w:rsid w:val="7FFFCBEF"/>
    <w:rsid w:val="7FFFD39F"/>
    <w:rsid w:val="7FFFD3ED"/>
    <w:rsid w:val="7FFFD5C4"/>
    <w:rsid w:val="7FFFDAED"/>
    <w:rsid w:val="7FFFDBE6"/>
    <w:rsid w:val="7FFFE8A3"/>
    <w:rsid w:val="7FFFF13C"/>
    <w:rsid w:val="7FFFF79F"/>
    <w:rsid w:val="81AF820E"/>
    <w:rsid w:val="82FF9A71"/>
    <w:rsid w:val="83BF0702"/>
    <w:rsid w:val="83DF6847"/>
    <w:rsid w:val="853F2776"/>
    <w:rsid w:val="85F54600"/>
    <w:rsid w:val="867D3B45"/>
    <w:rsid w:val="86CFBAB3"/>
    <w:rsid w:val="86F76F11"/>
    <w:rsid w:val="877B46AE"/>
    <w:rsid w:val="87BC0D75"/>
    <w:rsid w:val="897DAC34"/>
    <w:rsid w:val="897E579B"/>
    <w:rsid w:val="89EF7C46"/>
    <w:rsid w:val="8AFFC5CF"/>
    <w:rsid w:val="8BDA8A0B"/>
    <w:rsid w:val="8BE20D64"/>
    <w:rsid w:val="8BF328D1"/>
    <w:rsid w:val="8BFF829D"/>
    <w:rsid w:val="8CBF39D0"/>
    <w:rsid w:val="8CF75BBB"/>
    <w:rsid w:val="8D1FB06A"/>
    <w:rsid w:val="8D6B00A6"/>
    <w:rsid w:val="8DCFB847"/>
    <w:rsid w:val="8DE7F2EB"/>
    <w:rsid w:val="8DEEBE10"/>
    <w:rsid w:val="8DF71557"/>
    <w:rsid w:val="8DFD2A38"/>
    <w:rsid w:val="8E7BA83E"/>
    <w:rsid w:val="8EC7E014"/>
    <w:rsid w:val="8EEF7606"/>
    <w:rsid w:val="8EFF4FE4"/>
    <w:rsid w:val="8F7AAD64"/>
    <w:rsid w:val="8F7D01CE"/>
    <w:rsid w:val="8F9714BD"/>
    <w:rsid w:val="8FDD1A7D"/>
    <w:rsid w:val="8FE45B9F"/>
    <w:rsid w:val="8FF353AF"/>
    <w:rsid w:val="8FF7927A"/>
    <w:rsid w:val="8FFA32B4"/>
    <w:rsid w:val="8FFCF88E"/>
    <w:rsid w:val="8FFE5941"/>
    <w:rsid w:val="8FFFE9B6"/>
    <w:rsid w:val="91EFA813"/>
    <w:rsid w:val="927F6A8E"/>
    <w:rsid w:val="93B9EBA9"/>
    <w:rsid w:val="93CD0E1A"/>
    <w:rsid w:val="93E6CF5E"/>
    <w:rsid w:val="93F30ABB"/>
    <w:rsid w:val="94FF00C4"/>
    <w:rsid w:val="9663AA25"/>
    <w:rsid w:val="969D1066"/>
    <w:rsid w:val="96F9B148"/>
    <w:rsid w:val="96FCE072"/>
    <w:rsid w:val="975386E0"/>
    <w:rsid w:val="975F6A81"/>
    <w:rsid w:val="977E9BBA"/>
    <w:rsid w:val="979DCAA2"/>
    <w:rsid w:val="97BB1832"/>
    <w:rsid w:val="97BF48F0"/>
    <w:rsid w:val="97E9A6A8"/>
    <w:rsid w:val="97EF145D"/>
    <w:rsid w:val="97F52E6D"/>
    <w:rsid w:val="97F69E40"/>
    <w:rsid w:val="97FE34F1"/>
    <w:rsid w:val="97FFE916"/>
    <w:rsid w:val="984FB4D9"/>
    <w:rsid w:val="98BFDE5F"/>
    <w:rsid w:val="99E7BD62"/>
    <w:rsid w:val="9AB91ED8"/>
    <w:rsid w:val="9ABF7A38"/>
    <w:rsid w:val="9AEB6DFD"/>
    <w:rsid w:val="9AF346C7"/>
    <w:rsid w:val="9AF34E9A"/>
    <w:rsid w:val="9AFF8E71"/>
    <w:rsid w:val="9AFFA51D"/>
    <w:rsid w:val="9AFFCE7A"/>
    <w:rsid w:val="9B19143F"/>
    <w:rsid w:val="9B1E6688"/>
    <w:rsid w:val="9B761A8C"/>
    <w:rsid w:val="9B7BEFDC"/>
    <w:rsid w:val="9B7C7D6C"/>
    <w:rsid w:val="9BDF32F6"/>
    <w:rsid w:val="9BEF7C27"/>
    <w:rsid w:val="9BFD35DA"/>
    <w:rsid w:val="9BFFF384"/>
    <w:rsid w:val="9C76AD62"/>
    <w:rsid w:val="9CAB7441"/>
    <w:rsid w:val="9D3DAA9D"/>
    <w:rsid w:val="9D5F5141"/>
    <w:rsid w:val="9D7F37D7"/>
    <w:rsid w:val="9D87B0E1"/>
    <w:rsid w:val="9DA6B042"/>
    <w:rsid w:val="9DDDA198"/>
    <w:rsid w:val="9DE5BF62"/>
    <w:rsid w:val="9DEFEA8B"/>
    <w:rsid w:val="9DFED899"/>
    <w:rsid w:val="9DFF5278"/>
    <w:rsid w:val="9DFF62B0"/>
    <w:rsid w:val="9E2FE0D8"/>
    <w:rsid w:val="9E331402"/>
    <w:rsid w:val="9E36157B"/>
    <w:rsid w:val="9E57C516"/>
    <w:rsid w:val="9E6B14EE"/>
    <w:rsid w:val="9E7B2FF6"/>
    <w:rsid w:val="9E7C869D"/>
    <w:rsid w:val="9E7FDB2D"/>
    <w:rsid w:val="9EF593CD"/>
    <w:rsid w:val="9EF7111F"/>
    <w:rsid w:val="9EFF5F36"/>
    <w:rsid w:val="9EFFD332"/>
    <w:rsid w:val="9F0BD6E5"/>
    <w:rsid w:val="9F2D851C"/>
    <w:rsid w:val="9F3F26F3"/>
    <w:rsid w:val="9F3F8B80"/>
    <w:rsid w:val="9F55B70E"/>
    <w:rsid w:val="9F5F54E5"/>
    <w:rsid w:val="9F5FB9B9"/>
    <w:rsid w:val="9F762A6D"/>
    <w:rsid w:val="9F7BA11E"/>
    <w:rsid w:val="9F7F2292"/>
    <w:rsid w:val="9F7FC2BE"/>
    <w:rsid w:val="9F7FF8C9"/>
    <w:rsid w:val="9F8E873F"/>
    <w:rsid w:val="9F9F6EAC"/>
    <w:rsid w:val="9FA7F08A"/>
    <w:rsid w:val="9FAEB3B2"/>
    <w:rsid w:val="9FB21D93"/>
    <w:rsid w:val="9FBEDFEA"/>
    <w:rsid w:val="9FBEF031"/>
    <w:rsid w:val="9FBF5478"/>
    <w:rsid w:val="9FBFC0E4"/>
    <w:rsid w:val="9FCB64DA"/>
    <w:rsid w:val="9FDDE224"/>
    <w:rsid w:val="9FDF856D"/>
    <w:rsid w:val="9FEFDC49"/>
    <w:rsid w:val="9FF227E6"/>
    <w:rsid w:val="9FF70104"/>
    <w:rsid w:val="9FF70355"/>
    <w:rsid w:val="9FF736C2"/>
    <w:rsid w:val="9FF7AF56"/>
    <w:rsid w:val="9FF7C67A"/>
    <w:rsid w:val="9FF996C8"/>
    <w:rsid w:val="9FFB7D8A"/>
    <w:rsid w:val="9FFBB208"/>
    <w:rsid w:val="9FFD0D77"/>
    <w:rsid w:val="9FFDECFA"/>
    <w:rsid w:val="9FFE6E69"/>
    <w:rsid w:val="9FFECA87"/>
    <w:rsid w:val="9FFF495D"/>
    <w:rsid w:val="A12FEF37"/>
    <w:rsid w:val="A15F099B"/>
    <w:rsid w:val="A2BF32A9"/>
    <w:rsid w:val="A35A7912"/>
    <w:rsid w:val="A37DCF79"/>
    <w:rsid w:val="A37ED25B"/>
    <w:rsid w:val="A37F8F9A"/>
    <w:rsid w:val="A3B77742"/>
    <w:rsid w:val="A3BF10F2"/>
    <w:rsid w:val="A3BF76D7"/>
    <w:rsid w:val="A3FE5952"/>
    <w:rsid w:val="A4DFAC9B"/>
    <w:rsid w:val="A4FE728E"/>
    <w:rsid w:val="A4FF1024"/>
    <w:rsid w:val="A56F29F7"/>
    <w:rsid w:val="A59795B4"/>
    <w:rsid w:val="A59B8CB0"/>
    <w:rsid w:val="A5C7545F"/>
    <w:rsid w:val="A5FFBD41"/>
    <w:rsid w:val="A66E52EB"/>
    <w:rsid w:val="A6ABC783"/>
    <w:rsid w:val="A737193F"/>
    <w:rsid w:val="A75705D0"/>
    <w:rsid w:val="A75EF2E6"/>
    <w:rsid w:val="A772D2E7"/>
    <w:rsid w:val="A774DB5B"/>
    <w:rsid w:val="A777A6DD"/>
    <w:rsid w:val="A77AE160"/>
    <w:rsid w:val="A7AFBE2E"/>
    <w:rsid w:val="A7BB802B"/>
    <w:rsid w:val="A7DF13ED"/>
    <w:rsid w:val="A83B8339"/>
    <w:rsid w:val="A96F16EC"/>
    <w:rsid w:val="A9B2FC1C"/>
    <w:rsid w:val="A9E29F58"/>
    <w:rsid w:val="A9F3FF79"/>
    <w:rsid w:val="A9F7C40F"/>
    <w:rsid w:val="A9F7D017"/>
    <w:rsid w:val="A9F81496"/>
    <w:rsid w:val="A9FFCF9D"/>
    <w:rsid w:val="AABB5960"/>
    <w:rsid w:val="AAFF61A3"/>
    <w:rsid w:val="AAFF833D"/>
    <w:rsid w:val="AB37C5AC"/>
    <w:rsid w:val="AB7FD78F"/>
    <w:rsid w:val="AB8DFA09"/>
    <w:rsid w:val="ABA76762"/>
    <w:rsid w:val="ABAF42D9"/>
    <w:rsid w:val="ABB44D5B"/>
    <w:rsid w:val="ABBB37F2"/>
    <w:rsid w:val="ABBB8C44"/>
    <w:rsid w:val="ABBBDB3F"/>
    <w:rsid w:val="ABF50923"/>
    <w:rsid w:val="ABF9FBB4"/>
    <w:rsid w:val="ABFA63C7"/>
    <w:rsid w:val="ABFB7365"/>
    <w:rsid w:val="ABFD8919"/>
    <w:rsid w:val="ABFEAE6C"/>
    <w:rsid w:val="ABFF15B3"/>
    <w:rsid w:val="ACFAAA74"/>
    <w:rsid w:val="AD4F8E1B"/>
    <w:rsid w:val="AD530ED3"/>
    <w:rsid w:val="AD658760"/>
    <w:rsid w:val="AD734DDF"/>
    <w:rsid w:val="AD77D29A"/>
    <w:rsid w:val="AD7D55A3"/>
    <w:rsid w:val="AD7EEF2D"/>
    <w:rsid w:val="ADB7261A"/>
    <w:rsid w:val="ADD51085"/>
    <w:rsid w:val="ADEF79B9"/>
    <w:rsid w:val="ADF6539B"/>
    <w:rsid w:val="ADF785AD"/>
    <w:rsid w:val="ADFDCA58"/>
    <w:rsid w:val="ADFF733E"/>
    <w:rsid w:val="ADFF73C8"/>
    <w:rsid w:val="AE2B03BA"/>
    <w:rsid w:val="AE2E0A9B"/>
    <w:rsid w:val="AE8F916C"/>
    <w:rsid w:val="AEA1FF6C"/>
    <w:rsid w:val="AEA63EF1"/>
    <w:rsid w:val="AEAF8940"/>
    <w:rsid w:val="AEAFC6FF"/>
    <w:rsid w:val="AEB5ECE5"/>
    <w:rsid w:val="AEB7E3B2"/>
    <w:rsid w:val="AEBA2835"/>
    <w:rsid w:val="AED747EA"/>
    <w:rsid w:val="AEDF076C"/>
    <w:rsid w:val="AEEB2803"/>
    <w:rsid w:val="AEECA69B"/>
    <w:rsid w:val="AEF7208B"/>
    <w:rsid w:val="AEF9D48F"/>
    <w:rsid w:val="AEFE83F2"/>
    <w:rsid w:val="AF5B031C"/>
    <w:rsid w:val="AF5B0C17"/>
    <w:rsid w:val="AF6627B6"/>
    <w:rsid w:val="AF6F7320"/>
    <w:rsid w:val="AF6FA64C"/>
    <w:rsid w:val="AF7BAB01"/>
    <w:rsid w:val="AF7BCE00"/>
    <w:rsid w:val="AF7DAC75"/>
    <w:rsid w:val="AF7E64A5"/>
    <w:rsid w:val="AF7F51BA"/>
    <w:rsid w:val="AF81C1C9"/>
    <w:rsid w:val="AF8EEE31"/>
    <w:rsid w:val="AFBBB429"/>
    <w:rsid w:val="AFBEF46E"/>
    <w:rsid w:val="AFC70394"/>
    <w:rsid w:val="AFCE4C1A"/>
    <w:rsid w:val="AFCF2F2A"/>
    <w:rsid w:val="AFCF2F46"/>
    <w:rsid w:val="AFCF4D28"/>
    <w:rsid w:val="AFCF4DE7"/>
    <w:rsid w:val="AFD7F8E9"/>
    <w:rsid w:val="AFDF5787"/>
    <w:rsid w:val="AFDF7CDA"/>
    <w:rsid w:val="AFDFF309"/>
    <w:rsid w:val="AFE7B5EE"/>
    <w:rsid w:val="AFF3DC4A"/>
    <w:rsid w:val="AFFC53F9"/>
    <w:rsid w:val="AFFE2FAF"/>
    <w:rsid w:val="AFFE5BC0"/>
    <w:rsid w:val="AFFE95AC"/>
    <w:rsid w:val="AFFF1C8C"/>
    <w:rsid w:val="AFFF4162"/>
    <w:rsid w:val="AFFF62D8"/>
    <w:rsid w:val="AFFF86CE"/>
    <w:rsid w:val="AFFF9485"/>
    <w:rsid w:val="AFFF99E0"/>
    <w:rsid w:val="AFFFE676"/>
    <w:rsid w:val="AFFFEE62"/>
    <w:rsid w:val="AFFFF5DC"/>
    <w:rsid w:val="B07E42DB"/>
    <w:rsid w:val="B1787C01"/>
    <w:rsid w:val="B17B5E88"/>
    <w:rsid w:val="B1AF4DD7"/>
    <w:rsid w:val="B2732169"/>
    <w:rsid w:val="B2A5AD02"/>
    <w:rsid w:val="B2FD4266"/>
    <w:rsid w:val="B33D9029"/>
    <w:rsid w:val="B33EC510"/>
    <w:rsid w:val="B371A8ED"/>
    <w:rsid w:val="B37657C4"/>
    <w:rsid w:val="B3B35549"/>
    <w:rsid w:val="B3BF9F87"/>
    <w:rsid w:val="B3E7B2E1"/>
    <w:rsid w:val="B3E7C087"/>
    <w:rsid w:val="B3ED7DE1"/>
    <w:rsid w:val="B3F235DD"/>
    <w:rsid w:val="B3F3D84F"/>
    <w:rsid w:val="B3F5E808"/>
    <w:rsid w:val="B3F63C48"/>
    <w:rsid w:val="B3FB8384"/>
    <w:rsid w:val="B4370D17"/>
    <w:rsid w:val="B43B679E"/>
    <w:rsid w:val="B4EE71D6"/>
    <w:rsid w:val="B4F55CF9"/>
    <w:rsid w:val="B4F887BA"/>
    <w:rsid w:val="B4FFE76D"/>
    <w:rsid w:val="B53576A6"/>
    <w:rsid w:val="B55B4D29"/>
    <w:rsid w:val="B55E0455"/>
    <w:rsid w:val="B57CD90C"/>
    <w:rsid w:val="B57FDB30"/>
    <w:rsid w:val="B59621FC"/>
    <w:rsid w:val="B5BB4BEC"/>
    <w:rsid w:val="B5CFF43A"/>
    <w:rsid w:val="B5DF0A18"/>
    <w:rsid w:val="B5F28B0A"/>
    <w:rsid w:val="B5F9C483"/>
    <w:rsid w:val="B5FB4338"/>
    <w:rsid w:val="B5FD1E11"/>
    <w:rsid w:val="B5FDA41E"/>
    <w:rsid w:val="B5FE5E47"/>
    <w:rsid w:val="B5FFF234"/>
    <w:rsid w:val="B63BF2C2"/>
    <w:rsid w:val="B63C028F"/>
    <w:rsid w:val="B63CEB86"/>
    <w:rsid w:val="B65BA8F0"/>
    <w:rsid w:val="B65EE666"/>
    <w:rsid w:val="B67FD3D3"/>
    <w:rsid w:val="B6BFA700"/>
    <w:rsid w:val="B6EF93B3"/>
    <w:rsid w:val="B6F7D536"/>
    <w:rsid w:val="B6F95BF3"/>
    <w:rsid w:val="B6FF714D"/>
    <w:rsid w:val="B757A197"/>
    <w:rsid w:val="B75F0FCE"/>
    <w:rsid w:val="B75F84DE"/>
    <w:rsid w:val="B76677BF"/>
    <w:rsid w:val="B76DA23B"/>
    <w:rsid w:val="B7737484"/>
    <w:rsid w:val="B77E530E"/>
    <w:rsid w:val="B77EE0CB"/>
    <w:rsid w:val="B79B0B65"/>
    <w:rsid w:val="B79F35B3"/>
    <w:rsid w:val="B7A0684B"/>
    <w:rsid w:val="B7BD99B5"/>
    <w:rsid w:val="B7BF26C7"/>
    <w:rsid w:val="B7BF5B2B"/>
    <w:rsid w:val="B7BFA794"/>
    <w:rsid w:val="B7D78E77"/>
    <w:rsid w:val="B7DB3349"/>
    <w:rsid w:val="B7DF028E"/>
    <w:rsid w:val="B7DFE762"/>
    <w:rsid w:val="B7E9E1D3"/>
    <w:rsid w:val="B7E9F0E9"/>
    <w:rsid w:val="B7ED69ED"/>
    <w:rsid w:val="B7EFAD53"/>
    <w:rsid w:val="B7F38818"/>
    <w:rsid w:val="B7F6C784"/>
    <w:rsid w:val="B7F76168"/>
    <w:rsid w:val="B7F9504F"/>
    <w:rsid w:val="B7FBF38C"/>
    <w:rsid w:val="B7FD970D"/>
    <w:rsid w:val="B7FD98E7"/>
    <w:rsid w:val="B7FDA5F8"/>
    <w:rsid w:val="B7FE5021"/>
    <w:rsid w:val="B7FEA8EC"/>
    <w:rsid w:val="B7FEB9C8"/>
    <w:rsid w:val="B7FF0287"/>
    <w:rsid w:val="B7FF3586"/>
    <w:rsid w:val="B7FFD154"/>
    <w:rsid w:val="B877EF75"/>
    <w:rsid w:val="B8ADAA12"/>
    <w:rsid w:val="B8BA5479"/>
    <w:rsid w:val="B8CF36E9"/>
    <w:rsid w:val="B8FFAB64"/>
    <w:rsid w:val="B93D4BA9"/>
    <w:rsid w:val="B9690448"/>
    <w:rsid w:val="B9BAF847"/>
    <w:rsid w:val="B9BFAD85"/>
    <w:rsid w:val="B9DBE35B"/>
    <w:rsid w:val="B9EFF8CC"/>
    <w:rsid w:val="B9F27DF4"/>
    <w:rsid w:val="B9F70D5A"/>
    <w:rsid w:val="B9F755D9"/>
    <w:rsid w:val="B9F83922"/>
    <w:rsid w:val="B9FF0C50"/>
    <w:rsid w:val="B9FF61C3"/>
    <w:rsid w:val="B9FFE75D"/>
    <w:rsid w:val="BA5FFAB0"/>
    <w:rsid w:val="BA771CDB"/>
    <w:rsid w:val="BA7F79E0"/>
    <w:rsid w:val="BA9B0449"/>
    <w:rsid w:val="BA9D1EAE"/>
    <w:rsid w:val="BA9FBF6B"/>
    <w:rsid w:val="BAAFA7E4"/>
    <w:rsid w:val="BAD3C8B7"/>
    <w:rsid w:val="BADD6E93"/>
    <w:rsid w:val="BAED6B60"/>
    <w:rsid w:val="BAFB4C68"/>
    <w:rsid w:val="BAFD8CB6"/>
    <w:rsid w:val="BAFF0FE8"/>
    <w:rsid w:val="BAFF1448"/>
    <w:rsid w:val="BAFF47DD"/>
    <w:rsid w:val="BAFF909C"/>
    <w:rsid w:val="BB1E712A"/>
    <w:rsid w:val="BB77B1A9"/>
    <w:rsid w:val="BB7ACFB1"/>
    <w:rsid w:val="BB7BB8AE"/>
    <w:rsid w:val="BB7EC994"/>
    <w:rsid w:val="BB8F26CD"/>
    <w:rsid w:val="BBAE2D75"/>
    <w:rsid w:val="BBB3DDAA"/>
    <w:rsid w:val="BBB72FDE"/>
    <w:rsid w:val="BBB7AD06"/>
    <w:rsid w:val="BBBAB37C"/>
    <w:rsid w:val="BBBBAEC4"/>
    <w:rsid w:val="BBCF8B9D"/>
    <w:rsid w:val="BBD15C81"/>
    <w:rsid w:val="BBDDC7AB"/>
    <w:rsid w:val="BBDFBEAA"/>
    <w:rsid w:val="BBEE0FE9"/>
    <w:rsid w:val="BBEE3C75"/>
    <w:rsid w:val="BBF33F0E"/>
    <w:rsid w:val="BBF73B6A"/>
    <w:rsid w:val="BBF76F52"/>
    <w:rsid w:val="BBF7F9A2"/>
    <w:rsid w:val="BBFB8375"/>
    <w:rsid w:val="BBFE4F24"/>
    <w:rsid w:val="BBFF6A52"/>
    <w:rsid w:val="BBFF7678"/>
    <w:rsid w:val="BBFFD105"/>
    <w:rsid w:val="BBFFDA41"/>
    <w:rsid w:val="BBFFE847"/>
    <w:rsid w:val="BC16A6BF"/>
    <w:rsid w:val="BC1F0FF1"/>
    <w:rsid w:val="BC3F821C"/>
    <w:rsid w:val="BC754B55"/>
    <w:rsid w:val="BC7FACF4"/>
    <w:rsid w:val="BC9E41CC"/>
    <w:rsid w:val="BCA58959"/>
    <w:rsid w:val="BCE79350"/>
    <w:rsid w:val="BCEF4C51"/>
    <w:rsid w:val="BCEF9E69"/>
    <w:rsid w:val="BCF275FF"/>
    <w:rsid w:val="BCFBEEAA"/>
    <w:rsid w:val="BCFF419A"/>
    <w:rsid w:val="BCFFA28C"/>
    <w:rsid w:val="BD3FAF8C"/>
    <w:rsid w:val="BD56D54E"/>
    <w:rsid w:val="BD5F5CCB"/>
    <w:rsid w:val="BD65E250"/>
    <w:rsid w:val="BD6A860E"/>
    <w:rsid w:val="BD782FC1"/>
    <w:rsid w:val="BD7AFF58"/>
    <w:rsid w:val="BD7B7E5D"/>
    <w:rsid w:val="BD7DC632"/>
    <w:rsid w:val="BD7F2615"/>
    <w:rsid w:val="BD9927CA"/>
    <w:rsid w:val="BDA4D755"/>
    <w:rsid w:val="BDAA4486"/>
    <w:rsid w:val="BDB7E1BA"/>
    <w:rsid w:val="BDBA77C1"/>
    <w:rsid w:val="BDBD5531"/>
    <w:rsid w:val="BDCE5FD9"/>
    <w:rsid w:val="BDD367FD"/>
    <w:rsid w:val="BDD9258D"/>
    <w:rsid w:val="BDDD10CE"/>
    <w:rsid w:val="BDDE3898"/>
    <w:rsid w:val="BDDE6BAC"/>
    <w:rsid w:val="BDDEA20E"/>
    <w:rsid w:val="BDEB11C9"/>
    <w:rsid w:val="BDF2DC4A"/>
    <w:rsid w:val="BDF5CB68"/>
    <w:rsid w:val="BDF6BE57"/>
    <w:rsid w:val="BDF747D2"/>
    <w:rsid w:val="BDF7F163"/>
    <w:rsid w:val="BDFA2B86"/>
    <w:rsid w:val="BDFA61E1"/>
    <w:rsid w:val="BDFD0D47"/>
    <w:rsid w:val="BDFD6C9A"/>
    <w:rsid w:val="BDFF15B3"/>
    <w:rsid w:val="BDFF2574"/>
    <w:rsid w:val="BDFF41EC"/>
    <w:rsid w:val="BDFF779B"/>
    <w:rsid w:val="BDFFA21F"/>
    <w:rsid w:val="BDFFB7B2"/>
    <w:rsid w:val="BDFFD431"/>
    <w:rsid w:val="BDFFFB4A"/>
    <w:rsid w:val="BE1E813B"/>
    <w:rsid w:val="BE37785D"/>
    <w:rsid w:val="BE43C189"/>
    <w:rsid w:val="BE57F31F"/>
    <w:rsid w:val="BE6B317F"/>
    <w:rsid w:val="BE73ECCE"/>
    <w:rsid w:val="BE7FC687"/>
    <w:rsid w:val="BE9944E8"/>
    <w:rsid w:val="BEB2F63F"/>
    <w:rsid w:val="BEB487C9"/>
    <w:rsid w:val="BEBF3075"/>
    <w:rsid w:val="BEBF6493"/>
    <w:rsid w:val="BEC1BFFF"/>
    <w:rsid w:val="BECA35DF"/>
    <w:rsid w:val="BECF5D26"/>
    <w:rsid w:val="BEDA217C"/>
    <w:rsid w:val="BEDA2A7D"/>
    <w:rsid w:val="BEDB2011"/>
    <w:rsid w:val="BEDB3FFA"/>
    <w:rsid w:val="BEDEC0B9"/>
    <w:rsid w:val="BEDF22DD"/>
    <w:rsid w:val="BEE7B50A"/>
    <w:rsid w:val="BEE91671"/>
    <w:rsid w:val="BEEB46FE"/>
    <w:rsid w:val="BEEEA8C4"/>
    <w:rsid w:val="BEEF2718"/>
    <w:rsid w:val="BEEF67FF"/>
    <w:rsid w:val="BEF5BFE9"/>
    <w:rsid w:val="BEF71ACB"/>
    <w:rsid w:val="BEF780F3"/>
    <w:rsid w:val="BEF7DD21"/>
    <w:rsid w:val="BEF9093B"/>
    <w:rsid w:val="BEFA8110"/>
    <w:rsid w:val="BEFC6368"/>
    <w:rsid w:val="BEFC695A"/>
    <w:rsid w:val="BEFE79A4"/>
    <w:rsid w:val="BEFE98A8"/>
    <w:rsid w:val="BEFF007F"/>
    <w:rsid w:val="BEFF1097"/>
    <w:rsid w:val="BEFF225E"/>
    <w:rsid w:val="BEFF65F9"/>
    <w:rsid w:val="BEFFC623"/>
    <w:rsid w:val="BEFFCE46"/>
    <w:rsid w:val="BEFFD30D"/>
    <w:rsid w:val="BF0F98BE"/>
    <w:rsid w:val="BF174A74"/>
    <w:rsid w:val="BF1FEAA3"/>
    <w:rsid w:val="BF274B2E"/>
    <w:rsid w:val="BF2B4FB9"/>
    <w:rsid w:val="BF2D4B01"/>
    <w:rsid w:val="BF37F4F3"/>
    <w:rsid w:val="BF3B01C1"/>
    <w:rsid w:val="BF3F12AB"/>
    <w:rsid w:val="BF51758E"/>
    <w:rsid w:val="BF530965"/>
    <w:rsid w:val="BF57A365"/>
    <w:rsid w:val="BF5AA7F0"/>
    <w:rsid w:val="BF5FF993"/>
    <w:rsid w:val="BF6301D9"/>
    <w:rsid w:val="BF635651"/>
    <w:rsid w:val="BF63613A"/>
    <w:rsid w:val="BF6F8C42"/>
    <w:rsid w:val="BF723E25"/>
    <w:rsid w:val="BF752A84"/>
    <w:rsid w:val="BF7567DD"/>
    <w:rsid w:val="BF75D172"/>
    <w:rsid w:val="BF796905"/>
    <w:rsid w:val="BF7B5B2E"/>
    <w:rsid w:val="BF7CC57C"/>
    <w:rsid w:val="BF7D19B2"/>
    <w:rsid w:val="BF7D2375"/>
    <w:rsid w:val="BF7D2820"/>
    <w:rsid w:val="BF7E9779"/>
    <w:rsid w:val="BF7EA171"/>
    <w:rsid w:val="BF7F5DD7"/>
    <w:rsid w:val="BF7F7FB6"/>
    <w:rsid w:val="BF9A32FF"/>
    <w:rsid w:val="BF9BB3B0"/>
    <w:rsid w:val="BF9F7556"/>
    <w:rsid w:val="BF9F89C1"/>
    <w:rsid w:val="BF9FE44A"/>
    <w:rsid w:val="BFA2B710"/>
    <w:rsid w:val="BFAEE947"/>
    <w:rsid w:val="BFAF4FCD"/>
    <w:rsid w:val="BFB39D64"/>
    <w:rsid w:val="BFB7CA15"/>
    <w:rsid w:val="BFBB30C7"/>
    <w:rsid w:val="BFBD57A0"/>
    <w:rsid w:val="BFBE127F"/>
    <w:rsid w:val="BFBE7A01"/>
    <w:rsid w:val="BFBEEEB2"/>
    <w:rsid w:val="BFBF20C2"/>
    <w:rsid w:val="BFBF2484"/>
    <w:rsid w:val="BFBF8779"/>
    <w:rsid w:val="BFBF93C3"/>
    <w:rsid w:val="BFBFDD58"/>
    <w:rsid w:val="BFBFE9A4"/>
    <w:rsid w:val="BFCD9DF2"/>
    <w:rsid w:val="BFCE9B0C"/>
    <w:rsid w:val="BFD74B7C"/>
    <w:rsid w:val="BFD7AC3C"/>
    <w:rsid w:val="BFD9357A"/>
    <w:rsid w:val="BFDA4816"/>
    <w:rsid w:val="BFDB61C0"/>
    <w:rsid w:val="BFDDC9BC"/>
    <w:rsid w:val="BFDDDBE4"/>
    <w:rsid w:val="BFDE1B6C"/>
    <w:rsid w:val="BFDEFE46"/>
    <w:rsid w:val="BFDF12F3"/>
    <w:rsid w:val="BFDF539A"/>
    <w:rsid w:val="BFE73B19"/>
    <w:rsid w:val="BFE75D65"/>
    <w:rsid w:val="BFE782DA"/>
    <w:rsid w:val="BFE7DF60"/>
    <w:rsid w:val="BFE7F7CB"/>
    <w:rsid w:val="BFEB26F3"/>
    <w:rsid w:val="BFEB5D33"/>
    <w:rsid w:val="BFEC42D8"/>
    <w:rsid w:val="BFEF1420"/>
    <w:rsid w:val="BFEF8FF0"/>
    <w:rsid w:val="BFEFAD74"/>
    <w:rsid w:val="BFEFB965"/>
    <w:rsid w:val="BFEFC889"/>
    <w:rsid w:val="BFEFDD8C"/>
    <w:rsid w:val="BFF1747C"/>
    <w:rsid w:val="BFF31D97"/>
    <w:rsid w:val="BFF3F95A"/>
    <w:rsid w:val="BFF4E0B2"/>
    <w:rsid w:val="BFF53242"/>
    <w:rsid w:val="BFF5D055"/>
    <w:rsid w:val="BFF6251D"/>
    <w:rsid w:val="BFF6B730"/>
    <w:rsid w:val="BFF7210E"/>
    <w:rsid w:val="BFF749F9"/>
    <w:rsid w:val="BFF790DF"/>
    <w:rsid w:val="BFFAB8C6"/>
    <w:rsid w:val="BFFAFE03"/>
    <w:rsid w:val="BFFB3C15"/>
    <w:rsid w:val="BFFC585F"/>
    <w:rsid w:val="BFFD4480"/>
    <w:rsid w:val="BFFDDD5E"/>
    <w:rsid w:val="BFFE28D9"/>
    <w:rsid w:val="BFFE61A7"/>
    <w:rsid w:val="BFFEBA69"/>
    <w:rsid w:val="BFFF06EA"/>
    <w:rsid w:val="BFFF21C7"/>
    <w:rsid w:val="BFFF24A6"/>
    <w:rsid w:val="BFFF44F1"/>
    <w:rsid w:val="BFFF6ACA"/>
    <w:rsid w:val="BFFF791A"/>
    <w:rsid w:val="BFFF8596"/>
    <w:rsid w:val="BFFF8895"/>
    <w:rsid w:val="BFFFB728"/>
    <w:rsid w:val="BFFFCC91"/>
    <w:rsid w:val="BFFFDB7C"/>
    <w:rsid w:val="C1D5AE59"/>
    <w:rsid w:val="C1E79F9E"/>
    <w:rsid w:val="C1FD88A8"/>
    <w:rsid w:val="C26F2188"/>
    <w:rsid w:val="C2D34623"/>
    <w:rsid w:val="C36FAE1C"/>
    <w:rsid w:val="C3BD6F06"/>
    <w:rsid w:val="C3BF1C7E"/>
    <w:rsid w:val="C3DF50D4"/>
    <w:rsid w:val="C3EF0237"/>
    <w:rsid w:val="C3FED5DF"/>
    <w:rsid w:val="C47FEE94"/>
    <w:rsid w:val="C4FE2C64"/>
    <w:rsid w:val="C4FFD7DA"/>
    <w:rsid w:val="C5587A19"/>
    <w:rsid w:val="C5DF328C"/>
    <w:rsid w:val="C5FBBDF0"/>
    <w:rsid w:val="C5FF8208"/>
    <w:rsid w:val="C67D8975"/>
    <w:rsid w:val="C6DF1B68"/>
    <w:rsid w:val="C6DF555B"/>
    <w:rsid w:val="C6DFC691"/>
    <w:rsid w:val="C6FFFA8A"/>
    <w:rsid w:val="C77F55D3"/>
    <w:rsid w:val="C7B48B01"/>
    <w:rsid w:val="C7BD7DCC"/>
    <w:rsid w:val="C7BE447B"/>
    <w:rsid w:val="C7CB2D9C"/>
    <w:rsid w:val="C7E93F50"/>
    <w:rsid w:val="C7EBD272"/>
    <w:rsid w:val="C7F394EB"/>
    <w:rsid w:val="C7F4E01B"/>
    <w:rsid w:val="C7FD9DDA"/>
    <w:rsid w:val="C7FE1FC0"/>
    <w:rsid w:val="C7FF10AB"/>
    <w:rsid w:val="C9BD6984"/>
    <w:rsid w:val="C9CF54B2"/>
    <w:rsid w:val="C9E7CFA0"/>
    <w:rsid w:val="C9FB697D"/>
    <w:rsid w:val="CAE4D9F7"/>
    <w:rsid w:val="CAFE9D54"/>
    <w:rsid w:val="CB57BF08"/>
    <w:rsid w:val="CB7D589A"/>
    <w:rsid w:val="CB8D7C78"/>
    <w:rsid w:val="CBF9A19B"/>
    <w:rsid w:val="CBF9F1D7"/>
    <w:rsid w:val="CBFEFA0F"/>
    <w:rsid w:val="CBFF3846"/>
    <w:rsid w:val="CBFF40BC"/>
    <w:rsid w:val="CBFF47C3"/>
    <w:rsid w:val="CC1E27F9"/>
    <w:rsid w:val="CC576191"/>
    <w:rsid w:val="CC5F42D0"/>
    <w:rsid w:val="CC7F23E4"/>
    <w:rsid w:val="CCB3DE29"/>
    <w:rsid w:val="CCBFB75F"/>
    <w:rsid w:val="CCDFDAF3"/>
    <w:rsid w:val="CCEE9291"/>
    <w:rsid w:val="CCFF6ACD"/>
    <w:rsid w:val="CD671CD9"/>
    <w:rsid w:val="CD7A3003"/>
    <w:rsid w:val="CD7F1902"/>
    <w:rsid w:val="CD9F829A"/>
    <w:rsid w:val="CD9F950E"/>
    <w:rsid w:val="CDB4E0A0"/>
    <w:rsid w:val="CDB9B674"/>
    <w:rsid w:val="CDBB15C1"/>
    <w:rsid w:val="CDBE170D"/>
    <w:rsid w:val="CDCF64CB"/>
    <w:rsid w:val="CDDF406A"/>
    <w:rsid w:val="CDE7D7EF"/>
    <w:rsid w:val="CDEC471E"/>
    <w:rsid w:val="CDF9705B"/>
    <w:rsid w:val="CDFDF2FD"/>
    <w:rsid w:val="CEAFB0A2"/>
    <w:rsid w:val="CEEBCDE8"/>
    <w:rsid w:val="CEF3E8D7"/>
    <w:rsid w:val="CEF78CD2"/>
    <w:rsid w:val="CEFDFA19"/>
    <w:rsid w:val="CEFE8C17"/>
    <w:rsid w:val="CEFF7C35"/>
    <w:rsid w:val="CEFF9EFA"/>
    <w:rsid w:val="CEFFC3C4"/>
    <w:rsid w:val="CF170140"/>
    <w:rsid w:val="CF3133D7"/>
    <w:rsid w:val="CF558311"/>
    <w:rsid w:val="CF5D1E06"/>
    <w:rsid w:val="CF62AA81"/>
    <w:rsid w:val="CF6CEBD3"/>
    <w:rsid w:val="CF73AE1F"/>
    <w:rsid w:val="CF74A846"/>
    <w:rsid w:val="CF756C95"/>
    <w:rsid w:val="CF7702E2"/>
    <w:rsid w:val="CF7CC14E"/>
    <w:rsid w:val="CF9FC0D4"/>
    <w:rsid w:val="CFAFCDF2"/>
    <w:rsid w:val="CFBD57AB"/>
    <w:rsid w:val="CFBF4F8C"/>
    <w:rsid w:val="CFBFFFC9"/>
    <w:rsid w:val="CFCD98D2"/>
    <w:rsid w:val="CFDEADDA"/>
    <w:rsid w:val="CFDF2805"/>
    <w:rsid w:val="CFDFEFA4"/>
    <w:rsid w:val="CFE51A81"/>
    <w:rsid w:val="CFE52E85"/>
    <w:rsid w:val="CFED0FD7"/>
    <w:rsid w:val="CFEF9AA8"/>
    <w:rsid w:val="CFFA4E84"/>
    <w:rsid w:val="CFFAAB12"/>
    <w:rsid w:val="CFFB0D10"/>
    <w:rsid w:val="CFFB9384"/>
    <w:rsid w:val="CFFC291D"/>
    <w:rsid w:val="CFFCF76E"/>
    <w:rsid w:val="CFFDC7B6"/>
    <w:rsid w:val="CFFDE85B"/>
    <w:rsid w:val="CFFE1036"/>
    <w:rsid w:val="CFFEBCC8"/>
    <w:rsid w:val="CFFF6D6B"/>
    <w:rsid w:val="CFFF70A0"/>
    <w:rsid w:val="CFFFBBE9"/>
    <w:rsid w:val="CFFFD10D"/>
    <w:rsid w:val="CFFFE70E"/>
    <w:rsid w:val="CFFFF7F5"/>
    <w:rsid w:val="CFFFF9E3"/>
    <w:rsid w:val="D1B3A166"/>
    <w:rsid w:val="D1CF101A"/>
    <w:rsid w:val="D1DBD08B"/>
    <w:rsid w:val="D1DFFF05"/>
    <w:rsid w:val="D1EF3B66"/>
    <w:rsid w:val="D2BA4DE3"/>
    <w:rsid w:val="D2E3261A"/>
    <w:rsid w:val="D2FF8482"/>
    <w:rsid w:val="D2FFD742"/>
    <w:rsid w:val="D383E0F6"/>
    <w:rsid w:val="D3BF87F1"/>
    <w:rsid w:val="D3D9B34C"/>
    <w:rsid w:val="D3EF1B3F"/>
    <w:rsid w:val="D3EFCBA4"/>
    <w:rsid w:val="D3FDB61F"/>
    <w:rsid w:val="D3FF5893"/>
    <w:rsid w:val="D3FF85B7"/>
    <w:rsid w:val="D47E751B"/>
    <w:rsid w:val="D4EBF3AC"/>
    <w:rsid w:val="D4FF259C"/>
    <w:rsid w:val="D4FF25C1"/>
    <w:rsid w:val="D4FFD31F"/>
    <w:rsid w:val="D53DF4E3"/>
    <w:rsid w:val="D55B3483"/>
    <w:rsid w:val="D55E8B7B"/>
    <w:rsid w:val="D56341A9"/>
    <w:rsid w:val="D567F9A7"/>
    <w:rsid w:val="D56F55A3"/>
    <w:rsid w:val="D57F7FC1"/>
    <w:rsid w:val="D5B76865"/>
    <w:rsid w:val="D5BBB832"/>
    <w:rsid w:val="D5CBE731"/>
    <w:rsid w:val="D5DFF147"/>
    <w:rsid w:val="D5F803E4"/>
    <w:rsid w:val="D5FB672D"/>
    <w:rsid w:val="D5FEBB57"/>
    <w:rsid w:val="D64F7C75"/>
    <w:rsid w:val="D6976A27"/>
    <w:rsid w:val="D6B540C1"/>
    <w:rsid w:val="D6DFBA58"/>
    <w:rsid w:val="D6E52749"/>
    <w:rsid w:val="D6EF0475"/>
    <w:rsid w:val="D6EF0C3B"/>
    <w:rsid w:val="D6EF40A6"/>
    <w:rsid w:val="D6F3F37A"/>
    <w:rsid w:val="D6FAB594"/>
    <w:rsid w:val="D6FB26BB"/>
    <w:rsid w:val="D6FFFA1F"/>
    <w:rsid w:val="D73659E6"/>
    <w:rsid w:val="D73CC705"/>
    <w:rsid w:val="D73F783D"/>
    <w:rsid w:val="D74C737B"/>
    <w:rsid w:val="D74E1246"/>
    <w:rsid w:val="D74F6414"/>
    <w:rsid w:val="D75DD71B"/>
    <w:rsid w:val="D76DF3BB"/>
    <w:rsid w:val="D77D2739"/>
    <w:rsid w:val="D77D3633"/>
    <w:rsid w:val="D77F04CB"/>
    <w:rsid w:val="D7979CBA"/>
    <w:rsid w:val="D7AE4553"/>
    <w:rsid w:val="D7BBA872"/>
    <w:rsid w:val="D7CD5DCB"/>
    <w:rsid w:val="D7CF99B6"/>
    <w:rsid w:val="D7DFA318"/>
    <w:rsid w:val="D7EB6FD6"/>
    <w:rsid w:val="D7EDBD04"/>
    <w:rsid w:val="D7F3CA0F"/>
    <w:rsid w:val="D7F64A5B"/>
    <w:rsid w:val="D7FB3897"/>
    <w:rsid w:val="D7FBD524"/>
    <w:rsid w:val="D7FBFB5F"/>
    <w:rsid w:val="D7FE9C49"/>
    <w:rsid w:val="D7FF2EEB"/>
    <w:rsid w:val="D7FF3CA1"/>
    <w:rsid w:val="D7FF90FE"/>
    <w:rsid w:val="D7FF9239"/>
    <w:rsid w:val="D7FFB323"/>
    <w:rsid w:val="D7FFF791"/>
    <w:rsid w:val="D8BA9A94"/>
    <w:rsid w:val="D8D7269A"/>
    <w:rsid w:val="D8F7EA9C"/>
    <w:rsid w:val="D8FB4C98"/>
    <w:rsid w:val="D8FF9E3F"/>
    <w:rsid w:val="D95F0A56"/>
    <w:rsid w:val="D95FEAE3"/>
    <w:rsid w:val="D965BE3E"/>
    <w:rsid w:val="D97B89B1"/>
    <w:rsid w:val="D99FECE9"/>
    <w:rsid w:val="D9DCC96C"/>
    <w:rsid w:val="D9DEFE12"/>
    <w:rsid w:val="D9EBC222"/>
    <w:rsid w:val="D9EFF84F"/>
    <w:rsid w:val="D9FB7EC6"/>
    <w:rsid w:val="D9FBD0D2"/>
    <w:rsid w:val="D9FE2F7C"/>
    <w:rsid w:val="D9FF3CFD"/>
    <w:rsid w:val="D9FF4062"/>
    <w:rsid w:val="D9FFB605"/>
    <w:rsid w:val="DA39DE59"/>
    <w:rsid w:val="DA5747E4"/>
    <w:rsid w:val="DA6A5D80"/>
    <w:rsid w:val="DA7B337B"/>
    <w:rsid w:val="DACFEC3C"/>
    <w:rsid w:val="DAD7093C"/>
    <w:rsid w:val="DADDCE0A"/>
    <w:rsid w:val="DADFE2EB"/>
    <w:rsid w:val="DAE7ECB2"/>
    <w:rsid w:val="DAFF3B08"/>
    <w:rsid w:val="DAFFB1A2"/>
    <w:rsid w:val="DAFFE472"/>
    <w:rsid w:val="DB05C0F4"/>
    <w:rsid w:val="DB4FE6F2"/>
    <w:rsid w:val="DB5DBE4C"/>
    <w:rsid w:val="DB5F808D"/>
    <w:rsid w:val="DB6FCABE"/>
    <w:rsid w:val="DB75AD0B"/>
    <w:rsid w:val="DB7FE6DD"/>
    <w:rsid w:val="DB8E3B88"/>
    <w:rsid w:val="DB96A1A8"/>
    <w:rsid w:val="DBB47541"/>
    <w:rsid w:val="DBB7302B"/>
    <w:rsid w:val="DBB73814"/>
    <w:rsid w:val="DBBA3E25"/>
    <w:rsid w:val="DBBA9762"/>
    <w:rsid w:val="DBBF17C7"/>
    <w:rsid w:val="DBBFF2C4"/>
    <w:rsid w:val="DBBFFC1A"/>
    <w:rsid w:val="DBC72004"/>
    <w:rsid w:val="DBC97573"/>
    <w:rsid w:val="DBCDD930"/>
    <w:rsid w:val="DBCFB8D5"/>
    <w:rsid w:val="DBDD23DD"/>
    <w:rsid w:val="DBDFD41D"/>
    <w:rsid w:val="DBE2C227"/>
    <w:rsid w:val="DBE7C107"/>
    <w:rsid w:val="DBEDD393"/>
    <w:rsid w:val="DBEF076D"/>
    <w:rsid w:val="DBEF81EF"/>
    <w:rsid w:val="DBEFA220"/>
    <w:rsid w:val="DBEFCBC3"/>
    <w:rsid w:val="DBF5975D"/>
    <w:rsid w:val="DBF74134"/>
    <w:rsid w:val="DBF975F9"/>
    <w:rsid w:val="DBFB825A"/>
    <w:rsid w:val="DBFBFF3B"/>
    <w:rsid w:val="DBFD7F04"/>
    <w:rsid w:val="DBFDF5A3"/>
    <w:rsid w:val="DBFE05A6"/>
    <w:rsid w:val="DBFF574C"/>
    <w:rsid w:val="DBFFC835"/>
    <w:rsid w:val="DC0FC126"/>
    <w:rsid w:val="DC7FF162"/>
    <w:rsid w:val="DC8F80BD"/>
    <w:rsid w:val="DC95F10D"/>
    <w:rsid w:val="DCBF7E6B"/>
    <w:rsid w:val="DCDC3163"/>
    <w:rsid w:val="DCE329A4"/>
    <w:rsid w:val="DCF75A1A"/>
    <w:rsid w:val="DCF7C7F8"/>
    <w:rsid w:val="DCFF55BB"/>
    <w:rsid w:val="DCFF6BA6"/>
    <w:rsid w:val="DD1DAD6E"/>
    <w:rsid w:val="DD2FCC23"/>
    <w:rsid w:val="DD3F55C0"/>
    <w:rsid w:val="DD6EEF2C"/>
    <w:rsid w:val="DD6F0205"/>
    <w:rsid w:val="DD76E2CE"/>
    <w:rsid w:val="DD777B72"/>
    <w:rsid w:val="DD7DF36F"/>
    <w:rsid w:val="DD7FB7E5"/>
    <w:rsid w:val="DD978654"/>
    <w:rsid w:val="DD97DB70"/>
    <w:rsid w:val="DDB1479E"/>
    <w:rsid w:val="DDBA036B"/>
    <w:rsid w:val="DDBF10DD"/>
    <w:rsid w:val="DDBF4FAE"/>
    <w:rsid w:val="DDBF72A1"/>
    <w:rsid w:val="DDC743BA"/>
    <w:rsid w:val="DDDBC292"/>
    <w:rsid w:val="DDDD8F29"/>
    <w:rsid w:val="DDDF2D42"/>
    <w:rsid w:val="DDDF7012"/>
    <w:rsid w:val="DDDF98CB"/>
    <w:rsid w:val="DDE72F4B"/>
    <w:rsid w:val="DDE7AA22"/>
    <w:rsid w:val="DDEEA9E5"/>
    <w:rsid w:val="DDEFCEAA"/>
    <w:rsid w:val="DDEFF5B2"/>
    <w:rsid w:val="DDF6F0C8"/>
    <w:rsid w:val="DDF72022"/>
    <w:rsid w:val="DDF801E9"/>
    <w:rsid w:val="DDFB0015"/>
    <w:rsid w:val="DDFEA75F"/>
    <w:rsid w:val="DDFF4D8B"/>
    <w:rsid w:val="DDFF7978"/>
    <w:rsid w:val="DDFF92B7"/>
    <w:rsid w:val="DDFFA881"/>
    <w:rsid w:val="DE3E9A26"/>
    <w:rsid w:val="DE3F5B50"/>
    <w:rsid w:val="DE4BB410"/>
    <w:rsid w:val="DE7B54B8"/>
    <w:rsid w:val="DE7B7259"/>
    <w:rsid w:val="DE7BF5F8"/>
    <w:rsid w:val="DE7C61BB"/>
    <w:rsid w:val="DE7F7F0D"/>
    <w:rsid w:val="DE9B3BE8"/>
    <w:rsid w:val="DE9B9129"/>
    <w:rsid w:val="DEA76204"/>
    <w:rsid w:val="DEAF2DDF"/>
    <w:rsid w:val="DEB78CC8"/>
    <w:rsid w:val="DEBBC6D6"/>
    <w:rsid w:val="DEBD46E7"/>
    <w:rsid w:val="DEBE893B"/>
    <w:rsid w:val="DEC73BE7"/>
    <w:rsid w:val="DEDFF016"/>
    <w:rsid w:val="DEEA5BD0"/>
    <w:rsid w:val="DEEB0624"/>
    <w:rsid w:val="DEEC033E"/>
    <w:rsid w:val="DEED014C"/>
    <w:rsid w:val="DEEDF014"/>
    <w:rsid w:val="DEEFFA40"/>
    <w:rsid w:val="DEF53040"/>
    <w:rsid w:val="DEF6BB62"/>
    <w:rsid w:val="DEF759A1"/>
    <w:rsid w:val="DEF99DDD"/>
    <w:rsid w:val="DEF9FEF6"/>
    <w:rsid w:val="DEFBA7D2"/>
    <w:rsid w:val="DEFD59E6"/>
    <w:rsid w:val="DEFDE094"/>
    <w:rsid w:val="DEFE5343"/>
    <w:rsid w:val="DEFED71D"/>
    <w:rsid w:val="DEFF59AD"/>
    <w:rsid w:val="DEFFAFD0"/>
    <w:rsid w:val="DF1FDF08"/>
    <w:rsid w:val="DF257B53"/>
    <w:rsid w:val="DF3D1532"/>
    <w:rsid w:val="DF3E1351"/>
    <w:rsid w:val="DF3E46A8"/>
    <w:rsid w:val="DF47CF9C"/>
    <w:rsid w:val="DF4E0BA8"/>
    <w:rsid w:val="DF4FA69F"/>
    <w:rsid w:val="DF52FF2B"/>
    <w:rsid w:val="DF5F13CE"/>
    <w:rsid w:val="DF5F2A36"/>
    <w:rsid w:val="DF5FA05D"/>
    <w:rsid w:val="DF5FC8E2"/>
    <w:rsid w:val="DF6F4366"/>
    <w:rsid w:val="DF6F88E5"/>
    <w:rsid w:val="DF779C38"/>
    <w:rsid w:val="DF77A0FB"/>
    <w:rsid w:val="DF7B0B0C"/>
    <w:rsid w:val="DF7B107C"/>
    <w:rsid w:val="DF7C08ED"/>
    <w:rsid w:val="DF7D45AE"/>
    <w:rsid w:val="DF7DBCCF"/>
    <w:rsid w:val="DF7E5446"/>
    <w:rsid w:val="DF85740B"/>
    <w:rsid w:val="DF942707"/>
    <w:rsid w:val="DF964769"/>
    <w:rsid w:val="DF9F6112"/>
    <w:rsid w:val="DF9FBAE0"/>
    <w:rsid w:val="DFA70AC5"/>
    <w:rsid w:val="DFA73CF3"/>
    <w:rsid w:val="DFA9F2AF"/>
    <w:rsid w:val="DFB093E2"/>
    <w:rsid w:val="DFB2A5CC"/>
    <w:rsid w:val="DFB3D367"/>
    <w:rsid w:val="DFB543F0"/>
    <w:rsid w:val="DFB742FC"/>
    <w:rsid w:val="DFB769F1"/>
    <w:rsid w:val="DFBB041F"/>
    <w:rsid w:val="DFBB4E61"/>
    <w:rsid w:val="DFBCA4CC"/>
    <w:rsid w:val="DFBDCA1D"/>
    <w:rsid w:val="DFBE156F"/>
    <w:rsid w:val="DFBE2085"/>
    <w:rsid w:val="DFBE8D9E"/>
    <w:rsid w:val="DFBF079D"/>
    <w:rsid w:val="DFBF45E8"/>
    <w:rsid w:val="DFBFF55F"/>
    <w:rsid w:val="DFC501A9"/>
    <w:rsid w:val="DFC761E7"/>
    <w:rsid w:val="DFCD2F7A"/>
    <w:rsid w:val="DFCF98E2"/>
    <w:rsid w:val="DFD3383E"/>
    <w:rsid w:val="DFD7932F"/>
    <w:rsid w:val="DFDA262C"/>
    <w:rsid w:val="DFDB1081"/>
    <w:rsid w:val="DFDB9C5D"/>
    <w:rsid w:val="DFDBF32B"/>
    <w:rsid w:val="DFDCBD54"/>
    <w:rsid w:val="DFDD8015"/>
    <w:rsid w:val="DFDDD122"/>
    <w:rsid w:val="DFDDD2F1"/>
    <w:rsid w:val="DFDE5F81"/>
    <w:rsid w:val="DFDF13C0"/>
    <w:rsid w:val="DFDF1FA7"/>
    <w:rsid w:val="DFDF6741"/>
    <w:rsid w:val="DFDF8212"/>
    <w:rsid w:val="DFDFC649"/>
    <w:rsid w:val="DFE54092"/>
    <w:rsid w:val="DFE59C53"/>
    <w:rsid w:val="DFE7357D"/>
    <w:rsid w:val="DFE7BD38"/>
    <w:rsid w:val="DFEAFE4D"/>
    <w:rsid w:val="DFEB1AB5"/>
    <w:rsid w:val="DFEB3948"/>
    <w:rsid w:val="DFEB6677"/>
    <w:rsid w:val="DFEB8718"/>
    <w:rsid w:val="DFEC26D6"/>
    <w:rsid w:val="DFEC76B2"/>
    <w:rsid w:val="DFECEC16"/>
    <w:rsid w:val="DFED9AD5"/>
    <w:rsid w:val="DFEDD0FE"/>
    <w:rsid w:val="DFEE2FFB"/>
    <w:rsid w:val="DFEF16A5"/>
    <w:rsid w:val="DFEF6A85"/>
    <w:rsid w:val="DFEFC723"/>
    <w:rsid w:val="DFF36508"/>
    <w:rsid w:val="DFF39DD7"/>
    <w:rsid w:val="DFF3BA60"/>
    <w:rsid w:val="DFF66BE2"/>
    <w:rsid w:val="DFF68B31"/>
    <w:rsid w:val="DFF6C1D1"/>
    <w:rsid w:val="DFF70ECB"/>
    <w:rsid w:val="DFF76C8E"/>
    <w:rsid w:val="DFF794F6"/>
    <w:rsid w:val="DFF7A276"/>
    <w:rsid w:val="DFF7CEDD"/>
    <w:rsid w:val="DFF8320B"/>
    <w:rsid w:val="DFFABC48"/>
    <w:rsid w:val="DFFAE280"/>
    <w:rsid w:val="DFFAE319"/>
    <w:rsid w:val="DFFB55FA"/>
    <w:rsid w:val="DFFB6896"/>
    <w:rsid w:val="DFFB9533"/>
    <w:rsid w:val="DFFBA77A"/>
    <w:rsid w:val="DFFBFAE9"/>
    <w:rsid w:val="DFFC772D"/>
    <w:rsid w:val="DFFD06F4"/>
    <w:rsid w:val="DFFD2793"/>
    <w:rsid w:val="DFFD616E"/>
    <w:rsid w:val="DFFDD6EF"/>
    <w:rsid w:val="DFFDDA79"/>
    <w:rsid w:val="DFFE4F4F"/>
    <w:rsid w:val="DFFEB152"/>
    <w:rsid w:val="DFFEBC4E"/>
    <w:rsid w:val="DFFED5AE"/>
    <w:rsid w:val="DFFEDEFD"/>
    <w:rsid w:val="DFFEE67D"/>
    <w:rsid w:val="DFFF26EF"/>
    <w:rsid w:val="DFFF2DE3"/>
    <w:rsid w:val="DFFF3732"/>
    <w:rsid w:val="DFFF49A3"/>
    <w:rsid w:val="DFFF4B8D"/>
    <w:rsid w:val="DFFF6F58"/>
    <w:rsid w:val="DFFF8238"/>
    <w:rsid w:val="DFFF8534"/>
    <w:rsid w:val="DFFFA410"/>
    <w:rsid w:val="DFFFC5DC"/>
    <w:rsid w:val="DFFFDC2C"/>
    <w:rsid w:val="E0BFAA1D"/>
    <w:rsid w:val="E0D714EF"/>
    <w:rsid w:val="E1ADF1F6"/>
    <w:rsid w:val="E1BFA4C9"/>
    <w:rsid w:val="E1DBE6A3"/>
    <w:rsid w:val="E1E7B8C3"/>
    <w:rsid w:val="E1F9B111"/>
    <w:rsid w:val="E26ECCC0"/>
    <w:rsid w:val="E2DC6449"/>
    <w:rsid w:val="E2F705A9"/>
    <w:rsid w:val="E2FC9C95"/>
    <w:rsid w:val="E33C9AD7"/>
    <w:rsid w:val="E33FD942"/>
    <w:rsid w:val="E3625C79"/>
    <w:rsid w:val="E3767734"/>
    <w:rsid w:val="E37EACE1"/>
    <w:rsid w:val="E398C62E"/>
    <w:rsid w:val="E3DB4BFB"/>
    <w:rsid w:val="E3DDBDDE"/>
    <w:rsid w:val="E3DEF268"/>
    <w:rsid w:val="E3E780AB"/>
    <w:rsid w:val="E3FBF4C6"/>
    <w:rsid w:val="E3FE8448"/>
    <w:rsid w:val="E3FF28F5"/>
    <w:rsid w:val="E3FF5B48"/>
    <w:rsid w:val="E45F8CC3"/>
    <w:rsid w:val="E47952DD"/>
    <w:rsid w:val="E49608E9"/>
    <w:rsid w:val="E4B53A9C"/>
    <w:rsid w:val="E4BF8263"/>
    <w:rsid w:val="E4E6584A"/>
    <w:rsid w:val="E4FC432B"/>
    <w:rsid w:val="E4FD2DF3"/>
    <w:rsid w:val="E4FF4DF7"/>
    <w:rsid w:val="E4FFE24A"/>
    <w:rsid w:val="E53F05A6"/>
    <w:rsid w:val="E53F56DB"/>
    <w:rsid w:val="E55B7E56"/>
    <w:rsid w:val="E57762AB"/>
    <w:rsid w:val="E57E364C"/>
    <w:rsid w:val="E59B1DEC"/>
    <w:rsid w:val="E5A788DF"/>
    <w:rsid w:val="E5B7CD12"/>
    <w:rsid w:val="E5C71A3F"/>
    <w:rsid w:val="E5CB8343"/>
    <w:rsid w:val="E5CFA21E"/>
    <w:rsid w:val="E5DBC4B5"/>
    <w:rsid w:val="E5DF81BF"/>
    <w:rsid w:val="E5E1B1E9"/>
    <w:rsid w:val="E5F315BF"/>
    <w:rsid w:val="E5FBA8C1"/>
    <w:rsid w:val="E5FE6D6C"/>
    <w:rsid w:val="E5FFE383"/>
    <w:rsid w:val="E64B7CE1"/>
    <w:rsid w:val="E65AC41F"/>
    <w:rsid w:val="E66365AD"/>
    <w:rsid w:val="E69A3FD4"/>
    <w:rsid w:val="E6AFB335"/>
    <w:rsid w:val="E6BF1CEB"/>
    <w:rsid w:val="E6BF721F"/>
    <w:rsid w:val="E6CF8005"/>
    <w:rsid w:val="E6D7278E"/>
    <w:rsid w:val="E6DD470F"/>
    <w:rsid w:val="E6DE595B"/>
    <w:rsid w:val="E6EE5AF8"/>
    <w:rsid w:val="E6F7B744"/>
    <w:rsid w:val="E6FF08B0"/>
    <w:rsid w:val="E70F4F28"/>
    <w:rsid w:val="E732F926"/>
    <w:rsid w:val="E735EE6A"/>
    <w:rsid w:val="E73BCA04"/>
    <w:rsid w:val="E74E171F"/>
    <w:rsid w:val="E74F2732"/>
    <w:rsid w:val="E76D5E57"/>
    <w:rsid w:val="E7752615"/>
    <w:rsid w:val="E77B0A91"/>
    <w:rsid w:val="E77F64D4"/>
    <w:rsid w:val="E789967A"/>
    <w:rsid w:val="E78B69EB"/>
    <w:rsid w:val="E797C378"/>
    <w:rsid w:val="E79B9D66"/>
    <w:rsid w:val="E79FF524"/>
    <w:rsid w:val="E7B3A34E"/>
    <w:rsid w:val="E7B4D1D9"/>
    <w:rsid w:val="E7B962E4"/>
    <w:rsid w:val="E7BD19EA"/>
    <w:rsid w:val="E7BD2EE5"/>
    <w:rsid w:val="E7C7C8E5"/>
    <w:rsid w:val="E7D68F1A"/>
    <w:rsid w:val="E7D6E4F4"/>
    <w:rsid w:val="E7DB8B7E"/>
    <w:rsid w:val="E7DD55B6"/>
    <w:rsid w:val="E7DE0114"/>
    <w:rsid w:val="E7DEADAD"/>
    <w:rsid w:val="E7DF4C49"/>
    <w:rsid w:val="E7DF7776"/>
    <w:rsid w:val="E7DFFDAC"/>
    <w:rsid w:val="E7E63306"/>
    <w:rsid w:val="E7E901DE"/>
    <w:rsid w:val="E7EF1EF9"/>
    <w:rsid w:val="E7EF4D94"/>
    <w:rsid w:val="E7F30CE5"/>
    <w:rsid w:val="E7F4F1B4"/>
    <w:rsid w:val="E7F7577B"/>
    <w:rsid w:val="E7F7C001"/>
    <w:rsid w:val="E7F93A4A"/>
    <w:rsid w:val="E7FA7C6C"/>
    <w:rsid w:val="E7FE0A0F"/>
    <w:rsid w:val="E7FE370B"/>
    <w:rsid w:val="E7FE9CA8"/>
    <w:rsid w:val="E7FF30D1"/>
    <w:rsid w:val="E7FF8669"/>
    <w:rsid w:val="E7FFC824"/>
    <w:rsid w:val="E7FFF730"/>
    <w:rsid w:val="E87A40C5"/>
    <w:rsid w:val="E87F88CC"/>
    <w:rsid w:val="E87F8D26"/>
    <w:rsid w:val="E8DFC916"/>
    <w:rsid w:val="E93F5585"/>
    <w:rsid w:val="E95F2C08"/>
    <w:rsid w:val="E96FF79D"/>
    <w:rsid w:val="E97B2FF6"/>
    <w:rsid w:val="E99EBED4"/>
    <w:rsid w:val="E9A730D9"/>
    <w:rsid w:val="E9BCF937"/>
    <w:rsid w:val="E9BF6AEE"/>
    <w:rsid w:val="E9BF7CA3"/>
    <w:rsid w:val="E9E36245"/>
    <w:rsid w:val="E9ED8B64"/>
    <w:rsid w:val="E9EF0604"/>
    <w:rsid w:val="E9EF1458"/>
    <w:rsid w:val="E9EF4998"/>
    <w:rsid w:val="E9EFDA76"/>
    <w:rsid w:val="E9F3D7BB"/>
    <w:rsid w:val="E9FE4625"/>
    <w:rsid w:val="E9FFD8F2"/>
    <w:rsid w:val="E9FFFD54"/>
    <w:rsid w:val="EA59E400"/>
    <w:rsid w:val="EA5FA4B0"/>
    <w:rsid w:val="EA6F15F4"/>
    <w:rsid w:val="EA7D668E"/>
    <w:rsid w:val="EA7E59B0"/>
    <w:rsid w:val="EA7F4605"/>
    <w:rsid w:val="EA7FEDEE"/>
    <w:rsid w:val="EA9F4D35"/>
    <w:rsid w:val="EABAE848"/>
    <w:rsid w:val="EAE7B785"/>
    <w:rsid w:val="EAE7F09D"/>
    <w:rsid w:val="EAE90B4E"/>
    <w:rsid w:val="EAF7C957"/>
    <w:rsid w:val="EAF96E22"/>
    <w:rsid w:val="EAFB0326"/>
    <w:rsid w:val="EAFB0FF8"/>
    <w:rsid w:val="EAFCDC98"/>
    <w:rsid w:val="EAFDBAB7"/>
    <w:rsid w:val="EAFF42B4"/>
    <w:rsid w:val="EAFF4C1F"/>
    <w:rsid w:val="EAFF72DD"/>
    <w:rsid w:val="EB0FEC77"/>
    <w:rsid w:val="EB37B695"/>
    <w:rsid w:val="EB3FFE9F"/>
    <w:rsid w:val="EB6F827A"/>
    <w:rsid w:val="EB72EA38"/>
    <w:rsid w:val="EB72EC4C"/>
    <w:rsid w:val="EB7D3A28"/>
    <w:rsid w:val="EB7E2C04"/>
    <w:rsid w:val="EB7E62B4"/>
    <w:rsid w:val="EB7ED301"/>
    <w:rsid w:val="EB7FCD03"/>
    <w:rsid w:val="EB9BB9AF"/>
    <w:rsid w:val="EB9FD5F8"/>
    <w:rsid w:val="EBA73448"/>
    <w:rsid w:val="EBB76786"/>
    <w:rsid w:val="EBBA2D7F"/>
    <w:rsid w:val="EBBB1BA8"/>
    <w:rsid w:val="EBBEB3A4"/>
    <w:rsid w:val="EBD7E13F"/>
    <w:rsid w:val="EBD7E210"/>
    <w:rsid w:val="EBDC13A5"/>
    <w:rsid w:val="EBDDBC45"/>
    <w:rsid w:val="EBDDCDB6"/>
    <w:rsid w:val="EBDEDF20"/>
    <w:rsid w:val="EBE90EBF"/>
    <w:rsid w:val="EBEFE2BE"/>
    <w:rsid w:val="EBEFFD06"/>
    <w:rsid w:val="EBF3BDDB"/>
    <w:rsid w:val="EBF52C95"/>
    <w:rsid w:val="EBF68A4C"/>
    <w:rsid w:val="EBF74FEC"/>
    <w:rsid w:val="EBF7FD14"/>
    <w:rsid w:val="EBF9A608"/>
    <w:rsid w:val="EBFBD72A"/>
    <w:rsid w:val="EBFD0C5D"/>
    <w:rsid w:val="EBFDFF8F"/>
    <w:rsid w:val="EBFE8A37"/>
    <w:rsid w:val="EBFF1BC1"/>
    <w:rsid w:val="EBFF21A0"/>
    <w:rsid w:val="EBFF5CAA"/>
    <w:rsid w:val="EBFF632E"/>
    <w:rsid w:val="EBFF67CA"/>
    <w:rsid w:val="EC7E3D28"/>
    <w:rsid w:val="EC7FB853"/>
    <w:rsid w:val="EC9E3D92"/>
    <w:rsid w:val="ECBDFFCA"/>
    <w:rsid w:val="ECDBEE4F"/>
    <w:rsid w:val="ECDFF54B"/>
    <w:rsid w:val="ECF7F706"/>
    <w:rsid w:val="ECFF3D2A"/>
    <w:rsid w:val="ECFFAF0C"/>
    <w:rsid w:val="ED1D29DA"/>
    <w:rsid w:val="ED27836F"/>
    <w:rsid w:val="ED4D5AF3"/>
    <w:rsid w:val="ED5E3C83"/>
    <w:rsid w:val="ED64E178"/>
    <w:rsid w:val="ED6E3810"/>
    <w:rsid w:val="ED793CFE"/>
    <w:rsid w:val="ED7BD653"/>
    <w:rsid w:val="ED7D3277"/>
    <w:rsid w:val="ED7D69C3"/>
    <w:rsid w:val="ED7E008C"/>
    <w:rsid w:val="ED8F2A39"/>
    <w:rsid w:val="ED99480D"/>
    <w:rsid w:val="EDA75430"/>
    <w:rsid w:val="EDAF81F3"/>
    <w:rsid w:val="EDB7A2AF"/>
    <w:rsid w:val="EDB7EE44"/>
    <w:rsid w:val="EDBB6043"/>
    <w:rsid w:val="EDC7A081"/>
    <w:rsid w:val="EDDAFC30"/>
    <w:rsid w:val="EDDFC69A"/>
    <w:rsid w:val="EDDFF76D"/>
    <w:rsid w:val="EDE117AC"/>
    <w:rsid w:val="EDE5A8D6"/>
    <w:rsid w:val="EDE7697F"/>
    <w:rsid w:val="EDEF0D93"/>
    <w:rsid w:val="EDF32EC2"/>
    <w:rsid w:val="EDF6C891"/>
    <w:rsid w:val="EDF732CE"/>
    <w:rsid w:val="EDF73FC6"/>
    <w:rsid w:val="EDF79145"/>
    <w:rsid w:val="EDFB736F"/>
    <w:rsid w:val="EDFDF27B"/>
    <w:rsid w:val="EDFE6A5F"/>
    <w:rsid w:val="EDFF14D4"/>
    <w:rsid w:val="EDFF1EF2"/>
    <w:rsid w:val="EDFF365D"/>
    <w:rsid w:val="EDFFB94C"/>
    <w:rsid w:val="EDFFCF36"/>
    <w:rsid w:val="EE2FAA63"/>
    <w:rsid w:val="EE3F7650"/>
    <w:rsid w:val="EE5B7E67"/>
    <w:rsid w:val="EE5BBF33"/>
    <w:rsid w:val="EE5D8726"/>
    <w:rsid w:val="EE640D03"/>
    <w:rsid w:val="EE73D09A"/>
    <w:rsid w:val="EE7F0C76"/>
    <w:rsid w:val="EE7F35DF"/>
    <w:rsid w:val="EE7F6FE6"/>
    <w:rsid w:val="EE9FA091"/>
    <w:rsid w:val="EEB7977C"/>
    <w:rsid w:val="EEB7B55A"/>
    <w:rsid w:val="EEBB6A2D"/>
    <w:rsid w:val="EEBC3D9E"/>
    <w:rsid w:val="EEBCB30D"/>
    <w:rsid w:val="EEBF494D"/>
    <w:rsid w:val="EEBF8B42"/>
    <w:rsid w:val="EEC66E45"/>
    <w:rsid w:val="EECF0692"/>
    <w:rsid w:val="EED303E5"/>
    <w:rsid w:val="EED74939"/>
    <w:rsid w:val="EED7B6CB"/>
    <w:rsid w:val="EEDBC05B"/>
    <w:rsid w:val="EEDF5127"/>
    <w:rsid w:val="EEDFF537"/>
    <w:rsid w:val="EEEBC35B"/>
    <w:rsid w:val="EEEF0B52"/>
    <w:rsid w:val="EEEFCB7A"/>
    <w:rsid w:val="EEF44EA0"/>
    <w:rsid w:val="EEF52B1C"/>
    <w:rsid w:val="EEF5FED0"/>
    <w:rsid w:val="EEF6C444"/>
    <w:rsid w:val="EEF7A76A"/>
    <w:rsid w:val="EEF7DED3"/>
    <w:rsid w:val="EEFD9FA6"/>
    <w:rsid w:val="EEFE6592"/>
    <w:rsid w:val="EEFE9DD2"/>
    <w:rsid w:val="EEFF0BD0"/>
    <w:rsid w:val="EEFF3267"/>
    <w:rsid w:val="EEFF3913"/>
    <w:rsid w:val="EEFF5178"/>
    <w:rsid w:val="EEFFEBC7"/>
    <w:rsid w:val="EF16AD5B"/>
    <w:rsid w:val="EF19E488"/>
    <w:rsid w:val="EF1F001D"/>
    <w:rsid w:val="EF1F1F06"/>
    <w:rsid w:val="EF1FCCF7"/>
    <w:rsid w:val="EF2BFF5F"/>
    <w:rsid w:val="EF2E612B"/>
    <w:rsid w:val="EF39D7F0"/>
    <w:rsid w:val="EF3F9787"/>
    <w:rsid w:val="EF566CD2"/>
    <w:rsid w:val="EF5D7304"/>
    <w:rsid w:val="EF5DCCCF"/>
    <w:rsid w:val="EF5F1F63"/>
    <w:rsid w:val="EF5FC52D"/>
    <w:rsid w:val="EF6E6257"/>
    <w:rsid w:val="EF6F9476"/>
    <w:rsid w:val="EF6FD5BC"/>
    <w:rsid w:val="EF7104A0"/>
    <w:rsid w:val="EF729AA1"/>
    <w:rsid w:val="EF752763"/>
    <w:rsid w:val="EF779D61"/>
    <w:rsid w:val="EF7AC604"/>
    <w:rsid w:val="EF7B5F9B"/>
    <w:rsid w:val="EF7C3FF4"/>
    <w:rsid w:val="EF7D8703"/>
    <w:rsid w:val="EF7E0264"/>
    <w:rsid w:val="EF7E2AA1"/>
    <w:rsid w:val="EF7E8662"/>
    <w:rsid w:val="EF7F08F3"/>
    <w:rsid w:val="EF7F0DB0"/>
    <w:rsid w:val="EF7F405F"/>
    <w:rsid w:val="EF7F9D8A"/>
    <w:rsid w:val="EF93BBA7"/>
    <w:rsid w:val="EF951905"/>
    <w:rsid w:val="EF957BA2"/>
    <w:rsid w:val="EF9F2204"/>
    <w:rsid w:val="EF9F7582"/>
    <w:rsid w:val="EFA1C213"/>
    <w:rsid w:val="EFA68524"/>
    <w:rsid w:val="EFA74803"/>
    <w:rsid w:val="EFA971B1"/>
    <w:rsid w:val="EFAB110A"/>
    <w:rsid w:val="EFAB96EA"/>
    <w:rsid w:val="EFAF20C5"/>
    <w:rsid w:val="EFB6A511"/>
    <w:rsid w:val="EFB6C43C"/>
    <w:rsid w:val="EFB9E985"/>
    <w:rsid w:val="EFBABBAE"/>
    <w:rsid w:val="EFBB5D8A"/>
    <w:rsid w:val="EFBBA8BA"/>
    <w:rsid w:val="EFBE098D"/>
    <w:rsid w:val="EFBF3786"/>
    <w:rsid w:val="EFBF401D"/>
    <w:rsid w:val="EFC70F8A"/>
    <w:rsid w:val="EFC7753B"/>
    <w:rsid w:val="EFC9FF42"/>
    <w:rsid w:val="EFCB8AF8"/>
    <w:rsid w:val="EFCF3927"/>
    <w:rsid w:val="EFCF7FFD"/>
    <w:rsid w:val="EFCFF8A7"/>
    <w:rsid w:val="EFD39433"/>
    <w:rsid w:val="EFD78712"/>
    <w:rsid w:val="EFDBDD1F"/>
    <w:rsid w:val="EFDBE82D"/>
    <w:rsid w:val="EFDD2047"/>
    <w:rsid w:val="EFDD2620"/>
    <w:rsid w:val="EFDD5F9D"/>
    <w:rsid w:val="EFDD9B1A"/>
    <w:rsid w:val="EFDDC147"/>
    <w:rsid w:val="EFDDC973"/>
    <w:rsid w:val="EFDE8A41"/>
    <w:rsid w:val="EFDE9E63"/>
    <w:rsid w:val="EFDF0350"/>
    <w:rsid w:val="EFDF069C"/>
    <w:rsid w:val="EFDF7D05"/>
    <w:rsid w:val="EFE77EBD"/>
    <w:rsid w:val="EFEB334B"/>
    <w:rsid w:val="EFEDA2ED"/>
    <w:rsid w:val="EFEDBE6E"/>
    <w:rsid w:val="EFEDDBC0"/>
    <w:rsid w:val="EFEF96F1"/>
    <w:rsid w:val="EFEFB3C8"/>
    <w:rsid w:val="EFEFCB88"/>
    <w:rsid w:val="EFF73981"/>
    <w:rsid w:val="EFF7E22D"/>
    <w:rsid w:val="EFF7ECE9"/>
    <w:rsid w:val="EFF90341"/>
    <w:rsid w:val="EFFA86FA"/>
    <w:rsid w:val="EFFB1F1D"/>
    <w:rsid w:val="EFFBE656"/>
    <w:rsid w:val="EFFD36A5"/>
    <w:rsid w:val="EFFD5C0C"/>
    <w:rsid w:val="EFFD7483"/>
    <w:rsid w:val="EFFD7F25"/>
    <w:rsid w:val="EFFDA8BC"/>
    <w:rsid w:val="EFFDAE3A"/>
    <w:rsid w:val="EFFE37A3"/>
    <w:rsid w:val="EFFE8563"/>
    <w:rsid w:val="EFFEB210"/>
    <w:rsid w:val="EFFEB317"/>
    <w:rsid w:val="EFFEC782"/>
    <w:rsid w:val="EFFF1CF4"/>
    <w:rsid w:val="EFFF30BC"/>
    <w:rsid w:val="EFFF3D53"/>
    <w:rsid w:val="EFFF4118"/>
    <w:rsid w:val="EFFF9AC0"/>
    <w:rsid w:val="EFFF9C15"/>
    <w:rsid w:val="EFFFB363"/>
    <w:rsid w:val="EFFFB3F8"/>
    <w:rsid w:val="EFFFE88E"/>
    <w:rsid w:val="EFFFF662"/>
    <w:rsid w:val="F0EFB47D"/>
    <w:rsid w:val="F0F9F95B"/>
    <w:rsid w:val="F0F9FE45"/>
    <w:rsid w:val="F13B395F"/>
    <w:rsid w:val="F1566418"/>
    <w:rsid w:val="F15EDF88"/>
    <w:rsid w:val="F17B31E4"/>
    <w:rsid w:val="F17E5826"/>
    <w:rsid w:val="F17F291E"/>
    <w:rsid w:val="F1A7F14E"/>
    <w:rsid w:val="F1BF5580"/>
    <w:rsid w:val="F1CEA11A"/>
    <w:rsid w:val="F1DB9C20"/>
    <w:rsid w:val="F1DBCC27"/>
    <w:rsid w:val="F1ECFC87"/>
    <w:rsid w:val="F1F6CA1D"/>
    <w:rsid w:val="F1FBBD88"/>
    <w:rsid w:val="F1FD4406"/>
    <w:rsid w:val="F1FF10C2"/>
    <w:rsid w:val="F1FF29F9"/>
    <w:rsid w:val="F1FFDB43"/>
    <w:rsid w:val="F24EE8CC"/>
    <w:rsid w:val="F29F1A94"/>
    <w:rsid w:val="F2BF09F5"/>
    <w:rsid w:val="F2C905B8"/>
    <w:rsid w:val="F2EB1714"/>
    <w:rsid w:val="F2EF5B65"/>
    <w:rsid w:val="F2EF65FC"/>
    <w:rsid w:val="F2F7F83E"/>
    <w:rsid w:val="F2FA5979"/>
    <w:rsid w:val="F2FB7B16"/>
    <w:rsid w:val="F2FC5774"/>
    <w:rsid w:val="F2FCA10D"/>
    <w:rsid w:val="F2FEC5CA"/>
    <w:rsid w:val="F2FF558A"/>
    <w:rsid w:val="F30EA172"/>
    <w:rsid w:val="F337775F"/>
    <w:rsid w:val="F33B870C"/>
    <w:rsid w:val="F34623F0"/>
    <w:rsid w:val="F357AE48"/>
    <w:rsid w:val="F36F36A1"/>
    <w:rsid w:val="F37DA608"/>
    <w:rsid w:val="F37F1604"/>
    <w:rsid w:val="F3933339"/>
    <w:rsid w:val="F39BCD33"/>
    <w:rsid w:val="F39F5DDF"/>
    <w:rsid w:val="F39FCF2C"/>
    <w:rsid w:val="F3A7C478"/>
    <w:rsid w:val="F3AF5149"/>
    <w:rsid w:val="F3B3515E"/>
    <w:rsid w:val="F3B9F693"/>
    <w:rsid w:val="F3BA8A00"/>
    <w:rsid w:val="F3BD24AF"/>
    <w:rsid w:val="F3BF8DCD"/>
    <w:rsid w:val="F3BFEA8E"/>
    <w:rsid w:val="F3C98763"/>
    <w:rsid w:val="F3CD4A53"/>
    <w:rsid w:val="F3D379E1"/>
    <w:rsid w:val="F3D74C96"/>
    <w:rsid w:val="F3DDCC78"/>
    <w:rsid w:val="F3DF1385"/>
    <w:rsid w:val="F3DF9B11"/>
    <w:rsid w:val="F3EA7F28"/>
    <w:rsid w:val="F3EA8734"/>
    <w:rsid w:val="F3F7FB3E"/>
    <w:rsid w:val="F3F91790"/>
    <w:rsid w:val="F3FB0B03"/>
    <w:rsid w:val="F3FE5B1F"/>
    <w:rsid w:val="F3FEBDFF"/>
    <w:rsid w:val="F3FF1584"/>
    <w:rsid w:val="F3FF56F6"/>
    <w:rsid w:val="F3FF7CB7"/>
    <w:rsid w:val="F3FF90C8"/>
    <w:rsid w:val="F3FFE5BD"/>
    <w:rsid w:val="F41F9B1C"/>
    <w:rsid w:val="F4773F36"/>
    <w:rsid w:val="F47F1805"/>
    <w:rsid w:val="F4B9412D"/>
    <w:rsid w:val="F4DE7A5F"/>
    <w:rsid w:val="F4DF3DB0"/>
    <w:rsid w:val="F4EF0E8F"/>
    <w:rsid w:val="F4EFAD9C"/>
    <w:rsid w:val="F4EFE96D"/>
    <w:rsid w:val="F4FB12A5"/>
    <w:rsid w:val="F4FE0D70"/>
    <w:rsid w:val="F4FE923B"/>
    <w:rsid w:val="F4FF0361"/>
    <w:rsid w:val="F51DFF35"/>
    <w:rsid w:val="F536FF90"/>
    <w:rsid w:val="F54C1939"/>
    <w:rsid w:val="F55B4E65"/>
    <w:rsid w:val="F5770AEA"/>
    <w:rsid w:val="F57B6B59"/>
    <w:rsid w:val="F57C16C4"/>
    <w:rsid w:val="F57E17EF"/>
    <w:rsid w:val="F57E2A2F"/>
    <w:rsid w:val="F57E4D54"/>
    <w:rsid w:val="F57FFF52"/>
    <w:rsid w:val="F58F107A"/>
    <w:rsid w:val="F5955612"/>
    <w:rsid w:val="F5AF5B93"/>
    <w:rsid w:val="F5B11906"/>
    <w:rsid w:val="F5B941B4"/>
    <w:rsid w:val="F5BCF57D"/>
    <w:rsid w:val="F5BF2791"/>
    <w:rsid w:val="F5BF4ACF"/>
    <w:rsid w:val="F5BFA7DC"/>
    <w:rsid w:val="F5BFCB71"/>
    <w:rsid w:val="F5C5B7E1"/>
    <w:rsid w:val="F5D100BA"/>
    <w:rsid w:val="F5D7027E"/>
    <w:rsid w:val="F5D7BFF8"/>
    <w:rsid w:val="F5DB3DEF"/>
    <w:rsid w:val="F5DDCCEB"/>
    <w:rsid w:val="F5DECA57"/>
    <w:rsid w:val="F5EA9D7C"/>
    <w:rsid w:val="F5ED6A6E"/>
    <w:rsid w:val="F5ED8EA3"/>
    <w:rsid w:val="F5EEE4EB"/>
    <w:rsid w:val="F5EF265B"/>
    <w:rsid w:val="F5EF5349"/>
    <w:rsid w:val="F5F0FE11"/>
    <w:rsid w:val="F5F229A5"/>
    <w:rsid w:val="F5F59155"/>
    <w:rsid w:val="F5FBA360"/>
    <w:rsid w:val="F5FBD247"/>
    <w:rsid w:val="F5FBD412"/>
    <w:rsid w:val="F5FE4620"/>
    <w:rsid w:val="F5FE7ED8"/>
    <w:rsid w:val="F5FEC54A"/>
    <w:rsid w:val="F5FF0352"/>
    <w:rsid w:val="F5FF4886"/>
    <w:rsid w:val="F5FF5BEB"/>
    <w:rsid w:val="F5FFB1F6"/>
    <w:rsid w:val="F5FFE826"/>
    <w:rsid w:val="F5FFF89B"/>
    <w:rsid w:val="F61FF5D0"/>
    <w:rsid w:val="F6393DA0"/>
    <w:rsid w:val="F63B0FCA"/>
    <w:rsid w:val="F63BE782"/>
    <w:rsid w:val="F63F0930"/>
    <w:rsid w:val="F64E6C02"/>
    <w:rsid w:val="F65F8496"/>
    <w:rsid w:val="F67BEAAD"/>
    <w:rsid w:val="F67D6540"/>
    <w:rsid w:val="F67D8092"/>
    <w:rsid w:val="F67EDDDA"/>
    <w:rsid w:val="F67F008B"/>
    <w:rsid w:val="F67F157A"/>
    <w:rsid w:val="F67F2B6D"/>
    <w:rsid w:val="F67F3AB5"/>
    <w:rsid w:val="F67FE434"/>
    <w:rsid w:val="F693C978"/>
    <w:rsid w:val="F6AD2906"/>
    <w:rsid w:val="F6BFC718"/>
    <w:rsid w:val="F6CD4EC0"/>
    <w:rsid w:val="F6D099D0"/>
    <w:rsid w:val="F6DC1A7B"/>
    <w:rsid w:val="F6DD4397"/>
    <w:rsid w:val="F6DE5172"/>
    <w:rsid w:val="F6DEA5E4"/>
    <w:rsid w:val="F6DF02FE"/>
    <w:rsid w:val="F6DF6822"/>
    <w:rsid w:val="F6EB8EAC"/>
    <w:rsid w:val="F6EBAC84"/>
    <w:rsid w:val="F6ED1B6A"/>
    <w:rsid w:val="F6EE96DB"/>
    <w:rsid w:val="F6EF189B"/>
    <w:rsid w:val="F6F79DD8"/>
    <w:rsid w:val="F6F921B7"/>
    <w:rsid w:val="F6FBD6C0"/>
    <w:rsid w:val="F6FD0476"/>
    <w:rsid w:val="F6FEC166"/>
    <w:rsid w:val="F6FEE67E"/>
    <w:rsid w:val="F6FF03D8"/>
    <w:rsid w:val="F6FF2D95"/>
    <w:rsid w:val="F6FF4925"/>
    <w:rsid w:val="F6FF81BB"/>
    <w:rsid w:val="F6FFAC6F"/>
    <w:rsid w:val="F6FFEC74"/>
    <w:rsid w:val="F70FC29C"/>
    <w:rsid w:val="F70FDDD2"/>
    <w:rsid w:val="F71B24C1"/>
    <w:rsid w:val="F72DB165"/>
    <w:rsid w:val="F733DBBA"/>
    <w:rsid w:val="F735EFEE"/>
    <w:rsid w:val="F73F0795"/>
    <w:rsid w:val="F73F37CE"/>
    <w:rsid w:val="F73FC52F"/>
    <w:rsid w:val="F74F3E7E"/>
    <w:rsid w:val="F75B2270"/>
    <w:rsid w:val="F75E7DFF"/>
    <w:rsid w:val="F75FD210"/>
    <w:rsid w:val="F7671AB3"/>
    <w:rsid w:val="F76DC8A8"/>
    <w:rsid w:val="F76E1E43"/>
    <w:rsid w:val="F7733571"/>
    <w:rsid w:val="F775C8A2"/>
    <w:rsid w:val="F77AF0E0"/>
    <w:rsid w:val="F77B6CDF"/>
    <w:rsid w:val="F77BBDE0"/>
    <w:rsid w:val="F77C0A79"/>
    <w:rsid w:val="F77EEC6E"/>
    <w:rsid w:val="F77F0391"/>
    <w:rsid w:val="F77F082E"/>
    <w:rsid w:val="F77F38C9"/>
    <w:rsid w:val="F77F7436"/>
    <w:rsid w:val="F77F7974"/>
    <w:rsid w:val="F77FCD6E"/>
    <w:rsid w:val="F7978A25"/>
    <w:rsid w:val="F79F7A7E"/>
    <w:rsid w:val="F7A913BD"/>
    <w:rsid w:val="F7B50E5D"/>
    <w:rsid w:val="F7B6C172"/>
    <w:rsid w:val="F7B715D6"/>
    <w:rsid w:val="F7B7985D"/>
    <w:rsid w:val="F7B7F1F3"/>
    <w:rsid w:val="F7BB0C3F"/>
    <w:rsid w:val="F7BBAFAD"/>
    <w:rsid w:val="F7BC0DD5"/>
    <w:rsid w:val="F7BD900A"/>
    <w:rsid w:val="F7BDB3E2"/>
    <w:rsid w:val="F7BEB072"/>
    <w:rsid w:val="F7BF3D57"/>
    <w:rsid w:val="F7BFD439"/>
    <w:rsid w:val="F7C7A087"/>
    <w:rsid w:val="F7CBA4E4"/>
    <w:rsid w:val="F7CD7BC0"/>
    <w:rsid w:val="F7D3B388"/>
    <w:rsid w:val="F7DBC69A"/>
    <w:rsid w:val="F7DD2870"/>
    <w:rsid w:val="F7DDA515"/>
    <w:rsid w:val="F7DF318E"/>
    <w:rsid w:val="F7DF80ED"/>
    <w:rsid w:val="F7DF9640"/>
    <w:rsid w:val="F7E32A98"/>
    <w:rsid w:val="F7E6A67B"/>
    <w:rsid w:val="F7E7CB52"/>
    <w:rsid w:val="F7E7EFF2"/>
    <w:rsid w:val="F7EB0330"/>
    <w:rsid w:val="F7EB1CFA"/>
    <w:rsid w:val="F7ED810E"/>
    <w:rsid w:val="F7ED925F"/>
    <w:rsid w:val="F7ED92A7"/>
    <w:rsid w:val="F7EE5542"/>
    <w:rsid w:val="F7EE5BD5"/>
    <w:rsid w:val="F7EE8D5A"/>
    <w:rsid w:val="F7EF1DCB"/>
    <w:rsid w:val="F7F11ED1"/>
    <w:rsid w:val="F7F27A40"/>
    <w:rsid w:val="F7F3ADCD"/>
    <w:rsid w:val="F7F5E602"/>
    <w:rsid w:val="F7F6565C"/>
    <w:rsid w:val="F7F7418A"/>
    <w:rsid w:val="F7F7890D"/>
    <w:rsid w:val="F7F796ED"/>
    <w:rsid w:val="F7F7E53F"/>
    <w:rsid w:val="F7F95F03"/>
    <w:rsid w:val="F7F9E608"/>
    <w:rsid w:val="F7FA456C"/>
    <w:rsid w:val="F7FB0D16"/>
    <w:rsid w:val="F7FB876E"/>
    <w:rsid w:val="F7FBCAC0"/>
    <w:rsid w:val="F7FC2980"/>
    <w:rsid w:val="F7FC784C"/>
    <w:rsid w:val="F7FCA829"/>
    <w:rsid w:val="F7FCDFE6"/>
    <w:rsid w:val="F7FCEB43"/>
    <w:rsid w:val="F7FD660C"/>
    <w:rsid w:val="F7FD9515"/>
    <w:rsid w:val="F7FDB6A8"/>
    <w:rsid w:val="F7FDFC8A"/>
    <w:rsid w:val="F7FE509B"/>
    <w:rsid w:val="F7FE8034"/>
    <w:rsid w:val="F7FEEDCC"/>
    <w:rsid w:val="F7FEF65D"/>
    <w:rsid w:val="F7FF0022"/>
    <w:rsid w:val="F7FF02F4"/>
    <w:rsid w:val="F7FF24A9"/>
    <w:rsid w:val="F7FF25DC"/>
    <w:rsid w:val="F7FF28C0"/>
    <w:rsid w:val="F7FF2936"/>
    <w:rsid w:val="F7FF3FA9"/>
    <w:rsid w:val="F7FF5481"/>
    <w:rsid w:val="F7FF78AE"/>
    <w:rsid w:val="F7FF8358"/>
    <w:rsid w:val="F7FF84C6"/>
    <w:rsid w:val="F7FF9505"/>
    <w:rsid w:val="F7FF9E06"/>
    <w:rsid w:val="F7FFCD30"/>
    <w:rsid w:val="F7FFDD12"/>
    <w:rsid w:val="F7FFE6CF"/>
    <w:rsid w:val="F8375853"/>
    <w:rsid w:val="F89ACDDC"/>
    <w:rsid w:val="F8A6B089"/>
    <w:rsid w:val="F8AE51EB"/>
    <w:rsid w:val="F8BF77BE"/>
    <w:rsid w:val="F8D724DD"/>
    <w:rsid w:val="F8EEF831"/>
    <w:rsid w:val="F8F5FD5A"/>
    <w:rsid w:val="F8FBA7DB"/>
    <w:rsid w:val="F8FF4EC0"/>
    <w:rsid w:val="F91E725F"/>
    <w:rsid w:val="F91FD6D8"/>
    <w:rsid w:val="F93595AF"/>
    <w:rsid w:val="F93A7EE1"/>
    <w:rsid w:val="F93FFF6E"/>
    <w:rsid w:val="F95E9C89"/>
    <w:rsid w:val="F97146B0"/>
    <w:rsid w:val="F97744B9"/>
    <w:rsid w:val="F97F2DA6"/>
    <w:rsid w:val="F985332B"/>
    <w:rsid w:val="F992CB43"/>
    <w:rsid w:val="F99B237A"/>
    <w:rsid w:val="F99D8903"/>
    <w:rsid w:val="F9AE381B"/>
    <w:rsid w:val="F9B30169"/>
    <w:rsid w:val="F9B9BF3F"/>
    <w:rsid w:val="F9BD5041"/>
    <w:rsid w:val="F9BDDC68"/>
    <w:rsid w:val="F9BE17F5"/>
    <w:rsid w:val="F9BF0B3B"/>
    <w:rsid w:val="F9BF6B80"/>
    <w:rsid w:val="F9DEA1A0"/>
    <w:rsid w:val="F9EB5FF4"/>
    <w:rsid w:val="F9EB6795"/>
    <w:rsid w:val="F9EF285D"/>
    <w:rsid w:val="F9EF3525"/>
    <w:rsid w:val="F9EF4450"/>
    <w:rsid w:val="F9EF6932"/>
    <w:rsid w:val="F9F5E032"/>
    <w:rsid w:val="F9F658C2"/>
    <w:rsid w:val="F9F9180B"/>
    <w:rsid w:val="F9F9906D"/>
    <w:rsid w:val="F9F9CAA8"/>
    <w:rsid w:val="F9FA33A4"/>
    <w:rsid w:val="F9FB1F1E"/>
    <w:rsid w:val="F9FB458F"/>
    <w:rsid w:val="F9FB7620"/>
    <w:rsid w:val="F9FF233D"/>
    <w:rsid w:val="F9FF3FE5"/>
    <w:rsid w:val="F9FFA001"/>
    <w:rsid w:val="FA1B9A1A"/>
    <w:rsid w:val="FA33B1C4"/>
    <w:rsid w:val="FA5F0268"/>
    <w:rsid w:val="FA6E5F3A"/>
    <w:rsid w:val="FA6F1D20"/>
    <w:rsid w:val="FA72F146"/>
    <w:rsid w:val="FA779617"/>
    <w:rsid w:val="FA78F0B7"/>
    <w:rsid w:val="FA7B093E"/>
    <w:rsid w:val="FA7BA879"/>
    <w:rsid w:val="FA7D2424"/>
    <w:rsid w:val="FA7E9E91"/>
    <w:rsid w:val="FA7FB6DD"/>
    <w:rsid w:val="FA7FE8E2"/>
    <w:rsid w:val="FA7FF25D"/>
    <w:rsid w:val="FA7FF836"/>
    <w:rsid w:val="FAB55954"/>
    <w:rsid w:val="FABD1FB4"/>
    <w:rsid w:val="FADF2549"/>
    <w:rsid w:val="FADF348F"/>
    <w:rsid w:val="FADF7AF1"/>
    <w:rsid w:val="FADFB346"/>
    <w:rsid w:val="FAEDEEB9"/>
    <w:rsid w:val="FAEF014E"/>
    <w:rsid w:val="FAF46483"/>
    <w:rsid w:val="FAF7665C"/>
    <w:rsid w:val="FAF7BC1E"/>
    <w:rsid w:val="FAF7D619"/>
    <w:rsid w:val="FAF904C8"/>
    <w:rsid w:val="FAFA9BBF"/>
    <w:rsid w:val="FAFBA9AF"/>
    <w:rsid w:val="FAFBB856"/>
    <w:rsid w:val="FAFD1D4D"/>
    <w:rsid w:val="FAFD4E1A"/>
    <w:rsid w:val="FAFDD988"/>
    <w:rsid w:val="FAFF5E7B"/>
    <w:rsid w:val="FAFF7FA6"/>
    <w:rsid w:val="FB0F32DC"/>
    <w:rsid w:val="FB2F49F7"/>
    <w:rsid w:val="FB331A78"/>
    <w:rsid w:val="FB4C65BC"/>
    <w:rsid w:val="FB5B23E0"/>
    <w:rsid w:val="FB5EF5CD"/>
    <w:rsid w:val="FB5F259F"/>
    <w:rsid w:val="FB63401F"/>
    <w:rsid w:val="FB6660EB"/>
    <w:rsid w:val="FB674AFC"/>
    <w:rsid w:val="FB6A59F8"/>
    <w:rsid w:val="FB6D2877"/>
    <w:rsid w:val="FB6E4B5A"/>
    <w:rsid w:val="FB6F61AF"/>
    <w:rsid w:val="FB755FA7"/>
    <w:rsid w:val="FB773338"/>
    <w:rsid w:val="FB777EE0"/>
    <w:rsid w:val="FB778237"/>
    <w:rsid w:val="FB778B15"/>
    <w:rsid w:val="FB790CBA"/>
    <w:rsid w:val="FB794EE7"/>
    <w:rsid w:val="FB7A4B9C"/>
    <w:rsid w:val="FB7AF277"/>
    <w:rsid w:val="FB7BE2B3"/>
    <w:rsid w:val="FB7DAEA3"/>
    <w:rsid w:val="FB7E159C"/>
    <w:rsid w:val="FB7EE883"/>
    <w:rsid w:val="FB7F8AE9"/>
    <w:rsid w:val="FB7FBBC6"/>
    <w:rsid w:val="FB7FDEC7"/>
    <w:rsid w:val="FB871F4F"/>
    <w:rsid w:val="FB8FB5D8"/>
    <w:rsid w:val="FB930A51"/>
    <w:rsid w:val="FB965897"/>
    <w:rsid w:val="FB9F5BB8"/>
    <w:rsid w:val="FB9FB4D9"/>
    <w:rsid w:val="FBADECA8"/>
    <w:rsid w:val="FBB39B06"/>
    <w:rsid w:val="FBB3AA04"/>
    <w:rsid w:val="FBB493A6"/>
    <w:rsid w:val="FBB780C8"/>
    <w:rsid w:val="FBB7FAAB"/>
    <w:rsid w:val="FBBAC5C8"/>
    <w:rsid w:val="FBBB37DF"/>
    <w:rsid w:val="FBBBE975"/>
    <w:rsid w:val="FBBDED18"/>
    <w:rsid w:val="FBBEF790"/>
    <w:rsid w:val="FBBF0FA1"/>
    <w:rsid w:val="FBBF6E1B"/>
    <w:rsid w:val="FBBFA623"/>
    <w:rsid w:val="FBC3EED4"/>
    <w:rsid w:val="FBC680C3"/>
    <w:rsid w:val="FBC76915"/>
    <w:rsid w:val="FBCD55C5"/>
    <w:rsid w:val="FBD36A3B"/>
    <w:rsid w:val="FBD73198"/>
    <w:rsid w:val="FBD75CB7"/>
    <w:rsid w:val="FBD7A315"/>
    <w:rsid w:val="FBD7ACC7"/>
    <w:rsid w:val="FBD7C206"/>
    <w:rsid w:val="FBDAC6DE"/>
    <w:rsid w:val="FBDAFFBC"/>
    <w:rsid w:val="FBDC698E"/>
    <w:rsid w:val="FBE72515"/>
    <w:rsid w:val="FBE7BB99"/>
    <w:rsid w:val="FBEE19F8"/>
    <w:rsid w:val="FBEE314F"/>
    <w:rsid w:val="FBEF379F"/>
    <w:rsid w:val="FBEF3D62"/>
    <w:rsid w:val="FBEF4DE8"/>
    <w:rsid w:val="FBEF6DC6"/>
    <w:rsid w:val="FBEF82A3"/>
    <w:rsid w:val="FBEFDF36"/>
    <w:rsid w:val="FBF2E614"/>
    <w:rsid w:val="FBF3084E"/>
    <w:rsid w:val="FBF3A966"/>
    <w:rsid w:val="FBF60A48"/>
    <w:rsid w:val="FBF62B52"/>
    <w:rsid w:val="FBF700A8"/>
    <w:rsid w:val="FBF723DD"/>
    <w:rsid w:val="FBF7E93B"/>
    <w:rsid w:val="FBF7F9EB"/>
    <w:rsid w:val="FBF82DFA"/>
    <w:rsid w:val="FBF85E82"/>
    <w:rsid w:val="FBFA4E1C"/>
    <w:rsid w:val="FBFA8E60"/>
    <w:rsid w:val="FBFB4307"/>
    <w:rsid w:val="FBFB98D3"/>
    <w:rsid w:val="FBFD4DF4"/>
    <w:rsid w:val="FBFD8163"/>
    <w:rsid w:val="FBFD9A35"/>
    <w:rsid w:val="FBFDC2B7"/>
    <w:rsid w:val="FBFDC80C"/>
    <w:rsid w:val="FBFDC9E5"/>
    <w:rsid w:val="FBFDEFE6"/>
    <w:rsid w:val="FBFE7891"/>
    <w:rsid w:val="FBFED233"/>
    <w:rsid w:val="FBFF1295"/>
    <w:rsid w:val="FBFF18DD"/>
    <w:rsid w:val="FBFF273C"/>
    <w:rsid w:val="FBFF2E30"/>
    <w:rsid w:val="FBFF3E4A"/>
    <w:rsid w:val="FBFF4CC7"/>
    <w:rsid w:val="FBFF755F"/>
    <w:rsid w:val="FBFF7598"/>
    <w:rsid w:val="FBFF7EAB"/>
    <w:rsid w:val="FBFF8DE6"/>
    <w:rsid w:val="FBFF99CF"/>
    <w:rsid w:val="FBFFAC62"/>
    <w:rsid w:val="FBFFAF12"/>
    <w:rsid w:val="FBFFC87D"/>
    <w:rsid w:val="FBFFCC34"/>
    <w:rsid w:val="FBFFDCCE"/>
    <w:rsid w:val="FBFFE815"/>
    <w:rsid w:val="FBFFEC42"/>
    <w:rsid w:val="FBFFEC7B"/>
    <w:rsid w:val="FC0CB728"/>
    <w:rsid w:val="FC1BDA1D"/>
    <w:rsid w:val="FC5BDC70"/>
    <w:rsid w:val="FC5D297E"/>
    <w:rsid w:val="FC5DDF97"/>
    <w:rsid w:val="FC65F7B4"/>
    <w:rsid w:val="FC6D0CAE"/>
    <w:rsid w:val="FC771837"/>
    <w:rsid w:val="FC7C6CA8"/>
    <w:rsid w:val="FC7FBA8E"/>
    <w:rsid w:val="FC965308"/>
    <w:rsid w:val="FC9E60CA"/>
    <w:rsid w:val="FC9E8F06"/>
    <w:rsid w:val="FC9F10B6"/>
    <w:rsid w:val="FCA66AF7"/>
    <w:rsid w:val="FCAD897F"/>
    <w:rsid w:val="FCB2DE51"/>
    <w:rsid w:val="FCB60D08"/>
    <w:rsid w:val="FCB9DD8F"/>
    <w:rsid w:val="FCBB51C8"/>
    <w:rsid w:val="FCBE6253"/>
    <w:rsid w:val="FCCDCCFD"/>
    <w:rsid w:val="FCD38919"/>
    <w:rsid w:val="FCD76C4C"/>
    <w:rsid w:val="FCD8D90A"/>
    <w:rsid w:val="FCDC9E69"/>
    <w:rsid w:val="FCDF30CD"/>
    <w:rsid w:val="FCEB314F"/>
    <w:rsid w:val="FCEE367D"/>
    <w:rsid w:val="FCEE79A2"/>
    <w:rsid w:val="FCEF2473"/>
    <w:rsid w:val="FCF3CC37"/>
    <w:rsid w:val="FCF421DC"/>
    <w:rsid w:val="FCF73309"/>
    <w:rsid w:val="FCFB053F"/>
    <w:rsid w:val="FCFF22CD"/>
    <w:rsid w:val="FCFF4B64"/>
    <w:rsid w:val="FCFF61AA"/>
    <w:rsid w:val="FCFF8C98"/>
    <w:rsid w:val="FCFF9ADE"/>
    <w:rsid w:val="FCFFD668"/>
    <w:rsid w:val="FD0FA50E"/>
    <w:rsid w:val="FD27A67A"/>
    <w:rsid w:val="FD27CBE3"/>
    <w:rsid w:val="FD2F974E"/>
    <w:rsid w:val="FD2FC77D"/>
    <w:rsid w:val="FD36B0D3"/>
    <w:rsid w:val="FD37AE86"/>
    <w:rsid w:val="FD3F21C9"/>
    <w:rsid w:val="FD3FBDC1"/>
    <w:rsid w:val="FD470E63"/>
    <w:rsid w:val="FD55442E"/>
    <w:rsid w:val="FD5D16E7"/>
    <w:rsid w:val="FD5D5088"/>
    <w:rsid w:val="FD5DF822"/>
    <w:rsid w:val="FD5E17F1"/>
    <w:rsid w:val="FD5F3815"/>
    <w:rsid w:val="FD6A60F7"/>
    <w:rsid w:val="FD6BA409"/>
    <w:rsid w:val="FD6E4ECC"/>
    <w:rsid w:val="FD6F5C55"/>
    <w:rsid w:val="FD76847A"/>
    <w:rsid w:val="FD7726EC"/>
    <w:rsid w:val="FD773AD0"/>
    <w:rsid w:val="FD77D570"/>
    <w:rsid w:val="FD7BEB13"/>
    <w:rsid w:val="FD7DAFEB"/>
    <w:rsid w:val="FD7F1D14"/>
    <w:rsid w:val="FD7F49B2"/>
    <w:rsid w:val="FD7FA073"/>
    <w:rsid w:val="FD7FD106"/>
    <w:rsid w:val="FD7FD745"/>
    <w:rsid w:val="FD7FDE79"/>
    <w:rsid w:val="FD7FFEF7"/>
    <w:rsid w:val="FD830B21"/>
    <w:rsid w:val="FD87BA0D"/>
    <w:rsid w:val="FD9C3EF6"/>
    <w:rsid w:val="FD9FF1AF"/>
    <w:rsid w:val="FDADDE7E"/>
    <w:rsid w:val="FDAE93C8"/>
    <w:rsid w:val="FDAF2D92"/>
    <w:rsid w:val="FDAFD39A"/>
    <w:rsid w:val="FDB4F8CF"/>
    <w:rsid w:val="FDB67701"/>
    <w:rsid w:val="FDB7729E"/>
    <w:rsid w:val="FDB99CAC"/>
    <w:rsid w:val="FDB99D1B"/>
    <w:rsid w:val="FDBABEF4"/>
    <w:rsid w:val="FDBB9A9B"/>
    <w:rsid w:val="FDBBD171"/>
    <w:rsid w:val="FDBDD88F"/>
    <w:rsid w:val="FDBE0CDD"/>
    <w:rsid w:val="FDBF48BB"/>
    <w:rsid w:val="FDBF7939"/>
    <w:rsid w:val="FDCBA60A"/>
    <w:rsid w:val="FDCEA99C"/>
    <w:rsid w:val="FDD389B7"/>
    <w:rsid w:val="FDD622C4"/>
    <w:rsid w:val="FDD6A2B4"/>
    <w:rsid w:val="FDD7088C"/>
    <w:rsid w:val="FDDA98E9"/>
    <w:rsid w:val="FDDC1B5C"/>
    <w:rsid w:val="FDDD32CD"/>
    <w:rsid w:val="FDDD5D51"/>
    <w:rsid w:val="FDDD9BEB"/>
    <w:rsid w:val="FDDDA509"/>
    <w:rsid w:val="FDDDDBF7"/>
    <w:rsid w:val="FDDE2180"/>
    <w:rsid w:val="FDDEDCA0"/>
    <w:rsid w:val="FDDFA5B0"/>
    <w:rsid w:val="FDDFBBA2"/>
    <w:rsid w:val="FDDFEC29"/>
    <w:rsid w:val="FDE2B767"/>
    <w:rsid w:val="FDEBA20E"/>
    <w:rsid w:val="FDEC89B8"/>
    <w:rsid w:val="FDEE74A3"/>
    <w:rsid w:val="FDEEC02A"/>
    <w:rsid w:val="FDEF0072"/>
    <w:rsid w:val="FDEF059C"/>
    <w:rsid w:val="FDEF1C60"/>
    <w:rsid w:val="FDEF2578"/>
    <w:rsid w:val="FDEF5B8B"/>
    <w:rsid w:val="FDEF7976"/>
    <w:rsid w:val="FDEF8F73"/>
    <w:rsid w:val="FDEFA9B9"/>
    <w:rsid w:val="FDF2D147"/>
    <w:rsid w:val="FDF30B8F"/>
    <w:rsid w:val="FDF373D4"/>
    <w:rsid w:val="FDF3EE80"/>
    <w:rsid w:val="FDF49821"/>
    <w:rsid w:val="FDF4AD4E"/>
    <w:rsid w:val="FDF58EFD"/>
    <w:rsid w:val="FDF71574"/>
    <w:rsid w:val="FDF73C63"/>
    <w:rsid w:val="FDF763A4"/>
    <w:rsid w:val="FDF7DFC9"/>
    <w:rsid w:val="FDF7F80D"/>
    <w:rsid w:val="FDF80D72"/>
    <w:rsid w:val="FDF8FF66"/>
    <w:rsid w:val="FDFB22F3"/>
    <w:rsid w:val="FDFB5773"/>
    <w:rsid w:val="FDFCEE6F"/>
    <w:rsid w:val="FDFD73A4"/>
    <w:rsid w:val="FDFD8FAF"/>
    <w:rsid w:val="FDFDA7E6"/>
    <w:rsid w:val="FDFDF044"/>
    <w:rsid w:val="FDFE40C8"/>
    <w:rsid w:val="FDFE8B05"/>
    <w:rsid w:val="FDFECC44"/>
    <w:rsid w:val="FDFF196E"/>
    <w:rsid w:val="FDFF19DD"/>
    <w:rsid w:val="FDFF27B3"/>
    <w:rsid w:val="FDFF359F"/>
    <w:rsid w:val="FDFF6980"/>
    <w:rsid w:val="FDFF82C7"/>
    <w:rsid w:val="FDFF99AC"/>
    <w:rsid w:val="FDFF99F0"/>
    <w:rsid w:val="FDFFAA90"/>
    <w:rsid w:val="FDFFCD89"/>
    <w:rsid w:val="FDFFE8F9"/>
    <w:rsid w:val="FE0A5466"/>
    <w:rsid w:val="FE15BF74"/>
    <w:rsid w:val="FE336368"/>
    <w:rsid w:val="FE36D15F"/>
    <w:rsid w:val="FE395EC3"/>
    <w:rsid w:val="FE3B48E4"/>
    <w:rsid w:val="FE3F44CB"/>
    <w:rsid w:val="FE3F90FA"/>
    <w:rsid w:val="FE47B838"/>
    <w:rsid w:val="FE4F235B"/>
    <w:rsid w:val="FE4F4DB7"/>
    <w:rsid w:val="FE59A443"/>
    <w:rsid w:val="FE5BAE10"/>
    <w:rsid w:val="FE679C8F"/>
    <w:rsid w:val="FE67ADAF"/>
    <w:rsid w:val="FE6DC289"/>
    <w:rsid w:val="FE6F2738"/>
    <w:rsid w:val="FE6F35A6"/>
    <w:rsid w:val="FE710CC3"/>
    <w:rsid w:val="FE71B3C6"/>
    <w:rsid w:val="FE731FC2"/>
    <w:rsid w:val="FE75A808"/>
    <w:rsid w:val="FE770AE5"/>
    <w:rsid w:val="FE77C010"/>
    <w:rsid w:val="FE7909A3"/>
    <w:rsid w:val="FE79F85D"/>
    <w:rsid w:val="FE7BC817"/>
    <w:rsid w:val="FE7BD646"/>
    <w:rsid w:val="FE7DF724"/>
    <w:rsid w:val="FE7F0583"/>
    <w:rsid w:val="FE7F3C56"/>
    <w:rsid w:val="FE7F3E6B"/>
    <w:rsid w:val="FE7F47A9"/>
    <w:rsid w:val="FE7F6213"/>
    <w:rsid w:val="FE7FCD3E"/>
    <w:rsid w:val="FE8F625E"/>
    <w:rsid w:val="FE9E0A8A"/>
    <w:rsid w:val="FE9E8B80"/>
    <w:rsid w:val="FE9F850A"/>
    <w:rsid w:val="FE9FAE9F"/>
    <w:rsid w:val="FEA7E518"/>
    <w:rsid w:val="FEAC0148"/>
    <w:rsid w:val="FEAD1E30"/>
    <w:rsid w:val="FEAD2F02"/>
    <w:rsid w:val="FEAE2A91"/>
    <w:rsid w:val="FEAEBD87"/>
    <w:rsid w:val="FEB4DD54"/>
    <w:rsid w:val="FEB5AEE8"/>
    <w:rsid w:val="FEB659D7"/>
    <w:rsid w:val="FEB975C9"/>
    <w:rsid w:val="FEBB01E0"/>
    <w:rsid w:val="FEBBDB87"/>
    <w:rsid w:val="FEBD4D3D"/>
    <w:rsid w:val="FEBF1CEA"/>
    <w:rsid w:val="FEBF4247"/>
    <w:rsid w:val="FEBF8684"/>
    <w:rsid w:val="FEBFE519"/>
    <w:rsid w:val="FEC68778"/>
    <w:rsid w:val="FECBD269"/>
    <w:rsid w:val="FECF3AAE"/>
    <w:rsid w:val="FECF41A1"/>
    <w:rsid w:val="FED14B4E"/>
    <w:rsid w:val="FED3666F"/>
    <w:rsid w:val="FED7DA40"/>
    <w:rsid w:val="FED7FF71"/>
    <w:rsid w:val="FED94775"/>
    <w:rsid w:val="FEDB4288"/>
    <w:rsid w:val="FEDBEC8F"/>
    <w:rsid w:val="FEDBEFBF"/>
    <w:rsid w:val="FEDBF52C"/>
    <w:rsid w:val="FEDC2C11"/>
    <w:rsid w:val="FEDDA8F5"/>
    <w:rsid w:val="FEDDF25E"/>
    <w:rsid w:val="FEDE2342"/>
    <w:rsid w:val="FEDF0331"/>
    <w:rsid w:val="FEDF0BD1"/>
    <w:rsid w:val="FEDF31C6"/>
    <w:rsid w:val="FEDF86E6"/>
    <w:rsid w:val="FEDFA379"/>
    <w:rsid w:val="FEDFC982"/>
    <w:rsid w:val="FEE5E4FD"/>
    <w:rsid w:val="FEEB8A8E"/>
    <w:rsid w:val="FEEBC9ED"/>
    <w:rsid w:val="FEECA4A8"/>
    <w:rsid w:val="FEED41F0"/>
    <w:rsid w:val="FEEDB22A"/>
    <w:rsid w:val="FEEDC7C6"/>
    <w:rsid w:val="FEEEB847"/>
    <w:rsid w:val="FEEEC2BD"/>
    <w:rsid w:val="FEEF6329"/>
    <w:rsid w:val="FEF004DC"/>
    <w:rsid w:val="FEF18703"/>
    <w:rsid w:val="FEF40AC1"/>
    <w:rsid w:val="FEF59A79"/>
    <w:rsid w:val="FEF621C1"/>
    <w:rsid w:val="FEF7D077"/>
    <w:rsid w:val="FEF7FB5A"/>
    <w:rsid w:val="FEF81226"/>
    <w:rsid w:val="FEF90367"/>
    <w:rsid w:val="FEF9840A"/>
    <w:rsid w:val="FEFA8F45"/>
    <w:rsid w:val="FEFB3414"/>
    <w:rsid w:val="FEFB7094"/>
    <w:rsid w:val="FEFBD75F"/>
    <w:rsid w:val="FEFBEAAB"/>
    <w:rsid w:val="FEFBF752"/>
    <w:rsid w:val="FEFC34D7"/>
    <w:rsid w:val="FEFC7C03"/>
    <w:rsid w:val="FEFCDFC8"/>
    <w:rsid w:val="FEFD0475"/>
    <w:rsid w:val="FEFD0FB7"/>
    <w:rsid w:val="FEFD63A7"/>
    <w:rsid w:val="FEFDEB44"/>
    <w:rsid w:val="FEFE1FAE"/>
    <w:rsid w:val="FEFEA583"/>
    <w:rsid w:val="FEFEAC2F"/>
    <w:rsid w:val="FEFF0395"/>
    <w:rsid w:val="FEFF0729"/>
    <w:rsid w:val="FEFF08E1"/>
    <w:rsid w:val="FEFF3677"/>
    <w:rsid w:val="FEFF3A11"/>
    <w:rsid w:val="FEFF48C4"/>
    <w:rsid w:val="FEFF673D"/>
    <w:rsid w:val="FEFF72D7"/>
    <w:rsid w:val="FEFF7CB9"/>
    <w:rsid w:val="FEFF8EC2"/>
    <w:rsid w:val="FEFF951B"/>
    <w:rsid w:val="FEFFAAFF"/>
    <w:rsid w:val="FEFFBB2A"/>
    <w:rsid w:val="FEFFC7B9"/>
    <w:rsid w:val="FEFFC7CD"/>
    <w:rsid w:val="FEFFD59E"/>
    <w:rsid w:val="FEFFE430"/>
    <w:rsid w:val="FEFFE68A"/>
    <w:rsid w:val="FEFFEE53"/>
    <w:rsid w:val="FEFFF1A6"/>
    <w:rsid w:val="FF093CE3"/>
    <w:rsid w:val="FF0F4963"/>
    <w:rsid w:val="FF2BE8D6"/>
    <w:rsid w:val="FF2E2E98"/>
    <w:rsid w:val="FF365569"/>
    <w:rsid w:val="FF375949"/>
    <w:rsid w:val="FF37BB72"/>
    <w:rsid w:val="FF3BDA2F"/>
    <w:rsid w:val="FF3E4159"/>
    <w:rsid w:val="FF3EB2FA"/>
    <w:rsid w:val="FF3F9DFC"/>
    <w:rsid w:val="FF3FEE05"/>
    <w:rsid w:val="FF452BC7"/>
    <w:rsid w:val="FF56112F"/>
    <w:rsid w:val="FF5ADE5B"/>
    <w:rsid w:val="FF5AE953"/>
    <w:rsid w:val="FF5B0387"/>
    <w:rsid w:val="FF5BC994"/>
    <w:rsid w:val="FF5D2E06"/>
    <w:rsid w:val="FF5D3686"/>
    <w:rsid w:val="FF5E489A"/>
    <w:rsid w:val="FF5EC1C5"/>
    <w:rsid w:val="FF5F6640"/>
    <w:rsid w:val="FF5FA224"/>
    <w:rsid w:val="FF5FA9E5"/>
    <w:rsid w:val="FF65A8F1"/>
    <w:rsid w:val="FF65CB97"/>
    <w:rsid w:val="FF690EEF"/>
    <w:rsid w:val="FF69F77C"/>
    <w:rsid w:val="FF6A99AF"/>
    <w:rsid w:val="FF6B3724"/>
    <w:rsid w:val="FF6CFE49"/>
    <w:rsid w:val="FF6EFA1A"/>
    <w:rsid w:val="FF6F860C"/>
    <w:rsid w:val="FF6FDABE"/>
    <w:rsid w:val="FF6FE250"/>
    <w:rsid w:val="FF71BECC"/>
    <w:rsid w:val="FF73BE05"/>
    <w:rsid w:val="FF744C8B"/>
    <w:rsid w:val="FF75F5FE"/>
    <w:rsid w:val="FF77270C"/>
    <w:rsid w:val="FF776842"/>
    <w:rsid w:val="FF777458"/>
    <w:rsid w:val="FF7937B7"/>
    <w:rsid w:val="FF7A0FB8"/>
    <w:rsid w:val="FF7B6516"/>
    <w:rsid w:val="FF7BE684"/>
    <w:rsid w:val="FF7C7EFB"/>
    <w:rsid w:val="FF7D0CD6"/>
    <w:rsid w:val="FF7D4920"/>
    <w:rsid w:val="FF7D4A36"/>
    <w:rsid w:val="FF7D62E3"/>
    <w:rsid w:val="FF7E6645"/>
    <w:rsid w:val="FF7E71D1"/>
    <w:rsid w:val="FF7E8E34"/>
    <w:rsid w:val="FF7EBC59"/>
    <w:rsid w:val="FF7F25DD"/>
    <w:rsid w:val="FF7F29C0"/>
    <w:rsid w:val="FF7F6ECD"/>
    <w:rsid w:val="FF7F7EBE"/>
    <w:rsid w:val="FF7F950D"/>
    <w:rsid w:val="FF7FC8BA"/>
    <w:rsid w:val="FF7FCB29"/>
    <w:rsid w:val="FF7FCE91"/>
    <w:rsid w:val="FF7FDF16"/>
    <w:rsid w:val="FF7FEB5E"/>
    <w:rsid w:val="FF86D13F"/>
    <w:rsid w:val="FF8B84BB"/>
    <w:rsid w:val="FF8F711A"/>
    <w:rsid w:val="FF9014A9"/>
    <w:rsid w:val="FF918ECC"/>
    <w:rsid w:val="FF968C15"/>
    <w:rsid w:val="FF96E69E"/>
    <w:rsid w:val="FF9710DE"/>
    <w:rsid w:val="FF9712D2"/>
    <w:rsid w:val="FF97203E"/>
    <w:rsid w:val="FF97EBAA"/>
    <w:rsid w:val="FF9B8E8C"/>
    <w:rsid w:val="FF9C43DC"/>
    <w:rsid w:val="FF9DAF7D"/>
    <w:rsid w:val="FF9E074C"/>
    <w:rsid w:val="FF9F75F6"/>
    <w:rsid w:val="FF9FB6F8"/>
    <w:rsid w:val="FF9FBB02"/>
    <w:rsid w:val="FFA531FD"/>
    <w:rsid w:val="FFA585CA"/>
    <w:rsid w:val="FFA950EE"/>
    <w:rsid w:val="FFA9CBFF"/>
    <w:rsid w:val="FFAA1C56"/>
    <w:rsid w:val="FFAB1275"/>
    <w:rsid w:val="FFAE080F"/>
    <w:rsid w:val="FFAE7BA8"/>
    <w:rsid w:val="FFAEE67E"/>
    <w:rsid w:val="FFAF3657"/>
    <w:rsid w:val="FFAF51C0"/>
    <w:rsid w:val="FFAF5A49"/>
    <w:rsid w:val="FFAF70BE"/>
    <w:rsid w:val="FFAF7154"/>
    <w:rsid w:val="FFB03D97"/>
    <w:rsid w:val="FFB3111E"/>
    <w:rsid w:val="FFB39EA0"/>
    <w:rsid w:val="FFB3AE5F"/>
    <w:rsid w:val="FFB5FCB7"/>
    <w:rsid w:val="FFB739E7"/>
    <w:rsid w:val="FFB76F27"/>
    <w:rsid w:val="FFB9015B"/>
    <w:rsid w:val="FFB9B8DD"/>
    <w:rsid w:val="FFBA3342"/>
    <w:rsid w:val="FFBA3645"/>
    <w:rsid w:val="FFBADC93"/>
    <w:rsid w:val="FFBB3381"/>
    <w:rsid w:val="FFBBB554"/>
    <w:rsid w:val="FFBC8913"/>
    <w:rsid w:val="FFBD0E36"/>
    <w:rsid w:val="FFBD0F62"/>
    <w:rsid w:val="FFBD1101"/>
    <w:rsid w:val="FFBD1A58"/>
    <w:rsid w:val="FFBD54AD"/>
    <w:rsid w:val="FFBD670F"/>
    <w:rsid w:val="FFBD8687"/>
    <w:rsid w:val="FFBD943F"/>
    <w:rsid w:val="FFBDBC51"/>
    <w:rsid w:val="FFBDD5CF"/>
    <w:rsid w:val="FFBE9E01"/>
    <w:rsid w:val="FFBECF2E"/>
    <w:rsid w:val="FFBF18FB"/>
    <w:rsid w:val="FFBF2CAE"/>
    <w:rsid w:val="FFBF3A3B"/>
    <w:rsid w:val="FFBF4E5D"/>
    <w:rsid w:val="FFBF8838"/>
    <w:rsid w:val="FFBF990A"/>
    <w:rsid w:val="FFBF9BD9"/>
    <w:rsid w:val="FFBFB9CC"/>
    <w:rsid w:val="FFBFD2E7"/>
    <w:rsid w:val="FFC18A0B"/>
    <w:rsid w:val="FFC65A78"/>
    <w:rsid w:val="FFC6EACF"/>
    <w:rsid w:val="FFC77B5A"/>
    <w:rsid w:val="FFC7EDE6"/>
    <w:rsid w:val="FFC7F66E"/>
    <w:rsid w:val="FFC7F979"/>
    <w:rsid w:val="FFCA8328"/>
    <w:rsid w:val="FFCAFC0F"/>
    <w:rsid w:val="FFCBA9AE"/>
    <w:rsid w:val="FFCDE756"/>
    <w:rsid w:val="FFCEFA7D"/>
    <w:rsid w:val="FFCEFE5B"/>
    <w:rsid w:val="FFCFBBD3"/>
    <w:rsid w:val="FFCFC86B"/>
    <w:rsid w:val="FFCFF3D0"/>
    <w:rsid w:val="FFD3A114"/>
    <w:rsid w:val="FFD3BAFB"/>
    <w:rsid w:val="FFD784FC"/>
    <w:rsid w:val="FFD7F233"/>
    <w:rsid w:val="FFD7F81A"/>
    <w:rsid w:val="FFD88BB2"/>
    <w:rsid w:val="FFD96380"/>
    <w:rsid w:val="FFDA71B3"/>
    <w:rsid w:val="FFDB13E6"/>
    <w:rsid w:val="FFDBAD6E"/>
    <w:rsid w:val="FFDBDFA3"/>
    <w:rsid w:val="FFDC50BA"/>
    <w:rsid w:val="FFDD1CFD"/>
    <w:rsid w:val="FFDDC30F"/>
    <w:rsid w:val="FFDDE5EB"/>
    <w:rsid w:val="FFDE388F"/>
    <w:rsid w:val="FFDE9DA8"/>
    <w:rsid w:val="FFDEA64E"/>
    <w:rsid w:val="FFDEC4A9"/>
    <w:rsid w:val="FFDEE755"/>
    <w:rsid w:val="FFDF1B63"/>
    <w:rsid w:val="FFDF1DAE"/>
    <w:rsid w:val="FFDF2147"/>
    <w:rsid w:val="FFDF2F6F"/>
    <w:rsid w:val="FFDF3FFA"/>
    <w:rsid w:val="FFDF5422"/>
    <w:rsid w:val="FFDF54E2"/>
    <w:rsid w:val="FFDF8016"/>
    <w:rsid w:val="FFDF83DE"/>
    <w:rsid w:val="FFDFBE80"/>
    <w:rsid w:val="FFDFC25A"/>
    <w:rsid w:val="FFDFC981"/>
    <w:rsid w:val="FFDFF2B9"/>
    <w:rsid w:val="FFE201F0"/>
    <w:rsid w:val="FFE4A30E"/>
    <w:rsid w:val="FFE50602"/>
    <w:rsid w:val="FFE55481"/>
    <w:rsid w:val="FFE5F7BC"/>
    <w:rsid w:val="FFE6EC11"/>
    <w:rsid w:val="FFE786E9"/>
    <w:rsid w:val="FFE7B3DB"/>
    <w:rsid w:val="FFE7D02A"/>
    <w:rsid w:val="FFE7F8B4"/>
    <w:rsid w:val="FFE9D346"/>
    <w:rsid w:val="FFE9EC95"/>
    <w:rsid w:val="FFEAB7F4"/>
    <w:rsid w:val="FFEB1885"/>
    <w:rsid w:val="FFEB8122"/>
    <w:rsid w:val="FFEBCD0B"/>
    <w:rsid w:val="FFEC61A4"/>
    <w:rsid w:val="FFECF702"/>
    <w:rsid w:val="FFED48CB"/>
    <w:rsid w:val="FFED6EFB"/>
    <w:rsid w:val="FFEE03A7"/>
    <w:rsid w:val="FFEE110A"/>
    <w:rsid w:val="FFEE2FB0"/>
    <w:rsid w:val="FFEE8B3C"/>
    <w:rsid w:val="FFEE99A3"/>
    <w:rsid w:val="FFEE9B9F"/>
    <w:rsid w:val="FFEEEDF5"/>
    <w:rsid w:val="FFEF02E6"/>
    <w:rsid w:val="FFEF0696"/>
    <w:rsid w:val="FFEF1F2B"/>
    <w:rsid w:val="FFEF33A6"/>
    <w:rsid w:val="FFEF3A68"/>
    <w:rsid w:val="FFEF5C3E"/>
    <w:rsid w:val="FFEFA784"/>
    <w:rsid w:val="FFEFF92F"/>
    <w:rsid w:val="FFF0C2C9"/>
    <w:rsid w:val="FFF19618"/>
    <w:rsid w:val="FFF210C9"/>
    <w:rsid w:val="FFF228AF"/>
    <w:rsid w:val="FFF29FC9"/>
    <w:rsid w:val="FFF31355"/>
    <w:rsid w:val="FFF3278E"/>
    <w:rsid w:val="FFF32E22"/>
    <w:rsid w:val="FFF38BE3"/>
    <w:rsid w:val="FFF3BA74"/>
    <w:rsid w:val="FFF3C78D"/>
    <w:rsid w:val="FFF41B25"/>
    <w:rsid w:val="FFF464C4"/>
    <w:rsid w:val="FFF562F2"/>
    <w:rsid w:val="FFF58A43"/>
    <w:rsid w:val="FFF5A874"/>
    <w:rsid w:val="FFF5E0F4"/>
    <w:rsid w:val="FFF5EBEB"/>
    <w:rsid w:val="FFF6D159"/>
    <w:rsid w:val="FFF70D43"/>
    <w:rsid w:val="FFF70D6E"/>
    <w:rsid w:val="FFF75CF6"/>
    <w:rsid w:val="FFF761D8"/>
    <w:rsid w:val="FFF769DC"/>
    <w:rsid w:val="FFF77393"/>
    <w:rsid w:val="FFF784BB"/>
    <w:rsid w:val="FFF7894D"/>
    <w:rsid w:val="FFF7918A"/>
    <w:rsid w:val="FFF792B1"/>
    <w:rsid w:val="FFF795E2"/>
    <w:rsid w:val="FFF7A79E"/>
    <w:rsid w:val="FFF7CA66"/>
    <w:rsid w:val="FFF7CADE"/>
    <w:rsid w:val="FFF7E43E"/>
    <w:rsid w:val="FFF7E975"/>
    <w:rsid w:val="FFF7F5FD"/>
    <w:rsid w:val="FFF87EB5"/>
    <w:rsid w:val="FFF8FD7F"/>
    <w:rsid w:val="FFFA26FD"/>
    <w:rsid w:val="FFFA47B7"/>
    <w:rsid w:val="FFFA5076"/>
    <w:rsid w:val="FFFA51F6"/>
    <w:rsid w:val="FFFA7D04"/>
    <w:rsid w:val="FFFA8DC0"/>
    <w:rsid w:val="FFFAFCEA"/>
    <w:rsid w:val="FFFB0947"/>
    <w:rsid w:val="FFFB1E1E"/>
    <w:rsid w:val="FFFB3207"/>
    <w:rsid w:val="FFFB4B01"/>
    <w:rsid w:val="FFFB6716"/>
    <w:rsid w:val="FFFB76C4"/>
    <w:rsid w:val="FFFB9467"/>
    <w:rsid w:val="FFFBC978"/>
    <w:rsid w:val="FFFC6A1B"/>
    <w:rsid w:val="FFFC6A47"/>
    <w:rsid w:val="FFFC9D00"/>
    <w:rsid w:val="FFFCC7BC"/>
    <w:rsid w:val="FFFD0C53"/>
    <w:rsid w:val="FFFD0F41"/>
    <w:rsid w:val="FFFD1381"/>
    <w:rsid w:val="FFFD31EC"/>
    <w:rsid w:val="FFFD5108"/>
    <w:rsid w:val="FFFD5BA2"/>
    <w:rsid w:val="FFFD7A49"/>
    <w:rsid w:val="FFFD8C27"/>
    <w:rsid w:val="FFFDAAE0"/>
    <w:rsid w:val="FFFDB719"/>
    <w:rsid w:val="FFFDBA64"/>
    <w:rsid w:val="FFFDD98F"/>
    <w:rsid w:val="FFFDECBD"/>
    <w:rsid w:val="FFFDECC2"/>
    <w:rsid w:val="FFFE09E7"/>
    <w:rsid w:val="FFFE4A4E"/>
    <w:rsid w:val="FFFE4C04"/>
    <w:rsid w:val="FFFE73E4"/>
    <w:rsid w:val="FFFE8F4A"/>
    <w:rsid w:val="FFFE96FC"/>
    <w:rsid w:val="FFFED567"/>
    <w:rsid w:val="FFFEDCB5"/>
    <w:rsid w:val="FFFEDF23"/>
    <w:rsid w:val="FFFEF5CF"/>
    <w:rsid w:val="FFFF0045"/>
    <w:rsid w:val="FFFF0283"/>
    <w:rsid w:val="FFFF0A2C"/>
    <w:rsid w:val="FFFF108B"/>
    <w:rsid w:val="FFFF179B"/>
    <w:rsid w:val="FFFF1C0B"/>
    <w:rsid w:val="FFFF1CBB"/>
    <w:rsid w:val="FFFF2268"/>
    <w:rsid w:val="FFFF2DB6"/>
    <w:rsid w:val="FFFF3061"/>
    <w:rsid w:val="FFFF4068"/>
    <w:rsid w:val="FFFF4109"/>
    <w:rsid w:val="FFFF4C8A"/>
    <w:rsid w:val="FFFF5671"/>
    <w:rsid w:val="FFFF79BD"/>
    <w:rsid w:val="FFFF7AF3"/>
    <w:rsid w:val="FFFF7B4B"/>
    <w:rsid w:val="FFFF8222"/>
    <w:rsid w:val="FFFF82A2"/>
    <w:rsid w:val="FFFF8672"/>
    <w:rsid w:val="FFFF8BF9"/>
    <w:rsid w:val="FFFFA0A2"/>
    <w:rsid w:val="FFFFB0C9"/>
    <w:rsid w:val="FFFFBC7A"/>
    <w:rsid w:val="FFFFBFB1"/>
    <w:rsid w:val="FFFFC4BE"/>
    <w:rsid w:val="FFFFC671"/>
    <w:rsid w:val="FFFFC96D"/>
    <w:rsid w:val="FFFFD49D"/>
    <w:rsid w:val="FFFFD6DF"/>
    <w:rsid w:val="FFFFD7B0"/>
    <w:rsid w:val="FFFFDDBF"/>
    <w:rsid w:val="FFFFDED1"/>
    <w:rsid w:val="FFFFDFC6"/>
    <w:rsid w:val="FFFFE8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360" w:lineRule="auto"/>
      <w:jc w:val="center"/>
      <w:outlineLvl w:val="0"/>
    </w:pPr>
    <w:rPr>
      <w:rFonts w:eastAsia="黑体"/>
      <w:kern w:val="44"/>
      <w:sz w:val="36"/>
    </w:rPr>
  </w:style>
  <w:style w:type="paragraph" w:styleId="5">
    <w:name w:val="heading 2"/>
    <w:basedOn w:val="1"/>
    <w:next w:val="1"/>
    <w:link w:val="37"/>
    <w:qFormat/>
    <w:uiPriority w:val="0"/>
    <w:pPr>
      <w:keepNext/>
      <w:keepLines/>
      <w:snapToGrid w:val="0"/>
      <w:spacing w:beforeLines="0" w:beforeAutospacing="0" w:afterLines="0" w:afterAutospacing="0" w:line="360" w:lineRule="auto"/>
      <w:ind w:firstLine="1440" w:firstLineChars="200"/>
      <w:outlineLvl w:val="1"/>
    </w:pPr>
    <w:rPr>
      <w:rFonts w:ascii="Arial" w:hAnsi="Arial" w:eastAsia="黑体"/>
      <w:sz w:val="28"/>
    </w:rPr>
  </w:style>
  <w:style w:type="paragraph" w:styleId="6">
    <w:name w:val="heading 3"/>
    <w:basedOn w:val="1"/>
    <w:next w:val="1"/>
    <w:qFormat/>
    <w:uiPriority w:val="0"/>
    <w:pPr>
      <w:keepNext/>
      <w:keepLines/>
      <w:spacing w:beforeLines="0" w:beforeAutospacing="0" w:afterLines="0" w:afterAutospacing="0" w:line="360" w:lineRule="auto"/>
      <w:outlineLvl w:val="2"/>
    </w:pPr>
    <w:rPr>
      <w:rFonts w:eastAsia="黑体"/>
      <w:sz w:val="24"/>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8">
    <w:name w:val="toc 7"/>
    <w:basedOn w:val="1"/>
    <w:next w:val="1"/>
    <w:unhideWhenUsed/>
    <w:qFormat/>
    <w:uiPriority w:val="39"/>
    <w:pPr>
      <w:ind w:left="2520" w:leftChars="1200"/>
    </w:pPr>
    <w:rPr>
      <w:rFonts w:ascii="Calibri" w:hAnsi="Calibri" w:eastAsia="宋体" w:cs="Times New Roman"/>
      <w:szCs w:val="22"/>
    </w:rPr>
  </w:style>
  <w:style w:type="paragraph" w:styleId="9">
    <w:name w:val="Normal Indent"/>
    <w:basedOn w:val="1"/>
    <w:next w:val="10"/>
    <w:qFormat/>
    <w:uiPriority w:val="0"/>
    <w:pPr>
      <w:ind w:firstLine="420" w:firstLineChars="200"/>
    </w:pPr>
    <w:rPr>
      <w:rFonts w:ascii="Times New Roman" w:hAnsi="Times New Roman" w:cs="Times New Roman"/>
      <w:szCs w:val="20"/>
    </w:rPr>
  </w:style>
  <w:style w:type="paragraph" w:styleId="10">
    <w:name w:val="Body Text"/>
    <w:basedOn w:val="1"/>
    <w:next w:val="11"/>
    <w:qFormat/>
    <w:uiPriority w:val="0"/>
    <w:pPr>
      <w:spacing w:after="120" w:afterLines="0" w:afterAutospacing="0" w:line="600" w:lineRule="exact"/>
      <w:ind w:firstLine="883" w:firstLineChars="200"/>
    </w:pPr>
    <w:rPr>
      <w:rFonts w:ascii="仿宋_GB2312" w:hAnsi="仿宋_GB2312" w:eastAsia="仿宋_GB2312"/>
      <w:sz w:val="32"/>
    </w:rPr>
  </w:style>
  <w:style w:type="paragraph" w:styleId="11">
    <w:name w:val="Title"/>
    <w:basedOn w:val="1"/>
    <w:next w:val="1"/>
    <w:qFormat/>
    <w:uiPriority w:val="0"/>
    <w:pPr>
      <w:widowControl/>
      <w:spacing w:before="240" w:after="60"/>
      <w:jc w:val="center"/>
      <w:outlineLvl w:val="0"/>
    </w:pPr>
    <w:rPr>
      <w:rFonts w:ascii="Cambria" w:hAnsi="Cambria"/>
      <w:b/>
      <w:bCs/>
      <w:sz w:val="32"/>
      <w:szCs w:val="32"/>
    </w:rPr>
  </w:style>
  <w:style w:type="paragraph" w:styleId="12">
    <w:name w:val="annotation text"/>
    <w:basedOn w:val="1"/>
    <w:unhideWhenUsed/>
    <w:qFormat/>
    <w:uiPriority w:val="99"/>
    <w:pPr>
      <w:jc w:val="left"/>
    </w:pPr>
  </w:style>
  <w:style w:type="paragraph" w:styleId="13">
    <w:name w:val="toc 5"/>
    <w:basedOn w:val="1"/>
    <w:next w:val="1"/>
    <w:unhideWhenUsed/>
    <w:qFormat/>
    <w:uiPriority w:val="39"/>
    <w:pPr>
      <w:ind w:left="1680" w:leftChars="800"/>
    </w:pPr>
    <w:rPr>
      <w:rFonts w:ascii="Calibri" w:hAnsi="Calibri" w:eastAsia="宋体" w:cs="Times New Roman"/>
      <w:szCs w:val="22"/>
    </w:rPr>
  </w:style>
  <w:style w:type="paragraph" w:styleId="14">
    <w:name w:val="toc 3"/>
    <w:basedOn w:val="1"/>
    <w:next w:val="1"/>
    <w:qFormat/>
    <w:uiPriority w:val="39"/>
    <w:pPr>
      <w:ind w:left="840" w:leftChars="400"/>
    </w:pPr>
  </w:style>
  <w:style w:type="paragraph" w:styleId="15">
    <w:name w:val="Plain Text"/>
    <w:basedOn w:val="1"/>
    <w:qFormat/>
    <w:uiPriority w:val="0"/>
    <w:rPr>
      <w:rFonts w:ascii="宋体" w:hAnsi="Courier New"/>
      <w:szCs w:val="21"/>
    </w:rPr>
  </w:style>
  <w:style w:type="paragraph" w:styleId="16">
    <w:name w:val="toc 8"/>
    <w:basedOn w:val="1"/>
    <w:next w:val="1"/>
    <w:unhideWhenUsed/>
    <w:qFormat/>
    <w:uiPriority w:val="39"/>
    <w:pPr>
      <w:ind w:left="2940" w:leftChars="1400"/>
    </w:pPr>
    <w:rPr>
      <w:rFonts w:ascii="Calibri" w:hAnsi="Calibri" w:eastAsia="宋体" w:cs="Times New Roman"/>
      <w:szCs w:val="22"/>
    </w:rPr>
  </w:style>
  <w:style w:type="paragraph" w:styleId="17">
    <w:name w:val="Body Text Indent 2"/>
    <w:basedOn w:val="1"/>
    <w:qFormat/>
    <w:uiPriority w:val="0"/>
    <w:pPr>
      <w:tabs>
        <w:tab w:val="left" w:pos="8505"/>
      </w:tabs>
      <w:ind w:right="-15" w:firstLine="840"/>
    </w:pPr>
    <w:rPr>
      <w:rFonts w:ascii="Calibri" w:hAnsi="Calibri" w:eastAsia="宋体" w:cs="Times New Roman"/>
      <w:szCs w:val="21"/>
    </w:rPr>
  </w:style>
  <w:style w:type="paragraph" w:styleId="18">
    <w:name w:val="Balloon Text"/>
    <w:basedOn w:val="1"/>
    <w:link w:val="38"/>
    <w:qFormat/>
    <w:uiPriority w:val="0"/>
    <w:rPr>
      <w:sz w:val="18"/>
      <w:szCs w:val="18"/>
    </w:rPr>
  </w:style>
  <w:style w:type="paragraph" w:styleId="19">
    <w:name w:val="footer"/>
    <w:basedOn w:val="1"/>
    <w:unhideWhenUsed/>
    <w:qFormat/>
    <w:uiPriority w:val="99"/>
    <w:pPr>
      <w:tabs>
        <w:tab w:val="center" w:pos="4153"/>
        <w:tab w:val="right" w:pos="8306"/>
      </w:tabs>
      <w:snapToGrid w:val="0"/>
      <w:jc w:val="left"/>
    </w:pPr>
    <w:rPr>
      <w:sz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pPr>
    <w:rPr>
      <w:rFonts w:ascii="Calibri" w:hAnsi="Calibri" w:eastAsia="宋体" w:cs="Times New Roman"/>
      <w:szCs w:val="22"/>
    </w:rPr>
  </w:style>
  <w:style w:type="paragraph" w:styleId="23">
    <w:name w:val="footnote text"/>
    <w:basedOn w:val="1"/>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pPr>
    <w:rPr>
      <w:rFonts w:ascii="Calibri" w:hAnsi="Calibri" w:eastAsia="宋体" w:cs="Times New Roman"/>
      <w:szCs w:val="22"/>
    </w:rPr>
  </w:style>
  <w:style w:type="paragraph" w:styleId="25">
    <w:name w:val="toc 2"/>
    <w:basedOn w:val="1"/>
    <w:next w:val="1"/>
    <w:qFormat/>
    <w:uiPriority w:val="39"/>
    <w:pPr>
      <w:ind w:left="420" w:leftChars="200"/>
    </w:pPr>
  </w:style>
  <w:style w:type="paragraph" w:styleId="26">
    <w:name w:val="toc 9"/>
    <w:basedOn w:val="1"/>
    <w:next w:val="1"/>
    <w:unhideWhenUsed/>
    <w:qFormat/>
    <w:uiPriority w:val="39"/>
    <w:pPr>
      <w:ind w:left="3360" w:leftChars="1600"/>
    </w:pPr>
    <w:rPr>
      <w:rFonts w:ascii="Calibri" w:hAnsi="Calibri" w:eastAsia="宋体" w:cs="Times New Roman"/>
      <w:szCs w:val="22"/>
    </w:rPr>
  </w:style>
  <w:style w:type="paragraph" w:styleId="27">
    <w:name w:val="Body Text 2"/>
    <w:basedOn w:val="1"/>
    <w:qFormat/>
    <w:uiPriority w:val="99"/>
    <w:rPr>
      <w:rFonts w:ascii="宋体" w:hAnsi="宋体"/>
      <w:bCs/>
      <w:sz w:val="18"/>
      <w:szCs w:val="18"/>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0">
    <w:name w:val="Body Text First Indent"/>
    <w:basedOn w:val="10"/>
    <w:unhideWhenUsed/>
    <w:qFormat/>
    <w:uiPriority w:val="99"/>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Hyperlink"/>
    <w:unhideWhenUsed/>
    <w:qFormat/>
    <w:uiPriority w:val="99"/>
    <w:rPr>
      <w:color w:val="0563C1"/>
      <w:u w:val="single"/>
    </w:rPr>
  </w:style>
  <w:style w:type="character" w:styleId="36">
    <w:name w:val="footnote reference"/>
    <w:unhideWhenUsed/>
    <w:qFormat/>
    <w:uiPriority w:val="99"/>
    <w:rPr>
      <w:vertAlign w:val="superscript"/>
    </w:rPr>
  </w:style>
  <w:style w:type="character" w:customStyle="1" w:styleId="37">
    <w:name w:val="标题 2 Char"/>
    <w:link w:val="5"/>
    <w:qFormat/>
    <w:uiPriority w:val="0"/>
    <w:rPr>
      <w:rFonts w:ascii="Arial" w:hAnsi="Arial" w:eastAsia="黑体"/>
      <w:sz w:val="28"/>
    </w:rPr>
  </w:style>
  <w:style w:type="character" w:customStyle="1" w:styleId="38">
    <w:name w:val="批注框文本 Char"/>
    <w:link w:val="18"/>
    <w:qFormat/>
    <w:uiPriority w:val="0"/>
    <w:rPr>
      <w:rFonts w:ascii="Calibri" w:hAnsi="Calibri"/>
      <w:kern w:val="2"/>
      <w:sz w:val="18"/>
      <w:szCs w:val="18"/>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二级目录"/>
    <w:basedOn w:val="1"/>
    <w:link w:val="41"/>
    <w:qFormat/>
    <w:uiPriority w:val="99"/>
    <w:pPr>
      <w:spacing w:line="360" w:lineRule="exact"/>
      <w:ind w:firstLine="412" w:firstLineChars="196"/>
      <w:outlineLvl w:val="1"/>
    </w:pPr>
    <w:rPr>
      <w:rFonts w:ascii="Times New Roman" w:hAnsi="宋体" w:cs="Times New Roman"/>
      <w:kern w:val="0"/>
      <w:szCs w:val="21"/>
    </w:rPr>
  </w:style>
  <w:style w:type="character" w:customStyle="1" w:styleId="41">
    <w:name w:val="二级目录 Char"/>
    <w:link w:val="40"/>
    <w:qFormat/>
    <w:locked/>
    <w:uiPriority w:val="0"/>
    <w:rPr>
      <w:rFonts w:ascii="Times New Roman" w:hAnsi="宋体" w:cs="Times New Roman"/>
      <w:kern w:val="0"/>
      <w:szCs w:val="21"/>
    </w:rPr>
  </w:style>
  <w:style w:type="paragraph" w:customStyle="1" w:styleId="42">
    <w:name w:val="WPSOffice手动目录 2"/>
    <w:qFormat/>
    <w:uiPriority w:val="0"/>
    <w:pPr>
      <w:ind w:leftChars="200"/>
    </w:pPr>
    <w:rPr>
      <w:rFonts w:ascii="Times New Roman" w:hAnsi="Times New Roman" w:eastAsia="宋体" w:cs="Times New Roman"/>
      <w:lang w:val="en-US" w:eastAsia="zh-CN" w:bidi="ar-SA"/>
    </w:rPr>
  </w:style>
  <w:style w:type="paragraph" w:customStyle="1" w:styleId="43">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5">
    <w:name w:val="List Paragraph"/>
    <w:basedOn w:val="1"/>
    <w:qFormat/>
    <w:uiPriority w:val="99"/>
    <w:pPr>
      <w:ind w:firstLine="420" w:firstLineChars="200"/>
    </w:pPr>
    <w:rPr>
      <w:szCs w:val="21"/>
    </w:rPr>
  </w:style>
  <w:style w:type="paragraph" w:customStyle="1" w:styleId="46">
    <w:name w:val="列出段落11"/>
    <w:basedOn w:val="1"/>
    <w:qFormat/>
    <w:uiPriority w:val="99"/>
    <w:pPr>
      <w:ind w:firstLine="420" w:firstLineChars="200"/>
    </w:pPr>
    <w:rPr>
      <w:szCs w:val="21"/>
    </w:rPr>
  </w:style>
  <w:style w:type="character" w:customStyle="1" w:styleId="47">
    <w:name w:val="apple-style-span"/>
    <w:qFormat/>
    <w:uiPriority w:val="0"/>
  </w:style>
  <w:style w:type="paragraph" w:customStyle="1" w:styleId="48">
    <w:name w:val="正文首行缩进1"/>
    <w:basedOn w:val="10"/>
    <w:qFormat/>
    <w:uiPriority w:val="0"/>
    <w:pPr>
      <w:ind w:firstLine="420" w:firstLineChars="100"/>
    </w:pPr>
  </w:style>
  <w:style w:type="character" w:customStyle="1" w:styleId="49">
    <w:name w:val="小黑 Char Char Char"/>
    <w:qFormat/>
    <w:uiPriority w:val="0"/>
    <w:rPr>
      <w:rFonts w:ascii="黑体" w:hAnsi="黑体" w:eastAsia="黑体" w:cs="宋体"/>
      <w:kern w:val="2"/>
      <w:sz w:val="24"/>
      <w:lang w:val="en-US" w:eastAsia="zh-CN" w:bidi="ar-SA"/>
    </w:rPr>
  </w:style>
  <w:style w:type="paragraph" w:customStyle="1" w:styleId="50">
    <w:name w:val="列出段落3"/>
    <w:basedOn w:val="1"/>
    <w:qFormat/>
    <w:uiPriority w:val="0"/>
    <w:pPr>
      <w:ind w:firstLine="420" w:firstLineChars="200"/>
    </w:pPr>
    <w:rPr>
      <w:szCs w:val="21"/>
    </w:rPr>
  </w:style>
  <w:style w:type="character" w:customStyle="1" w:styleId="51">
    <w:name w:val="font01"/>
    <w:qFormat/>
    <w:uiPriority w:val="0"/>
    <w:rPr>
      <w:rFonts w:hint="eastAsia" w:ascii="宋体" w:hAnsi="宋体" w:eastAsia="宋体" w:cs="宋体"/>
      <w:color w:val="000000"/>
      <w:sz w:val="18"/>
      <w:szCs w:val="18"/>
      <w:u w:val="none"/>
    </w:rPr>
  </w:style>
  <w:style w:type="character" w:customStyle="1" w:styleId="52">
    <w:name w:val="font41"/>
    <w:qFormat/>
    <w:uiPriority w:val="0"/>
    <w:rPr>
      <w:rFonts w:hint="eastAsia" w:ascii="宋体" w:hAnsi="宋体" w:eastAsia="宋体" w:cs="宋体"/>
      <w:color w:val="0000FF"/>
      <w:sz w:val="18"/>
      <w:szCs w:val="18"/>
      <w:u w:val="single"/>
    </w:rPr>
  </w:style>
  <w:style w:type="paragraph" w:customStyle="1" w:styleId="53">
    <w:name w:val="列出段落1"/>
    <w:basedOn w:val="1"/>
    <w:qFormat/>
    <w:uiPriority w:val="34"/>
    <w:pPr>
      <w:ind w:firstLine="420" w:firstLineChars="200"/>
    </w:pPr>
  </w:style>
  <w:style w:type="paragraph" w:customStyle="1" w:styleId="54">
    <w:name w:val="_Style 53"/>
    <w:unhideWhenUsed/>
    <w:qFormat/>
    <w:uiPriority w:val="99"/>
    <w:rPr>
      <w:rFonts w:ascii="Calibri" w:hAnsi="Calibri" w:eastAsia="宋体" w:cs="Times New Roman"/>
      <w:kern w:val="2"/>
      <w:sz w:val="21"/>
      <w:szCs w:val="24"/>
      <w:lang w:val="en-US" w:eastAsia="zh-CN" w:bidi="ar-SA"/>
    </w:rPr>
  </w:style>
  <w:style w:type="paragraph" w:customStyle="1" w:styleId="55">
    <w:name w:val="目录样式（第X部分）"/>
    <w:basedOn w:val="4"/>
    <w:next w:val="1"/>
    <w:qFormat/>
    <w:uiPriority w:val="0"/>
    <w:pPr>
      <w:spacing w:before="0" w:beforeLines="0" w:after="0" w:afterLines="0" w:line="440" w:lineRule="exact"/>
    </w:pPr>
    <w:rPr>
      <w:sz w:val="32"/>
    </w:rPr>
  </w:style>
  <w:style w:type="paragraph" w:customStyle="1" w:styleId="56">
    <w:name w:val="一级标题"/>
    <w:basedOn w:val="5"/>
    <w:next w:val="1"/>
    <w:qFormat/>
    <w:uiPriority w:val="0"/>
    <w:pPr>
      <w:spacing w:line="360" w:lineRule="exact"/>
    </w:pPr>
    <w:rPr>
      <w:sz w:val="21"/>
    </w:rPr>
  </w:style>
  <w:style w:type="character" w:customStyle="1" w:styleId="57">
    <w:name w:val="font21"/>
    <w:qFormat/>
    <w:uiPriority w:val="0"/>
    <w:rPr>
      <w:rFonts w:hint="default" w:ascii="Calibri" w:hAnsi="Calibri" w:cs="Calibri"/>
      <w:color w:val="000000"/>
      <w:sz w:val="24"/>
      <w:szCs w:val="24"/>
      <w:u w:val="none"/>
    </w:rPr>
  </w:style>
  <w:style w:type="character" w:customStyle="1" w:styleId="58">
    <w:name w:val="font51"/>
    <w:qFormat/>
    <w:uiPriority w:val="0"/>
    <w:rPr>
      <w:rFonts w:hint="eastAsia" w:ascii="宋体" w:hAnsi="宋体" w:eastAsia="宋体" w:cs="宋体"/>
      <w:color w:val="000000"/>
      <w:sz w:val="24"/>
      <w:szCs w:val="24"/>
      <w:u w:val="none"/>
    </w:rPr>
  </w:style>
  <w:style w:type="paragraph" w:customStyle="1" w:styleId="59">
    <w:name w:val="xl28"/>
    <w:basedOn w:val="1"/>
    <w:qFormat/>
    <w:uiPriority w:val="0"/>
    <w:pPr>
      <w:widowControl/>
      <w:pBdr>
        <w:right w:val="single" w:color="auto" w:sz="4" w:space="0"/>
      </w:pBdr>
      <w:spacing w:before="100" w:beforeLines="0" w:beforeAutospacing="1" w:after="100" w:afterLines="0" w:afterAutospacing="1"/>
      <w:textAlignment w:val="top"/>
    </w:pPr>
    <w:rPr>
      <w:rFonts w:ascii="Arial Unicode MS" w:hAnsi="Arial Unicode MS" w:eastAsia="Arial Unicode MS" w:cs="Century"/>
      <w:kern w:val="0"/>
      <w:sz w:val="18"/>
      <w:szCs w:val="18"/>
    </w:rPr>
  </w:style>
  <w:style w:type="paragraph" w:customStyle="1" w:styleId="60">
    <w:name w:val="WPSOffice手动目录 3"/>
    <w:qFormat/>
    <w:uiPriority w:val="0"/>
    <w:pPr>
      <w:ind w:leftChars="400"/>
    </w:pPr>
    <w:rPr>
      <w:rFonts w:ascii="Times New Roman" w:hAnsi="Times New Roman" w:eastAsia="宋体" w:cs="Times New Roman"/>
      <w:sz w:val="20"/>
      <w:szCs w:val="20"/>
    </w:rPr>
  </w:style>
  <w:style w:type="paragraph" w:customStyle="1" w:styleId="61">
    <w:name w:val="5.0"/>
    <w:basedOn w:val="1"/>
    <w:qFormat/>
    <w:uiPriority w:val="0"/>
    <w:pPr>
      <w:spacing w:line="360" w:lineRule="exact"/>
      <w:ind w:firstLine="420" w:firstLineChars="200"/>
    </w:pPr>
    <w:rPr>
      <w:rFonts w:ascii="宋体" w:hAnsi="宋体"/>
      <w:szCs w:val="21"/>
    </w:rPr>
  </w:style>
  <w:style w:type="paragraph" w:customStyle="1" w:styleId="62">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59192</Words>
  <Characters>63403</Characters>
  <Lines>2536</Lines>
  <Paragraphs>714</Paragraphs>
  <TotalTime>0</TotalTime>
  <ScaleCrop>false</ScaleCrop>
  <LinksUpToDate>false</LinksUpToDate>
  <CharactersWithSpaces>71471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2023-05-05T19:47:00Z</dcterms:created>
  <dc:creator>Administrator</dc:creator>
  <cp:lastModifiedBy>huawei</cp:lastModifiedBy>
  <cp:lastPrinted>2024-12-21T15:28:00Z</cp:lastPrinted>
  <dcterms:modified xsi:type="dcterms:W3CDTF">2025-01-17T11:23:58Z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344C30AB9A924ED1B936AE0285699B1C_13</vt:lpwstr>
  </property>
  <property fmtid="{D5CDD505-2E9C-101B-9397-08002B2CF9AE}" pid="4" name="KSOSaveFontToCloudKey">
    <vt:lpwstr>382533999_embed</vt:lpwstr>
  </property>
  <property fmtid="{D5CDD505-2E9C-101B-9397-08002B2CF9AE}" pid="5" name="KSOTemplateDocerSaveRecord">
    <vt:lpwstr>eyJoZGlkIjoiYjRlYWJmYjFjM2U5ZWM5MGFkZmVlZWZjZjk2NjIwYWQiLCJ1c2VySWQiOiIyMzE4NDYxMDUifQ==</vt:lpwstr>
  </property>
</Properties>
</file>