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附件1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pStyle w:val="3"/>
        <w:rPr>
          <w:rFonts w:hint="eastAsia" w:ascii="宋体" w:hAnsi="宋体"/>
          <w:sz w:val="24"/>
          <w:szCs w:val="24"/>
          <w:lang w:eastAsia="zh-CN"/>
        </w:rPr>
      </w:pPr>
    </w:p>
    <w:tbl>
      <w:tblPr>
        <w:tblStyle w:val="4"/>
        <w:tblW w:w="25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18"/>
        <w:gridCol w:w="807"/>
        <w:gridCol w:w="308"/>
        <w:gridCol w:w="765"/>
        <w:gridCol w:w="236"/>
        <w:gridCol w:w="2464"/>
        <w:gridCol w:w="1238"/>
        <w:gridCol w:w="1290"/>
        <w:gridCol w:w="1215"/>
        <w:gridCol w:w="8421"/>
        <w:gridCol w:w="3878"/>
        <w:gridCol w:w="3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800" w:hRule="atLeast"/>
        </w:trPr>
        <w:tc>
          <w:tcPr>
            <w:tcW w:w="9910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1000" w:hRule="atLeast"/>
        </w:trPr>
        <w:tc>
          <w:tcPr>
            <w:tcW w:w="6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项目名称:天河区公共绿地巡查项目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招标单位：广州市天河区住房建设和园林局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380" w:hRule="atLeast"/>
        </w:trPr>
        <w:tc>
          <w:tcPr>
            <w:tcW w:w="1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类目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77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375" w:hRule="atLeast"/>
        </w:trPr>
        <w:tc>
          <w:tcPr>
            <w:tcW w:w="1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240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资信业绩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业绩实力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相关业绩：投标人自2021年1月1日至今，承担过类似的项目且合同金额大于等于项目规模的三分之二的，每项得5分。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注：（同类项目指：绿化服务项目），须提供合同关键页扫描件（须包含采购内容、合同甲乙双方签章页面），否则不得分 。业绩时间和金额以业绩合同为准，同一项目业绩不能重复计分 。本项最多得10分。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230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综合实力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投标人持有行政主管部门颁发的企业资质证书（工程设计资质、林业有害生物防治组织资质）及安全生产许可证，得10分；具备其中1项认证的，得5分；其它情况不得分。本项最多得10分。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注：须提供相关有效证书 ，否则不得分。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228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项目负责人：项目负责人具有园林绿化或风景园林相关专业职称：中级职称以上（含中级）得10分；初级职称得5分；无不得分。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注：(1)须提供负责人职称、社保证明扫描件，加盖投标人公章，不提供不得分。(2)项目负责人、技术负责入应为不同人员，不得互相兼任，否则均不得分。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240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技术负责人：技术负责人具有园林绿化或风景园林相关专业职称：中级职称以上（含中级）得10分；初级职称得5分；无不得分。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注：(1)须提供负责人职称、社保证明扫描件，加盖投标人公章，不提供不得分。(2)项目负责人、技术负责入应为不同人员，不得互相兼任，否则均不得分。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294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拟配备具有园林绿化或风景园林相关专业的主要专业技术人员 (项目负责人、技术负责人除外 ) 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1、具有中级或以上技术职称，5人（含）以上的得5分；3人(含)~4人(含)得3分；1人(含)~2人(含)得1分，其它得0分。本项最多得5分。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注：须提供负责人职称、社保证明扫描件，加盖投标人公章，不提供不得分。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328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技术部分（45分）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项目方案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对投标人巡查管理服务方案横向比较：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优：投标人方案编制科学、合理、完善的，得[30-45]分；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良：投标人方案编制比较合理的，得[20-30]分；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差：投标人方案编制较差的，的[0-20]分。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328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价格部分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价格部分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当投标价大于评标基准价时投标报价得分=10-偏差率*100×0.5；当投标价小于评标基准价时投标报价得分=10-偏差率*100×0.3；当投标价等于评标基准价时投标报价得分=10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偏差率=100%×|投标报价-评标基准价|/评标基准价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【注：1.满足招标文件要求的有效投标人大于5家(不含5家）时，去掉一个最高价和一个最低价，取余下有效报价的算术平均值作为评标基准价。（保留小数点后二位，第三位小数四舍五入）。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2.满足招标文件要求的有效投标人小于5家（含5家）时，以所有投标文件的有效报价的算术平均值作为评标基准价。（保留小数点后二位，第三位小数四舍五入）。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3.以评标基准价作为计算各有效投标报价得分的基础，当有效投标报价等于评标基准价时得10分.每上偏1%扣0.5分，下偏1%扣0.3分，扣至0分为止，得出报价分，精确到小数点后两位。】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660" w:hRule="atLeast"/>
        </w:trPr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02" w:type="dxa"/>
          <w:trHeight w:val="860" w:hRule="atLeast"/>
        </w:trPr>
        <w:tc>
          <w:tcPr>
            <w:tcW w:w="99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备注:所投入人员必须为响应供应商本单位人员，所有人员须提供近一个月（指2025年 月）在本响应供应商单位购买社保缴纳证明材料，提供证明资料的清晰扫描件并加盖响应供应商单位章，否则不计分。本次评标采用综合评分法，综合评分相等的，以响应报价得分高的优先，响应报价得分也相等的，以方案评分得分高的优先，如果方案评分也相等，则由评委以投票方式进行表决，确定相等得分的服务单位的排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评委签名：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2C63"/>
    <w:rsid w:val="04E93DC3"/>
    <w:rsid w:val="371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542"/>
    </w:pPr>
    <w:rPr>
      <w:rFonts w:ascii="Times New Roman" w:hAnsi="Times New Roman" w:eastAsia="宋体" w:cs="Times New Roman"/>
    </w:rPr>
  </w:style>
  <w:style w:type="paragraph" w:styleId="3">
    <w:name w:val="toc 4"/>
    <w:next w:val="1"/>
    <w:qFormat/>
    <w:uiPriority w:val="0"/>
    <w:pPr>
      <w:widowControl w:val="0"/>
      <w:ind w:left="600" w:leftChars="6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2025-05-08T03:03:00Z</dcterms:created>
  <dc:creator>潘泓瀚</dc:creator>
  <cp:lastModifiedBy>潘泓瀚</cp:lastModifiedBy>
  <dcterms:modified xsi:type="dcterms:W3CDTF">2025-05-08T03:04:14Z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2DAFC96536594F2887D4AF8BC1DCD27A</vt:lpwstr>
  </property>
</Properties>
</file>