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both"/>
        <w:textAlignment w:val="auto"/>
        <w:rPr>
          <w:rStyle w:val="5"/>
          <w:rFonts w:hint="default" w:ascii="Times New Roman" w:hAnsi="Times New Roman" w:eastAsia="黑体" w:cs="Times New Roman"/>
          <w:b w:val="0"/>
          <w:bCs w:val="0"/>
          <w:color w:val="auto"/>
          <w:spacing w:val="20"/>
          <w:kern w:val="0"/>
          <w:sz w:val="32"/>
          <w:szCs w:val="32"/>
          <w:shd w:val="clear" w:color="auto" w:fill="FFFFFF"/>
          <w:lang w:eastAsia="zh-CN"/>
        </w:rPr>
      </w:pPr>
      <w:r>
        <w:rPr>
          <w:rStyle w:val="5"/>
          <w:rFonts w:hint="default" w:ascii="Times New Roman" w:hAnsi="Times New Roman" w:eastAsia="黑体" w:cs="Times New Roman"/>
          <w:b w:val="0"/>
          <w:bCs w:val="0"/>
          <w:color w:val="auto"/>
          <w:spacing w:val="20"/>
          <w:kern w:val="0"/>
          <w:sz w:val="32"/>
          <w:szCs w:val="32"/>
          <w:shd w:val="clear" w:color="auto" w:fill="FFFFFF"/>
        </w:rPr>
        <w:t>附件</w:t>
      </w:r>
      <w:r>
        <w:rPr>
          <w:rStyle w:val="5"/>
          <w:rFonts w:hint="default" w:ascii="Times New Roman" w:hAnsi="Times New Roman" w:eastAsia="黑体" w:cs="Times New Roman"/>
          <w:b w:val="0"/>
          <w:bCs w:val="0"/>
          <w:color w:val="auto"/>
          <w:spacing w:val="20"/>
          <w:kern w:val="0"/>
          <w:sz w:val="32"/>
          <w:szCs w:val="32"/>
          <w:shd w:val="clear" w:color="auto" w:fill="FFFFFF"/>
          <w:lang w:val="en-US" w:eastAsia="zh-CN"/>
        </w:rPr>
        <w:t>4</w:t>
      </w:r>
    </w:p>
    <w:p>
      <w:pPr>
        <w:widowControl/>
        <w:spacing w:line="460" w:lineRule="exact"/>
        <w:jc w:val="center"/>
        <w:rPr>
          <w:rStyle w:val="5"/>
          <w:rFonts w:hint="default" w:ascii="Times New Roman" w:hAnsi="Times New Roman" w:eastAsia="方正小标宋_GBK" w:cs="Times New Roman"/>
          <w:b w:val="0"/>
          <w:bCs w:val="0"/>
          <w:color w:val="auto"/>
          <w:kern w:val="0"/>
          <w:sz w:val="44"/>
          <w:szCs w:val="44"/>
          <w:shd w:val="clear" w:color="auto" w:fill="FFFFFF"/>
        </w:rPr>
      </w:pPr>
      <w:r>
        <w:rPr>
          <w:rStyle w:val="5"/>
          <w:rFonts w:hint="default" w:ascii="Times New Roman" w:hAnsi="Times New Roman" w:eastAsia="方正小标宋_GBK" w:cs="Times New Roman"/>
          <w:b w:val="0"/>
          <w:bCs w:val="0"/>
          <w:color w:val="auto"/>
          <w:kern w:val="0"/>
          <w:sz w:val="44"/>
          <w:szCs w:val="44"/>
          <w:shd w:val="clear" w:color="auto" w:fill="FFFFFF"/>
        </w:rPr>
        <w:t>比选评分标准</w:t>
      </w:r>
    </w:p>
    <w:p>
      <w:pPr>
        <w:widowControl/>
        <w:spacing w:line="460" w:lineRule="exact"/>
        <w:jc w:val="center"/>
        <w:rPr>
          <w:rStyle w:val="5"/>
          <w:rFonts w:hint="default" w:ascii="Times New Roman" w:hAnsi="Times New Roman" w:eastAsia="方正小标宋_GBK" w:cs="Times New Roman"/>
          <w:b w:val="0"/>
          <w:bCs w:val="0"/>
          <w:color w:val="auto"/>
          <w:kern w:val="0"/>
          <w:sz w:val="44"/>
          <w:szCs w:val="44"/>
          <w:shd w:val="clear" w:color="auto" w:fill="FFFFFF"/>
        </w:rPr>
      </w:pPr>
    </w:p>
    <w:tbl>
      <w:tblPr>
        <w:tblStyle w:val="3"/>
        <w:tblW w:w="10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55"/>
        <w:gridCol w:w="1666"/>
        <w:gridCol w:w="7493"/>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404" w:hRule="atLeast"/>
          <w:tblHeader/>
          <w:jc w:val="center"/>
        </w:trPr>
        <w:tc>
          <w:tcPr>
            <w:tcW w:w="755" w:type="dxa"/>
            <w:tcBorders>
              <w:top w:val="single" w:color="000000" w:sz="12" w:space="0"/>
              <w:left w:val="single" w:color="000000" w:sz="12" w:space="0"/>
            </w:tcBorders>
            <w:shd w:val="clear" w:color="auto" w:fill="FFFFFF"/>
            <w:noWrap w:val="0"/>
            <w:tcMar>
              <w:top w:w="150" w:type="dxa"/>
              <w:left w:w="150" w:type="dxa"/>
              <w:bottom w:w="150"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序号</w:t>
            </w:r>
          </w:p>
        </w:tc>
        <w:tc>
          <w:tcPr>
            <w:tcW w:w="1666" w:type="dxa"/>
            <w:tcBorders>
              <w:top w:val="single" w:color="000000" w:sz="12" w:space="0"/>
            </w:tcBorders>
            <w:shd w:val="clear" w:color="auto" w:fill="FFFFFF"/>
            <w:noWrap w:val="0"/>
            <w:tcMar>
              <w:top w:w="150" w:type="dxa"/>
              <w:left w:w="150" w:type="dxa"/>
              <w:bottom w:w="150"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评审内容</w:t>
            </w:r>
          </w:p>
        </w:tc>
        <w:tc>
          <w:tcPr>
            <w:tcW w:w="7493" w:type="dxa"/>
            <w:tcBorders>
              <w:top w:val="single" w:color="000000" w:sz="12" w:space="0"/>
            </w:tcBorders>
            <w:shd w:val="clear" w:color="auto" w:fill="FFFFFF"/>
            <w:noWrap w:val="0"/>
            <w:tcMar>
              <w:top w:w="150" w:type="dxa"/>
              <w:left w:w="150" w:type="dxa"/>
              <w:bottom w:w="150"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评分范围</w:t>
            </w:r>
          </w:p>
        </w:tc>
        <w:tc>
          <w:tcPr>
            <w:tcW w:w="641" w:type="dxa"/>
            <w:tcBorders>
              <w:top w:val="single" w:color="000000" w:sz="12" w:space="0"/>
              <w:right w:val="single" w:color="000000" w:sz="12"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2668" w:hRule="atLeast"/>
          <w:jc w:val="center"/>
        </w:trPr>
        <w:tc>
          <w:tcPr>
            <w:tcW w:w="755" w:type="dxa"/>
            <w:tcBorders>
              <w:left w:val="single" w:color="000000" w:sz="12" w:space="0"/>
            </w:tcBorders>
            <w:shd w:val="clear" w:color="auto" w:fill="FFFFFF"/>
            <w:noWrap w:val="0"/>
            <w:tcMar>
              <w:top w:w="150" w:type="dxa"/>
              <w:left w:w="150" w:type="dxa"/>
              <w:bottom w:w="150" w:type="dxa"/>
              <w:right w:w="150" w:type="dxa"/>
            </w:tcMar>
            <w:vAlign w:val="center"/>
          </w:tcPr>
          <w:p>
            <w:pPr>
              <w:spacing w:line="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666" w:type="dxa"/>
            <w:shd w:val="clear" w:color="auto" w:fill="FFFFFF"/>
            <w:noWrap w:val="0"/>
            <w:tcMar>
              <w:top w:w="150" w:type="dxa"/>
              <w:left w:w="150" w:type="dxa"/>
              <w:bottom w:w="150" w:type="dxa"/>
              <w:right w:w="150" w:type="dxa"/>
            </w:tcMar>
            <w:vAlign w:val="center"/>
          </w:tcPr>
          <w:p>
            <w:pPr>
              <w:spacing w:line="0" w:lineRule="atLeast"/>
              <w:jc w:val="center"/>
              <w:rPr>
                <w:rFonts w:hint="eastAsia" w:ascii="仿宋_GB2312" w:hAnsi="仿宋_GB2312" w:eastAsia="仿宋_GB2312" w:cs="仿宋_GB2312"/>
                <w:bCs/>
                <w:color w:val="FF0000"/>
                <w:sz w:val="21"/>
                <w:szCs w:val="21"/>
              </w:rPr>
            </w:pPr>
            <w:r>
              <w:rPr>
                <w:rFonts w:hint="eastAsia" w:ascii="仿宋_GB2312" w:hAnsi="仿宋_GB2312" w:eastAsia="仿宋_GB2312" w:cs="仿宋_GB2312"/>
                <w:bCs/>
                <w:color w:val="000000"/>
                <w:sz w:val="21"/>
                <w:szCs w:val="21"/>
              </w:rPr>
              <w:t>投标人拟派项目经理经验及资质能力水平情况</w:t>
            </w:r>
          </w:p>
        </w:tc>
        <w:tc>
          <w:tcPr>
            <w:tcW w:w="7493" w:type="dxa"/>
            <w:shd w:val="clear" w:color="auto" w:fill="FFFFFF"/>
            <w:noWrap w:val="0"/>
            <w:tcMar>
              <w:top w:w="150" w:type="dxa"/>
              <w:left w:w="150" w:type="dxa"/>
              <w:bottom w:w="150" w:type="dxa"/>
              <w:right w:w="150" w:type="dxa"/>
            </w:tcMar>
            <w:vAlign w:val="top"/>
          </w:tcPr>
          <w:p>
            <w:pPr>
              <w:spacing w:line="0" w:lineRule="atLeast"/>
              <w:jc w:val="lef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投标人拟派项目经理经验及资质能力水平情况</w:t>
            </w:r>
          </w:p>
          <w:p>
            <w:pPr>
              <w:spacing w:line="0" w:lineRule="atLeast"/>
              <w:jc w:val="left"/>
              <w:rPr>
                <w:rStyle w:val="6"/>
                <w:rFonts w:hint="eastAsia" w:ascii="仿宋_GB2312" w:hAnsi="仿宋_GB2312" w:eastAsia="仿宋_GB2312" w:cs="仿宋_GB2312"/>
                <w:sz w:val="21"/>
                <w:szCs w:val="21"/>
                <w:lang w:eastAsia="zh-CN"/>
              </w:rPr>
            </w:pPr>
            <w:r>
              <w:rPr>
                <w:rStyle w:val="6"/>
                <w:rFonts w:hint="eastAsia" w:ascii="仿宋_GB2312" w:hAnsi="仿宋_GB2312" w:eastAsia="仿宋_GB2312" w:cs="仿宋_GB2312"/>
                <w:sz w:val="21"/>
                <w:szCs w:val="21"/>
              </w:rPr>
              <w:t>项目经理（1 人）</w:t>
            </w:r>
          </w:p>
          <w:p>
            <w:pPr>
              <w:spacing w:line="0" w:lineRule="atLeast"/>
              <w:jc w:val="left"/>
              <w:rPr>
                <w:rStyle w:val="6"/>
                <w:rFonts w:hint="eastAsia" w:ascii="仿宋_GB2312" w:hAnsi="仿宋_GB2312" w:eastAsia="仿宋_GB2312" w:cs="仿宋_GB2312"/>
                <w:sz w:val="21"/>
                <w:szCs w:val="21"/>
                <w:lang w:eastAsia="zh-CN"/>
              </w:rPr>
            </w:pPr>
            <w:r>
              <w:rPr>
                <w:rStyle w:val="6"/>
                <w:rFonts w:hint="eastAsia" w:ascii="仿宋_GB2312" w:hAnsi="仿宋_GB2312" w:eastAsia="仿宋_GB2312" w:cs="仿宋_GB2312"/>
                <w:sz w:val="21"/>
                <w:szCs w:val="21"/>
              </w:rPr>
              <w:t>（1）具有信息系统项目管理师证书；</w:t>
            </w:r>
          </w:p>
          <w:p>
            <w:pPr>
              <w:spacing w:line="0" w:lineRule="atLeast"/>
              <w:jc w:val="left"/>
              <w:rPr>
                <w:rStyle w:val="6"/>
                <w:rFonts w:hint="eastAsia" w:ascii="仿宋_GB2312" w:hAnsi="仿宋_GB2312" w:eastAsia="仿宋_GB2312" w:cs="仿宋_GB2312"/>
                <w:sz w:val="21"/>
                <w:szCs w:val="21"/>
                <w:lang w:eastAsia="zh-CN"/>
              </w:rPr>
            </w:pPr>
            <w:r>
              <w:rPr>
                <w:rStyle w:val="6"/>
                <w:rFonts w:hint="eastAsia" w:ascii="仿宋_GB2312" w:hAnsi="仿宋_GB2312" w:eastAsia="仿宋_GB2312" w:cs="仿宋_GB2312"/>
                <w:sz w:val="21"/>
                <w:szCs w:val="21"/>
              </w:rPr>
              <w:t>（2）具有高级通信工程师证书；</w:t>
            </w:r>
          </w:p>
          <w:p>
            <w:pPr>
              <w:spacing w:line="0" w:lineRule="atLeast"/>
              <w:jc w:val="left"/>
              <w:rPr>
                <w:rStyle w:val="6"/>
                <w:rFonts w:hint="eastAsia" w:ascii="仿宋_GB2312" w:hAnsi="仿宋_GB2312" w:eastAsia="仿宋_GB2312" w:cs="仿宋_GB2312"/>
                <w:sz w:val="21"/>
                <w:szCs w:val="21"/>
              </w:rPr>
            </w:pPr>
            <w:r>
              <w:rPr>
                <w:rStyle w:val="6"/>
                <w:rFonts w:hint="eastAsia" w:ascii="仿宋_GB2312" w:hAnsi="仿宋_GB2312" w:eastAsia="仿宋_GB2312" w:cs="仿宋_GB2312"/>
                <w:sz w:val="21"/>
                <w:szCs w:val="21"/>
              </w:rPr>
              <w:t>（3）具有网络工程师证书；</w:t>
            </w:r>
          </w:p>
          <w:p>
            <w:pPr>
              <w:spacing w:line="0" w:lineRule="atLeast"/>
              <w:jc w:val="left"/>
              <w:rPr>
                <w:rFonts w:hint="eastAsia" w:ascii="仿宋_GB2312" w:hAnsi="仿宋_GB2312" w:eastAsia="仿宋_GB2312" w:cs="仿宋_GB2312"/>
                <w:bCs/>
                <w:sz w:val="21"/>
                <w:szCs w:val="21"/>
                <w:lang w:eastAsia="zh-CN"/>
              </w:rPr>
            </w:pPr>
            <w:r>
              <w:rPr>
                <w:rStyle w:val="6"/>
                <w:rFonts w:hint="eastAsia" w:ascii="仿宋_GB2312" w:hAnsi="仿宋_GB2312" w:eastAsia="仿宋_GB2312" w:cs="仿宋_GB2312"/>
                <w:sz w:val="21"/>
                <w:szCs w:val="21"/>
              </w:rPr>
              <w:t>（4）具有</w:t>
            </w:r>
            <w:r>
              <w:rPr>
                <w:rFonts w:hint="eastAsia" w:ascii="仿宋_GB2312" w:hAnsi="仿宋_GB2312" w:eastAsia="仿宋_GB2312" w:cs="仿宋_GB2312"/>
                <w:bCs/>
                <w:sz w:val="21"/>
                <w:szCs w:val="21"/>
              </w:rPr>
              <w:t>通信专业技术人员职业资格证书；</w:t>
            </w:r>
          </w:p>
          <w:p>
            <w:pPr>
              <w:spacing w:line="0" w:lineRule="atLeast"/>
              <w:jc w:val="left"/>
              <w:rPr>
                <w:rFonts w:hint="eastAsia" w:ascii="仿宋_GB2312" w:hAnsi="仿宋_GB2312" w:eastAsia="仿宋_GB2312" w:cs="仿宋_GB2312"/>
                <w:sz w:val="21"/>
                <w:szCs w:val="21"/>
              </w:rPr>
            </w:pPr>
            <w:r>
              <w:rPr>
                <w:rStyle w:val="6"/>
                <w:rFonts w:hint="eastAsia" w:ascii="仿宋_GB2312" w:hAnsi="仿宋_GB2312" w:eastAsia="仿宋_GB2312" w:cs="仿宋_GB2312"/>
                <w:sz w:val="21"/>
                <w:szCs w:val="21"/>
              </w:rPr>
              <w:t>（5）具有通信或网络等相关专业硕士或以上学位证书；</w:t>
            </w:r>
          </w:p>
          <w:p>
            <w:pPr>
              <w:spacing w:line="0" w:lineRule="atLeast"/>
              <w:jc w:val="lef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项目经理同时具备以上证书得满分，每缺一项扣2分，扣完即止。</w:t>
            </w:r>
          </w:p>
          <w:p>
            <w:pPr>
              <w:spacing w:line="0" w:lineRule="atLeast"/>
              <w:jc w:val="lef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注：须提供上述人员的证书，在本公司任职的外部证明材料（如加盖政府有关部门印章的打印日期在本项目投标截止日之前六个月的任意一个月《投保单》或《社会保险参保人员证明》，或单位代缴个人所得税税单等，否则无效。</w:t>
            </w:r>
          </w:p>
        </w:tc>
        <w:tc>
          <w:tcPr>
            <w:tcW w:w="641" w:type="dxa"/>
            <w:tcBorders>
              <w:right w:val="single" w:color="000000" w:sz="12" w:space="0"/>
            </w:tcBorders>
            <w:shd w:val="clear" w:color="auto" w:fill="FFFFFF"/>
            <w:noWrap w:val="0"/>
            <w:vAlign w:val="center"/>
          </w:tcPr>
          <w:p>
            <w:pPr>
              <w:adjustRightInd w:val="0"/>
              <w:snapToGrid w:val="0"/>
              <w:spacing w:line="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1924" w:hRule="atLeast"/>
          <w:jc w:val="center"/>
        </w:trPr>
        <w:tc>
          <w:tcPr>
            <w:tcW w:w="755" w:type="dxa"/>
            <w:tcBorders>
              <w:left w:val="single" w:color="000000" w:sz="12" w:space="0"/>
            </w:tcBorders>
            <w:shd w:val="clear" w:color="auto" w:fill="FFFFFF"/>
            <w:noWrap w:val="0"/>
            <w:tcMar>
              <w:top w:w="150" w:type="dxa"/>
              <w:left w:w="150" w:type="dxa"/>
              <w:bottom w:w="150" w:type="dxa"/>
              <w:right w:w="150" w:type="dxa"/>
            </w:tcMar>
            <w:vAlign w:val="center"/>
          </w:tcPr>
          <w:p>
            <w:pPr>
              <w:spacing w:line="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666" w:type="dxa"/>
            <w:shd w:val="clear" w:color="auto" w:fill="FFFFFF"/>
            <w:noWrap w:val="0"/>
            <w:tcMar>
              <w:top w:w="150" w:type="dxa"/>
              <w:left w:w="150" w:type="dxa"/>
              <w:bottom w:w="150" w:type="dxa"/>
              <w:right w:w="150" w:type="dxa"/>
            </w:tcMar>
            <w:vAlign w:val="center"/>
          </w:tcPr>
          <w:p>
            <w:pPr>
              <w:spacing w:line="0" w:lineRule="atLeast"/>
              <w:jc w:val="center"/>
              <w:rPr>
                <w:rFonts w:hint="eastAsia" w:ascii="仿宋_GB2312" w:hAnsi="仿宋_GB2312" w:eastAsia="仿宋_GB2312" w:cs="仿宋_GB2312"/>
                <w:bCs/>
                <w:color w:val="FF0000"/>
                <w:sz w:val="21"/>
                <w:szCs w:val="21"/>
              </w:rPr>
            </w:pPr>
            <w:r>
              <w:rPr>
                <w:rFonts w:hint="eastAsia" w:ascii="仿宋_GB2312" w:hAnsi="仿宋_GB2312" w:eastAsia="仿宋_GB2312" w:cs="仿宋_GB2312"/>
                <w:bCs/>
                <w:color w:val="000000"/>
                <w:sz w:val="21"/>
                <w:szCs w:val="21"/>
              </w:rPr>
              <w:t>投标人拟派任本项目的技术负责人（1人）</w:t>
            </w:r>
          </w:p>
        </w:tc>
        <w:tc>
          <w:tcPr>
            <w:tcW w:w="7493" w:type="dxa"/>
            <w:shd w:val="clear" w:color="auto" w:fill="FFFFFF"/>
            <w:noWrap w:val="0"/>
            <w:tcMar>
              <w:top w:w="150" w:type="dxa"/>
              <w:left w:w="150" w:type="dxa"/>
              <w:bottom w:w="150" w:type="dxa"/>
              <w:right w:w="150" w:type="dxa"/>
            </w:tcMar>
            <w:vAlign w:val="top"/>
          </w:tcPr>
          <w:p>
            <w:pPr>
              <w:spacing w:line="0" w:lineRule="atLeast"/>
              <w:jc w:val="lef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投标人拟派技术负责人经验及资质能力水平情况</w:t>
            </w:r>
          </w:p>
          <w:p>
            <w:pPr>
              <w:spacing w:line="0" w:lineRule="atLeast"/>
              <w:jc w:val="left"/>
              <w:rPr>
                <w:rFonts w:hint="eastAsia" w:ascii="仿宋_GB2312" w:hAnsi="仿宋_GB2312" w:eastAsia="仿宋_GB2312" w:cs="仿宋_GB2312"/>
                <w:bCs/>
                <w:sz w:val="21"/>
                <w:szCs w:val="21"/>
              </w:rPr>
            </w:pPr>
            <w:r>
              <w:rPr>
                <w:rStyle w:val="6"/>
                <w:rFonts w:hint="eastAsia" w:ascii="仿宋_GB2312" w:hAnsi="仿宋_GB2312" w:eastAsia="仿宋_GB2312" w:cs="仿宋_GB2312"/>
                <w:sz w:val="21"/>
                <w:szCs w:val="21"/>
              </w:rPr>
              <w:t>技术负责人（1 人）</w:t>
            </w:r>
          </w:p>
          <w:p>
            <w:pPr>
              <w:spacing w:line="0" w:lineRule="atLeast"/>
              <w:jc w:val="lef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1、具有网络工程师证书；</w:t>
            </w:r>
          </w:p>
          <w:p>
            <w:pPr>
              <w:spacing w:line="0" w:lineRule="atLeast"/>
              <w:jc w:val="lef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2、具有通信专业技术人员职业资格证书；</w:t>
            </w:r>
          </w:p>
          <w:p>
            <w:pPr>
              <w:spacing w:line="0" w:lineRule="atLeast"/>
              <w:jc w:val="lef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3、具有</w:t>
            </w:r>
            <w:r>
              <w:rPr>
                <w:rStyle w:val="6"/>
                <w:rFonts w:hint="eastAsia" w:ascii="仿宋_GB2312" w:hAnsi="仿宋_GB2312" w:eastAsia="仿宋_GB2312" w:cs="仿宋_GB2312"/>
                <w:sz w:val="21"/>
                <w:szCs w:val="21"/>
              </w:rPr>
              <w:t>通信或网络等相关专业</w:t>
            </w:r>
            <w:r>
              <w:rPr>
                <w:rFonts w:hint="eastAsia" w:ascii="仿宋_GB2312" w:hAnsi="仿宋_GB2312" w:eastAsia="仿宋_GB2312" w:cs="仿宋_GB2312"/>
                <w:bCs/>
                <w:sz w:val="21"/>
                <w:szCs w:val="21"/>
              </w:rPr>
              <w:t>本科或以上学位证书；</w:t>
            </w:r>
          </w:p>
          <w:p>
            <w:pPr>
              <w:spacing w:line="0" w:lineRule="atLeast"/>
              <w:jc w:val="lef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技术负责人同时具备以上证书得满分，每缺一项扣2分，扣完即止。</w:t>
            </w:r>
          </w:p>
          <w:p>
            <w:pPr>
              <w:spacing w:line="0" w:lineRule="atLeast"/>
              <w:jc w:val="lef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注：须提供上述人员的证书，在本公司任职的外部证明材料（如加盖政府有关部门印章的打印日期在本项目投标截止日之前六个月的任意一个月《投保单》或《社会保险参保人员证明》，或单位代缴个人所得税税单等，否则无效。</w:t>
            </w:r>
          </w:p>
        </w:tc>
        <w:tc>
          <w:tcPr>
            <w:tcW w:w="641" w:type="dxa"/>
            <w:tcBorders>
              <w:right w:val="single" w:color="000000" w:sz="12" w:space="0"/>
            </w:tcBorders>
            <w:shd w:val="clear" w:color="auto" w:fill="FFFFFF"/>
            <w:noWrap w:val="0"/>
            <w:vAlign w:val="center"/>
          </w:tcPr>
          <w:p>
            <w:pPr>
              <w:adjustRightInd w:val="0"/>
              <w:snapToGrid w:val="0"/>
              <w:spacing w:line="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2852" w:hRule="atLeast"/>
          <w:jc w:val="center"/>
        </w:trPr>
        <w:tc>
          <w:tcPr>
            <w:tcW w:w="755" w:type="dxa"/>
            <w:tcBorders>
              <w:left w:val="single" w:color="000000" w:sz="12" w:space="0"/>
            </w:tcBorders>
            <w:shd w:val="clear" w:color="auto" w:fill="FFFFFF"/>
            <w:noWrap w:val="0"/>
            <w:tcMar>
              <w:top w:w="150" w:type="dxa"/>
              <w:left w:w="150" w:type="dxa"/>
              <w:bottom w:w="150" w:type="dxa"/>
              <w:right w:w="150" w:type="dxa"/>
            </w:tcMar>
            <w:vAlign w:val="center"/>
          </w:tcPr>
          <w:p>
            <w:pPr>
              <w:spacing w:line="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666" w:type="dxa"/>
            <w:shd w:val="clear" w:color="auto" w:fill="FFFFFF"/>
            <w:noWrap w:val="0"/>
            <w:tcMar>
              <w:top w:w="150" w:type="dxa"/>
              <w:left w:w="150" w:type="dxa"/>
              <w:bottom w:w="150" w:type="dxa"/>
              <w:right w:w="150" w:type="dxa"/>
            </w:tcMar>
            <w:vAlign w:val="center"/>
          </w:tcPr>
          <w:p>
            <w:pPr>
              <w:spacing w:line="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项目主要技术管理人员情况</w:t>
            </w:r>
          </w:p>
        </w:tc>
        <w:tc>
          <w:tcPr>
            <w:tcW w:w="7493" w:type="dxa"/>
            <w:shd w:val="clear" w:color="auto" w:fill="FFFFFF"/>
            <w:noWrap w:val="0"/>
            <w:tcMar>
              <w:top w:w="150" w:type="dxa"/>
              <w:left w:w="150" w:type="dxa"/>
              <w:bottom w:w="150" w:type="dxa"/>
              <w:right w:w="150" w:type="dxa"/>
            </w:tcMar>
            <w:vAlign w:val="top"/>
          </w:tcPr>
          <w:p>
            <w:pPr>
              <w:snapToGrid w:val="0"/>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参与本项目其他团队人员具备以下资质证书：</w:t>
            </w:r>
          </w:p>
          <w:p>
            <w:pPr>
              <w:snapToGrid w:val="0"/>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w:t>
            </w:r>
            <w:r>
              <w:rPr>
                <w:rFonts w:hint="eastAsia" w:ascii="仿宋_GB2312" w:hAnsi="仿宋_GB2312" w:eastAsia="仿宋_GB2312" w:cs="仿宋_GB2312"/>
                <w:bCs/>
                <w:sz w:val="21"/>
                <w:szCs w:val="21"/>
              </w:rPr>
              <w:t>具有高级通信工程师资质证书；</w:t>
            </w:r>
          </w:p>
          <w:p>
            <w:pPr>
              <w:snapToGrid w:val="0"/>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②具有高级网络规划设计师证书；</w:t>
            </w:r>
          </w:p>
          <w:p>
            <w:pPr>
              <w:snapToGrid w:val="0"/>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③具有</w:t>
            </w:r>
            <w:r>
              <w:rPr>
                <w:rFonts w:hint="eastAsia" w:ascii="仿宋_GB2312" w:hAnsi="仿宋_GB2312" w:eastAsia="仿宋_GB2312" w:cs="仿宋_GB2312"/>
                <w:bCs/>
                <w:sz w:val="21"/>
                <w:szCs w:val="21"/>
              </w:rPr>
              <w:t>网络工程师证书</w:t>
            </w:r>
            <w:r>
              <w:rPr>
                <w:rFonts w:hint="eastAsia" w:ascii="仿宋_GB2312" w:hAnsi="仿宋_GB2312" w:eastAsia="仿宋_GB2312" w:cs="仿宋_GB2312"/>
                <w:sz w:val="21"/>
                <w:szCs w:val="21"/>
              </w:rPr>
              <w:t>；</w:t>
            </w:r>
          </w:p>
          <w:p>
            <w:pPr>
              <w:snapToGrid w:val="0"/>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以上证书每具备一项得2分，最高得6分。</w:t>
            </w:r>
          </w:p>
          <w:p>
            <w:pPr>
              <w:snapToGrid w:val="0"/>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同一人员同时具有不同证书，或者不同人员同时具备同一证书，都只计算一次，不累计计分。</w:t>
            </w:r>
          </w:p>
          <w:p>
            <w:pPr>
              <w:spacing w:line="0" w:lineRule="atLeast"/>
              <w:jc w:val="lef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注：</w:t>
            </w:r>
            <w:r>
              <w:rPr>
                <w:rFonts w:hint="eastAsia" w:ascii="仿宋_GB2312" w:hAnsi="仿宋_GB2312" w:eastAsia="仿宋_GB2312" w:cs="仿宋_GB2312"/>
                <w:bCs/>
                <w:sz w:val="21"/>
                <w:szCs w:val="21"/>
              </w:rPr>
              <w:fldChar w:fldCharType="begin"/>
            </w:r>
            <w:r>
              <w:rPr>
                <w:rFonts w:hint="eastAsia" w:ascii="仿宋_GB2312" w:hAnsi="仿宋_GB2312" w:eastAsia="仿宋_GB2312" w:cs="仿宋_GB2312"/>
                <w:bCs/>
                <w:sz w:val="21"/>
                <w:szCs w:val="21"/>
              </w:rPr>
              <w:instrText xml:space="preserve"> = 1 \* GB3 </w:instrText>
            </w:r>
            <w:r>
              <w:rPr>
                <w:rFonts w:hint="eastAsia" w:ascii="仿宋_GB2312" w:hAnsi="仿宋_GB2312" w:eastAsia="仿宋_GB2312" w:cs="仿宋_GB2312"/>
                <w:bCs/>
                <w:sz w:val="21"/>
                <w:szCs w:val="21"/>
              </w:rPr>
              <w:fldChar w:fldCharType="separate"/>
            </w:r>
            <w:r>
              <w:rPr>
                <w:rFonts w:hint="eastAsia" w:ascii="仿宋_GB2312" w:hAnsi="仿宋_GB2312" w:eastAsia="仿宋_GB2312" w:cs="仿宋_GB2312"/>
                <w:bCs/>
                <w:sz w:val="21"/>
                <w:szCs w:val="21"/>
              </w:rPr>
              <w:t>①</w:t>
            </w:r>
            <w:r>
              <w:rPr>
                <w:rFonts w:hint="eastAsia" w:ascii="仿宋_GB2312" w:hAnsi="仿宋_GB2312" w:eastAsia="仿宋_GB2312" w:cs="仿宋_GB2312"/>
                <w:bCs/>
                <w:sz w:val="21"/>
                <w:szCs w:val="21"/>
              </w:rPr>
              <w:fldChar w:fldCharType="end"/>
            </w:r>
            <w:r>
              <w:rPr>
                <w:rFonts w:hint="eastAsia" w:ascii="仿宋_GB2312" w:hAnsi="仿宋_GB2312" w:eastAsia="仿宋_GB2312" w:cs="仿宋_GB2312"/>
                <w:bCs/>
                <w:sz w:val="21"/>
                <w:szCs w:val="21"/>
              </w:rPr>
              <w:t>提供有效期内的职称证书复印件或有效的网络查询路径,否则无效。</w:t>
            </w:r>
          </w:p>
          <w:p>
            <w:pPr>
              <w:spacing w:line="0" w:lineRule="atLeast"/>
              <w:jc w:val="lef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fldChar w:fldCharType="begin"/>
            </w:r>
            <w:r>
              <w:rPr>
                <w:rFonts w:hint="eastAsia" w:ascii="仿宋_GB2312" w:hAnsi="仿宋_GB2312" w:eastAsia="仿宋_GB2312" w:cs="仿宋_GB2312"/>
                <w:bCs/>
                <w:sz w:val="21"/>
                <w:szCs w:val="21"/>
              </w:rPr>
              <w:instrText xml:space="preserve"> = 2 \* GB3 </w:instrText>
            </w:r>
            <w:r>
              <w:rPr>
                <w:rFonts w:hint="eastAsia" w:ascii="仿宋_GB2312" w:hAnsi="仿宋_GB2312" w:eastAsia="仿宋_GB2312" w:cs="仿宋_GB2312"/>
                <w:bCs/>
                <w:sz w:val="21"/>
                <w:szCs w:val="21"/>
              </w:rPr>
              <w:fldChar w:fldCharType="separate"/>
            </w:r>
            <w:r>
              <w:rPr>
                <w:rFonts w:hint="eastAsia" w:ascii="仿宋_GB2312" w:hAnsi="仿宋_GB2312" w:eastAsia="仿宋_GB2312" w:cs="仿宋_GB2312"/>
                <w:bCs/>
                <w:sz w:val="21"/>
                <w:szCs w:val="21"/>
              </w:rPr>
              <w:t>②</w:t>
            </w:r>
            <w:r>
              <w:rPr>
                <w:rFonts w:hint="eastAsia" w:ascii="仿宋_GB2312" w:hAnsi="仿宋_GB2312" w:eastAsia="仿宋_GB2312" w:cs="仿宋_GB2312"/>
                <w:bCs/>
                <w:sz w:val="21"/>
                <w:szCs w:val="21"/>
              </w:rPr>
              <w:fldChar w:fldCharType="end"/>
            </w:r>
            <w:r>
              <w:rPr>
                <w:rFonts w:hint="eastAsia" w:ascii="仿宋_GB2312" w:hAnsi="仿宋_GB2312" w:eastAsia="仿宋_GB2312" w:cs="仿宋_GB2312"/>
                <w:bCs/>
                <w:sz w:val="21"/>
                <w:szCs w:val="21"/>
              </w:rPr>
              <w:t>提供上述人员在本项目投标截止日之前6个月内任意一个月的《投保单》或《社会保险参保人员证明》，或单位代缴个人所得税税单等，否则无效。</w:t>
            </w:r>
          </w:p>
          <w:p>
            <w:pPr>
              <w:spacing w:line="0" w:lineRule="atLeast"/>
              <w:jc w:val="left"/>
              <w:rPr>
                <w:rFonts w:hint="eastAsia" w:ascii="仿宋_GB2312" w:hAnsi="仿宋_GB2312" w:eastAsia="仿宋_GB2312" w:cs="仿宋_GB2312"/>
                <w:b/>
                <w:sz w:val="21"/>
                <w:szCs w:val="21"/>
              </w:rPr>
            </w:pPr>
            <w:r>
              <w:rPr>
                <w:rFonts w:hint="eastAsia" w:ascii="仿宋_GB2312" w:hAnsi="仿宋_GB2312" w:eastAsia="仿宋_GB2312" w:cs="仿宋_GB2312"/>
                <w:bCs/>
                <w:sz w:val="21"/>
                <w:szCs w:val="21"/>
              </w:rPr>
              <w:fldChar w:fldCharType="begin"/>
            </w:r>
            <w:r>
              <w:rPr>
                <w:rFonts w:hint="eastAsia" w:ascii="仿宋_GB2312" w:hAnsi="仿宋_GB2312" w:eastAsia="仿宋_GB2312" w:cs="仿宋_GB2312"/>
                <w:bCs/>
                <w:sz w:val="21"/>
                <w:szCs w:val="21"/>
              </w:rPr>
              <w:instrText xml:space="preserve"> = 3 \* GB3 </w:instrText>
            </w:r>
            <w:r>
              <w:rPr>
                <w:rFonts w:hint="eastAsia" w:ascii="仿宋_GB2312" w:hAnsi="仿宋_GB2312" w:eastAsia="仿宋_GB2312" w:cs="仿宋_GB2312"/>
                <w:bCs/>
                <w:sz w:val="21"/>
                <w:szCs w:val="21"/>
              </w:rPr>
              <w:fldChar w:fldCharType="separate"/>
            </w:r>
            <w:r>
              <w:rPr>
                <w:rFonts w:hint="eastAsia" w:ascii="仿宋_GB2312" w:hAnsi="仿宋_GB2312" w:eastAsia="仿宋_GB2312" w:cs="仿宋_GB2312"/>
                <w:bCs/>
                <w:sz w:val="21"/>
                <w:szCs w:val="21"/>
              </w:rPr>
              <w:t>③</w:t>
            </w:r>
            <w:r>
              <w:rPr>
                <w:rFonts w:hint="eastAsia" w:ascii="仿宋_GB2312" w:hAnsi="仿宋_GB2312" w:eastAsia="仿宋_GB2312" w:cs="仿宋_GB2312"/>
                <w:bCs/>
                <w:sz w:val="21"/>
                <w:szCs w:val="21"/>
              </w:rPr>
              <w:fldChar w:fldCharType="end"/>
            </w:r>
            <w:r>
              <w:rPr>
                <w:rFonts w:hint="eastAsia" w:ascii="仿宋_GB2312" w:hAnsi="仿宋_GB2312" w:eastAsia="仿宋_GB2312" w:cs="仿宋_GB2312"/>
                <w:bCs/>
                <w:sz w:val="21"/>
                <w:szCs w:val="21"/>
              </w:rPr>
              <w:t>无或未按要求递交证明材料的不得分。</w:t>
            </w:r>
          </w:p>
        </w:tc>
        <w:tc>
          <w:tcPr>
            <w:tcW w:w="641" w:type="dxa"/>
            <w:tcBorders>
              <w:right w:val="single" w:color="000000" w:sz="12" w:space="0"/>
            </w:tcBorders>
            <w:shd w:val="clear" w:color="auto" w:fill="FFFFFF"/>
            <w:noWrap w:val="0"/>
            <w:vAlign w:val="center"/>
          </w:tcPr>
          <w:p>
            <w:pPr>
              <w:adjustRightInd w:val="0"/>
              <w:snapToGrid w:val="0"/>
              <w:spacing w:line="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644" w:hRule="atLeast"/>
          <w:jc w:val="center"/>
        </w:trPr>
        <w:tc>
          <w:tcPr>
            <w:tcW w:w="755" w:type="dxa"/>
            <w:tcBorders>
              <w:left w:val="single" w:color="000000" w:sz="12" w:space="0"/>
            </w:tcBorders>
            <w:shd w:val="clear" w:color="auto" w:fill="FFFFFF"/>
            <w:noWrap w:val="0"/>
            <w:tcMar>
              <w:top w:w="150" w:type="dxa"/>
              <w:left w:w="150" w:type="dxa"/>
              <w:bottom w:w="150" w:type="dxa"/>
              <w:right w:w="150" w:type="dxa"/>
            </w:tcMar>
            <w:vAlign w:val="center"/>
          </w:tcPr>
          <w:p>
            <w:pPr>
              <w:spacing w:line="0" w:lineRule="atLeas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w:t>
            </w:r>
          </w:p>
        </w:tc>
        <w:tc>
          <w:tcPr>
            <w:tcW w:w="1666" w:type="dxa"/>
            <w:shd w:val="clear" w:color="auto" w:fill="FFFFFF"/>
            <w:noWrap w:val="0"/>
            <w:tcMar>
              <w:top w:w="150" w:type="dxa"/>
              <w:left w:w="150" w:type="dxa"/>
              <w:bottom w:w="150" w:type="dxa"/>
              <w:right w:w="150" w:type="dxa"/>
            </w:tcMar>
            <w:vAlign w:val="center"/>
          </w:tcPr>
          <w:p>
            <w:pPr>
              <w:spacing w:line="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2021年以来同类项目业绩</w:t>
            </w:r>
          </w:p>
        </w:tc>
        <w:tc>
          <w:tcPr>
            <w:tcW w:w="7493" w:type="dxa"/>
            <w:shd w:val="clear" w:color="auto" w:fill="FFFFFF"/>
            <w:noWrap w:val="0"/>
            <w:tcMar>
              <w:top w:w="150" w:type="dxa"/>
              <w:left w:w="150" w:type="dxa"/>
              <w:bottom w:w="150" w:type="dxa"/>
              <w:right w:w="150" w:type="dxa"/>
            </w:tcMar>
            <w:vAlign w:val="top"/>
          </w:tcPr>
          <w:p>
            <w:pPr>
              <w:tabs>
                <w:tab w:val="left" w:pos="0"/>
              </w:tabs>
              <w:spacing w:line="0" w:lineRule="atLeast"/>
              <w:ind w:left="1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每个2分，最高8分,没有得0分。</w:t>
            </w:r>
          </w:p>
          <w:p>
            <w:pPr>
              <w:tabs>
                <w:tab w:val="left" w:pos="0"/>
              </w:tabs>
              <w:spacing w:line="0" w:lineRule="atLeast"/>
              <w:ind w:left="1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注：提供相关合同复印件并加盖公章。</w:t>
            </w:r>
          </w:p>
        </w:tc>
        <w:tc>
          <w:tcPr>
            <w:tcW w:w="641" w:type="dxa"/>
            <w:tcBorders>
              <w:right w:val="single" w:color="000000" w:sz="12" w:space="0"/>
            </w:tcBorders>
            <w:shd w:val="clear" w:color="auto" w:fill="FFFFFF"/>
            <w:noWrap w:val="0"/>
            <w:vAlign w:val="center"/>
          </w:tcPr>
          <w:p>
            <w:pPr>
              <w:adjustRightInd w:val="0"/>
              <w:snapToGrid w:val="0"/>
              <w:spacing w:line="0" w:lineRule="atLeast"/>
              <w:contextualSpacing/>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326" w:hRule="atLeast"/>
          <w:jc w:val="center"/>
        </w:trPr>
        <w:tc>
          <w:tcPr>
            <w:tcW w:w="755" w:type="dxa"/>
            <w:tcBorders>
              <w:left w:val="single" w:color="000000" w:sz="12" w:space="0"/>
              <w:bottom w:val="single" w:color="000000" w:sz="12" w:space="0"/>
            </w:tcBorders>
            <w:shd w:val="clear" w:color="auto" w:fill="FFFFFF"/>
            <w:noWrap w:val="0"/>
            <w:tcMar>
              <w:top w:w="150" w:type="dxa"/>
              <w:left w:w="150" w:type="dxa"/>
              <w:bottom w:w="150" w:type="dxa"/>
              <w:right w:w="150" w:type="dxa"/>
            </w:tcMar>
            <w:vAlign w:val="center"/>
          </w:tcPr>
          <w:p>
            <w:pPr>
              <w:spacing w:line="0" w:lineRule="atLeast"/>
              <w:jc w:val="center"/>
              <w:rPr>
                <w:rFonts w:hint="eastAsia" w:ascii="仿宋_GB2312" w:hAnsi="仿宋_GB2312" w:eastAsia="仿宋_GB2312" w:cs="仿宋_GB2312"/>
                <w:sz w:val="21"/>
                <w:szCs w:val="21"/>
              </w:rPr>
            </w:pPr>
          </w:p>
        </w:tc>
        <w:tc>
          <w:tcPr>
            <w:tcW w:w="1666" w:type="dxa"/>
            <w:tcBorders>
              <w:bottom w:val="single" w:color="000000" w:sz="12" w:space="0"/>
            </w:tcBorders>
            <w:shd w:val="clear" w:color="auto" w:fill="FFFFFF"/>
            <w:noWrap w:val="0"/>
            <w:tcMar>
              <w:top w:w="150" w:type="dxa"/>
              <w:left w:w="150" w:type="dxa"/>
              <w:bottom w:w="150" w:type="dxa"/>
              <w:right w:w="150" w:type="dxa"/>
            </w:tcMar>
            <w:vAlign w:val="center"/>
          </w:tcPr>
          <w:p>
            <w:pPr>
              <w:spacing w:line="0" w:lineRule="atLeast"/>
              <w:jc w:val="center"/>
              <w:rPr>
                <w:rFonts w:hint="eastAsia" w:ascii="仿宋_GB2312" w:hAnsi="仿宋_GB2312" w:eastAsia="仿宋_GB2312" w:cs="仿宋_GB2312"/>
                <w:b/>
                <w:sz w:val="21"/>
                <w:szCs w:val="21"/>
              </w:rPr>
            </w:pPr>
          </w:p>
        </w:tc>
        <w:tc>
          <w:tcPr>
            <w:tcW w:w="7493" w:type="dxa"/>
            <w:tcBorders>
              <w:bottom w:val="single" w:color="000000" w:sz="12" w:space="0"/>
            </w:tcBorders>
            <w:shd w:val="clear" w:color="auto" w:fill="FFFFFF"/>
            <w:noWrap w:val="0"/>
            <w:tcMar>
              <w:top w:w="150" w:type="dxa"/>
              <w:left w:w="150" w:type="dxa"/>
              <w:bottom w:w="150" w:type="dxa"/>
              <w:right w:w="150" w:type="dxa"/>
            </w:tcMar>
            <w:vAlign w:val="center"/>
          </w:tcPr>
          <w:p>
            <w:pPr>
              <w:spacing w:line="0" w:lineRule="atLeas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lang w:val="en-US" w:eastAsia="zh-CN"/>
              </w:rPr>
              <w:t>商务部分</w:t>
            </w:r>
            <w:r>
              <w:rPr>
                <w:rFonts w:hint="eastAsia" w:ascii="仿宋_GB2312" w:hAnsi="仿宋_GB2312" w:eastAsia="仿宋_GB2312" w:cs="仿宋_GB2312"/>
                <w:b/>
                <w:sz w:val="21"/>
                <w:szCs w:val="21"/>
              </w:rPr>
              <w:t>合计</w:t>
            </w:r>
          </w:p>
        </w:tc>
        <w:tc>
          <w:tcPr>
            <w:tcW w:w="641" w:type="dxa"/>
            <w:tcBorders>
              <w:bottom w:val="single" w:color="000000" w:sz="12" w:space="0"/>
              <w:right w:val="single" w:color="000000" w:sz="12" w:space="0"/>
            </w:tcBorders>
            <w:shd w:val="clear" w:color="auto" w:fill="FFFFFF"/>
            <w:noWrap w:val="0"/>
            <w:vAlign w:val="center"/>
          </w:tcPr>
          <w:p>
            <w:pPr>
              <w:spacing w:line="0" w:lineRule="atLeast"/>
              <w:jc w:val="center"/>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rPr>
              <w:t>3</w:t>
            </w:r>
            <w:r>
              <w:rPr>
                <w:rFonts w:hint="eastAsia" w:ascii="仿宋_GB2312" w:hAnsi="仿宋_GB2312" w:eastAsia="仿宋_GB2312" w:cs="仿宋_GB2312"/>
                <w:b/>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57" w:type="dxa"/>
            <w:left w:w="108" w:type="dxa"/>
            <w:bottom w:w="57" w:type="dxa"/>
            <w:right w:w="108" w:type="dxa"/>
          </w:tblCellMar>
        </w:tblPrEx>
        <w:trPr>
          <w:trHeight w:val="2151" w:hRule="atLeast"/>
          <w:jc w:val="center"/>
        </w:trPr>
        <w:tc>
          <w:tcPr>
            <w:tcW w:w="755" w:type="dxa"/>
            <w:tcBorders>
              <w:top w:val="single" w:color="000000" w:sz="12" w:space="0"/>
              <w:left w:val="single" w:color="auto" w:sz="12" w:space="0"/>
              <w:bottom w:val="single" w:color="auto" w:sz="8" w:space="0"/>
              <w:right w:val="single" w:color="auto" w:sz="8" w:space="0"/>
            </w:tcBorders>
            <w:shd w:val="clear" w:color="auto" w:fill="auto"/>
            <w:noWrap w:val="0"/>
            <w:vAlign w:val="center"/>
          </w:tcPr>
          <w:p>
            <w:pPr>
              <w:spacing w:line="276" w:lineRule="auto"/>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1666" w:type="dxa"/>
            <w:tcBorders>
              <w:top w:val="single" w:color="000000" w:sz="12" w:space="0"/>
              <w:left w:val="single" w:color="auto" w:sz="8" w:space="0"/>
              <w:bottom w:val="single" w:color="auto" w:sz="8" w:space="0"/>
              <w:right w:val="single" w:color="auto" w:sz="8" w:space="0"/>
            </w:tcBorders>
            <w:shd w:val="clear" w:color="auto" w:fill="auto"/>
            <w:noWrap w:val="0"/>
            <w:vAlign w:val="center"/>
          </w:tcPr>
          <w:p>
            <w:pPr>
              <w:spacing w:line="276" w:lineRule="auto"/>
              <w:ind w:left="-63" w:leftChars="-30" w:right="-88" w:rightChars="-42"/>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color w:val="000000"/>
                <w:kern w:val="0"/>
                <w:sz w:val="21"/>
                <w:szCs w:val="21"/>
              </w:rPr>
              <w:t>总体技术方案响应情况</w:t>
            </w:r>
          </w:p>
        </w:tc>
        <w:tc>
          <w:tcPr>
            <w:tcW w:w="7493" w:type="dxa"/>
            <w:tcBorders>
              <w:top w:val="single" w:color="000000" w:sz="12" w:space="0"/>
              <w:left w:val="single" w:color="auto" w:sz="8" w:space="0"/>
              <w:bottom w:val="single" w:color="auto" w:sz="8" w:space="0"/>
              <w:right w:val="single" w:color="auto" w:sz="8" w:space="0"/>
            </w:tcBorders>
            <w:shd w:val="clear" w:color="auto" w:fill="auto"/>
            <w:noWrap w:val="0"/>
            <w:vAlign w:val="center"/>
          </w:tcPr>
          <w:p>
            <w:pPr>
              <w:pStyle w:val="7"/>
              <w:numPr>
                <w:ilvl w:val="0"/>
                <w:numId w:val="1"/>
              </w:numPr>
              <w:spacing w:line="276" w:lineRule="auto"/>
              <w:ind w:right="-88" w:rightChars="-42" w:firstLineChars="0"/>
              <w:rPr>
                <w:rFonts w:hint="eastAsia" w:ascii="仿宋_GB2312" w:hAnsi="仿宋_GB2312" w:eastAsia="仿宋_GB2312" w:cs="仿宋_GB2312"/>
                <w:b/>
                <w:color w:val="000000"/>
                <w:sz w:val="21"/>
                <w:szCs w:val="21"/>
              </w:rPr>
            </w:pPr>
            <w:r>
              <w:rPr>
                <w:rFonts w:hint="eastAsia" w:ascii="仿宋_GB2312" w:hAnsi="仿宋_GB2312" w:eastAsia="仿宋_GB2312" w:cs="仿宋_GB2312"/>
                <w:color w:val="000000"/>
                <w:kern w:val="0"/>
                <w:sz w:val="21"/>
                <w:szCs w:val="21"/>
              </w:rPr>
              <w:t>技术方案先进、合理、完整，思路清晰；对需求分析详细、理解准确，完全满足用户要求，得</w:t>
            </w:r>
            <w:r>
              <w:rPr>
                <w:rFonts w:hint="eastAsia" w:ascii="仿宋_GB2312" w:hAnsi="仿宋_GB2312" w:eastAsia="仿宋_GB2312" w:cs="仿宋_GB2312"/>
                <w:color w:val="000000"/>
                <w:kern w:val="0"/>
                <w:sz w:val="21"/>
                <w:szCs w:val="21"/>
                <w:lang w:val="en-US" w:eastAsia="zh-CN"/>
              </w:rPr>
              <w:t>8</w:t>
            </w:r>
            <w:r>
              <w:rPr>
                <w:rFonts w:hint="eastAsia" w:ascii="仿宋_GB2312" w:hAnsi="仿宋_GB2312" w:eastAsia="仿宋_GB2312" w:cs="仿宋_GB2312"/>
                <w:color w:val="000000"/>
                <w:kern w:val="0"/>
                <w:sz w:val="21"/>
                <w:szCs w:val="21"/>
              </w:rPr>
              <w:t>分；</w:t>
            </w:r>
          </w:p>
          <w:p>
            <w:pPr>
              <w:pStyle w:val="7"/>
              <w:numPr>
                <w:ilvl w:val="0"/>
                <w:numId w:val="1"/>
              </w:numPr>
              <w:spacing w:line="276" w:lineRule="auto"/>
              <w:ind w:right="-88" w:rightChars="-42" w:firstLineChars="0"/>
              <w:rPr>
                <w:rFonts w:hint="eastAsia" w:ascii="仿宋_GB2312" w:hAnsi="仿宋_GB2312" w:eastAsia="仿宋_GB2312" w:cs="仿宋_GB2312"/>
                <w:b/>
                <w:color w:val="000000"/>
                <w:sz w:val="21"/>
                <w:szCs w:val="21"/>
              </w:rPr>
            </w:pPr>
            <w:r>
              <w:rPr>
                <w:rFonts w:hint="eastAsia" w:ascii="仿宋_GB2312" w:hAnsi="仿宋_GB2312" w:eastAsia="仿宋_GB2312" w:cs="仿宋_GB2312"/>
                <w:color w:val="000000"/>
                <w:kern w:val="0"/>
                <w:sz w:val="21"/>
                <w:szCs w:val="21"/>
              </w:rPr>
              <w:t>技术方案基本合理，基本满足用户需求；系统结构层次较合理，思路较清晰，得</w:t>
            </w:r>
            <w:r>
              <w:rPr>
                <w:rFonts w:hint="eastAsia" w:ascii="仿宋_GB2312" w:hAnsi="仿宋_GB2312" w:eastAsia="仿宋_GB2312" w:cs="仿宋_GB2312"/>
                <w:color w:val="000000"/>
                <w:kern w:val="0"/>
                <w:sz w:val="21"/>
                <w:szCs w:val="21"/>
                <w:lang w:val="en-US" w:eastAsia="zh-CN"/>
              </w:rPr>
              <w:t>5</w:t>
            </w:r>
            <w:r>
              <w:rPr>
                <w:rFonts w:hint="eastAsia" w:ascii="仿宋_GB2312" w:hAnsi="仿宋_GB2312" w:eastAsia="仿宋_GB2312" w:cs="仿宋_GB2312"/>
                <w:color w:val="000000"/>
                <w:kern w:val="0"/>
                <w:sz w:val="21"/>
                <w:szCs w:val="21"/>
              </w:rPr>
              <w:t>分；</w:t>
            </w:r>
          </w:p>
          <w:p>
            <w:pPr>
              <w:pStyle w:val="7"/>
              <w:numPr>
                <w:ilvl w:val="0"/>
                <w:numId w:val="1"/>
              </w:numPr>
              <w:spacing w:line="276" w:lineRule="auto"/>
              <w:ind w:right="-88" w:rightChars="-42" w:firstLineChars="0"/>
              <w:rPr>
                <w:rFonts w:hint="eastAsia" w:ascii="仿宋_GB2312" w:hAnsi="仿宋_GB2312" w:eastAsia="仿宋_GB2312" w:cs="仿宋_GB2312"/>
                <w:b/>
                <w:color w:val="000000"/>
                <w:sz w:val="21"/>
                <w:szCs w:val="21"/>
              </w:rPr>
            </w:pPr>
            <w:r>
              <w:rPr>
                <w:rFonts w:hint="eastAsia" w:ascii="仿宋_GB2312" w:hAnsi="仿宋_GB2312" w:eastAsia="仿宋_GB2312" w:cs="仿宋_GB2312"/>
                <w:color w:val="000000"/>
                <w:kern w:val="0"/>
                <w:sz w:val="21"/>
                <w:szCs w:val="21"/>
              </w:rPr>
              <w:t>技术方案在满足用户要求方面欠缺，思路不够清晰；系统结构层次欠合理，得</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color w:val="000000"/>
                <w:kern w:val="0"/>
                <w:sz w:val="21"/>
                <w:szCs w:val="21"/>
              </w:rPr>
              <w:t>分。</w:t>
            </w:r>
          </w:p>
        </w:tc>
        <w:tc>
          <w:tcPr>
            <w:tcW w:w="641" w:type="dxa"/>
            <w:tcBorders>
              <w:top w:val="single" w:color="000000" w:sz="12" w:space="0"/>
              <w:left w:val="single" w:color="auto" w:sz="4" w:space="0"/>
              <w:bottom w:val="single" w:color="auto" w:sz="8" w:space="0"/>
              <w:right w:val="single" w:color="auto" w:sz="12" w:space="0"/>
            </w:tcBorders>
            <w:shd w:val="clear" w:color="auto" w:fill="auto"/>
            <w:noWrap w:val="0"/>
            <w:vAlign w:val="center"/>
          </w:tcPr>
          <w:p>
            <w:pPr>
              <w:spacing w:line="276" w:lineRule="auto"/>
              <w:ind w:left="-78" w:leftChars="-37" w:right="-73" w:rightChars="-35"/>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57" w:type="dxa"/>
            <w:left w:w="108" w:type="dxa"/>
            <w:bottom w:w="57" w:type="dxa"/>
            <w:right w:w="108" w:type="dxa"/>
          </w:tblCellMar>
        </w:tblPrEx>
        <w:trPr>
          <w:trHeight w:val="2787" w:hRule="atLeast"/>
          <w:jc w:val="center"/>
        </w:trPr>
        <w:tc>
          <w:tcPr>
            <w:tcW w:w="755" w:type="dxa"/>
            <w:tcBorders>
              <w:top w:val="single" w:color="auto" w:sz="8" w:space="0"/>
              <w:left w:val="single" w:color="auto" w:sz="12" w:space="0"/>
              <w:bottom w:val="single" w:color="auto" w:sz="8" w:space="0"/>
              <w:right w:val="single" w:color="auto" w:sz="8" w:space="0"/>
            </w:tcBorders>
            <w:shd w:val="clear" w:color="auto" w:fill="auto"/>
            <w:noWrap w:val="0"/>
            <w:vAlign w:val="center"/>
          </w:tcPr>
          <w:p>
            <w:pPr>
              <w:spacing w:line="276" w:lineRule="auto"/>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166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276" w:lineRule="auto"/>
              <w:ind w:left="-63" w:leftChars="-30" w:right="-88" w:rightChars="-42"/>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color w:val="000000"/>
                <w:kern w:val="0"/>
                <w:sz w:val="21"/>
                <w:szCs w:val="21"/>
              </w:rPr>
              <w:t>IPv4地址资源</w:t>
            </w:r>
          </w:p>
        </w:tc>
        <w:tc>
          <w:tcPr>
            <w:tcW w:w="749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投标人（或其总部）在中国大陆拥有的IPv4地址总数：</w:t>
            </w:r>
          </w:p>
          <w:p>
            <w:pPr>
              <w:widowControl/>
              <w:spacing w:line="276" w:lineRule="auto"/>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IPv4地址总量≥7A，得</w:t>
            </w:r>
            <w:r>
              <w:rPr>
                <w:rFonts w:hint="eastAsia" w:ascii="仿宋_GB2312" w:hAnsi="仿宋_GB2312" w:eastAsia="仿宋_GB2312" w:cs="仿宋_GB2312"/>
                <w:color w:val="000000"/>
                <w:kern w:val="0"/>
                <w:sz w:val="21"/>
                <w:szCs w:val="21"/>
                <w:lang w:val="en-US" w:eastAsia="zh-CN"/>
              </w:rPr>
              <w:t>8</w:t>
            </w:r>
            <w:r>
              <w:rPr>
                <w:rFonts w:hint="eastAsia" w:ascii="仿宋_GB2312" w:hAnsi="仿宋_GB2312" w:eastAsia="仿宋_GB2312" w:cs="仿宋_GB2312"/>
                <w:color w:val="000000"/>
                <w:kern w:val="0"/>
                <w:sz w:val="21"/>
                <w:szCs w:val="21"/>
              </w:rPr>
              <w:t>分；</w:t>
            </w:r>
          </w:p>
          <w:p>
            <w:pPr>
              <w:widowControl/>
              <w:spacing w:line="276" w:lineRule="auto"/>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7A＞IPv4地址总量≥5A，得</w:t>
            </w:r>
            <w:r>
              <w:rPr>
                <w:rFonts w:hint="eastAsia" w:ascii="仿宋_GB2312" w:hAnsi="仿宋_GB2312" w:eastAsia="仿宋_GB2312" w:cs="仿宋_GB2312"/>
                <w:color w:val="000000"/>
                <w:kern w:val="0"/>
                <w:sz w:val="21"/>
                <w:szCs w:val="21"/>
                <w:lang w:val="en-US" w:eastAsia="zh-CN"/>
              </w:rPr>
              <w:t>6</w:t>
            </w:r>
            <w:r>
              <w:rPr>
                <w:rFonts w:hint="eastAsia" w:ascii="仿宋_GB2312" w:hAnsi="仿宋_GB2312" w:eastAsia="仿宋_GB2312" w:cs="仿宋_GB2312"/>
                <w:color w:val="000000"/>
                <w:kern w:val="0"/>
                <w:sz w:val="21"/>
                <w:szCs w:val="21"/>
              </w:rPr>
              <w:t>分；</w:t>
            </w:r>
          </w:p>
          <w:p>
            <w:pPr>
              <w:widowControl/>
              <w:spacing w:line="276" w:lineRule="auto"/>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5A＞IPv4地址总量≥4A，得</w:t>
            </w:r>
            <w:r>
              <w:rPr>
                <w:rFonts w:hint="eastAsia" w:ascii="仿宋_GB2312" w:hAnsi="仿宋_GB2312" w:eastAsia="仿宋_GB2312" w:cs="仿宋_GB2312"/>
                <w:color w:val="000000"/>
                <w:kern w:val="0"/>
                <w:sz w:val="21"/>
                <w:szCs w:val="21"/>
                <w:lang w:val="en-US" w:eastAsia="zh-CN"/>
              </w:rPr>
              <w:t>4</w:t>
            </w:r>
            <w:r>
              <w:rPr>
                <w:rFonts w:hint="eastAsia" w:ascii="仿宋_GB2312" w:hAnsi="仿宋_GB2312" w:eastAsia="仿宋_GB2312" w:cs="仿宋_GB2312"/>
                <w:color w:val="000000"/>
                <w:kern w:val="0"/>
                <w:sz w:val="21"/>
                <w:szCs w:val="21"/>
              </w:rPr>
              <w:t>分；</w:t>
            </w:r>
          </w:p>
          <w:p>
            <w:pPr>
              <w:widowControl/>
              <w:spacing w:line="276" w:lineRule="auto"/>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4A＞IPv4地址总量≥2A，得</w:t>
            </w:r>
            <w:r>
              <w:rPr>
                <w:rFonts w:hint="eastAsia" w:ascii="仿宋_GB2312" w:hAnsi="仿宋_GB2312" w:eastAsia="仿宋_GB2312" w:cs="仿宋_GB2312"/>
                <w:color w:val="000000"/>
                <w:kern w:val="0"/>
                <w:sz w:val="21"/>
                <w:szCs w:val="21"/>
                <w:lang w:val="en-US" w:eastAsia="zh-CN"/>
              </w:rPr>
              <w:t>2</w:t>
            </w:r>
            <w:r>
              <w:rPr>
                <w:rFonts w:hint="eastAsia" w:ascii="仿宋_GB2312" w:hAnsi="仿宋_GB2312" w:eastAsia="仿宋_GB2312" w:cs="仿宋_GB2312"/>
                <w:color w:val="000000"/>
                <w:kern w:val="0"/>
                <w:sz w:val="21"/>
                <w:szCs w:val="21"/>
              </w:rPr>
              <w:t>分；</w:t>
            </w:r>
          </w:p>
          <w:p>
            <w:pPr>
              <w:widowControl/>
              <w:spacing w:line="276"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2A＞IPv4地址总量，得0分。</w:t>
            </w:r>
          </w:p>
          <w:p>
            <w:pPr>
              <w:widowControl/>
              <w:spacing w:line="276" w:lineRule="auto"/>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以</w:t>
            </w:r>
            <w:r>
              <w:rPr>
                <w:rFonts w:hint="eastAsia" w:ascii="仿宋_GB2312" w:hAnsi="仿宋_GB2312" w:eastAsia="仿宋_GB2312" w:cs="仿宋_GB2312"/>
                <w:sz w:val="21"/>
                <w:szCs w:val="21"/>
              </w:rPr>
              <w:t>中国</w:t>
            </w:r>
            <w:r>
              <w:rPr>
                <w:rFonts w:hint="eastAsia" w:ascii="仿宋_GB2312" w:hAnsi="仿宋_GB2312" w:eastAsia="仿宋_GB2312" w:cs="仿宋_GB2312"/>
                <w:color w:val="000000"/>
                <w:kern w:val="0"/>
                <w:sz w:val="21"/>
                <w:szCs w:val="21"/>
              </w:rPr>
              <w:t>互联网信息中心CNNIC发布的统计报告为准，需提供统计报告关键页面截图，并明显标注</w:t>
            </w:r>
            <w:r>
              <w:rPr>
                <w:rFonts w:hint="eastAsia" w:ascii="仿宋_GB2312" w:hAnsi="仿宋_GB2312" w:eastAsia="仿宋_GB2312" w:cs="仿宋_GB2312"/>
                <w:sz w:val="21"/>
                <w:szCs w:val="21"/>
              </w:rPr>
              <w:t>说明</w:t>
            </w:r>
            <w:r>
              <w:rPr>
                <w:rFonts w:hint="eastAsia" w:ascii="仿宋_GB2312" w:hAnsi="仿宋_GB2312" w:eastAsia="仿宋_GB2312" w:cs="仿宋_GB2312"/>
                <w:color w:val="000000"/>
                <w:kern w:val="0"/>
                <w:sz w:val="21"/>
                <w:szCs w:val="21"/>
              </w:rPr>
              <w:t>上述信息，便于对照</w:t>
            </w:r>
            <w:r>
              <w:rPr>
                <w:rFonts w:hint="eastAsia" w:ascii="仿宋_GB2312" w:hAnsi="仿宋_GB2312" w:eastAsia="仿宋_GB2312" w:cs="仿宋_GB2312"/>
                <w:sz w:val="21"/>
                <w:szCs w:val="21"/>
              </w:rPr>
              <w:t>。</w:t>
            </w:r>
          </w:p>
        </w:tc>
        <w:tc>
          <w:tcPr>
            <w:tcW w:w="641" w:type="dxa"/>
            <w:tcBorders>
              <w:top w:val="single" w:color="auto" w:sz="8" w:space="0"/>
              <w:left w:val="single" w:color="auto" w:sz="4" w:space="0"/>
              <w:bottom w:val="single" w:color="auto" w:sz="8" w:space="0"/>
              <w:right w:val="single" w:color="auto" w:sz="12" w:space="0"/>
            </w:tcBorders>
            <w:shd w:val="clear" w:color="auto" w:fill="auto"/>
            <w:noWrap w:val="0"/>
            <w:vAlign w:val="center"/>
          </w:tcPr>
          <w:p>
            <w:pPr>
              <w:spacing w:line="276" w:lineRule="auto"/>
              <w:ind w:left="-78" w:leftChars="-37" w:right="-73" w:rightChars="-35"/>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57" w:type="dxa"/>
            <w:left w:w="108" w:type="dxa"/>
            <w:bottom w:w="57" w:type="dxa"/>
            <w:right w:w="108" w:type="dxa"/>
          </w:tblCellMar>
        </w:tblPrEx>
        <w:trPr>
          <w:trHeight w:val="2151" w:hRule="atLeast"/>
          <w:jc w:val="center"/>
        </w:trPr>
        <w:tc>
          <w:tcPr>
            <w:tcW w:w="755" w:type="dxa"/>
            <w:tcBorders>
              <w:top w:val="single" w:color="auto" w:sz="8" w:space="0"/>
              <w:left w:val="single" w:color="auto" w:sz="12" w:space="0"/>
              <w:bottom w:val="single" w:color="auto" w:sz="8" w:space="0"/>
              <w:right w:val="single" w:color="auto" w:sz="8" w:space="0"/>
            </w:tcBorders>
            <w:shd w:val="clear" w:color="auto" w:fill="auto"/>
            <w:noWrap w:val="0"/>
            <w:vAlign w:val="center"/>
          </w:tcPr>
          <w:p>
            <w:pPr>
              <w:spacing w:line="276" w:lineRule="auto"/>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166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276" w:lineRule="auto"/>
              <w:ind w:left="-63" w:leftChars="-30" w:right="-88" w:rightChars="-42"/>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汇聚机楼响应情况</w:t>
            </w:r>
          </w:p>
        </w:tc>
        <w:tc>
          <w:tcPr>
            <w:tcW w:w="749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为保障传输线路的调度，投标人需提供在天河区的自有或租赁机房情况（需提供建筑面积不小于1000平方米汇聚机房的分布图、机房相片、汇聚机房产权证扫描件或有效期不少于一年租赁合同扫描件）：提供机房总数≥8个，得</w:t>
            </w:r>
            <w:r>
              <w:rPr>
                <w:rFonts w:hint="eastAsia" w:ascii="仿宋_GB2312" w:hAnsi="仿宋_GB2312" w:eastAsia="仿宋_GB2312" w:cs="仿宋_GB2312"/>
                <w:color w:val="000000"/>
                <w:kern w:val="0"/>
                <w:sz w:val="21"/>
                <w:szCs w:val="21"/>
                <w:lang w:val="en-US" w:eastAsia="zh-CN"/>
              </w:rPr>
              <w:t>6</w:t>
            </w:r>
            <w:r>
              <w:rPr>
                <w:rFonts w:hint="eastAsia" w:ascii="仿宋_GB2312" w:hAnsi="仿宋_GB2312" w:eastAsia="仿宋_GB2312" w:cs="仿宋_GB2312"/>
                <w:color w:val="000000"/>
                <w:kern w:val="0"/>
                <w:sz w:val="21"/>
                <w:szCs w:val="21"/>
              </w:rPr>
              <w:t>分；8＞提供机房总数≥4个或者承诺在中标后30天内机房总数≥8个，得4分；8＞承诺在中标后30天内机房总数≥4个，得2分；其他情况不得分。</w:t>
            </w:r>
          </w:p>
        </w:tc>
        <w:tc>
          <w:tcPr>
            <w:tcW w:w="641" w:type="dxa"/>
            <w:tcBorders>
              <w:top w:val="single" w:color="auto" w:sz="8" w:space="0"/>
              <w:left w:val="single" w:color="auto" w:sz="4" w:space="0"/>
              <w:bottom w:val="single" w:color="auto" w:sz="8" w:space="0"/>
              <w:right w:val="single" w:color="auto" w:sz="12" w:space="0"/>
            </w:tcBorders>
            <w:shd w:val="clear" w:color="auto" w:fill="auto"/>
            <w:noWrap w:val="0"/>
            <w:vAlign w:val="center"/>
          </w:tcPr>
          <w:p>
            <w:pPr>
              <w:spacing w:line="276" w:lineRule="auto"/>
              <w:ind w:left="-78" w:leftChars="-37" w:right="-73" w:rightChars="-35"/>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57" w:type="dxa"/>
            <w:left w:w="108" w:type="dxa"/>
            <w:bottom w:w="57" w:type="dxa"/>
            <w:right w:w="108" w:type="dxa"/>
          </w:tblCellMar>
        </w:tblPrEx>
        <w:trPr>
          <w:trHeight w:val="2151" w:hRule="atLeast"/>
          <w:jc w:val="center"/>
        </w:trPr>
        <w:tc>
          <w:tcPr>
            <w:tcW w:w="755" w:type="dxa"/>
            <w:tcBorders>
              <w:top w:val="single" w:color="auto" w:sz="8" w:space="0"/>
              <w:left w:val="single" w:color="auto" w:sz="12" w:space="0"/>
              <w:bottom w:val="single" w:color="auto" w:sz="8" w:space="0"/>
              <w:right w:val="single" w:color="auto" w:sz="8" w:space="0"/>
            </w:tcBorders>
            <w:shd w:val="clear" w:color="auto" w:fill="auto"/>
            <w:noWrap w:val="0"/>
            <w:vAlign w:val="center"/>
          </w:tcPr>
          <w:p>
            <w:pPr>
              <w:spacing w:line="276" w:lineRule="auto"/>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w:t>
            </w:r>
          </w:p>
        </w:tc>
        <w:tc>
          <w:tcPr>
            <w:tcW w:w="166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276" w:lineRule="auto"/>
              <w:ind w:left="-63" w:leftChars="-30" w:right="-88" w:rightChars="-42"/>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基础网络光纤覆盖能力</w:t>
            </w:r>
          </w:p>
        </w:tc>
        <w:tc>
          <w:tcPr>
            <w:tcW w:w="749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276" w:lineRule="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根据投标人所用运营商在项目所在地省 内 10G PON端口数量（单位：万个）： 10G PON端口数量≥90，得</w:t>
            </w:r>
            <w:r>
              <w:rPr>
                <w:rFonts w:hint="eastAsia" w:ascii="仿宋_GB2312" w:hAnsi="仿宋_GB2312" w:eastAsia="仿宋_GB2312" w:cs="仿宋_GB2312"/>
                <w:color w:val="000000"/>
                <w:kern w:val="0"/>
                <w:sz w:val="21"/>
                <w:szCs w:val="21"/>
                <w:lang w:val="en-US" w:eastAsia="zh-CN"/>
              </w:rPr>
              <w:t>8</w:t>
            </w:r>
            <w:r>
              <w:rPr>
                <w:rFonts w:hint="eastAsia" w:ascii="仿宋_GB2312" w:hAnsi="仿宋_GB2312" w:eastAsia="仿宋_GB2312" w:cs="仿宋_GB2312"/>
                <w:color w:val="000000"/>
                <w:kern w:val="0"/>
                <w:sz w:val="21"/>
                <w:szCs w:val="21"/>
              </w:rPr>
              <w:t>分； 50≤10G PON端口数量＜90，得</w:t>
            </w:r>
            <w:r>
              <w:rPr>
                <w:rFonts w:hint="eastAsia" w:ascii="仿宋_GB2312" w:hAnsi="仿宋_GB2312" w:eastAsia="仿宋_GB2312" w:cs="仿宋_GB2312"/>
                <w:color w:val="000000"/>
                <w:kern w:val="0"/>
                <w:sz w:val="21"/>
                <w:szCs w:val="21"/>
                <w:lang w:val="en-US" w:eastAsia="zh-CN"/>
              </w:rPr>
              <w:t>4</w:t>
            </w:r>
            <w:r>
              <w:rPr>
                <w:rFonts w:hint="eastAsia" w:ascii="仿宋_GB2312" w:hAnsi="仿宋_GB2312" w:eastAsia="仿宋_GB2312" w:cs="仿宋_GB2312"/>
                <w:color w:val="000000"/>
                <w:kern w:val="0"/>
                <w:sz w:val="21"/>
                <w:szCs w:val="21"/>
              </w:rPr>
              <w:t>分； 20≤10G PON端口数量＜50，得</w:t>
            </w:r>
            <w:r>
              <w:rPr>
                <w:rFonts w:hint="eastAsia" w:ascii="仿宋_GB2312" w:hAnsi="仿宋_GB2312" w:eastAsia="仿宋_GB2312" w:cs="仿宋_GB2312"/>
                <w:color w:val="000000"/>
                <w:kern w:val="0"/>
                <w:sz w:val="21"/>
                <w:szCs w:val="21"/>
                <w:lang w:val="en-US" w:eastAsia="zh-CN"/>
              </w:rPr>
              <w:t>2</w:t>
            </w:r>
            <w:r>
              <w:rPr>
                <w:rFonts w:hint="eastAsia" w:ascii="仿宋_GB2312" w:hAnsi="仿宋_GB2312" w:eastAsia="仿宋_GB2312" w:cs="仿宋_GB2312"/>
                <w:color w:val="000000"/>
                <w:kern w:val="0"/>
                <w:sz w:val="21"/>
                <w:szCs w:val="21"/>
              </w:rPr>
              <w:t>分； 10G PON端口数量＜20得0分。 注:须提供通信主管部门发布文件等相关证明材料(如通管局、工信厅等)，提供文件页面截图，否则不得分。</w:t>
            </w:r>
          </w:p>
        </w:tc>
        <w:tc>
          <w:tcPr>
            <w:tcW w:w="641" w:type="dxa"/>
            <w:tcBorders>
              <w:top w:val="single" w:color="auto" w:sz="8" w:space="0"/>
              <w:left w:val="single" w:color="auto" w:sz="4" w:space="0"/>
              <w:bottom w:val="single" w:color="auto" w:sz="8" w:space="0"/>
              <w:right w:val="single" w:color="auto" w:sz="12" w:space="0"/>
            </w:tcBorders>
            <w:shd w:val="clear" w:color="auto" w:fill="auto"/>
            <w:noWrap w:val="0"/>
            <w:vAlign w:val="center"/>
          </w:tcPr>
          <w:p>
            <w:pPr>
              <w:spacing w:line="276" w:lineRule="auto"/>
              <w:ind w:left="-78" w:leftChars="-37" w:right="-73" w:rightChars="-35"/>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57" w:type="dxa"/>
            <w:left w:w="108" w:type="dxa"/>
            <w:bottom w:w="57" w:type="dxa"/>
            <w:right w:w="108" w:type="dxa"/>
          </w:tblCellMar>
        </w:tblPrEx>
        <w:trPr>
          <w:trHeight w:val="1400" w:hRule="atLeast"/>
          <w:jc w:val="center"/>
        </w:trPr>
        <w:tc>
          <w:tcPr>
            <w:tcW w:w="755" w:type="dxa"/>
            <w:tcBorders>
              <w:top w:val="single" w:color="auto" w:sz="8" w:space="0"/>
              <w:left w:val="single" w:color="auto" w:sz="12" w:space="0"/>
              <w:bottom w:val="single" w:color="auto" w:sz="8" w:space="0"/>
              <w:right w:val="single" w:color="auto" w:sz="8" w:space="0"/>
            </w:tcBorders>
            <w:shd w:val="clear" w:color="auto" w:fill="auto"/>
            <w:noWrap w:val="0"/>
            <w:vAlign w:val="center"/>
          </w:tcPr>
          <w:p>
            <w:pPr>
              <w:spacing w:line="276" w:lineRule="auto"/>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166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276" w:lineRule="auto"/>
              <w:ind w:left="-63" w:leftChars="-30" w:right="-88" w:rightChars="-42"/>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平滑过渡保障方案</w:t>
            </w:r>
          </w:p>
        </w:tc>
        <w:tc>
          <w:tcPr>
            <w:tcW w:w="749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276" w:lineRule="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投标人提供的平滑过渡保障方案能充分阐述如何保证在项目过渡期间提供不低于原使用水平的全过程服务，满足过渡期间采购人的连续使用，优于采购需求的，得</w:t>
            </w:r>
            <w:r>
              <w:rPr>
                <w:rFonts w:hint="eastAsia" w:ascii="仿宋_GB2312" w:hAnsi="仿宋_GB2312" w:eastAsia="仿宋_GB2312" w:cs="仿宋_GB2312"/>
                <w:color w:val="000000"/>
                <w:kern w:val="0"/>
                <w:sz w:val="21"/>
                <w:szCs w:val="21"/>
                <w:lang w:val="en-US" w:eastAsia="zh-CN"/>
              </w:rPr>
              <w:t>8</w:t>
            </w:r>
            <w:r>
              <w:rPr>
                <w:rFonts w:hint="eastAsia" w:ascii="仿宋_GB2312" w:hAnsi="仿宋_GB2312" w:eastAsia="仿宋_GB2312" w:cs="仿宋_GB2312"/>
                <w:color w:val="000000"/>
                <w:kern w:val="0"/>
                <w:sz w:val="21"/>
                <w:szCs w:val="21"/>
              </w:rPr>
              <w:t>分，完全满足采购需求的，得</w:t>
            </w:r>
            <w:r>
              <w:rPr>
                <w:rFonts w:hint="eastAsia" w:ascii="仿宋_GB2312" w:hAnsi="仿宋_GB2312" w:eastAsia="仿宋_GB2312" w:cs="仿宋_GB2312"/>
                <w:color w:val="000000"/>
                <w:kern w:val="0"/>
                <w:sz w:val="21"/>
                <w:szCs w:val="21"/>
                <w:lang w:val="en-US" w:eastAsia="zh-CN"/>
              </w:rPr>
              <w:t>4</w:t>
            </w:r>
            <w:r>
              <w:rPr>
                <w:rFonts w:hint="eastAsia" w:ascii="仿宋_GB2312" w:hAnsi="仿宋_GB2312" w:eastAsia="仿宋_GB2312" w:cs="仿宋_GB2312"/>
                <w:color w:val="000000"/>
                <w:kern w:val="0"/>
                <w:sz w:val="21"/>
                <w:szCs w:val="21"/>
              </w:rPr>
              <w:t>分，部分满足采购需求的，得1分，无法满足采购需求或无提供，不得分。</w:t>
            </w:r>
          </w:p>
        </w:tc>
        <w:tc>
          <w:tcPr>
            <w:tcW w:w="641" w:type="dxa"/>
            <w:tcBorders>
              <w:top w:val="single" w:color="auto" w:sz="8" w:space="0"/>
              <w:left w:val="single" w:color="auto" w:sz="4" w:space="0"/>
              <w:bottom w:val="single" w:color="auto" w:sz="8" w:space="0"/>
              <w:right w:val="single" w:color="auto" w:sz="12" w:space="0"/>
            </w:tcBorders>
            <w:shd w:val="clear" w:color="auto" w:fill="auto"/>
            <w:noWrap w:val="0"/>
            <w:vAlign w:val="center"/>
          </w:tcPr>
          <w:p>
            <w:pPr>
              <w:spacing w:line="276" w:lineRule="auto"/>
              <w:ind w:left="-78" w:leftChars="-37" w:right="-73" w:rightChars="-35"/>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57" w:type="dxa"/>
            <w:left w:w="108" w:type="dxa"/>
            <w:bottom w:w="57" w:type="dxa"/>
            <w:right w:w="108" w:type="dxa"/>
          </w:tblCellMar>
        </w:tblPrEx>
        <w:trPr>
          <w:trHeight w:val="2191" w:hRule="atLeast"/>
          <w:jc w:val="center"/>
        </w:trPr>
        <w:tc>
          <w:tcPr>
            <w:tcW w:w="755" w:type="dxa"/>
            <w:tcBorders>
              <w:top w:val="single" w:color="auto" w:sz="8" w:space="0"/>
              <w:left w:val="single" w:color="auto" w:sz="12" w:space="0"/>
              <w:bottom w:val="single" w:color="auto" w:sz="8" w:space="0"/>
              <w:right w:val="single" w:color="auto" w:sz="8" w:space="0"/>
            </w:tcBorders>
            <w:shd w:val="clear" w:color="auto" w:fill="auto"/>
            <w:noWrap w:val="0"/>
            <w:vAlign w:val="center"/>
          </w:tcPr>
          <w:p>
            <w:pPr>
              <w:spacing w:line="276" w:lineRule="auto"/>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6</w:t>
            </w:r>
          </w:p>
        </w:tc>
        <w:tc>
          <w:tcPr>
            <w:tcW w:w="166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276" w:lineRule="auto"/>
              <w:ind w:left="-63" w:leftChars="-30" w:right="-88" w:rightChars="-42"/>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项目实施方案</w:t>
            </w:r>
          </w:p>
        </w:tc>
        <w:tc>
          <w:tcPr>
            <w:tcW w:w="749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276" w:lineRule="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对投标人的项目实施方案，包括项目实施组织形式、项目实施计划等方面进行综合评价：</w:t>
            </w:r>
          </w:p>
          <w:p>
            <w:pPr>
              <w:spacing w:line="276" w:lineRule="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1.方案科学、合理、针对性强，体现了采购人项目设计原则，全面满足采购人需求的评为优，得</w:t>
            </w:r>
            <w:r>
              <w:rPr>
                <w:rFonts w:hint="eastAsia" w:ascii="仿宋_GB2312" w:hAnsi="仿宋_GB2312" w:eastAsia="仿宋_GB2312" w:cs="仿宋_GB2312"/>
                <w:sz w:val="21"/>
                <w:szCs w:val="21"/>
                <w:lang w:val="en-US" w:eastAsia="zh-CN"/>
              </w:rPr>
              <w:t>8</w:t>
            </w:r>
            <w:r>
              <w:rPr>
                <w:rFonts w:hint="eastAsia" w:ascii="仿宋_GB2312" w:hAnsi="仿宋_GB2312" w:eastAsia="仿宋_GB2312" w:cs="仿宋_GB2312"/>
                <w:color w:val="000000"/>
                <w:kern w:val="0"/>
                <w:sz w:val="21"/>
                <w:szCs w:val="21"/>
              </w:rPr>
              <w:t>分；</w:t>
            </w:r>
          </w:p>
          <w:p>
            <w:pPr>
              <w:spacing w:line="276" w:lineRule="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2.方案较科学、合理、针对性较强，基本满足采购人需求的评为良，得</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color w:val="000000"/>
                <w:kern w:val="0"/>
                <w:sz w:val="21"/>
                <w:szCs w:val="21"/>
              </w:rPr>
              <w:t>分；</w:t>
            </w:r>
          </w:p>
          <w:p>
            <w:pPr>
              <w:spacing w:line="276" w:lineRule="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3.方案设计一般的评为一般，得</w:t>
            </w:r>
            <w:r>
              <w:rPr>
                <w:rFonts w:hint="eastAsia" w:ascii="仿宋_GB2312" w:hAnsi="仿宋_GB2312" w:eastAsia="仿宋_GB2312" w:cs="仿宋_GB2312"/>
                <w:sz w:val="21"/>
                <w:szCs w:val="21"/>
              </w:rPr>
              <w:t>2</w:t>
            </w:r>
            <w:r>
              <w:rPr>
                <w:rFonts w:hint="eastAsia" w:ascii="仿宋_GB2312" w:hAnsi="仿宋_GB2312" w:eastAsia="仿宋_GB2312" w:cs="仿宋_GB2312"/>
                <w:color w:val="000000"/>
                <w:kern w:val="0"/>
                <w:sz w:val="21"/>
                <w:szCs w:val="21"/>
              </w:rPr>
              <w:t>分；</w:t>
            </w:r>
          </w:p>
          <w:p>
            <w:pPr>
              <w:spacing w:line="276" w:lineRule="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4.没有提供方案的，得0分。</w:t>
            </w:r>
          </w:p>
        </w:tc>
        <w:tc>
          <w:tcPr>
            <w:tcW w:w="641" w:type="dxa"/>
            <w:tcBorders>
              <w:top w:val="single" w:color="auto" w:sz="8" w:space="0"/>
              <w:left w:val="single" w:color="auto" w:sz="4" w:space="0"/>
              <w:bottom w:val="single" w:color="auto" w:sz="8" w:space="0"/>
              <w:right w:val="single" w:color="auto" w:sz="12" w:space="0"/>
            </w:tcBorders>
            <w:shd w:val="clear" w:color="auto" w:fill="auto"/>
            <w:noWrap w:val="0"/>
            <w:vAlign w:val="center"/>
          </w:tcPr>
          <w:p>
            <w:pPr>
              <w:spacing w:line="276" w:lineRule="auto"/>
              <w:ind w:left="-78" w:leftChars="-37" w:right="-73" w:rightChars="-35"/>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57" w:type="dxa"/>
            <w:left w:w="108" w:type="dxa"/>
            <w:bottom w:w="57" w:type="dxa"/>
            <w:right w:w="108" w:type="dxa"/>
          </w:tblCellMar>
        </w:tblPrEx>
        <w:trPr>
          <w:trHeight w:val="2004" w:hRule="atLeast"/>
          <w:jc w:val="center"/>
        </w:trPr>
        <w:tc>
          <w:tcPr>
            <w:tcW w:w="755" w:type="dxa"/>
            <w:tcBorders>
              <w:top w:val="single" w:color="auto" w:sz="8" w:space="0"/>
              <w:left w:val="single" w:color="auto" w:sz="12" w:space="0"/>
              <w:bottom w:val="single" w:color="auto" w:sz="8" w:space="0"/>
              <w:right w:val="single" w:color="auto" w:sz="8" w:space="0"/>
            </w:tcBorders>
            <w:shd w:val="clear" w:color="auto" w:fill="auto"/>
            <w:noWrap w:val="0"/>
            <w:vAlign w:val="center"/>
          </w:tcPr>
          <w:p>
            <w:pPr>
              <w:spacing w:line="276" w:lineRule="auto"/>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7</w:t>
            </w:r>
          </w:p>
        </w:tc>
        <w:tc>
          <w:tcPr>
            <w:tcW w:w="166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276" w:lineRule="auto"/>
              <w:ind w:left="-63" w:leftChars="-30" w:right="-88" w:rightChars="-42"/>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服务方案</w:t>
            </w:r>
          </w:p>
        </w:tc>
        <w:tc>
          <w:tcPr>
            <w:tcW w:w="749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276" w:lineRule="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对服务方案的完整性、可行性、服务要求响应等方面进行评价：</w:t>
            </w:r>
          </w:p>
          <w:p>
            <w:pPr>
              <w:spacing w:line="276" w:lineRule="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1.服务方案完整、可行，服务响应完全满足或优于招标要求的评为优，得</w:t>
            </w:r>
            <w:r>
              <w:rPr>
                <w:rFonts w:hint="eastAsia" w:ascii="仿宋_GB2312" w:hAnsi="仿宋_GB2312" w:eastAsia="仿宋_GB2312" w:cs="仿宋_GB2312"/>
                <w:sz w:val="21"/>
                <w:szCs w:val="21"/>
                <w:lang w:val="en-US" w:eastAsia="zh-CN"/>
              </w:rPr>
              <w:t>8</w:t>
            </w:r>
            <w:r>
              <w:rPr>
                <w:rFonts w:hint="eastAsia" w:ascii="仿宋_GB2312" w:hAnsi="仿宋_GB2312" w:eastAsia="仿宋_GB2312" w:cs="仿宋_GB2312"/>
                <w:color w:val="000000"/>
                <w:kern w:val="0"/>
                <w:sz w:val="21"/>
                <w:szCs w:val="21"/>
              </w:rPr>
              <w:t>分；</w:t>
            </w:r>
          </w:p>
          <w:p>
            <w:pPr>
              <w:spacing w:line="276" w:lineRule="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2.服务方案不够具体，服务响应基本满足招标要求的评为良，得</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color w:val="000000"/>
                <w:kern w:val="0"/>
                <w:sz w:val="21"/>
                <w:szCs w:val="21"/>
              </w:rPr>
              <w:t>分；</w:t>
            </w:r>
          </w:p>
          <w:p>
            <w:pPr>
              <w:spacing w:line="276" w:lineRule="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3.仅提供方案，但方案完整性、可行性较差、服务要求响应较差的评为一般，得</w:t>
            </w:r>
            <w:r>
              <w:rPr>
                <w:rFonts w:hint="eastAsia" w:ascii="仿宋_GB2312" w:hAnsi="仿宋_GB2312" w:eastAsia="仿宋_GB2312" w:cs="仿宋_GB2312"/>
                <w:sz w:val="21"/>
                <w:szCs w:val="21"/>
              </w:rPr>
              <w:t>2</w:t>
            </w:r>
            <w:r>
              <w:rPr>
                <w:rFonts w:hint="eastAsia" w:ascii="仿宋_GB2312" w:hAnsi="仿宋_GB2312" w:eastAsia="仿宋_GB2312" w:cs="仿宋_GB2312"/>
                <w:color w:val="000000"/>
                <w:kern w:val="0"/>
                <w:sz w:val="21"/>
                <w:szCs w:val="21"/>
              </w:rPr>
              <w:t>分；</w:t>
            </w:r>
          </w:p>
          <w:p>
            <w:pPr>
              <w:spacing w:line="276" w:lineRule="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4.没有提供方案的，得0分。</w:t>
            </w:r>
          </w:p>
        </w:tc>
        <w:tc>
          <w:tcPr>
            <w:tcW w:w="641" w:type="dxa"/>
            <w:tcBorders>
              <w:top w:val="single" w:color="auto" w:sz="8" w:space="0"/>
              <w:left w:val="single" w:color="auto" w:sz="4" w:space="0"/>
              <w:bottom w:val="single" w:color="auto" w:sz="8" w:space="0"/>
              <w:right w:val="single" w:color="auto" w:sz="12" w:space="0"/>
            </w:tcBorders>
            <w:shd w:val="clear" w:color="auto" w:fill="auto"/>
            <w:noWrap w:val="0"/>
            <w:vAlign w:val="center"/>
          </w:tcPr>
          <w:p>
            <w:pPr>
              <w:spacing w:line="276" w:lineRule="auto"/>
              <w:ind w:left="-78" w:leftChars="-37" w:right="-73" w:rightChars="-35"/>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57" w:type="dxa"/>
            <w:left w:w="108" w:type="dxa"/>
            <w:bottom w:w="57" w:type="dxa"/>
            <w:right w:w="108" w:type="dxa"/>
          </w:tblCellMar>
        </w:tblPrEx>
        <w:trPr>
          <w:trHeight w:val="1832" w:hRule="atLeast"/>
          <w:jc w:val="center"/>
        </w:trPr>
        <w:tc>
          <w:tcPr>
            <w:tcW w:w="755" w:type="dxa"/>
            <w:tcBorders>
              <w:top w:val="single" w:color="auto" w:sz="8" w:space="0"/>
              <w:left w:val="single" w:color="auto" w:sz="12" w:space="0"/>
              <w:bottom w:val="single" w:color="auto" w:sz="8" w:space="0"/>
              <w:right w:val="single" w:color="auto" w:sz="8" w:space="0"/>
            </w:tcBorders>
            <w:shd w:val="clear" w:color="auto" w:fill="auto"/>
            <w:noWrap w:val="0"/>
            <w:vAlign w:val="center"/>
          </w:tcPr>
          <w:p>
            <w:pPr>
              <w:spacing w:line="276" w:lineRule="auto"/>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8</w:t>
            </w:r>
          </w:p>
        </w:tc>
        <w:tc>
          <w:tcPr>
            <w:tcW w:w="166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276" w:lineRule="auto"/>
              <w:ind w:left="-63" w:leftChars="-30" w:right="-88" w:rightChars="-42"/>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kern w:val="0"/>
                <w:sz w:val="21"/>
                <w:szCs w:val="21"/>
              </w:rPr>
              <w:t>培训方案</w:t>
            </w:r>
          </w:p>
        </w:tc>
        <w:tc>
          <w:tcPr>
            <w:tcW w:w="749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276" w:lineRule="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对投标人的培训方案进行综合评价：</w:t>
            </w:r>
          </w:p>
          <w:p>
            <w:pPr>
              <w:spacing w:line="276" w:lineRule="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1.方案全面、具体、合理的评为优，得</w:t>
            </w: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color w:val="000000"/>
                <w:kern w:val="0"/>
                <w:sz w:val="21"/>
                <w:szCs w:val="21"/>
              </w:rPr>
              <w:t>分；</w:t>
            </w:r>
          </w:p>
          <w:p>
            <w:pPr>
              <w:spacing w:line="276" w:lineRule="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2.方案基本合理，但不够详细的评为良，得</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color w:val="000000"/>
                <w:kern w:val="0"/>
                <w:sz w:val="21"/>
                <w:szCs w:val="21"/>
              </w:rPr>
              <w:t>分；</w:t>
            </w:r>
          </w:p>
          <w:p>
            <w:pPr>
              <w:spacing w:line="276" w:lineRule="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3.方案不够合理的评为一般，得</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color w:val="000000"/>
                <w:kern w:val="0"/>
                <w:sz w:val="21"/>
                <w:szCs w:val="21"/>
              </w:rPr>
              <w:t>分；</w:t>
            </w:r>
          </w:p>
          <w:p>
            <w:pPr>
              <w:spacing w:line="276" w:lineRule="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4.没有提供方案的，得0分。</w:t>
            </w:r>
          </w:p>
        </w:tc>
        <w:tc>
          <w:tcPr>
            <w:tcW w:w="641" w:type="dxa"/>
            <w:tcBorders>
              <w:top w:val="single" w:color="auto" w:sz="8" w:space="0"/>
              <w:left w:val="single" w:color="auto" w:sz="4" w:space="0"/>
              <w:bottom w:val="single" w:color="auto" w:sz="8" w:space="0"/>
              <w:right w:val="single" w:color="auto" w:sz="12" w:space="0"/>
            </w:tcBorders>
            <w:shd w:val="clear" w:color="auto" w:fill="auto"/>
            <w:noWrap w:val="0"/>
            <w:vAlign w:val="center"/>
          </w:tcPr>
          <w:p>
            <w:pPr>
              <w:spacing w:line="276" w:lineRule="auto"/>
              <w:ind w:left="-78" w:leftChars="-37" w:right="-73" w:rightChars="-35"/>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sz w:val="21"/>
                <w:szCs w:val="21"/>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57" w:type="dxa"/>
            <w:left w:w="108" w:type="dxa"/>
            <w:bottom w:w="57" w:type="dxa"/>
            <w:right w:w="108" w:type="dxa"/>
          </w:tblCellMar>
        </w:tblPrEx>
        <w:trPr>
          <w:trHeight w:val="456" w:hRule="atLeast"/>
          <w:jc w:val="center"/>
        </w:trPr>
        <w:tc>
          <w:tcPr>
            <w:tcW w:w="9914" w:type="dxa"/>
            <w:gridSpan w:val="3"/>
            <w:tcBorders>
              <w:top w:val="single" w:color="auto" w:sz="8" w:space="0"/>
              <w:left w:val="single" w:color="auto" w:sz="12" w:space="0"/>
              <w:bottom w:val="single" w:color="auto" w:sz="8" w:space="0"/>
              <w:right w:val="single" w:color="auto" w:sz="8" w:space="0"/>
            </w:tcBorders>
            <w:shd w:val="clear" w:color="auto" w:fill="auto"/>
            <w:noWrap w:val="0"/>
            <w:vAlign w:val="center"/>
          </w:tcPr>
          <w:p>
            <w:pPr>
              <w:spacing w:line="276" w:lineRule="auto"/>
              <w:ind w:left="-63" w:leftChars="-30" w:right="-88" w:rightChars="-42"/>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lang w:val="en-US" w:eastAsia="zh-CN"/>
              </w:rPr>
              <w:t>技术部分</w:t>
            </w:r>
            <w:r>
              <w:rPr>
                <w:rFonts w:hint="eastAsia" w:ascii="仿宋_GB2312" w:hAnsi="仿宋_GB2312" w:eastAsia="仿宋_GB2312" w:cs="仿宋_GB2312"/>
                <w:b/>
                <w:bCs/>
                <w:color w:val="000000"/>
                <w:sz w:val="21"/>
                <w:szCs w:val="21"/>
              </w:rPr>
              <w:t>合计</w:t>
            </w:r>
          </w:p>
        </w:tc>
        <w:tc>
          <w:tcPr>
            <w:tcW w:w="641" w:type="dxa"/>
            <w:tcBorders>
              <w:top w:val="single" w:color="auto" w:sz="8" w:space="0"/>
              <w:left w:val="single" w:color="auto" w:sz="4" w:space="0"/>
              <w:bottom w:val="single" w:color="auto" w:sz="8" w:space="0"/>
              <w:right w:val="single" w:color="auto" w:sz="12" w:space="0"/>
            </w:tcBorders>
            <w:shd w:val="clear" w:color="auto" w:fill="auto"/>
            <w:noWrap w:val="0"/>
            <w:vAlign w:val="center"/>
          </w:tcPr>
          <w:p>
            <w:pPr>
              <w:spacing w:line="276" w:lineRule="auto"/>
              <w:ind w:left="-78" w:leftChars="-37" w:right="-73" w:rightChars="-35"/>
              <w:jc w:val="center"/>
              <w:rPr>
                <w:rFonts w:hint="default"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sz w:val="21"/>
                <w:szCs w:val="21"/>
                <w:lang w:val="en-US" w:eastAsia="zh-CN"/>
              </w:rPr>
              <w:t>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57" w:type="dxa"/>
            <w:left w:w="108" w:type="dxa"/>
            <w:bottom w:w="57" w:type="dxa"/>
            <w:right w:w="108" w:type="dxa"/>
          </w:tblCellMar>
        </w:tblPrEx>
        <w:trPr>
          <w:trHeight w:val="414" w:hRule="atLeast"/>
          <w:jc w:val="center"/>
        </w:trPr>
        <w:tc>
          <w:tcPr>
            <w:tcW w:w="9914" w:type="dxa"/>
            <w:gridSpan w:val="3"/>
            <w:tcBorders>
              <w:top w:val="single" w:color="auto" w:sz="8" w:space="0"/>
              <w:left w:val="single" w:color="auto" w:sz="12" w:space="0"/>
              <w:bottom w:val="single" w:color="auto" w:sz="12" w:space="0"/>
              <w:right w:val="single" w:color="auto" w:sz="8" w:space="0"/>
            </w:tcBorders>
            <w:shd w:val="clear" w:color="auto" w:fill="auto"/>
            <w:noWrap w:val="0"/>
            <w:vAlign w:val="center"/>
          </w:tcPr>
          <w:p>
            <w:pPr>
              <w:spacing w:line="276" w:lineRule="auto"/>
              <w:ind w:left="-63" w:leftChars="-30" w:right="-88" w:rightChars="-42"/>
              <w:jc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价格部分合计</w:t>
            </w:r>
          </w:p>
        </w:tc>
        <w:tc>
          <w:tcPr>
            <w:tcW w:w="641" w:type="dxa"/>
            <w:tcBorders>
              <w:top w:val="single" w:color="auto" w:sz="8" w:space="0"/>
              <w:left w:val="single" w:color="auto" w:sz="4" w:space="0"/>
              <w:bottom w:val="single" w:color="auto" w:sz="12" w:space="0"/>
              <w:right w:val="single" w:color="auto" w:sz="12" w:space="0"/>
            </w:tcBorders>
            <w:shd w:val="clear" w:color="auto" w:fill="auto"/>
            <w:noWrap w:val="0"/>
            <w:vAlign w:val="center"/>
          </w:tcPr>
          <w:p>
            <w:pPr>
              <w:spacing w:line="276" w:lineRule="auto"/>
              <w:ind w:left="-78" w:leftChars="-37" w:right="-73" w:rightChars="-35"/>
              <w:jc w:val="center"/>
              <w:rPr>
                <w:rFonts w:hint="default"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10</w:t>
            </w:r>
          </w:p>
        </w:tc>
      </w:tr>
    </w:tbl>
    <w:p>
      <w:pPr>
        <w:autoSpaceDE w:val="0"/>
        <w:autoSpaceDN w:val="0"/>
        <w:snapToGrid w:val="0"/>
        <w:spacing w:line="0" w:lineRule="atLeast"/>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价格10分</w:t>
      </w:r>
    </w:p>
    <w:p>
      <w:pPr>
        <w:snapToGrid w:val="0"/>
        <w:spacing w:line="440" w:lineRule="exact"/>
        <w:ind w:firstLine="411" w:firstLineChars="19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各有效投标供应商的评标价中，各有效投标供应商的价格评分统一按照下列公式计算：</w:t>
      </w:r>
    </w:p>
    <w:p>
      <w:pPr>
        <w:snapToGrid w:val="0"/>
        <w:spacing w:line="440" w:lineRule="exact"/>
        <w:ind w:firstLine="411" w:firstLineChars="196"/>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1</w:t>
      </w:r>
      <w:r>
        <w:rPr>
          <w:rFonts w:hint="eastAsia" w:ascii="仿宋_GB2312" w:hAnsi="仿宋_GB2312" w:eastAsia="仿宋_GB2312" w:cs="仿宋_GB2312"/>
          <w:sz w:val="21"/>
          <w:szCs w:val="21"/>
        </w:rPr>
        <w:t>）评标基准价的计算</w:t>
      </w:r>
    </w:p>
    <w:p>
      <w:pPr>
        <w:snapToGrid w:val="0"/>
        <w:spacing w:line="440" w:lineRule="exact"/>
        <w:ind w:firstLine="411" w:firstLineChars="196"/>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①通过价格符合性审查的投标人少于等于5家（≤5）时：</w:t>
      </w:r>
    </w:p>
    <w:p>
      <w:pPr>
        <w:snapToGrid w:val="0"/>
        <w:spacing w:line="440" w:lineRule="exact"/>
        <w:ind w:firstLine="411" w:firstLineChars="19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评标基准价＝所有有效投标人的评标总价的算术平均值*95%</w:t>
      </w:r>
    </w:p>
    <w:p>
      <w:pPr>
        <w:snapToGrid w:val="0"/>
        <w:spacing w:line="440" w:lineRule="exact"/>
        <w:ind w:firstLine="411" w:firstLineChars="196"/>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②通过价格符合性审查的投标人不少于6家（即≥6）时：</w:t>
      </w:r>
    </w:p>
    <w:p>
      <w:pPr>
        <w:snapToGrid w:val="0"/>
        <w:spacing w:line="440" w:lineRule="exact"/>
        <w:ind w:firstLine="411" w:firstLineChars="19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评标基准价＝所有有效投标人的评标总价去掉一个最高价和一个最低价后的算术平均值*95%。</w:t>
      </w:r>
    </w:p>
    <w:p>
      <w:pPr>
        <w:snapToGrid w:val="0"/>
        <w:spacing w:line="440" w:lineRule="exact"/>
        <w:ind w:firstLine="411" w:firstLineChars="196"/>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2</w:t>
      </w:r>
      <w:r>
        <w:rPr>
          <w:rFonts w:hint="eastAsia" w:ascii="仿宋_GB2312" w:hAnsi="仿宋_GB2312" w:eastAsia="仿宋_GB2312" w:cs="仿宋_GB2312"/>
          <w:sz w:val="21"/>
          <w:szCs w:val="21"/>
        </w:rPr>
        <w:t>）价格评分</w:t>
      </w:r>
    </w:p>
    <w:p>
      <w:pPr>
        <w:snapToGrid w:val="0"/>
        <w:spacing w:line="440" w:lineRule="exact"/>
        <w:ind w:firstLine="411" w:firstLineChars="19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a)当评标总价等于评标基准价，投标人的价格评分为</w:t>
      </w:r>
      <w:r>
        <w:rPr>
          <w:rFonts w:hint="eastAsia" w:ascii="仿宋_GB2312" w:hAnsi="仿宋_GB2312" w:eastAsia="仿宋_GB2312" w:cs="仿宋_GB2312"/>
          <w:sz w:val="21"/>
          <w:szCs w:val="21"/>
          <w:lang w:val="en-US" w:eastAsia="zh-CN"/>
        </w:rPr>
        <w:t>10</w:t>
      </w:r>
      <w:r>
        <w:rPr>
          <w:rFonts w:hint="eastAsia" w:ascii="仿宋_GB2312" w:hAnsi="仿宋_GB2312" w:eastAsia="仿宋_GB2312" w:cs="仿宋_GB2312"/>
          <w:sz w:val="21"/>
          <w:szCs w:val="21"/>
        </w:rPr>
        <w:t>分；</w:t>
      </w:r>
    </w:p>
    <w:p>
      <w:pPr>
        <w:snapToGrid w:val="0"/>
        <w:spacing w:line="440" w:lineRule="exact"/>
        <w:ind w:firstLine="411" w:firstLineChars="19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b)当评标总价高于评标基准价，投标人的价格评分按下式计算（有效投标人的投标报价每高于基准价1%，扣减0.1分，扣完为止）：</w:t>
      </w:r>
    </w:p>
    <w:p>
      <w:pPr>
        <w:snapToGrid w:val="0"/>
        <w:spacing w:line="440" w:lineRule="exact"/>
        <w:ind w:firstLine="411" w:firstLineChars="19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投标人的价格评分=</w:t>
      </w:r>
      <w:r>
        <w:rPr>
          <w:rFonts w:hint="eastAsia" w:ascii="仿宋_GB2312" w:hAnsi="仿宋_GB2312" w:eastAsia="仿宋_GB2312" w:cs="仿宋_GB2312"/>
          <w:sz w:val="21"/>
          <w:szCs w:val="21"/>
          <w:lang w:val="en-US" w:eastAsia="zh-CN"/>
        </w:rPr>
        <w:t>10</w:t>
      </w:r>
      <w:r>
        <w:rPr>
          <w:rFonts w:hint="eastAsia" w:ascii="仿宋_GB2312" w:hAnsi="仿宋_GB2312" w:eastAsia="仿宋_GB2312" w:cs="仿宋_GB2312"/>
          <w:sz w:val="21"/>
          <w:szCs w:val="21"/>
        </w:rPr>
        <w:t>-（投标人的评标总价-评标基准价）÷评标基准价×100×0.1（四舍五入，小数点后保留两位有效数字）。</w:t>
      </w:r>
    </w:p>
    <w:p>
      <w:pPr>
        <w:snapToGrid w:val="0"/>
        <w:spacing w:line="440" w:lineRule="exact"/>
        <w:ind w:firstLine="411" w:firstLineChars="19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c)当评标总价低于评标基准价，投标人的价格评分按下式计算（有效投标人的投标报价每低于基准价1%，扣减0.</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分，扣完为止）：</w:t>
      </w:r>
    </w:p>
    <w:p>
      <w:pPr>
        <w:snapToGrid w:val="0"/>
        <w:spacing w:line="440" w:lineRule="exact"/>
        <w:ind w:firstLine="411" w:firstLineChars="19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投标人的价格评分=1</w:t>
      </w:r>
      <w:r>
        <w:rPr>
          <w:rFonts w:hint="eastAsia" w:ascii="仿宋_GB2312" w:hAnsi="仿宋_GB2312" w:eastAsia="仿宋_GB2312" w:cs="仿宋_GB2312"/>
          <w:sz w:val="21"/>
          <w:szCs w:val="21"/>
          <w:lang w:val="en-US" w:eastAsia="zh-CN"/>
        </w:rPr>
        <w:t>0</w:t>
      </w:r>
      <w:r>
        <w:rPr>
          <w:rFonts w:hint="eastAsia" w:ascii="仿宋_GB2312" w:hAnsi="仿宋_GB2312" w:eastAsia="仿宋_GB2312" w:cs="仿宋_GB2312"/>
          <w:sz w:val="21"/>
          <w:szCs w:val="21"/>
        </w:rPr>
        <w:t>-（评标基准价-投标人的评标总价）÷评标基准价×100×0.</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（四舍五入，小数点后保留两位有效数字）综合得分计算。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AC6A73"/>
    <w:multiLevelType w:val="multilevel"/>
    <w:tmpl w:val="5CAC6A73"/>
    <w:lvl w:ilvl="0" w:tentative="0">
      <w:start w:val="1"/>
      <w:numFmt w:val="decimal"/>
      <w:lvlText w:val="%1."/>
      <w:lvlJc w:val="left"/>
      <w:pPr>
        <w:ind w:left="357" w:hanging="420"/>
      </w:pPr>
      <w:rPr>
        <w:rFonts w:hint="eastAsia"/>
        <w:b w:val="0"/>
      </w:rPr>
    </w:lvl>
    <w:lvl w:ilvl="1" w:tentative="0">
      <w:start w:val="1"/>
      <w:numFmt w:val="lowerLetter"/>
      <w:lvlText w:val="%2)"/>
      <w:lvlJc w:val="left"/>
      <w:pPr>
        <w:ind w:left="777" w:hanging="420"/>
      </w:pPr>
    </w:lvl>
    <w:lvl w:ilvl="2" w:tentative="0">
      <w:start w:val="1"/>
      <w:numFmt w:val="lowerRoman"/>
      <w:lvlText w:val="%3."/>
      <w:lvlJc w:val="right"/>
      <w:pPr>
        <w:ind w:left="1197" w:hanging="420"/>
      </w:pPr>
    </w:lvl>
    <w:lvl w:ilvl="3" w:tentative="0">
      <w:start w:val="1"/>
      <w:numFmt w:val="decimal"/>
      <w:lvlText w:val="%4."/>
      <w:lvlJc w:val="left"/>
      <w:pPr>
        <w:ind w:left="1617" w:hanging="420"/>
      </w:pPr>
    </w:lvl>
    <w:lvl w:ilvl="4" w:tentative="0">
      <w:start w:val="1"/>
      <w:numFmt w:val="lowerLetter"/>
      <w:lvlText w:val="%5)"/>
      <w:lvlJc w:val="left"/>
      <w:pPr>
        <w:ind w:left="2037" w:hanging="420"/>
      </w:pPr>
    </w:lvl>
    <w:lvl w:ilvl="5" w:tentative="0">
      <w:start w:val="1"/>
      <w:numFmt w:val="lowerRoman"/>
      <w:lvlText w:val="%6."/>
      <w:lvlJc w:val="right"/>
      <w:pPr>
        <w:ind w:left="2457" w:hanging="420"/>
      </w:pPr>
    </w:lvl>
    <w:lvl w:ilvl="6" w:tentative="0">
      <w:start w:val="1"/>
      <w:numFmt w:val="decimal"/>
      <w:lvlText w:val="%7."/>
      <w:lvlJc w:val="left"/>
      <w:pPr>
        <w:ind w:left="2877" w:hanging="420"/>
      </w:pPr>
    </w:lvl>
    <w:lvl w:ilvl="7" w:tentative="0">
      <w:start w:val="1"/>
      <w:numFmt w:val="lowerLetter"/>
      <w:lvlText w:val="%8)"/>
      <w:lvlJc w:val="left"/>
      <w:pPr>
        <w:ind w:left="3297" w:hanging="420"/>
      </w:pPr>
    </w:lvl>
    <w:lvl w:ilvl="8" w:tentative="0">
      <w:start w:val="1"/>
      <w:numFmt w:val="lowerRoman"/>
      <w:lvlText w:val="%9."/>
      <w:lvlJc w:val="right"/>
      <w:pPr>
        <w:ind w:left="371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DA7A2D"/>
    <w:rsid w:val="1F1F544D"/>
    <w:rsid w:val="63DA7A2D"/>
    <w:rsid w:val="6F384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qFormat/>
    <w:uiPriority w:val="99"/>
    <w:rPr>
      <w:rFonts w:cs="Times New Roman"/>
      <w:b/>
      <w:bCs/>
    </w:rPr>
  </w:style>
  <w:style w:type="character" w:customStyle="1" w:styleId="6">
    <w:name w:val="fontstyle01"/>
    <w:basedOn w:val="4"/>
    <w:qFormat/>
    <w:uiPriority w:val="0"/>
    <w:rPr>
      <w:rFonts w:hint="eastAsia" w:ascii="宋体" w:hAnsi="宋体" w:eastAsia="宋体"/>
      <w:color w:val="000000"/>
      <w:sz w:val="22"/>
      <w:szCs w:val="22"/>
    </w:rPr>
  </w:style>
  <w:style w:type="paragraph" w:styleId="7">
    <w:name w:val="List Paragraph"/>
    <w:basedOn w:val="1"/>
    <w:qFormat/>
    <w:uiPriority w:val="99"/>
    <w:pPr>
      <w:ind w:firstLine="420" w:firstLineChars="200"/>
    </w:pPr>
    <w:rPr>
      <w:rFonts w:cs="Times New Roman"/>
      <w:sz w:val="2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区文化广电旅游体育局</Company>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2025-05-14T07:34:00Z</dcterms:created>
  <dc:creator>蒋佳凤</dc:creator>
  <cp:lastModifiedBy>蒋佳凤</cp:lastModifiedBy>
  <dcterms:modified xsi:type="dcterms:W3CDTF">2025-05-14T07:50:42Z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B8B8038605A04ACE913430326C44634A</vt:lpwstr>
  </property>
</Properties>
</file>