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sz w:val="24"/>
          <w:szCs w:val="24"/>
        </w:rPr>
      </w:pPr>
      <w:r>
        <w:rPr>
          <w:rFonts w:hint="eastAsia" w:ascii="宋体" w:hAnsi="宋体"/>
          <w:sz w:val="24"/>
          <w:szCs w:val="24"/>
        </w:rPr>
        <w:t>附件1：</w:t>
      </w:r>
    </w:p>
    <w:p>
      <w:pPr>
        <w:spacing w:line="360" w:lineRule="auto"/>
        <w:jc w:val="left"/>
        <w:rPr>
          <w:rFonts w:hint="eastAsia" w:ascii="宋体" w:hAnsi="宋体"/>
          <w:sz w:val="24"/>
          <w:szCs w:val="24"/>
        </w:rPr>
      </w:pPr>
    </w:p>
    <w:p>
      <w:pPr>
        <w:snapToGrid w:val="0"/>
        <w:spacing w:line="300" w:lineRule="auto"/>
        <w:jc w:val="left"/>
        <w:rPr>
          <w:rFonts w:hint="default" w:ascii="仿宋_GB2312" w:hAnsi="宋体" w:eastAsia="仿宋_GB2312" w:cs="Times New Roman"/>
          <w:b/>
          <w:bCs/>
          <w:sz w:val="28"/>
          <w:szCs w:val="28"/>
          <w:lang w:val="en-US" w:eastAsia="zh-CN"/>
        </w:rPr>
      </w:pPr>
      <w:r>
        <w:rPr>
          <w:rFonts w:hint="eastAsia" w:ascii="仿宋_GB2312" w:hAnsi="宋体" w:eastAsia="仿宋_GB2312" w:cs="Times New Roman"/>
          <w:b/>
          <w:bCs/>
          <w:sz w:val="28"/>
          <w:szCs w:val="28"/>
          <w:lang w:val="en-US" w:eastAsia="zh-CN"/>
        </w:rPr>
        <w:t>项目名称：天河智慧城凌岑路及周边道路建设工程动迁项目</w:t>
      </w:r>
    </w:p>
    <w:p>
      <w:pPr>
        <w:snapToGrid w:val="0"/>
        <w:spacing w:line="300" w:lineRule="auto"/>
        <w:jc w:val="center"/>
        <w:rPr>
          <w:rFonts w:hint="eastAsia" w:ascii="仿宋_GB2312" w:hAnsi="宋体" w:eastAsia="仿宋_GB2312" w:cs="Times New Roman"/>
          <w:b/>
          <w:bCs/>
          <w:sz w:val="28"/>
          <w:szCs w:val="28"/>
        </w:rPr>
      </w:pPr>
      <w:r>
        <w:rPr>
          <w:rFonts w:hint="eastAsia" w:ascii="仿宋_GB2312" w:hAnsi="宋体" w:eastAsia="仿宋_GB2312" w:cs="Times New Roman"/>
          <w:b/>
          <w:bCs/>
          <w:sz w:val="28"/>
          <w:szCs w:val="28"/>
        </w:rPr>
        <w:t>评分标准表</w:t>
      </w:r>
    </w:p>
    <w:p/>
    <w:p>
      <w:pPr>
        <w:spacing w:line="360" w:lineRule="auto"/>
        <w:ind w:left="-283" w:leftChars="-13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技术评分表（</w:t>
      </w:r>
      <w:r>
        <w:rPr>
          <w:rFonts w:hint="eastAsia" w:ascii="宋体" w:hAnsi="宋体" w:eastAsia="宋体" w:cs="宋体"/>
          <w:b/>
          <w:color w:val="auto"/>
          <w:sz w:val="24"/>
          <w:highlight w:val="none"/>
          <w:lang w:val="en-US" w:eastAsia="zh-CN"/>
        </w:rPr>
        <w:t>50</w:t>
      </w:r>
      <w:r>
        <w:rPr>
          <w:rFonts w:hint="eastAsia" w:ascii="宋体" w:hAnsi="宋体" w:eastAsia="宋体" w:cs="宋体"/>
          <w:b/>
          <w:color w:val="auto"/>
          <w:sz w:val="24"/>
          <w:highlight w:val="none"/>
        </w:rPr>
        <w:t>分）</w:t>
      </w:r>
    </w:p>
    <w:p>
      <w:pPr>
        <w:ind w:left="-283" w:leftChars="-135" w:firstLine="105" w:firstLine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pPr>
        <w:ind w:left="-283" w:leftChars="-135" w:firstLine="105" w:firstLineChars="50"/>
        <w:jc w:val="left"/>
        <w:rPr>
          <w:rFonts w:hint="eastAsia" w:ascii="宋体" w:hAnsi="宋体" w:eastAsia="宋体" w:cs="宋体"/>
          <w:color w:val="auto"/>
          <w:highlight w:val="none"/>
        </w:rPr>
      </w:pPr>
      <w:r>
        <w:rPr>
          <w:rFonts w:hint="eastAsia" w:ascii="宋体" w:hAnsi="宋体" w:eastAsia="宋体" w:cs="宋体"/>
          <w:bCs/>
          <w:color w:val="auto"/>
          <w:szCs w:val="21"/>
          <w:highlight w:val="none"/>
        </w:rPr>
        <w:t xml:space="preserve">项目编号： </w:t>
      </w:r>
    </w:p>
    <w:tbl>
      <w:tblPr>
        <w:tblStyle w:val="3"/>
        <w:tblW w:w="9562" w:type="dxa"/>
        <w:jc w:val="center"/>
        <w:tblLayout w:type="fixed"/>
        <w:tblCellMar>
          <w:top w:w="0" w:type="dxa"/>
          <w:left w:w="108" w:type="dxa"/>
          <w:bottom w:w="0" w:type="dxa"/>
          <w:right w:w="108" w:type="dxa"/>
        </w:tblCellMar>
      </w:tblPr>
      <w:tblGrid>
        <w:gridCol w:w="747"/>
        <w:gridCol w:w="1275"/>
        <w:gridCol w:w="6816"/>
        <w:gridCol w:w="724"/>
      </w:tblGrid>
      <w:tr>
        <w:tblPrEx>
          <w:tblCellMar>
            <w:top w:w="0" w:type="dxa"/>
            <w:left w:w="108" w:type="dxa"/>
            <w:bottom w:w="0" w:type="dxa"/>
            <w:right w:w="108" w:type="dxa"/>
          </w:tblCellMar>
        </w:tblPrEx>
        <w:trPr>
          <w:trHeight w:val="812" w:hRule="atLeast"/>
          <w:jc w:val="center"/>
        </w:trPr>
        <w:tc>
          <w:tcPr>
            <w:tcW w:w="747" w:type="dxa"/>
            <w:tcBorders>
              <w:top w:val="single" w:color="auto" w:sz="8" w:space="0"/>
              <w:left w:val="single" w:color="auto" w:sz="8" w:space="0"/>
              <w:bottom w:val="single" w:color="auto" w:sz="6" w:space="0"/>
              <w:right w:val="single" w:color="auto" w:sz="4" w:space="0"/>
            </w:tcBorders>
            <w:noWrap w:val="0"/>
            <w:vAlign w:val="center"/>
          </w:tcPr>
          <w:p>
            <w:pPr>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75" w:type="dxa"/>
            <w:tcBorders>
              <w:top w:val="single" w:color="auto" w:sz="8" w:space="0"/>
              <w:left w:val="single" w:color="auto" w:sz="4" w:space="0"/>
              <w:bottom w:val="single" w:color="auto" w:sz="6" w:space="0"/>
              <w:right w:val="single" w:color="auto" w:sz="6" w:space="0"/>
            </w:tcBorders>
            <w:noWrap w:val="0"/>
            <w:vAlign w:val="center"/>
          </w:tcPr>
          <w:p>
            <w:pPr>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6816" w:type="dxa"/>
            <w:tcBorders>
              <w:top w:val="single" w:color="auto" w:sz="8"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724" w:type="dxa"/>
            <w:tcBorders>
              <w:top w:val="single" w:color="auto" w:sz="8"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w:t>
            </w:r>
          </w:p>
        </w:tc>
      </w:tr>
      <w:tr>
        <w:tblPrEx>
          <w:tblCellMar>
            <w:top w:w="0" w:type="dxa"/>
            <w:left w:w="108" w:type="dxa"/>
            <w:bottom w:w="0" w:type="dxa"/>
            <w:right w:w="108" w:type="dxa"/>
          </w:tblCellMar>
        </w:tblPrEx>
        <w:trPr>
          <w:trHeight w:val="1506" w:hRule="atLeast"/>
          <w:jc w:val="center"/>
        </w:trPr>
        <w:tc>
          <w:tcPr>
            <w:tcW w:w="747" w:type="dxa"/>
            <w:tcBorders>
              <w:top w:val="single" w:color="auto" w:sz="8" w:space="0"/>
              <w:left w:val="single" w:color="auto" w:sz="8" w:space="0"/>
              <w:bottom w:val="single" w:color="auto" w:sz="6" w:space="0"/>
              <w:right w:val="single" w:color="auto" w:sz="4" w:space="0"/>
            </w:tcBorders>
            <w:noWrap w:val="0"/>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5" w:type="dxa"/>
            <w:tcBorders>
              <w:top w:val="single" w:color="auto" w:sz="8" w:space="0"/>
              <w:left w:val="single" w:color="auto" w:sz="4" w:space="0"/>
              <w:bottom w:val="single" w:color="auto" w:sz="6" w:space="0"/>
              <w:right w:val="single" w:color="auto" w:sz="6"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重点、难点的理解分析及相应的解决方案</w:t>
            </w:r>
          </w:p>
        </w:tc>
        <w:tc>
          <w:tcPr>
            <w:tcW w:w="6816" w:type="dxa"/>
            <w:tcBorders>
              <w:top w:val="single" w:color="auto" w:sz="8" w:space="0"/>
              <w:left w:val="single" w:color="auto" w:sz="6" w:space="0"/>
              <w:bottom w:val="single" w:color="auto" w:sz="6" w:space="0"/>
              <w:right w:val="single" w:color="auto" w:sz="6" w:space="0"/>
            </w:tcBorders>
            <w:noWrap w:val="0"/>
            <w:vAlign w:val="top"/>
          </w:tcPr>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根据投标人对本项目重点、难点的理解分析及相应的解决方案（包括但不限于：对本项目实施重、难点的认识、理解及分析、针对本项目实施重、难点拟定的解决方案、针对本项目实施的初步设想等）进行评审： 1.投标人对本项目实施重、难点的认识、理解及分析准确到位，解决方案科学合理，对本项目实施的初步设想合理，可行性高，得10分； 2.投标人对本项目实施重、难点的认识、理解及分析较准确，解决方案较科学合理，对本项目实施的初步设想较合理，可行性较高，得7分； 3.投标人对本项目实施重、难点的认识、理解及分析基本准确，解决方案基本合理，对本项目实施的初步设想基本合理，具有一定可行性，得4分； 4.投标人对本项目实施重、难点的认识、理解及分析部分准确，解决方案部分合理，对本项目实施的初步设想部分合理、可行性一般，得1分； 5.其他或不提供不得分。</w:t>
            </w:r>
          </w:p>
        </w:tc>
        <w:tc>
          <w:tcPr>
            <w:tcW w:w="724"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Cs w:val="21"/>
                <w:highlight w:val="none"/>
              </w:rPr>
            </w:pPr>
            <w:r>
              <w:rPr>
                <w:rFonts w:hint="eastAsia"/>
                <w:color w:val="auto"/>
                <w:highlight w:val="none"/>
                <w:lang w:val="en-US" w:eastAsia="zh-CN"/>
              </w:rPr>
              <w:t>10</w:t>
            </w:r>
            <w:r>
              <w:rPr>
                <w:color w:val="auto"/>
                <w:highlight w:val="none"/>
              </w:rPr>
              <w:t>.0分</w:t>
            </w:r>
          </w:p>
        </w:tc>
      </w:tr>
      <w:tr>
        <w:tblPrEx>
          <w:tblCellMar>
            <w:top w:w="0" w:type="dxa"/>
            <w:left w:w="108" w:type="dxa"/>
            <w:bottom w:w="0" w:type="dxa"/>
            <w:right w:w="108" w:type="dxa"/>
          </w:tblCellMar>
        </w:tblPrEx>
        <w:trPr>
          <w:cantSplit/>
          <w:trHeight w:val="1773" w:hRule="atLeast"/>
          <w:jc w:val="center"/>
        </w:trPr>
        <w:tc>
          <w:tcPr>
            <w:tcW w:w="747" w:type="dxa"/>
            <w:tcBorders>
              <w:top w:val="single" w:color="auto" w:sz="6" w:space="0"/>
              <w:left w:val="single" w:color="auto" w:sz="8" w:space="0"/>
              <w:bottom w:val="single" w:color="auto" w:sz="6" w:space="0"/>
              <w:right w:val="single" w:color="auto" w:sz="6" w:space="0"/>
            </w:tcBorders>
            <w:noWrap w:val="0"/>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动迁实施方案</w:t>
            </w:r>
          </w:p>
        </w:tc>
        <w:tc>
          <w:tcPr>
            <w:tcW w:w="6816" w:type="dxa"/>
            <w:tcBorders>
              <w:top w:val="single" w:color="auto" w:sz="6" w:space="0"/>
              <w:left w:val="single" w:color="auto" w:sz="6" w:space="0"/>
              <w:bottom w:val="single" w:color="auto" w:sz="6" w:space="0"/>
              <w:right w:val="single" w:color="auto" w:sz="6" w:space="0"/>
            </w:tcBorders>
            <w:noWrap w:val="0"/>
            <w:vAlign w:val="top"/>
          </w:tcPr>
          <w:p>
            <w:pPr>
              <w:jc w:val="left"/>
              <w:rPr>
                <w:rFonts w:hint="eastAsia" w:ascii="Calibri" w:hAnsi="Calibri" w:eastAsia="宋体" w:cs="Times New Roman"/>
                <w:color w:val="auto"/>
                <w:sz w:val="21"/>
                <w:szCs w:val="21"/>
                <w:highlight w:val="none"/>
                <w:lang w:val="en-US" w:eastAsia="zh-CN" w:bidi="ar-SA"/>
              </w:rPr>
            </w:pPr>
            <w:r>
              <w:rPr>
                <w:color w:val="auto"/>
                <w:sz w:val="21"/>
                <w:szCs w:val="21"/>
                <w:highlight w:val="none"/>
              </w:rPr>
              <w:t>根据投标人提供的</w:t>
            </w:r>
            <w:r>
              <w:rPr>
                <w:rFonts w:hint="eastAsia"/>
                <w:color w:val="auto"/>
                <w:sz w:val="21"/>
                <w:szCs w:val="21"/>
                <w:highlight w:val="none"/>
              </w:rPr>
              <w:t>动迁</w:t>
            </w:r>
            <w:r>
              <w:rPr>
                <w:color w:val="auto"/>
                <w:sz w:val="21"/>
                <w:szCs w:val="21"/>
                <w:highlight w:val="none"/>
              </w:rPr>
              <w:t>实施方案进行评审： 1.</w:t>
            </w:r>
            <w:r>
              <w:rPr>
                <w:rFonts w:hint="eastAsia"/>
                <w:color w:val="auto"/>
                <w:sz w:val="21"/>
                <w:szCs w:val="21"/>
                <w:highlight w:val="none"/>
              </w:rPr>
              <w:t>动迁</w:t>
            </w:r>
            <w:r>
              <w:rPr>
                <w:color w:val="auto"/>
                <w:sz w:val="21"/>
                <w:szCs w:val="21"/>
                <w:highlight w:val="none"/>
              </w:rPr>
              <w:t>实施方案内容详尽，可实施性强，</w:t>
            </w:r>
            <w:r>
              <w:rPr>
                <w:rFonts w:hint="eastAsia" w:eastAsia="宋体" w:cs="Times New Roman"/>
                <w:color w:val="auto"/>
                <w:sz w:val="21"/>
                <w:szCs w:val="21"/>
                <w:highlight w:val="none"/>
              </w:rPr>
              <w:t>对项目理解透彻全面，对地块情况进行过实地调查，整体服务方案科学合理，有较多数据支撑，针对性强</w:t>
            </w:r>
            <w:r>
              <w:rPr>
                <w:rFonts w:hint="eastAsia" w:eastAsia="宋体" w:cs="Times New Roman"/>
                <w:color w:val="auto"/>
                <w:sz w:val="21"/>
                <w:szCs w:val="21"/>
                <w:highlight w:val="none"/>
                <w:lang w:eastAsia="zh-CN"/>
              </w:rPr>
              <w:t>，得</w:t>
            </w:r>
            <w:r>
              <w:rPr>
                <w:color w:val="auto"/>
                <w:sz w:val="21"/>
                <w:szCs w:val="21"/>
                <w:highlight w:val="none"/>
              </w:rPr>
              <w:t xml:space="preserve">10分； </w:t>
            </w:r>
            <w:r>
              <w:rPr>
                <w:rFonts w:hint="eastAsia" w:ascii="宋体" w:hAnsi="宋体" w:cs="宋体"/>
                <w:color w:val="000000"/>
                <w:szCs w:val="21"/>
              </w:rPr>
              <w:t>2.对项目理解透彻，对地块情况有进行调查，整体服务方案合理，有数据支撑，有一定针对性，得7分；3.对项目理解不够透彻，整体服务方案基本合理，但针对性不强，得4分；4.对项目理解不透彻，整体服务模式无特点，无针对性，得1分。</w:t>
            </w:r>
            <w:r>
              <w:rPr>
                <w:color w:val="auto"/>
                <w:sz w:val="21"/>
                <w:szCs w:val="21"/>
                <w:highlight w:val="none"/>
              </w:rPr>
              <w:t>5.其他或不提供不得分。</w:t>
            </w:r>
          </w:p>
        </w:tc>
        <w:tc>
          <w:tcPr>
            <w:tcW w:w="72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Cs w:val="21"/>
                <w:highlight w:val="none"/>
              </w:rPr>
            </w:pPr>
            <w:r>
              <w:rPr>
                <w:rFonts w:hint="eastAsia"/>
                <w:color w:val="auto"/>
                <w:highlight w:val="none"/>
                <w:lang w:val="en-US" w:eastAsia="zh-CN"/>
              </w:rPr>
              <w:t>10</w:t>
            </w:r>
            <w:r>
              <w:rPr>
                <w:color w:val="auto"/>
                <w:highlight w:val="none"/>
              </w:rPr>
              <w:t>.0分</w:t>
            </w:r>
          </w:p>
        </w:tc>
      </w:tr>
      <w:tr>
        <w:tblPrEx>
          <w:tblCellMar>
            <w:top w:w="0" w:type="dxa"/>
            <w:left w:w="108" w:type="dxa"/>
            <w:bottom w:w="0" w:type="dxa"/>
            <w:right w:w="108" w:type="dxa"/>
          </w:tblCellMar>
        </w:tblPrEx>
        <w:trPr>
          <w:cantSplit/>
          <w:trHeight w:val="2481" w:hRule="atLeast"/>
          <w:jc w:val="center"/>
        </w:trPr>
        <w:tc>
          <w:tcPr>
            <w:tcW w:w="747" w:type="dxa"/>
            <w:tcBorders>
              <w:top w:val="single" w:color="auto" w:sz="6" w:space="0"/>
              <w:left w:val="single" w:color="auto" w:sz="8" w:space="0"/>
              <w:bottom w:val="single" w:color="auto" w:sz="4" w:space="0"/>
              <w:right w:val="single" w:color="auto" w:sz="6" w:space="0"/>
            </w:tcBorders>
            <w:noWrap w:val="0"/>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5" w:type="dxa"/>
            <w:tcBorders>
              <w:top w:val="single" w:color="auto" w:sz="6" w:space="0"/>
              <w:left w:val="single" w:color="auto" w:sz="6" w:space="0"/>
              <w:bottom w:val="single" w:color="auto" w:sz="4" w:space="0"/>
              <w:right w:val="single" w:color="auto" w:sz="6"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服务质量保证措施</w:t>
            </w:r>
          </w:p>
        </w:tc>
        <w:tc>
          <w:tcPr>
            <w:tcW w:w="6816" w:type="dxa"/>
            <w:tcBorders>
              <w:top w:val="single" w:color="auto" w:sz="6" w:space="0"/>
              <w:left w:val="single" w:color="auto" w:sz="6" w:space="0"/>
              <w:bottom w:val="single" w:color="auto" w:sz="4" w:space="0"/>
              <w:right w:val="single" w:color="auto" w:sz="6" w:space="0"/>
            </w:tcBorders>
            <w:noWrap w:val="0"/>
            <w:vAlign w:val="top"/>
          </w:tcPr>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根据投标人所提供针对本项目的服务质量保证措施（包括但不限于专业动迁人员培训计划、岗位责任、岗位考核标准、监督检查标准等）进行评审： 1.保证措施详尽，专业动迁人员培训计划科学完整，岗位责任明确具体，岗位考核标准及监督检查标准切实可行，得10分； 2.保证措施较详尽，专业动迁人员培训计划较科学完整，岗位责任较明确具体，岗位考核标准及监督检查标准较切实可行，得7分； 3.保证措施基本完善，专业动迁人员培训计划基本完整，岗位责任基本明确，岗位考核标准及监督检查标准基本可行，得4分； 4.保证措施部分完善，专业动迁人员培训计划欠缺科学性，岗位责任不够明确，岗位考核标准及监督检查标准可行性差，得1分； 5.其他或无提供不得分。</w:t>
            </w:r>
          </w:p>
        </w:tc>
        <w:tc>
          <w:tcPr>
            <w:tcW w:w="724" w:type="dxa"/>
            <w:tcBorders>
              <w:top w:val="single" w:color="auto" w:sz="6" w:space="0"/>
              <w:left w:val="single" w:color="auto" w:sz="6" w:space="0"/>
              <w:right w:val="single" w:color="auto" w:sz="6" w:space="0"/>
            </w:tcBorders>
            <w:noWrap w:val="0"/>
            <w:vAlign w:val="center"/>
          </w:tcPr>
          <w:p>
            <w:pPr>
              <w:jc w:val="center"/>
              <w:rPr>
                <w:rFonts w:hint="eastAsia" w:ascii="宋体" w:hAnsi="宋体" w:eastAsia="宋体" w:cs="宋体"/>
                <w:color w:val="auto"/>
                <w:sz w:val="24"/>
                <w:highlight w:val="none"/>
              </w:rPr>
            </w:pPr>
            <w:r>
              <w:rPr>
                <w:rFonts w:hint="eastAsia"/>
                <w:color w:val="auto"/>
                <w:highlight w:val="none"/>
                <w:lang w:val="en-US" w:eastAsia="zh-CN"/>
              </w:rPr>
              <w:t>10</w:t>
            </w:r>
            <w:r>
              <w:rPr>
                <w:color w:val="auto"/>
                <w:highlight w:val="none"/>
              </w:rPr>
              <w:t>.0分</w:t>
            </w:r>
          </w:p>
        </w:tc>
      </w:tr>
      <w:tr>
        <w:tblPrEx>
          <w:tblCellMar>
            <w:top w:w="0" w:type="dxa"/>
            <w:left w:w="108" w:type="dxa"/>
            <w:bottom w:w="0" w:type="dxa"/>
            <w:right w:w="108" w:type="dxa"/>
          </w:tblCellMar>
        </w:tblPrEx>
        <w:trPr>
          <w:cantSplit/>
          <w:trHeight w:val="2406"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项目进度控制及进度保障措施</w:t>
            </w:r>
          </w:p>
        </w:tc>
        <w:tc>
          <w:tcPr>
            <w:tcW w:w="6816" w:type="dxa"/>
            <w:tcBorders>
              <w:top w:val="single" w:color="auto" w:sz="4" w:space="0"/>
              <w:left w:val="single" w:color="auto" w:sz="4" w:space="0"/>
              <w:bottom w:val="single" w:color="auto" w:sz="4" w:space="0"/>
              <w:right w:val="single" w:color="auto" w:sz="4" w:space="0"/>
            </w:tcBorders>
            <w:noWrap w:val="0"/>
            <w:vAlign w:val="top"/>
          </w:tcPr>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根据投标人提供的项目进度控制及进度保障措施（包括但不限于进度控制计划、项目任务时间表、进度保障措施、工作流程等）进行评审： 1.项目进度控制计划详细合理，针对本项目制定了完善的项目任务时间表，进度保障措施严谨规范，工作流程条理清晰，得10分； 2.项目进度控制计划较详细合理，针对本项目制定了较完善的项目任务时间表，进度保障措施较严谨规范，工作流程条理较清晰，得7分； 3.项目进度控制计划基本合理，针对本项目制定的项目任务时间表不全面，进度保障措施基本规范，工作流程条理基本清晰，得4分； 4.项目进度控制计划部分合理，针对本项目制定的项目任务时间表简单，进度保障措施不规范，工作流程条理不清晰，得1分； 5.其他或不提供不得分。</w:t>
            </w:r>
          </w:p>
        </w:tc>
        <w:tc>
          <w:tcPr>
            <w:tcW w:w="724" w:type="dxa"/>
            <w:tcBorders>
              <w:top w:val="single" w:color="auto" w:sz="6" w:space="0"/>
              <w:left w:val="single" w:color="auto" w:sz="4" w:space="0"/>
              <w:right w:val="single" w:color="auto" w:sz="6" w:space="0"/>
            </w:tcBorders>
            <w:noWrap w:val="0"/>
            <w:vAlign w:val="center"/>
          </w:tcPr>
          <w:p>
            <w:pPr>
              <w:jc w:val="center"/>
              <w:rPr>
                <w:rFonts w:hint="eastAsia" w:ascii="宋体" w:hAnsi="宋体" w:eastAsia="宋体" w:cs="宋体"/>
                <w:color w:val="auto"/>
                <w:szCs w:val="21"/>
                <w:highlight w:val="none"/>
              </w:rPr>
            </w:pPr>
            <w:r>
              <w:rPr>
                <w:rFonts w:hint="eastAsia"/>
                <w:color w:val="auto"/>
                <w:highlight w:val="none"/>
                <w:lang w:val="en-US" w:eastAsia="zh-CN"/>
              </w:rPr>
              <w:t>10</w:t>
            </w:r>
            <w:r>
              <w:rPr>
                <w:color w:val="auto"/>
                <w:highlight w:val="none"/>
              </w:rPr>
              <w:t>.0分</w:t>
            </w:r>
          </w:p>
        </w:tc>
      </w:tr>
      <w:tr>
        <w:tblPrEx>
          <w:tblCellMar>
            <w:top w:w="0" w:type="dxa"/>
            <w:left w:w="108" w:type="dxa"/>
            <w:bottom w:w="0" w:type="dxa"/>
            <w:right w:w="108" w:type="dxa"/>
          </w:tblCellMar>
        </w:tblPrEx>
        <w:trPr>
          <w:cantSplit/>
          <w:trHeight w:val="1251"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应急处理突发事件应对措施</w:t>
            </w:r>
          </w:p>
        </w:tc>
        <w:tc>
          <w:tcPr>
            <w:tcW w:w="6816" w:type="dxa"/>
            <w:tcBorders>
              <w:top w:val="single" w:color="auto" w:sz="4" w:space="0"/>
              <w:left w:val="single" w:color="auto" w:sz="4" w:space="0"/>
              <w:bottom w:val="single" w:color="auto" w:sz="4" w:space="0"/>
              <w:right w:val="single" w:color="auto" w:sz="4" w:space="0"/>
            </w:tcBorders>
            <w:noWrap w:val="0"/>
            <w:vAlign w:val="top"/>
          </w:tcPr>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根据投标人提供的应急处理突发事件应对措施（包括但不限于紧急调配人员、人员伤亡应急预案等）进行评审： 1.应急处理突发事件应对措施详细具体，场景丰富，紧急可调配人员准备充分，人员伤亡应急预案完善全面，可操作性强，得5分； 2.应急处理突发事件应对措施较详细，场景较丰富，紧急可调配人员准备较充分，人员伤亡应急预案较完善全面，可操作性较强，得3分； 3.应急处理突发事件应对措施基本完善，场景基本齐全，紧急可调配人员准备基本充分，人员伤亡应急预案基本完善，具有一定的可操作性，得2分； 4.应急处理突发事件应对措施部分完善，场景不全面，紧急可调配人员准备不够充分，人员伤亡应急预案不完善，可操作性一般，得1分； 5.其他或不提供不得分。</w:t>
            </w:r>
          </w:p>
        </w:tc>
        <w:tc>
          <w:tcPr>
            <w:tcW w:w="724" w:type="dxa"/>
            <w:tcBorders>
              <w:top w:val="single" w:color="auto" w:sz="6" w:space="0"/>
              <w:left w:val="single" w:color="auto" w:sz="4" w:space="0"/>
              <w:right w:val="single" w:color="auto" w:sz="6" w:space="0"/>
            </w:tcBorders>
            <w:noWrap w:val="0"/>
            <w:vAlign w:val="center"/>
          </w:tcPr>
          <w:p>
            <w:pPr>
              <w:jc w:val="center"/>
              <w:rPr>
                <w:rFonts w:hint="eastAsia" w:ascii="宋体" w:hAnsi="宋体" w:eastAsia="宋体" w:cs="宋体"/>
                <w:color w:val="auto"/>
                <w:sz w:val="24"/>
                <w:highlight w:val="none"/>
              </w:rPr>
            </w:pPr>
            <w:r>
              <w:rPr>
                <w:rFonts w:hint="eastAsia"/>
                <w:color w:val="auto"/>
                <w:highlight w:val="none"/>
                <w:lang w:val="en-US" w:eastAsia="zh-CN"/>
              </w:rPr>
              <w:t>5</w:t>
            </w:r>
            <w:r>
              <w:rPr>
                <w:color w:val="auto"/>
                <w:highlight w:val="none"/>
              </w:rPr>
              <w:t>.0分</w:t>
            </w:r>
          </w:p>
        </w:tc>
      </w:tr>
      <w:tr>
        <w:tblPrEx>
          <w:tblCellMar>
            <w:top w:w="0" w:type="dxa"/>
            <w:left w:w="108" w:type="dxa"/>
            <w:bottom w:w="0" w:type="dxa"/>
            <w:right w:w="108" w:type="dxa"/>
          </w:tblCellMar>
        </w:tblPrEx>
        <w:trPr>
          <w:cantSplit/>
          <w:trHeight w:val="2049" w:hRule="atLeast"/>
          <w:jc w:val="center"/>
        </w:trPr>
        <w:tc>
          <w:tcPr>
            <w:tcW w:w="747" w:type="dxa"/>
            <w:tcBorders>
              <w:top w:val="single" w:color="auto" w:sz="4" w:space="0"/>
              <w:left w:val="single" w:color="auto" w:sz="8" w:space="0"/>
              <w:bottom w:val="single" w:color="auto" w:sz="6" w:space="0"/>
              <w:right w:val="single" w:color="auto" w:sz="6" w:space="0"/>
            </w:tcBorders>
            <w:noWrap w:val="0"/>
            <w:vAlign w:val="center"/>
          </w:tcPr>
          <w:p>
            <w:pPr>
              <w:spacing w:line="276"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275" w:type="dxa"/>
            <w:tcBorders>
              <w:top w:val="single" w:color="auto" w:sz="4" w:space="0"/>
              <w:left w:val="single" w:color="auto" w:sz="6" w:space="0"/>
              <w:bottom w:val="single" w:color="auto" w:sz="6" w:space="0"/>
              <w:right w:val="single" w:color="auto" w:sz="6"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风险控制与合理化建议</w:t>
            </w:r>
          </w:p>
        </w:tc>
        <w:tc>
          <w:tcPr>
            <w:tcW w:w="6816" w:type="dxa"/>
            <w:tcBorders>
              <w:top w:val="single" w:color="auto" w:sz="4" w:space="0"/>
              <w:left w:val="single" w:color="auto" w:sz="6" w:space="0"/>
              <w:bottom w:val="single" w:color="auto" w:sz="6" w:space="0"/>
              <w:right w:val="single" w:color="auto" w:sz="6" w:space="0"/>
            </w:tcBorders>
            <w:noWrap w:val="0"/>
            <w:vAlign w:val="top"/>
          </w:tcPr>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根据投标人提供的风险控制与合理化建议（包括但不限于办事流程、社会因素、合理化建议等）进行评审： 1.办事流程快速准确，全面了解项目民情、社情和不稳定因素情况的，合理化建议详细全面，可行性高，得5分； 2.办事流程较快速准确，基本了解项目民情、社情和不稳定因素情况的，合理化建议较详细全面，可行性较高，得3分； 3.办事流程基本快速准确，对项目民情、社情和不稳定因素情况了解较少的，合理化建议基本具备但不够全面，具有一定的可行性，得1分； 4.其他或不提供不得分。</w:t>
            </w:r>
          </w:p>
        </w:tc>
        <w:tc>
          <w:tcPr>
            <w:tcW w:w="72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Cs w:val="21"/>
                <w:highlight w:val="none"/>
              </w:rPr>
            </w:pPr>
            <w:r>
              <w:rPr>
                <w:rFonts w:hint="eastAsia"/>
                <w:color w:val="auto"/>
                <w:highlight w:val="none"/>
              </w:rPr>
              <w:t>5.0分</w:t>
            </w:r>
          </w:p>
        </w:tc>
      </w:tr>
      <w:tr>
        <w:tblPrEx>
          <w:tblCellMar>
            <w:top w:w="0" w:type="dxa"/>
            <w:left w:w="108" w:type="dxa"/>
            <w:bottom w:w="0" w:type="dxa"/>
            <w:right w:w="108" w:type="dxa"/>
          </w:tblCellMar>
        </w:tblPrEx>
        <w:trPr>
          <w:cantSplit/>
          <w:trHeight w:val="626" w:hRule="atLeast"/>
          <w:jc w:val="center"/>
        </w:trPr>
        <w:tc>
          <w:tcPr>
            <w:tcW w:w="2022" w:type="dxa"/>
            <w:gridSpan w:val="2"/>
            <w:tcBorders>
              <w:top w:val="single" w:color="auto" w:sz="6"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6816" w:type="dxa"/>
            <w:tcBorders>
              <w:top w:val="single" w:color="auto" w:sz="6"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b/>
                <w:color w:val="auto"/>
                <w:sz w:val="24"/>
                <w:highlight w:val="none"/>
              </w:rPr>
            </w:pPr>
          </w:p>
        </w:tc>
        <w:tc>
          <w:tcPr>
            <w:tcW w:w="724" w:type="dxa"/>
            <w:tcBorders>
              <w:top w:val="single" w:color="auto" w:sz="6"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rPr>
              <w:t>分</w:t>
            </w:r>
          </w:p>
        </w:tc>
      </w:tr>
    </w:tbl>
    <w:p>
      <w:pPr>
        <w:ind w:right="1010" w:rightChars="48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注：各评委按规定的范围内进行量化打分，并统计总分。</w:t>
      </w:r>
      <w:r>
        <w:rPr>
          <w:rFonts w:hint="eastAsia" w:ascii="宋体" w:hAnsi="宋体" w:eastAsia="宋体" w:cs="宋体"/>
          <w:b/>
          <w:bCs/>
          <w:color w:val="auto"/>
          <w:szCs w:val="21"/>
          <w:highlight w:val="none"/>
        </w:rPr>
        <w:t>采购文件要求提交与评价指标体系相关的各类有效资料，投标人如未按要求提交的， 该项评分为零。</w:t>
      </w: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评委签名：                                             签名日期：</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360" w:lineRule="auto"/>
        <w:ind w:left="-283" w:leftChars="-135"/>
        <w:jc w:val="center"/>
        <w:rPr>
          <w:rFonts w:hint="eastAsia" w:ascii="宋体" w:hAnsi="宋体" w:eastAsia="宋体" w:cs="宋体"/>
          <w:b/>
          <w:color w:val="auto"/>
          <w:sz w:val="24"/>
          <w:highlight w:val="none"/>
        </w:rPr>
      </w:pPr>
    </w:p>
    <w:p>
      <w:pPr>
        <w:spacing w:line="360" w:lineRule="auto"/>
        <w:ind w:left="-283" w:leftChars="-135"/>
        <w:jc w:val="center"/>
        <w:rPr>
          <w:rFonts w:hint="eastAsia" w:ascii="宋体" w:hAnsi="宋体" w:eastAsia="宋体" w:cs="宋体"/>
          <w:b/>
          <w:color w:val="auto"/>
          <w:sz w:val="24"/>
          <w:highlight w:val="none"/>
        </w:rPr>
      </w:pPr>
    </w:p>
    <w:p>
      <w:pPr>
        <w:spacing w:line="360" w:lineRule="auto"/>
        <w:ind w:left="-283" w:leftChars="-13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商务评分表（</w:t>
      </w:r>
      <w:r>
        <w:rPr>
          <w:rFonts w:hint="eastAsia" w:ascii="宋体" w:hAnsi="宋体" w:eastAsia="宋体" w:cs="宋体"/>
          <w:b/>
          <w:color w:val="auto"/>
          <w:sz w:val="24"/>
          <w:highlight w:val="none"/>
          <w:lang w:val="en-US" w:eastAsia="zh-CN"/>
        </w:rPr>
        <w:t>40</w:t>
      </w:r>
      <w:r>
        <w:rPr>
          <w:rFonts w:hint="eastAsia" w:ascii="宋体" w:hAnsi="宋体" w:eastAsia="宋体" w:cs="宋体"/>
          <w:b/>
          <w:color w:val="auto"/>
          <w:sz w:val="24"/>
          <w:highlight w:val="none"/>
        </w:rPr>
        <w:t>分）</w:t>
      </w:r>
    </w:p>
    <w:p>
      <w:pPr>
        <w:ind w:left="-283" w:leftChars="-135" w:firstLine="105" w:firstLineChars="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pPr>
        <w:ind w:left="-283" w:leftChars="-135" w:firstLine="105" w:firstLineChars="50"/>
        <w:jc w:val="left"/>
        <w:rPr>
          <w:rFonts w:hint="eastAsia" w:ascii="宋体" w:hAnsi="宋体" w:eastAsia="宋体" w:cs="宋体"/>
          <w:color w:val="auto"/>
          <w:highlight w:val="none"/>
        </w:rPr>
      </w:pPr>
      <w:r>
        <w:rPr>
          <w:rFonts w:hint="eastAsia" w:ascii="宋体" w:hAnsi="宋体" w:eastAsia="宋体" w:cs="宋体"/>
          <w:bCs/>
          <w:color w:val="auto"/>
          <w:szCs w:val="21"/>
          <w:highlight w:val="none"/>
        </w:rPr>
        <w:t xml:space="preserve">项目编号： </w:t>
      </w:r>
    </w:p>
    <w:tbl>
      <w:tblPr>
        <w:tblStyle w:val="3"/>
        <w:tblW w:w="9604" w:type="dxa"/>
        <w:jc w:val="center"/>
        <w:tblLayout w:type="fixed"/>
        <w:tblCellMar>
          <w:top w:w="0" w:type="dxa"/>
          <w:left w:w="108" w:type="dxa"/>
          <w:bottom w:w="0" w:type="dxa"/>
          <w:right w:w="108" w:type="dxa"/>
        </w:tblCellMar>
      </w:tblPr>
      <w:tblGrid>
        <w:gridCol w:w="727"/>
        <w:gridCol w:w="1963"/>
        <w:gridCol w:w="6141"/>
        <w:gridCol w:w="773"/>
      </w:tblGrid>
      <w:tr>
        <w:tblPrEx>
          <w:tblCellMar>
            <w:top w:w="0" w:type="dxa"/>
            <w:left w:w="108" w:type="dxa"/>
            <w:bottom w:w="0" w:type="dxa"/>
            <w:right w:w="108" w:type="dxa"/>
          </w:tblCellMar>
        </w:tblPrEx>
        <w:trPr>
          <w:trHeight w:val="547" w:hRule="atLeast"/>
          <w:jc w:val="center"/>
        </w:trPr>
        <w:tc>
          <w:tcPr>
            <w:tcW w:w="727" w:type="dxa"/>
            <w:tcBorders>
              <w:top w:val="single" w:color="auto" w:sz="8" w:space="0"/>
              <w:left w:val="single" w:color="auto" w:sz="8" w:space="0"/>
              <w:bottom w:val="single" w:color="auto" w:sz="6" w:space="0"/>
              <w:right w:val="single" w:color="auto" w:sz="4" w:space="0"/>
            </w:tcBorders>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963" w:type="dxa"/>
            <w:tcBorders>
              <w:top w:val="single" w:color="auto" w:sz="8" w:space="0"/>
              <w:left w:val="sing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6141" w:type="dxa"/>
            <w:tcBorders>
              <w:top w:val="single" w:color="auto" w:sz="8"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773" w:type="dxa"/>
            <w:tcBorders>
              <w:top w:val="single" w:color="auto" w:sz="8"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w:t>
            </w:r>
          </w:p>
        </w:tc>
      </w:tr>
      <w:tr>
        <w:tblPrEx>
          <w:tblCellMar>
            <w:top w:w="0" w:type="dxa"/>
            <w:left w:w="108" w:type="dxa"/>
            <w:bottom w:w="0" w:type="dxa"/>
            <w:right w:w="108" w:type="dxa"/>
          </w:tblCellMar>
        </w:tblPrEx>
        <w:trPr>
          <w:trHeight w:val="748" w:hRule="atLeast"/>
          <w:jc w:val="center"/>
        </w:trPr>
        <w:tc>
          <w:tcPr>
            <w:tcW w:w="727" w:type="dxa"/>
            <w:tcBorders>
              <w:top w:val="single" w:color="auto" w:sz="8" w:space="0"/>
              <w:left w:val="single" w:color="auto" w:sz="8" w:space="0"/>
              <w:bottom w:val="single" w:color="auto" w:sz="6"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63" w:type="dxa"/>
            <w:tcBorders>
              <w:top w:val="single" w:color="auto" w:sz="8" w:space="0"/>
              <w:left w:val="single" w:color="auto" w:sz="4" w:space="0"/>
              <w:bottom w:val="single" w:color="auto" w:sz="6" w:space="0"/>
              <w:right w:val="single" w:color="auto" w:sz="6"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同类项目经验</w:t>
            </w:r>
          </w:p>
        </w:tc>
        <w:tc>
          <w:tcPr>
            <w:tcW w:w="6141" w:type="dxa"/>
            <w:tcBorders>
              <w:top w:val="single" w:color="auto" w:sz="8" w:space="0"/>
              <w:left w:val="single" w:color="auto" w:sz="6" w:space="0"/>
              <w:bottom w:val="single" w:color="auto" w:sz="6" w:space="0"/>
              <w:right w:val="single" w:color="auto" w:sz="6" w:space="0"/>
            </w:tcBorders>
            <w:noWrap w:val="0"/>
            <w:vAlign w:val="top"/>
          </w:tcPr>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投标人自2022年1月1日至今（以合同签订时间为准）具有同类征拆或动迁类项目经验的，每提供一个得1分，本项最高得</w:t>
            </w:r>
            <w:r>
              <w:rPr>
                <w:rFonts w:hint="eastAsia"/>
                <w:color w:val="auto"/>
                <w:sz w:val="21"/>
                <w:szCs w:val="21"/>
                <w:highlight w:val="none"/>
                <w:lang w:val="en-US" w:eastAsia="zh-CN"/>
              </w:rPr>
              <w:t>8</w:t>
            </w:r>
            <w:r>
              <w:rPr>
                <w:color w:val="auto"/>
                <w:sz w:val="21"/>
                <w:szCs w:val="21"/>
                <w:highlight w:val="none"/>
              </w:rPr>
              <w:t>分。 注：需提供合同复印件或协议书作为同类业绩证明资料，不提供不得分。</w:t>
            </w:r>
          </w:p>
        </w:tc>
        <w:tc>
          <w:tcPr>
            <w:tcW w:w="773"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Cs w:val="21"/>
                <w:highlight w:val="none"/>
              </w:rPr>
            </w:pPr>
            <w:r>
              <w:rPr>
                <w:rFonts w:hint="eastAsia"/>
                <w:color w:val="auto"/>
                <w:highlight w:val="none"/>
                <w:lang w:val="en-US" w:eastAsia="zh-CN"/>
              </w:rPr>
              <w:t>8</w:t>
            </w:r>
            <w:r>
              <w:rPr>
                <w:color w:val="auto"/>
                <w:highlight w:val="none"/>
              </w:rPr>
              <w:t>.0分</w:t>
            </w:r>
          </w:p>
        </w:tc>
      </w:tr>
      <w:tr>
        <w:tblPrEx>
          <w:tblCellMar>
            <w:top w:w="0" w:type="dxa"/>
            <w:left w:w="108" w:type="dxa"/>
            <w:bottom w:w="0" w:type="dxa"/>
            <w:right w:w="108" w:type="dxa"/>
          </w:tblCellMar>
        </w:tblPrEx>
        <w:trPr>
          <w:trHeight w:val="748" w:hRule="atLeast"/>
          <w:jc w:val="center"/>
        </w:trPr>
        <w:tc>
          <w:tcPr>
            <w:tcW w:w="727" w:type="dxa"/>
            <w:tcBorders>
              <w:top w:val="single" w:color="auto" w:sz="8" w:space="0"/>
              <w:left w:val="single" w:color="auto" w:sz="8" w:space="0"/>
              <w:bottom w:val="single" w:color="auto" w:sz="6"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63" w:type="dxa"/>
            <w:tcBorders>
              <w:top w:val="single" w:color="auto" w:sz="8" w:space="0"/>
              <w:left w:val="single" w:color="auto" w:sz="4" w:space="0"/>
              <w:bottom w:val="single" w:color="auto" w:sz="6" w:space="0"/>
              <w:right w:val="single" w:color="auto" w:sz="6"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拟投入项目</w:t>
            </w:r>
            <w:r>
              <w:rPr>
                <w:rFonts w:hint="eastAsia"/>
                <w:color w:val="auto"/>
                <w:sz w:val="21"/>
                <w:szCs w:val="21"/>
                <w:highlight w:val="none"/>
                <w:lang w:val="en-US" w:eastAsia="zh-CN"/>
              </w:rPr>
              <w:t>技术</w:t>
            </w:r>
            <w:r>
              <w:rPr>
                <w:color w:val="auto"/>
                <w:sz w:val="21"/>
                <w:szCs w:val="21"/>
                <w:highlight w:val="none"/>
              </w:rPr>
              <w:t>负责人情况</w:t>
            </w:r>
          </w:p>
        </w:tc>
        <w:tc>
          <w:tcPr>
            <w:tcW w:w="6141" w:type="dxa"/>
            <w:tcBorders>
              <w:top w:val="single" w:color="auto" w:sz="8" w:space="0"/>
              <w:left w:val="single" w:color="auto" w:sz="6" w:space="0"/>
              <w:bottom w:val="single" w:color="auto" w:sz="6" w:space="0"/>
              <w:right w:val="single" w:color="auto" w:sz="6" w:space="0"/>
            </w:tcBorders>
            <w:noWrap w:val="0"/>
            <w:vAlign w:val="top"/>
          </w:tcPr>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1.项目</w:t>
            </w:r>
            <w:r>
              <w:rPr>
                <w:rFonts w:hint="eastAsia"/>
                <w:color w:val="auto"/>
                <w:sz w:val="21"/>
                <w:szCs w:val="21"/>
                <w:highlight w:val="none"/>
                <w:lang w:val="en-US" w:eastAsia="zh-CN"/>
              </w:rPr>
              <w:t>技术</w:t>
            </w:r>
            <w:r>
              <w:rPr>
                <w:color w:val="auto"/>
                <w:sz w:val="21"/>
                <w:szCs w:val="21"/>
                <w:highlight w:val="none"/>
              </w:rPr>
              <w:t>负责人要求： （1）具有</w:t>
            </w:r>
            <w:r>
              <w:rPr>
                <w:rFonts w:hint="eastAsia"/>
                <w:color w:val="auto"/>
                <w:sz w:val="21"/>
                <w:szCs w:val="21"/>
                <w:highlight w:val="none"/>
                <w:lang w:val="en-US" w:eastAsia="zh-CN"/>
              </w:rPr>
              <w:t>工程类</w:t>
            </w:r>
            <w:r>
              <w:rPr>
                <w:color w:val="auto"/>
                <w:sz w:val="21"/>
                <w:szCs w:val="21"/>
                <w:highlight w:val="none"/>
              </w:rPr>
              <w:t>中级（或以上）技术职称，得5分。 （2）具有有效期内的市征收办组织的国有土地上房屋征收培训证书或具有国土房管部门（或城建部门）相关专业培训证书【或提供在有效期内的培训合格人员名单公示网页截图（含对应名单截图和公示网址链接）】或获得政府部门颁发的在有效期内的国有土地上房屋征收工作证，得2分； （3）具有</w:t>
            </w:r>
            <w:r>
              <w:rPr>
                <w:rFonts w:hint="eastAsia"/>
                <w:color w:val="auto"/>
                <w:sz w:val="21"/>
                <w:szCs w:val="21"/>
                <w:highlight w:val="none"/>
                <w:lang w:val="en-US" w:eastAsia="zh-CN"/>
              </w:rPr>
              <w:t>本科</w:t>
            </w:r>
            <w:r>
              <w:rPr>
                <w:color w:val="auto"/>
                <w:sz w:val="21"/>
                <w:szCs w:val="21"/>
                <w:highlight w:val="none"/>
              </w:rPr>
              <w:t>（或以上）学历，得2分； 本小项最高得9分。 注：第（1）项需提供职称证书，第（2）项需提供有效期内的相关培训证书或网页公示截图（含对应名单截图和公示网址链接）或国有土地上房屋征收工作证，第（3）项需提供学历证书，同时提供投标人在投标截止日前6个月内任意一个月为其缴纳社保的证明材料</w:t>
            </w:r>
            <w:r>
              <w:rPr>
                <w:rFonts w:hint="eastAsia"/>
                <w:color w:val="auto"/>
                <w:sz w:val="21"/>
                <w:szCs w:val="21"/>
                <w:highlight w:val="none"/>
                <w:lang w:eastAsia="zh-CN"/>
              </w:rPr>
              <w:t>复印</w:t>
            </w:r>
            <w:r>
              <w:rPr>
                <w:color w:val="auto"/>
                <w:sz w:val="21"/>
                <w:szCs w:val="21"/>
                <w:highlight w:val="none"/>
              </w:rPr>
              <w:t>件或劳动合同加盖投标人单位公章，未提供或证明材料不齐全不得分。</w:t>
            </w:r>
          </w:p>
        </w:tc>
        <w:tc>
          <w:tcPr>
            <w:tcW w:w="773"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highlight w:val="none"/>
              </w:rPr>
            </w:pPr>
            <w:r>
              <w:rPr>
                <w:rFonts w:hint="eastAsia"/>
                <w:color w:val="auto"/>
                <w:highlight w:val="none"/>
                <w:lang w:val="en-US" w:eastAsia="zh-CN"/>
              </w:rPr>
              <w:t>9</w:t>
            </w:r>
            <w:r>
              <w:rPr>
                <w:color w:val="auto"/>
                <w:highlight w:val="none"/>
              </w:rPr>
              <w:t>.0分</w:t>
            </w:r>
          </w:p>
        </w:tc>
      </w:tr>
      <w:tr>
        <w:tblPrEx>
          <w:tblCellMar>
            <w:top w:w="0" w:type="dxa"/>
            <w:left w:w="108" w:type="dxa"/>
            <w:bottom w:w="0" w:type="dxa"/>
            <w:right w:w="108" w:type="dxa"/>
          </w:tblCellMar>
        </w:tblPrEx>
        <w:trPr>
          <w:trHeight w:val="748" w:hRule="atLeast"/>
          <w:jc w:val="center"/>
        </w:trPr>
        <w:tc>
          <w:tcPr>
            <w:tcW w:w="727" w:type="dxa"/>
            <w:tcBorders>
              <w:top w:val="single" w:color="auto" w:sz="8" w:space="0"/>
              <w:left w:val="single" w:color="auto" w:sz="8" w:space="0"/>
              <w:bottom w:val="single" w:color="auto" w:sz="6"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963" w:type="dxa"/>
            <w:tcBorders>
              <w:top w:val="single" w:color="auto" w:sz="8" w:space="0"/>
              <w:left w:val="single" w:color="auto" w:sz="4" w:space="0"/>
              <w:bottom w:val="single" w:color="auto" w:sz="6" w:space="0"/>
              <w:right w:val="single" w:color="auto" w:sz="6"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拟投入项目</w:t>
            </w:r>
            <w:r>
              <w:rPr>
                <w:color w:val="auto"/>
                <w:sz w:val="21"/>
                <w:szCs w:val="21"/>
                <w:highlight w:val="none"/>
                <w:lang w:eastAsia="zh-CN"/>
              </w:rPr>
              <w:t>动迁主管</w:t>
            </w:r>
            <w:r>
              <w:rPr>
                <w:color w:val="auto"/>
                <w:sz w:val="21"/>
                <w:szCs w:val="21"/>
                <w:highlight w:val="none"/>
              </w:rPr>
              <w:t>情况</w:t>
            </w:r>
          </w:p>
        </w:tc>
        <w:tc>
          <w:tcPr>
            <w:tcW w:w="6141" w:type="dxa"/>
            <w:tcBorders>
              <w:top w:val="single" w:color="auto" w:sz="8" w:space="0"/>
              <w:left w:val="single" w:color="auto" w:sz="6" w:space="0"/>
              <w:bottom w:val="single" w:color="auto" w:sz="6" w:space="0"/>
              <w:right w:val="single" w:color="auto" w:sz="6" w:space="0"/>
            </w:tcBorders>
            <w:noWrap w:val="0"/>
            <w:vAlign w:val="top"/>
          </w:tcPr>
          <w:p>
            <w:pPr>
              <w:pStyle w:val="5"/>
              <w:numPr>
                <w:ilvl w:val="0"/>
                <w:numId w:val="1"/>
              </w:numPr>
              <w:rPr>
                <w:color w:val="auto"/>
                <w:sz w:val="21"/>
                <w:szCs w:val="21"/>
                <w:highlight w:val="none"/>
              </w:rPr>
            </w:pPr>
            <w:r>
              <w:rPr>
                <w:color w:val="auto"/>
                <w:sz w:val="21"/>
                <w:szCs w:val="21"/>
                <w:highlight w:val="none"/>
              </w:rPr>
              <w:t>项目</w:t>
            </w:r>
            <w:r>
              <w:rPr>
                <w:color w:val="auto"/>
                <w:sz w:val="21"/>
                <w:szCs w:val="21"/>
                <w:highlight w:val="none"/>
                <w:lang w:eastAsia="zh-CN"/>
              </w:rPr>
              <w:t>动迁主管</w:t>
            </w:r>
            <w:r>
              <w:rPr>
                <w:color w:val="auto"/>
                <w:sz w:val="21"/>
                <w:szCs w:val="21"/>
                <w:highlight w:val="none"/>
              </w:rPr>
              <w:t>要求：（1）具有</w:t>
            </w:r>
            <w:r>
              <w:rPr>
                <w:color w:val="auto"/>
                <w:sz w:val="21"/>
                <w:szCs w:val="21"/>
                <w:highlight w:val="none"/>
                <w:lang w:eastAsia="zh-CN"/>
              </w:rPr>
              <w:t>初</w:t>
            </w:r>
            <w:r>
              <w:rPr>
                <w:color w:val="auto"/>
                <w:sz w:val="21"/>
                <w:szCs w:val="21"/>
                <w:highlight w:val="none"/>
              </w:rPr>
              <w:t>级（或以上）技术职称，得</w:t>
            </w:r>
            <w:r>
              <w:rPr>
                <w:rFonts w:hint="eastAsia"/>
                <w:color w:val="auto"/>
                <w:sz w:val="21"/>
                <w:szCs w:val="21"/>
                <w:highlight w:val="none"/>
                <w:lang w:val="en-US" w:eastAsia="zh-CN"/>
              </w:rPr>
              <w:t>3</w:t>
            </w:r>
            <w:r>
              <w:rPr>
                <w:color w:val="auto"/>
                <w:sz w:val="21"/>
                <w:szCs w:val="21"/>
                <w:highlight w:val="none"/>
              </w:rPr>
              <w:t>分。 （2）具有有效期内的市征收办组织的国有土地上房屋征收培训证书或具有国土房管部门（或城建部门）相关专业培训证书【或提供在有效期内的培训合格人员名单公示网页截图（含对应名单截图和公示网址链接）】或获得政府部门颁发的在有效期内的国有土地上房屋征收工作证，得2分； （3）具有</w:t>
            </w:r>
            <w:r>
              <w:rPr>
                <w:color w:val="auto"/>
                <w:sz w:val="21"/>
                <w:szCs w:val="21"/>
                <w:highlight w:val="none"/>
                <w:lang w:eastAsia="zh-CN"/>
              </w:rPr>
              <w:t>本科</w:t>
            </w:r>
            <w:r>
              <w:rPr>
                <w:color w:val="auto"/>
                <w:sz w:val="21"/>
                <w:szCs w:val="21"/>
                <w:highlight w:val="none"/>
              </w:rPr>
              <w:t>（或以上）学历，得2分； 本小项最高得</w:t>
            </w:r>
            <w:r>
              <w:rPr>
                <w:rFonts w:hint="eastAsia"/>
                <w:color w:val="auto"/>
                <w:sz w:val="21"/>
                <w:szCs w:val="21"/>
                <w:highlight w:val="none"/>
                <w:lang w:val="en-US" w:eastAsia="zh-CN"/>
              </w:rPr>
              <w:t>7</w:t>
            </w:r>
            <w:r>
              <w:rPr>
                <w:color w:val="auto"/>
                <w:sz w:val="21"/>
                <w:szCs w:val="21"/>
                <w:highlight w:val="none"/>
              </w:rPr>
              <w:t>分。 注：第（1）项需提供职称证书，第（2）项需提供有效期内的相关培训证书或网页公示截图（含对应名单截图和公示网址链接）或国有土地上房屋征收工作证，第（3）项需提供学历证书，同时提供投标人在投标截止日前6个月内任意一个月为其缴纳社保的证明材料</w:t>
            </w:r>
            <w:r>
              <w:rPr>
                <w:rFonts w:hint="eastAsia"/>
                <w:color w:val="auto"/>
                <w:sz w:val="21"/>
                <w:szCs w:val="21"/>
                <w:highlight w:val="none"/>
                <w:lang w:eastAsia="zh-CN"/>
              </w:rPr>
              <w:t>复印</w:t>
            </w:r>
            <w:r>
              <w:rPr>
                <w:color w:val="auto"/>
                <w:sz w:val="21"/>
                <w:szCs w:val="21"/>
                <w:highlight w:val="none"/>
              </w:rPr>
              <w:t xml:space="preserve">件或劳动合同加盖投标人单位公章，未提供或证明材料不齐全不得分。 </w:t>
            </w:r>
          </w:p>
          <w:p>
            <w:pPr>
              <w:pStyle w:val="5"/>
              <w:numPr>
                <w:ilvl w:val="0"/>
                <w:numId w:val="0"/>
              </w:numPr>
              <w:rPr>
                <w:rFonts w:hint="eastAsia" w:ascii="Calibri" w:hAnsi="Calibri" w:eastAsia="宋体" w:cs="Times New Roman"/>
                <w:color w:val="auto"/>
                <w:sz w:val="21"/>
                <w:szCs w:val="21"/>
                <w:highlight w:val="none"/>
                <w:lang w:val="en-US" w:eastAsia="zh-Hans" w:bidi="ar-SA"/>
              </w:rPr>
            </w:pPr>
            <w:r>
              <w:rPr>
                <w:color w:val="auto"/>
                <w:sz w:val="21"/>
                <w:szCs w:val="21"/>
                <w:highlight w:val="none"/>
              </w:rPr>
              <w:t>2.项目负责人负责过同类项目业绩的，每提供1项得</w:t>
            </w:r>
            <w:r>
              <w:rPr>
                <w:rFonts w:hint="eastAsia"/>
                <w:color w:val="auto"/>
                <w:sz w:val="21"/>
                <w:szCs w:val="21"/>
                <w:highlight w:val="none"/>
                <w:lang w:val="en-US" w:eastAsia="zh-CN"/>
              </w:rPr>
              <w:t>1</w:t>
            </w:r>
            <w:r>
              <w:rPr>
                <w:color w:val="auto"/>
                <w:sz w:val="21"/>
                <w:szCs w:val="21"/>
                <w:highlight w:val="none"/>
              </w:rPr>
              <w:t>分，本小项最高得</w:t>
            </w:r>
            <w:r>
              <w:rPr>
                <w:rFonts w:hint="eastAsia"/>
                <w:color w:val="auto"/>
                <w:sz w:val="21"/>
                <w:szCs w:val="21"/>
                <w:highlight w:val="none"/>
                <w:lang w:val="en-US" w:eastAsia="zh-CN"/>
              </w:rPr>
              <w:t>3</w:t>
            </w:r>
            <w:r>
              <w:rPr>
                <w:color w:val="auto"/>
                <w:sz w:val="21"/>
                <w:szCs w:val="21"/>
                <w:highlight w:val="none"/>
              </w:rPr>
              <w:t>分。 注：同类项目指征拆或动迁类项目，提供项目合同</w:t>
            </w:r>
            <w:r>
              <w:rPr>
                <w:rFonts w:hint="eastAsia"/>
                <w:color w:val="auto"/>
                <w:sz w:val="21"/>
                <w:szCs w:val="21"/>
                <w:highlight w:val="none"/>
                <w:lang w:eastAsia="zh-CN"/>
              </w:rPr>
              <w:t>复印</w:t>
            </w:r>
            <w:r>
              <w:rPr>
                <w:color w:val="auto"/>
                <w:sz w:val="21"/>
                <w:szCs w:val="21"/>
                <w:highlight w:val="none"/>
              </w:rPr>
              <w:t>件（合同内需体现项目负责人，且项目负责人为本次拟投入的项目负责人，否则不予计算），并加盖投标人单位公章。</w:t>
            </w:r>
          </w:p>
        </w:tc>
        <w:tc>
          <w:tcPr>
            <w:tcW w:w="773"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highlight w:val="none"/>
              </w:rPr>
            </w:pPr>
            <w:r>
              <w:rPr>
                <w:rFonts w:hint="default"/>
                <w:color w:val="auto"/>
                <w:highlight w:val="none"/>
                <w:lang w:val="en-US" w:eastAsia="zh-CN"/>
              </w:rPr>
              <w:t>10</w:t>
            </w:r>
            <w:r>
              <w:rPr>
                <w:color w:val="auto"/>
                <w:highlight w:val="none"/>
              </w:rPr>
              <w:t>.0分</w:t>
            </w:r>
          </w:p>
        </w:tc>
      </w:tr>
      <w:tr>
        <w:tblPrEx>
          <w:tblCellMar>
            <w:top w:w="0" w:type="dxa"/>
            <w:left w:w="108" w:type="dxa"/>
            <w:bottom w:w="0" w:type="dxa"/>
            <w:right w:w="108" w:type="dxa"/>
          </w:tblCellMar>
        </w:tblPrEx>
        <w:trPr>
          <w:trHeight w:val="770" w:hRule="atLeast"/>
          <w:jc w:val="center"/>
        </w:trPr>
        <w:tc>
          <w:tcPr>
            <w:tcW w:w="727" w:type="dxa"/>
            <w:tcBorders>
              <w:top w:val="single" w:color="auto" w:sz="8" w:space="0"/>
              <w:left w:val="single" w:color="auto" w:sz="8"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963" w:type="dxa"/>
            <w:tcBorders>
              <w:top w:val="single" w:color="auto" w:sz="8" w:space="0"/>
              <w:left w:val="single" w:color="auto" w:sz="4" w:space="0"/>
              <w:right w:val="single" w:color="auto" w:sz="6"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lang w:eastAsia="zh-CN"/>
              </w:rPr>
              <w:t>拟投入</w:t>
            </w:r>
            <w:r>
              <w:rPr>
                <w:color w:val="auto"/>
                <w:sz w:val="21"/>
                <w:szCs w:val="21"/>
                <w:highlight w:val="none"/>
              </w:rPr>
              <w:t>人员情况（除项目负责人</w:t>
            </w:r>
            <w:r>
              <w:rPr>
                <w:rFonts w:hint="eastAsia"/>
                <w:color w:val="auto"/>
                <w:sz w:val="21"/>
                <w:szCs w:val="21"/>
                <w:highlight w:val="none"/>
                <w:lang w:eastAsia="zh-CN"/>
              </w:rPr>
              <w:t>、项目技术负责人、</w:t>
            </w:r>
            <w:r>
              <w:rPr>
                <w:color w:val="auto"/>
                <w:sz w:val="21"/>
                <w:szCs w:val="21"/>
                <w:highlight w:val="none"/>
              </w:rPr>
              <w:t>项目</w:t>
            </w:r>
            <w:r>
              <w:rPr>
                <w:color w:val="auto"/>
                <w:sz w:val="21"/>
                <w:szCs w:val="21"/>
                <w:highlight w:val="none"/>
                <w:lang w:eastAsia="zh-CN"/>
              </w:rPr>
              <w:t>动迁主管</w:t>
            </w:r>
            <w:r>
              <w:rPr>
                <w:color w:val="auto"/>
                <w:sz w:val="21"/>
                <w:szCs w:val="21"/>
                <w:highlight w:val="none"/>
              </w:rPr>
              <w:t>外）</w:t>
            </w:r>
          </w:p>
        </w:tc>
        <w:tc>
          <w:tcPr>
            <w:tcW w:w="6141" w:type="dxa"/>
            <w:tcBorders>
              <w:top w:val="single" w:color="auto" w:sz="8" w:space="0"/>
              <w:left w:val="single" w:color="auto" w:sz="6" w:space="0"/>
              <w:bottom w:val="single" w:color="auto" w:sz="6" w:space="0"/>
              <w:right w:val="single" w:color="auto" w:sz="6" w:space="0"/>
            </w:tcBorders>
            <w:noWrap w:val="0"/>
            <w:vAlign w:val="top"/>
          </w:tcPr>
          <w:p>
            <w:pPr>
              <w:pStyle w:val="5"/>
              <w:rPr>
                <w:color w:val="auto"/>
                <w:sz w:val="21"/>
                <w:szCs w:val="21"/>
                <w:highlight w:val="none"/>
              </w:rPr>
            </w:pPr>
            <w:r>
              <w:rPr>
                <w:color w:val="auto"/>
                <w:sz w:val="21"/>
                <w:szCs w:val="21"/>
                <w:highlight w:val="none"/>
              </w:rPr>
              <w:t>拟投入本项目的专业</w:t>
            </w:r>
            <w:r>
              <w:rPr>
                <w:color w:val="auto"/>
                <w:sz w:val="21"/>
                <w:szCs w:val="21"/>
                <w:highlight w:val="none"/>
                <w:lang w:eastAsia="zh-CN"/>
              </w:rPr>
              <w:t>技术</w:t>
            </w:r>
            <w:r>
              <w:rPr>
                <w:color w:val="auto"/>
                <w:sz w:val="21"/>
                <w:szCs w:val="21"/>
                <w:highlight w:val="none"/>
              </w:rPr>
              <w:t>人员（</w:t>
            </w:r>
            <w:r>
              <w:rPr>
                <w:rFonts w:hint="eastAsia"/>
                <w:color w:val="auto"/>
                <w:sz w:val="21"/>
                <w:szCs w:val="21"/>
                <w:highlight w:val="none"/>
              </w:rPr>
              <w:t>除项目负责人、项目技术负责人、项目动迁主管外</w:t>
            </w:r>
            <w:r>
              <w:rPr>
                <w:color w:val="auto"/>
                <w:sz w:val="21"/>
                <w:szCs w:val="21"/>
                <w:highlight w:val="none"/>
              </w:rPr>
              <w:t>）</w:t>
            </w:r>
            <w:r>
              <w:rPr>
                <w:color w:val="auto"/>
                <w:sz w:val="21"/>
                <w:szCs w:val="21"/>
                <w:highlight w:val="none"/>
                <w:lang w:eastAsia="zh-CN"/>
              </w:rPr>
              <w:t>：</w:t>
            </w:r>
            <w:r>
              <w:rPr>
                <w:rFonts w:hint="default" w:cs="Calibri"/>
                <w:color w:val="auto"/>
                <w:sz w:val="21"/>
                <w:szCs w:val="21"/>
                <w:highlight w:val="none"/>
                <w:lang w:eastAsia="zh-CN"/>
              </w:rPr>
              <w:t>①</w:t>
            </w:r>
            <w:r>
              <w:rPr>
                <w:color w:val="auto"/>
                <w:sz w:val="21"/>
                <w:szCs w:val="21"/>
                <w:highlight w:val="none"/>
              </w:rPr>
              <w:t>具有有效期内的市征收办组织的国有土地上房屋征收培训证书或具有国土房管部门（或城建部门）相关专业培训证书（或提供在有效期内的培训合格人员名单公示网页截图（含对应名单截图和公示网址链接）或获得政府部门颁发的在有效期内的国有土地上房屋征收工作证，每提供</w:t>
            </w:r>
            <w:r>
              <w:rPr>
                <w:color w:val="auto"/>
                <w:sz w:val="21"/>
                <w:szCs w:val="21"/>
                <w:highlight w:val="none"/>
                <w:lang w:eastAsia="zh-CN"/>
              </w:rPr>
              <w:t>1</w:t>
            </w:r>
            <w:r>
              <w:rPr>
                <w:color w:val="auto"/>
                <w:sz w:val="21"/>
                <w:szCs w:val="21"/>
                <w:highlight w:val="none"/>
              </w:rPr>
              <w:t>人，得</w:t>
            </w:r>
            <w:r>
              <w:rPr>
                <w:rFonts w:hint="eastAsia"/>
                <w:color w:val="auto"/>
                <w:sz w:val="21"/>
                <w:szCs w:val="21"/>
                <w:highlight w:val="none"/>
                <w:lang w:val="en-US" w:eastAsia="zh-CN"/>
              </w:rPr>
              <w:t>0.5</w:t>
            </w:r>
            <w:r>
              <w:rPr>
                <w:color w:val="auto"/>
                <w:sz w:val="21"/>
                <w:szCs w:val="21"/>
                <w:highlight w:val="none"/>
              </w:rPr>
              <w:t>分，本项累计最高得</w:t>
            </w:r>
            <w:r>
              <w:rPr>
                <w:color w:val="auto"/>
                <w:sz w:val="21"/>
                <w:szCs w:val="21"/>
                <w:highlight w:val="none"/>
                <w:lang w:eastAsia="zh-CN"/>
              </w:rPr>
              <w:t>:</w:t>
            </w:r>
            <w:r>
              <w:rPr>
                <w:rFonts w:hint="eastAsia"/>
                <w:color w:val="auto"/>
                <w:sz w:val="21"/>
                <w:szCs w:val="21"/>
                <w:highlight w:val="none"/>
                <w:lang w:val="en-US" w:eastAsia="zh-CN"/>
              </w:rPr>
              <w:t>5</w:t>
            </w:r>
            <w:r>
              <w:rPr>
                <w:color w:val="auto"/>
                <w:sz w:val="21"/>
                <w:szCs w:val="21"/>
                <w:highlight w:val="none"/>
              </w:rPr>
              <w:t>分。</w:t>
            </w:r>
          </w:p>
          <w:p>
            <w:pPr>
              <w:pStyle w:val="5"/>
              <w:rPr>
                <w:rFonts w:hint="default"/>
                <w:color w:val="auto"/>
                <w:sz w:val="21"/>
                <w:szCs w:val="21"/>
                <w:highlight w:val="none"/>
                <w:lang w:eastAsia="zh-CN"/>
              </w:rPr>
            </w:pPr>
            <w:r>
              <w:rPr>
                <w:rFonts w:hint="default" w:cs="Calibri"/>
                <w:color w:val="auto"/>
                <w:sz w:val="21"/>
                <w:szCs w:val="21"/>
                <w:highlight w:val="none"/>
              </w:rPr>
              <w:t>②</w:t>
            </w:r>
            <w:r>
              <w:rPr>
                <w:color w:val="auto"/>
                <w:sz w:val="21"/>
                <w:szCs w:val="21"/>
                <w:highlight w:val="none"/>
                <w:lang w:eastAsia="zh-CN"/>
              </w:rPr>
              <w:t>以上人员</w:t>
            </w:r>
            <w:r>
              <w:rPr>
                <w:color w:val="auto"/>
                <w:sz w:val="21"/>
                <w:szCs w:val="21"/>
                <w:highlight w:val="none"/>
              </w:rPr>
              <w:t>具有</w:t>
            </w:r>
            <w:r>
              <w:rPr>
                <w:color w:val="auto"/>
                <w:sz w:val="21"/>
                <w:szCs w:val="21"/>
                <w:highlight w:val="none"/>
                <w:lang w:eastAsia="zh-CN"/>
              </w:rPr>
              <w:t>初</w:t>
            </w:r>
            <w:r>
              <w:rPr>
                <w:color w:val="auto"/>
                <w:sz w:val="21"/>
                <w:szCs w:val="21"/>
                <w:highlight w:val="none"/>
              </w:rPr>
              <w:t>级（或以上）技术职称，每提供</w:t>
            </w:r>
            <w:r>
              <w:rPr>
                <w:color w:val="auto"/>
                <w:sz w:val="21"/>
                <w:szCs w:val="21"/>
                <w:highlight w:val="none"/>
                <w:lang w:eastAsia="zh-CN"/>
              </w:rPr>
              <w:t>1</w:t>
            </w:r>
            <w:r>
              <w:rPr>
                <w:color w:val="auto"/>
                <w:sz w:val="21"/>
                <w:szCs w:val="21"/>
                <w:highlight w:val="none"/>
              </w:rPr>
              <w:t>人，得</w:t>
            </w:r>
            <w:r>
              <w:rPr>
                <w:rFonts w:hint="eastAsia"/>
                <w:color w:val="auto"/>
                <w:sz w:val="21"/>
                <w:szCs w:val="21"/>
                <w:highlight w:val="none"/>
                <w:lang w:val="en-US" w:eastAsia="zh-CN"/>
              </w:rPr>
              <w:t>0.5</w:t>
            </w:r>
            <w:r>
              <w:rPr>
                <w:color w:val="auto"/>
                <w:sz w:val="21"/>
                <w:szCs w:val="21"/>
                <w:highlight w:val="none"/>
              </w:rPr>
              <w:t>分，本项累计最高得</w:t>
            </w:r>
            <w:r>
              <w:rPr>
                <w:color w:val="auto"/>
                <w:sz w:val="21"/>
                <w:szCs w:val="21"/>
                <w:highlight w:val="none"/>
                <w:lang w:eastAsia="zh-CN"/>
              </w:rPr>
              <w:t>:</w:t>
            </w:r>
            <w:r>
              <w:rPr>
                <w:rFonts w:hint="eastAsia"/>
                <w:color w:val="auto"/>
                <w:sz w:val="21"/>
                <w:szCs w:val="21"/>
                <w:highlight w:val="none"/>
                <w:lang w:val="en-US" w:eastAsia="zh-CN"/>
              </w:rPr>
              <w:t>3</w:t>
            </w:r>
            <w:r>
              <w:rPr>
                <w:color w:val="auto"/>
                <w:sz w:val="21"/>
                <w:szCs w:val="21"/>
                <w:highlight w:val="none"/>
              </w:rPr>
              <w:t>分。</w:t>
            </w:r>
          </w:p>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 xml:space="preserve"> 注：第</w:t>
            </w:r>
            <w:r>
              <w:rPr>
                <w:rFonts w:hint="default" w:cs="Calibri"/>
                <w:color w:val="auto"/>
                <w:sz w:val="21"/>
                <w:szCs w:val="21"/>
                <w:highlight w:val="none"/>
                <w:lang w:eastAsia="zh-CN"/>
              </w:rPr>
              <w:t>①</w:t>
            </w:r>
            <w:r>
              <w:rPr>
                <w:color w:val="auto"/>
                <w:sz w:val="21"/>
                <w:szCs w:val="21"/>
                <w:highlight w:val="none"/>
              </w:rPr>
              <w:t>项需提供职称证书，第</w:t>
            </w:r>
            <w:r>
              <w:rPr>
                <w:rFonts w:hint="default" w:cs="Calibri"/>
                <w:color w:val="auto"/>
                <w:sz w:val="21"/>
                <w:szCs w:val="21"/>
                <w:highlight w:val="none"/>
              </w:rPr>
              <w:t>②</w:t>
            </w:r>
            <w:r>
              <w:rPr>
                <w:color w:val="auto"/>
                <w:sz w:val="21"/>
                <w:szCs w:val="21"/>
                <w:highlight w:val="none"/>
              </w:rPr>
              <w:t>项需提供有效期内的相关培训证书或网页公示截图（含对应名单截图和公示网址链接）或国有土地上房屋征收工作证</w:t>
            </w:r>
            <w:r>
              <w:rPr>
                <w:color w:val="auto"/>
                <w:sz w:val="21"/>
                <w:szCs w:val="21"/>
                <w:highlight w:val="none"/>
                <w:lang w:eastAsia="zh-CN"/>
              </w:rPr>
              <w:t>③</w:t>
            </w:r>
            <w:r>
              <w:rPr>
                <w:color w:val="auto"/>
                <w:sz w:val="21"/>
                <w:szCs w:val="21"/>
                <w:highlight w:val="none"/>
              </w:rPr>
              <w:t>投标人在投标截止日前6个月内任意一个月为其缴纳社保的证明材料</w:t>
            </w:r>
            <w:r>
              <w:rPr>
                <w:rFonts w:hint="eastAsia"/>
                <w:color w:val="auto"/>
                <w:sz w:val="21"/>
                <w:szCs w:val="21"/>
                <w:highlight w:val="none"/>
                <w:lang w:eastAsia="zh-CN"/>
              </w:rPr>
              <w:t>复印</w:t>
            </w:r>
            <w:r>
              <w:rPr>
                <w:color w:val="auto"/>
                <w:sz w:val="21"/>
                <w:szCs w:val="21"/>
                <w:highlight w:val="none"/>
              </w:rPr>
              <w:t>件或劳动合同加盖投标人单位公章，未提供或提供证明材料不齐全不得分。</w:t>
            </w:r>
          </w:p>
        </w:tc>
        <w:tc>
          <w:tcPr>
            <w:tcW w:w="773" w:type="dxa"/>
            <w:tcBorders>
              <w:top w:val="single" w:color="auto" w:sz="8" w:space="0"/>
              <w:left w:val="single" w:color="auto" w:sz="6" w:space="0"/>
              <w:bottom w:val="single" w:color="auto" w:sz="6" w:space="0"/>
              <w:right w:val="single" w:color="auto" w:sz="6" w:space="0"/>
            </w:tcBorders>
            <w:noWrap w:val="0"/>
            <w:vAlign w:val="center"/>
          </w:tcPr>
          <w:p>
            <w:pPr>
              <w:spacing w:before="100" w:beforeAutospacing="1" w:after="100" w:afterAutospacing="1"/>
              <w:jc w:val="center"/>
              <w:rPr>
                <w:rFonts w:hint="eastAsia" w:ascii="宋体" w:hAnsi="宋体" w:eastAsia="宋体" w:cs="宋体"/>
                <w:color w:val="auto"/>
                <w:szCs w:val="21"/>
                <w:highlight w:val="none"/>
              </w:rPr>
            </w:pPr>
            <w:r>
              <w:rPr>
                <w:rFonts w:hint="eastAsia"/>
                <w:color w:val="auto"/>
                <w:highlight w:val="none"/>
                <w:lang w:val="en-US" w:eastAsia="zh-CN"/>
              </w:rPr>
              <w:t>8.0分</w:t>
            </w:r>
          </w:p>
        </w:tc>
      </w:tr>
      <w:tr>
        <w:tblPrEx>
          <w:tblCellMar>
            <w:top w:w="0" w:type="dxa"/>
            <w:left w:w="108" w:type="dxa"/>
            <w:bottom w:w="0" w:type="dxa"/>
            <w:right w:w="108" w:type="dxa"/>
          </w:tblCellMar>
        </w:tblPrEx>
        <w:trPr>
          <w:trHeight w:val="1102" w:hRule="atLeast"/>
          <w:jc w:val="center"/>
        </w:trPr>
        <w:tc>
          <w:tcPr>
            <w:tcW w:w="727" w:type="dxa"/>
            <w:tcBorders>
              <w:top w:val="single" w:color="auto" w:sz="8" w:space="0"/>
              <w:left w:val="single" w:color="auto" w:sz="8"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963" w:type="dxa"/>
            <w:tcBorders>
              <w:top w:val="single" w:color="auto" w:sz="8" w:space="0"/>
              <w:left w:val="single" w:color="auto" w:sz="4" w:space="0"/>
              <w:right w:val="single" w:color="auto" w:sz="4" w:space="0"/>
            </w:tcBorders>
            <w:noWrap w:val="0"/>
            <w:vAlign w:val="center"/>
          </w:tcPr>
          <w:p>
            <w:pPr>
              <w:pStyle w:val="5"/>
              <w:jc w:val="center"/>
              <w:rPr>
                <w:rFonts w:hint="eastAsia" w:ascii="Calibri" w:hAnsi="Calibri" w:eastAsia="宋体" w:cs="Times New Roman"/>
                <w:color w:val="auto"/>
                <w:sz w:val="21"/>
                <w:szCs w:val="21"/>
                <w:highlight w:val="none"/>
                <w:lang w:val="en-US" w:eastAsia="zh-CN" w:bidi="ar-SA"/>
              </w:rPr>
            </w:pPr>
            <w:r>
              <w:rPr>
                <w:color w:val="auto"/>
                <w:sz w:val="21"/>
                <w:szCs w:val="21"/>
                <w:highlight w:val="none"/>
              </w:rPr>
              <w:t>法律咨询情况</w:t>
            </w:r>
          </w:p>
        </w:tc>
        <w:tc>
          <w:tcPr>
            <w:tcW w:w="6141" w:type="dxa"/>
            <w:tcBorders>
              <w:top w:val="single" w:color="auto" w:sz="8" w:space="0"/>
              <w:left w:val="single" w:color="auto" w:sz="4" w:space="0"/>
              <w:right w:val="single" w:color="auto" w:sz="6" w:space="0"/>
            </w:tcBorders>
            <w:noWrap w:val="0"/>
            <w:vAlign w:val="top"/>
          </w:tcPr>
          <w:p>
            <w:pPr>
              <w:pStyle w:val="5"/>
              <w:rPr>
                <w:rFonts w:hint="eastAsia" w:ascii="Calibri" w:hAnsi="Calibri" w:eastAsia="宋体" w:cs="Times New Roman"/>
                <w:color w:val="auto"/>
                <w:sz w:val="21"/>
                <w:szCs w:val="21"/>
                <w:highlight w:val="none"/>
                <w:lang w:val="en-US" w:eastAsia="zh-CN" w:bidi="ar-SA"/>
              </w:rPr>
            </w:pPr>
            <w:r>
              <w:rPr>
                <w:color w:val="auto"/>
                <w:sz w:val="21"/>
                <w:szCs w:val="21"/>
                <w:highlight w:val="none"/>
              </w:rPr>
              <w:t>投标人具有聘请常年法律顾问（有效期内）的，得5分。 注：同时提供①聘请常年法律顾问合同书②法律顾问的律师执业证复印件加盖投标人公章。若投标人职员中具有法律顾问，则需同时提供①法律顾问的律师执业证</w:t>
            </w:r>
            <w:r>
              <w:rPr>
                <w:rFonts w:hint="eastAsia"/>
                <w:color w:val="auto"/>
                <w:sz w:val="21"/>
                <w:szCs w:val="21"/>
                <w:highlight w:val="none"/>
                <w:lang w:eastAsia="zh-CN"/>
              </w:rPr>
              <w:t>复印</w:t>
            </w:r>
            <w:r>
              <w:rPr>
                <w:color w:val="auto"/>
                <w:sz w:val="21"/>
                <w:szCs w:val="21"/>
                <w:highlight w:val="none"/>
              </w:rPr>
              <w:t>件②投标人在投标截止日前6个月内任意一个月为其缴纳社保的证明材料或劳动合同，不提供或提供材料不全不得分。</w:t>
            </w:r>
          </w:p>
        </w:tc>
        <w:tc>
          <w:tcPr>
            <w:tcW w:w="773" w:type="dxa"/>
            <w:tcBorders>
              <w:top w:val="single" w:color="auto" w:sz="8" w:space="0"/>
              <w:left w:val="single" w:color="auto" w:sz="4" w:space="0"/>
              <w:bottom w:val="single" w:color="auto" w:sz="6" w:space="0"/>
              <w:right w:val="single" w:color="auto" w:sz="6" w:space="0"/>
            </w:tcBorders>
            <w:noWrap w:val="0"/>
            <w:vAlign w:val="center"/>
          </w:tcPr>
          <w:p>
            <w:pPr>
              <w:spacing w:before="100" w:beforeAutospacing="1" w:after="100" w:afterAutospacing="1"/>
              <w:jc w:val="center"/>
              <w:rPr>
                <w:rFonts w:hint="eastAsia" w:ascii="宋体" w:hAnsi="宋体" w:eastAsia="宋体" w:cs="宋体"/>
                <w:color w:val="auto"/>
                <w:sz w:val="24"/>
                <w:highlight w:val="none"/>
              </w:rPr>
            </w:pPr>
            <w:r>
              <w:rPr>
                <w:rFonts w:hint="eastAsia"/>
                <w:color w:val="auto"/>
                <w:highlight w:val="none"/>
                <w:lang w:val="en-US" w:eastAsia="zh-CN"/>
              </w:rPr>
              <w:t>5.0分</w:t>
            </w:r>
          </w:p>
        </w:tc>
      </w:tr>
      <w:tr>
        <w:tblPrEx>
          <w:tblCellMar>
            <w:top w:w="0" w:type="dxa"/>
            <w:left w:w="108" w:type="dxa"/>
            <w:bottom w:w="0" w:type="dxa"/>
            <w:right w:w="108" w:type="dxa"/>
          </w:tblCellMar>
        </w:tblPrEx>
        <w:trPr>
          <w:cantSplit/>
          <w:trHeight w:val="567" w:hRule="atLeast"/>
          <w:jc w:val="center"/>
        </w:trPr>
        <w:tc>
          <w:tcPr>
            <w:tcW w:w="26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6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分</w:t>
            </w:r>
          </w:p>
        </w:tc>
      </w:tr>
    </w:tbl>
    <w:p>
      <w:pPr>
        <w:ind w:right="1010" w:rightChars="48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注：各评委按规定的范围内进行量化打分，并统计总分。</w:t>
      </w:r>
      <w:r>
        <w:rPr>
          <w:rFonts w:hint="eastAsia" w:ascii="宋体" w:hAnsi="宋体" w:eastAsia="宋体" w:cs="宋体"/>
          <w:b/>
          <w:bCs/>
          <w:color w:val="auto"/>
          <w:szCs w:val="21"/>
          <w:highlight w:val="none"/>
        </w:rPr>
        <w:t>采购文件要求提交与评价指标体系相关的各类有效资料，投标人如未按要求提交的， 该项评分为零。</w:t>
      </w: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评委签名：                                             签名日期：</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pPr>
        <w:spacing w:line="360" w:lineRule="auto"/>
        <w:ind w:left="-283" w:leftChars="-135"/>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价格响应性评审表（10分）</w:t>
      </w:r>
    </w:p>
    <w:p>
      <w:pPr>
        <w:ind w:left="-283" w:leftChars="-135"/>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left="-103" w:leftChars="-49" w:firstLine="102" w:firstLineChars="49"/>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 xml:space="preserve">               </w:t>
      </w:r>
    </w:p>
    <w:p>
      <w:pPr>
        <w:ind w:left="-103" w:leftChars="-49" w:firstLine="102" w:firstLineChars="49"/>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项目编号：</w:t>
      </w:r>
    </w:p>
    <w:tbl>
      <w:tblPr>
        <w:tblStyle w:val="3"/>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6"/>
        <w:gridCol w:w="1892"/>
        <w:gridCol w:w="2486"/>
        <w:gridCol w:w="3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2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有效投标人</w:t>
            </w:r>
          </w:p>
          <w:p>
            <w:pPr>
              <w:widowControl/>
              <w:spacing w:line="360" w:lineRule="auto"/>
              <w:ind w:left="-283" w:leftChars="-135"/>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序号及简称</w:t>
            </w:r>
          </w:p>
        </w:tc>
        <w:tc>
          <w:tcPr>
            <w:tcW w:w="43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评审分项</w:t>
            </w:r>
          </w:p>
        </w:tc>
        <w:tc>
          <w:tcPr>
            <w:tcW w:w="3439" w:type="dxa"/>
            <w:vMerge w:val="restart"/>
            <w:tcBorders>
              <w:top w:val="single" w:color="auto" w:sz="4" w:space="0"/>
              <w:left w:val="single" w:color="auto" w:sz="4" w:space="0"/>
              <w:right w:val="single" w:color="auto" w:sz="4" w:space="0"/>
            </w:tcBorders>
            <w:noWrap w:val="0"/>
            <w:vAlign w:val="center"/>
          </w:tcPr>
          <w:p>
            <w:pPr>
              <w:widowControl/>
              <w:spacing w:line="360" w:lineRule="auto"/>
              <w:ind w:left="-283" w:leftChars="-13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trPr>
        <w:tc>
          <w:tcPr>
            <w:tcW w:w="12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left"/>
              <w:rPr>
                <w:rFonts w:hint="eastAsia" w:ascii="宋体" w:hAnsi="宋体" w:eastAsia="宋体" w:cs="宋体"/>
                <w:color w:val="auto"/>
                <w:kern w:val="0"/>
                <w:szCs w:val="21"/>
                <w:highlight w:val="none"/>
              </w:rPr>
            </w:pP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61"/>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val="en-US" w:eastAsia="zh-CN"/>
              </w:rPr>
              <w:t>下浮率</w:t>
            </w:r>
          </w:p>
        </w:tc>
        <w:tc>
          <w:tcPr>
            <w:tcW w:w="2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评标下浮率</w:t>
            </w:r>
          </w:p>
        </w:tc>
        <w:tc>
          <w:tcPr>
            <w:tcW w:w="3439" w:type="dxa"/>
            <w:vMerge w:val="continue"/>
            <w:tcBorders>
              <w:left w:val="single" w:color="auto" w:sz="4" w:space="0"/>
              <w:bottom w:val="single" w:color="auto" w:sz="4" w:space="0"/>
              <w:right w:val="single" w:color="auto" w:sz="4" w:space="0"/>
            </w:tcBorders>
            <w:noWrap w:val="0"/>
            <w:vAlign w:val="center"/>
          </w:tcPr>
          <w:p>
            <w:pPr>
              <w:widowControl/>
              <w:spacing w:line="360" w:lineRule="auto"/>
              <w:ind w:left="-283" w:leftChars="-135"/>
              <w:jc w:val="lef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6" w:hRule="atLeast"/>
        </w:trPr>
        <w:tc>
          <w:tcPr>
            <w:tcW w:w="12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left"/>
              <w:rPr>
                <w:rFonts w:hint="eastAsia" w:ascii="宋体" w:hAnsi="宋体" w:eastAsia="宋体" w:cs="宋体"/>
                <w:color w:val="auto"/>
                <w:kern w:val="0"/>
                <w:szCs w:val="21"/>
                <w:highlight w:val="none"/>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61"/>
              <w:jc w:val="center"/>
              <w:rPr>
                <w:rFonts w:hint="eastAsia" w:ascii="宋体" w:hAnsi="宋体" w:eastAsia="宋体" w:cs="宋体"/>
                <w:color w:val="auto"/>
                <w:kern w:val="0"/>
                <w:szCs w:val="21"/>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6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评标基下浮率=实质性响应招标文件要求的投标中的最高下浮率</w:t>
            </w:r>
          </w:p>
        </w:tc>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6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价格得分＝（1-评标基准下浮率）/（1-投标下浮率）*10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center"/>
              <w:rPr>
                <w:rFonts w:hint="eastAsia" w:ascii="宋体" w:hAnsi="宋体" w:eastAsia="宋体" w:cs="宋体"/>
                <w:color w:val="auto"/>
                <w:kern w:val="0"/>
                <w:szCs w:val="21"/>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Cs w:val="21"/>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Cs w:val="21"/>
                <w:highlight w:val="none"/>
              </w:rPr>
            </w:pPr>
          </w:p>
        </w:tc>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center"/>
              <w:rPr>
                <w:rFonts w:hint="eastAsia" w:ascii="宋体" w:hAnsi="宋体" w:eastAsia="宋体" w:cs="宋体"/>
                <w:color w:val="auto"/>
                <w:kern w:val="0"/>
                <w:sz w:val="20"/>
                <w:szCs w:val="2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center"/>
              <w:rPr>
                <w:rFonts w:hint="eastAsia" w:ascii="宋体" w:hAnsi="宋体" w:eastAsia="宋体" w:cs="宋体"/>
                <w:color w:val="auto"/>
                <w:kern w:val="0"/>
                <w:sz w:val="20"/>
                <w:szCs w:val="2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center"/>
              <w:rPr>
                <w:rFonts w:hint="eastAsia" w:ascii="宋体" w:hAnsi="宋体" w:eastAsia="宋体" w:cs="宋体"/>
                <w:color w:val="auto"/>
                <w:kern w:val="0"/>
                <w:sz w:val="20"/>
                <w:szCs w:val="2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center"/>
              <w:rPr>
                <w:rFonts w:hint="eastAsia" w:ascii="宋体" w:hAnsi="宋体" w:eastAsia="宋体" w:cs="宋体"/>
                <w:color w:val="auto"/>
                <w:kern w:val="0"/>
                <w:sz w:val="20"/>
                <w:szCs w:val="2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jc w:val="center"/>
              <w:rPr>
                <w:rFonts w:hint="eastAsia" w:ascii="宋体" w:hAnsi="宋体" w:eastAsia="宋体" w:cs="宋体"/>
                <w:color w:val="auto"/>
                <w:kern w:val="0"/>
                <w:sz w:val="20"/>
                <w:szCs w:val="2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83" w:leftChars="-135" w:right="-61"/>
              <w:jc w:val="center"/>
              <w:rPr>
                <w:rFonts w:hint="eastAsia" w:ascii="宋体" w:hAnsi="宋体" w:eastAsia="宋体" w:cs="宋体"/>
                <w:color w:val="auto"/>
                <w:kern w:val="0"/>
                <w:sz w:val="20"/>
                <w:szCs w:val="20"/>
                <w:highlight w:val="none"/>
              </w:rPr>
            </w:pPr>
          </w:p>
        </w:tc>
      </w:tr>
    </w:tbl>
    <w:p>
      <w:pPr>
        <w:spacing w:line="360" w:lineRule="auto"/>
        <w:ind w:left="-283" w:leftChars="-135"/>
        <w:rPr>
          <w:rFonts w:hint="eastAsia" w:ascii="宋体" w:hAnsi="宋体" w:eastAsia="宋体" w:cs="宋体"/>
          <w:bCs/>
          <w:color w:val="auto"/>
          <w:sz w:val="24"/>
          <w:highlight w:val="none"/>
        </w:rPr>
      </w:pPr>
    </w:p>
    <w:p>
      <w:pPr>
        <w:spacing w:line="360" w:lineRule="auto"/>
        <w:ind w:left="-708" w:leftChars="-337"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评委签名：</w:t>
      </w:r>
      <w:r>
        <w:rPr>
          <w:rFonts w:hint="eastAsia" w:ascii="宋体" w:hAnsi="宋体" w:eastAsia="宋体" w:cs="宋体"/>
          <w:bCs/>
          <w:color w:val="auto"/>
          <w:sz w:val="24"/>
          <w:highlight w:val="none"/>
        </w:rPr>
        <w:t xml:space="preserve">                                       签名日期：</w:t>
      </w:r>
    </w:p>
    <w:p>
      <w:pPr>
        <w:spacing w:line="360" w:lineRule="auto"/>
        <w:ind w:left="-708" w:leftChars="-337" w:firstLine="361" w:firstLineChars="150"/>
        <w:rPr>
          <w:rFonts w:hint="eastAsia" w:ascii="宋体" w:hAnsi="宋体" w:eastAsia="宋体" w:cs="宋体"/>
          <w:b/>
          <w:color w:val="auto"/>
          <w:sz w:val="24"/>
          <w:highlight w:val="none"/>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71F53"/>
    <w:multiLevelType w:val="singleLevel"/>
    <w:tmpl w:val="A6D71F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14879"/>
    <w:rsid w:val="04E93DC3"/>
    <w:rsid w:val="5061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2025-05-21T02:02:00Z</dcterms:created>
  <dc:creator>潘泓瀚</dc:creator>
  <cp:lastModifiedBy>潘泓瀚</cp:lastModifiedBy>
  <dcterms:modified xsi:type="dcterms:W3CDTF">2025-05-21T02:06:56Z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C3117120B27E42D3BD3EFB1D80118203</vt:lpwstr>
  </property>
</Properties>
</file>