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z w:val="32"/>
          <w:szCs w:val="32"/>
          <w:lang w:val="en-US"/>
        </w:rPr>
      </w:pPr>
      <w:r>
        <w:rPr>
          <w:rFonts w:hint="eastAsia" w:ascii="黑体" w:hAnsi="宋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2</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lang w:val="en-US"/>
        </w:rPr>
      </w:pPr>
      <w:bookmarkStart w:id="1" w:name="_GoBack"/>
      <w:bookmarkStart w:id="0" w:name="OLE_LINK1"/>
      <w:r>
        <w:rPr>
          <w:rFonts w:hint="eastAsia" w:ascii="Times New Roman" w:hAnsi="Times New Roman" w:eastAsia="方正小标宋_GBK" w:cs="Times New Roman"/>
          <w:kern w:val="2"/>
          <w:sz w:val="44"/>
          <w:szCs w:val="44"/>
          <w:lang w:val="en-US" w:eastAsia="zh-CN" w:bidi="ar"/>
        </w:rPr>
        <w:t>天河区民政局婚姻家庭辅导服务项目</w:t>
      </w:r>
      <w:r>
        <w:rPr>
          <w:rFonts w:hint="eastAsia" w:ascii="方正小标宋_GBK" w:hAnsi="Times New Roman" w:eastAsia="方正小标宋_GBK" w:cs="方正小标宋_GBK"/>
          <w:kern w:val="2"/>
          <w:sz w:val="44"/>
          <w:szCs w:val="44"/>
          <w:lang w:val="en-US" w:eastAsia="zh-CN" w:bidi="ar"/>
        </w:rPr>
        <w:t>评分表</w:t>
      </w:r>
      <w:bookmarkEnd w:id="0"/>
    </w:p>
    <w:bookmarkEnd w:id="1"/>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2"/>
          <w:lang w:val="en-US" w:eastAsia="zh-CN" w:bidi="ar"/>
        </w:rPr>
        <w:t xml:space="preserve"> </w:t>
      </w:r>
    </w:p>
    <w:tbl>
      <w:tblPr>
        <w:tblStyle w:val="4"/>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97"/>
        <w:gridCol w:w="1076"/>
        <w:gridCol w:w="676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widowControl/>
              <w:suppressLineNumbers w:val="0"/>
              <w:spacing w:before="0" w:beforeAutospacing="0" w:after="0" w:afterAutospacing="0" w:line="520" w:lineRule="exact"/>
              <w:ind w:left="0" w:leftChars="0" w:right="0" w:rightChars="0"/>
              <w:jc w:val="center"/>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rPr>
              <w:t>序号</w:t>
            </w:r>
          </w:p>
        </w:tc>
        <w:tc>
          <w:tcPr>
            <w:tcW w:w="1773"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widowControl/>
              <w:suppressLineNumbers w:val="0"/>
              <w:spacing w:before="0" w:beforeAutospacing="0" w:after="0" w:afterAutospacing="0" w:line="520" w:lineRule="exact"/>
              <w:ind w:left="0" w:right="0"/>
              <w:jc w:val="center"/>
              <w:rPr>
                <w:rFonts w:hint="default" w:ascii="Times New Roman" w:hAnsi="Times New Roman" w:eastAsia="方正黑体_GBK" w:cs="Times New Roman"/>
                <w:lang w:val="en-US"/>
              </w:rPr>
            </w:pPr>
            <w:r>
              <w:rPr>
                <w:rFonts w:hint="default" w:ascii="Times New Roman" w:hAnsi="Times New Roman" w:eastAsia="方正黑体_GBK" w:cs="Times New Roman"/>
              </w:rPr>
              <w:t>评分因素</w:t>
            </w:r>
          </w:p>
        </w:tc>
        <w:tc>
          <w:tcPr>
            <w:tcW w:w="6768" w:type="dxa"/>
            <w:tcBorders>
              <w:top w:val="single" w:color="auto" w:sz="4" w:space="0"/>
              <w:left w:val="nil"/>
              <w:bottom w:val="single" w:color="auto" w:sz="4" w:space="0"/>
              <w:right w:val="single" w:color="auto" w:sz="4" w:space="0"/>
            </w:tcBorders>
            <w:noWrap w:val="0"/>
            <w:vAlign w:val="center"/>
          </w:tcPr>
          <w:p>
            <w:pPr>
              <w:pStyle w:val="3"/>
              <w:keepNext w:val="0"/>
              <w:keepLines w:val="0"/>
              <w:widowControl/>
              <w:suppressLineNumbers w:val="0"/>
              <w:spacing w:before="0" w:beforeAutospacing="0" w:after="0" w:afterAutospacing="0" w:line="520" w:lineRule="exact"/>
              <w:ind w:left="0" w:right="0"/>
              <w:jc w:val="center"/>
              <w:rPr>
                <w:rFonts w:hint="default" w:ascii="Times New Roman" w:hAnsi="Times New Roman" w:eastAsia="方正黑体_GBK" w:cs="Times New Roman"/>
                <w:lang w:val="en-US"/>
              </w:rPr>
            </w:pPr>
            <w:r>
              <w:rPr>
                <w:rFonts w:hint="default" w:ascii="Times New Roman" w:hAnsi="Times New Roman" w:eastAsia="方正黑体_GBK" w:cs="Times New Roman"/>
              </w:rPr>
              <w:t>评分标准</w:t>
            </w:r>
          </w:p>
        </w:tc>
        <w:tc>
          <w:tcPr>
            <w:tcW w:w="849" w:type="dxa"/>
            <w:tcBorders>
              <w:top w:val="single" w:color="auto" w:sz="4" w:space="0"/>
              <w:left w:val="nil"/>
              <w:bottom w:val="single" w:color="auto" w:sz="4" w:space="0"/>
              <w:right w:val="single" w:color="auto" w:sz="4" w:space="0"/>
            </w:tcBorders>
            <w:noWrap w:val="0"/>
            <w:vAlign w:val="center"/>
          </w:tcPr>
          <w:p>
            <w:pPr>
              <w:pStyle w:val="3"/>
              <w:keepNext w:val="0"/>
              <w:keepLines w:val="0"/>
              <w:widowControl/>
              <w:suppressLineNumbers w:val="0"/>
              <w:spacing w:before="0" w:beforeAutospacing="0" w:after="0" w:afterAutospacing="0" w:line="520" w:lineRule="exact"/>
              <w:ind w:left="0" w:right="0"/>
              <w:jc w:val="center"/>
              <w:rPr>
                <w:rFonts w:hint="default" w:ascii="Times New Roman" w:hAnsi="Times New Roman" w:eastAsia="方正黑体_GBK" w:cs="Times New Roman"/>
                <w:lang w:val="en-US"/>
              </w:rPr>
            </w:pPr>
            <w:r>
              <w:rPr>
                <w:rFonts w:hint="default" w:ascii="Times New Roman" w:hAnsi="Times New Roman" w:eastAsia="方正黑体_GBK" w:cs="Times New Roma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jc w:val="center"/>
        </w:trPr>
        <w:tc>
          <w:tcPr>
            <w:tcW w:w="697" w:type="dxa"/>
            <w:vMerge w:val="restart"/>
            <w:tcBorders>
              <w:top w:val="single" w:color="auto" w:sz="4" w:space="0"/>
              <w:left w:val="single" w:color="auto" w:sz="4" w:space="0"/>
              <w:right w:val="single" w:color="auto" w:sz="4" w:space="0"/>
            </w:tcBorders>
            <w:shd w:val="clear" w:color="auto" w:fill="auto"/>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default" w:ascii="Times New Roman" w:hAnsi="Times New Roman" w:eastAsia="宋体" w:cs="Times New Roman"/>
                <w:b/>
                <w:kern w:val="0"/>
                <w:sz w:val="21"/>
                <w:szCs w:val="21"/>
                <w:lang w:val="en-US" w:eastAsia="zh-CN" w:bidi="ar-SA"/>
              </w:rPr>
            </w:pPr>
            <w:r>
              <w:rPr>
                <w:rFonts w:hint="default" w:ascii="Times New Roman" w:hAnsi="Times New Roman" w:cs="Times New Roman"/>
                <w:b/>
                <w:sz w:val="21"/>
                <w:szCs w:val="21"/>
                <w:lang w:val="en-US"/>
              </w:rPr>
              <w:t>1</w:t>
            </w:r>
          </w:p>
        </w:tc>
        <w:tc>
          <w:tcPr>
            <w:tcW w:w="697" w:type="dxa"/>
            <w:vMerge w:val="restart"/>
            <w:tcBorders>
              <w:top w:val="single" w:color="auto" w:sz="4" w:space="0"/>
              <w:left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cs="Times New Roman"/>
                <w:b/>
                <w:sz w:val="21"/>
                <w:szCs w:val="21"/>
                <w:lang w:val="en-US"/>
              </w:rPr>
            </w:pPr>
            <w:r>
              <w:rPr>
                <w:rFonts w:hint="default" w:ascii="Times New Roman" w:hAnsi="Times New Roman" w:eastAsia="宋体" w:cs="Times New Roman"/>
                <w:b/>
                <w:sz w:val="21"/>
                <w:szCs w:val="21"/>
              </w:rPr>
              <w:t>实施方案（</w:t>
            </w:r>
            <w:r>
              <w:rPr>
                <w:rFonts w:hint="default" w:ascii="Times New Roman" w:hAnsi="Times New Roman" w:cs="Times New Roman"/>
                <w:b/>
                <w:sz w:val="21"/>
                <w:szCs w:val="21"/>
                <w:lang w:val="en-US" w:eastAsia="zh-CN"/>
              </w:rPr>
              <w:t>65</w:t>
            </w:r>
            <w:r>
              <w:rPr>
                <w:rFonts w:hint="default" w:ascii="Times New Roman" w:hAnsi="Times New Roman" w:eastAsia="宋体" w:cs="Times New Roman"/>
                <w:b/>
                <w:sz w:val="21"/>
                <w:szCs w:val="21"/>
              </w:rPr>
              <w:t>分）</w:t>
            </w:r>
          </w:p>
        </w:tc>
        <w:tc>
          <w:tcPr>
            <w:tcW w:w="1076" w:type="dxa"/>
            <w:tcBorders>
              <w:top w:val="single" w:color="auto" w:sz="4" w:space="0"/>
              <w:left w:val="nil"/>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lang w:val="en-US" w:eastAsia="zh-CN"/>
              </w:rPr>
              <w:t>项目服务方案设计（15分）</w:t>
            </w:r>
          </w:p>
        </w:tc>
        <w:tc>
          <w:tcPr>
            <w:tcW w:w="6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1.服务方案详细具体，要素完备，特色显著，包含对婚姻家庭辅导服务的服务目标、服务范围、服务内容、操作框架、专业流程、评估量化表、服务模式、人员资质和组织架构等内容，完全符合用户需求书各项要求。方案的针对性、专业性、可操作执行性强，得15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2.实施方案要素完备，服务范围、服务内容、操作框架、专业流程、评估量化表、服务模式、人员资质和组织架构等较符合用户需求书各项要求。方案有一定的针对性、专业性、可操作性，10分；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3.实施方案要素基本完备，但不具有显著特色，服务范围、服务内容、操作框架、专业流程、评估量化表、服务模式、人员资质和组织架构等内容不符合用户需求书要求。方案的针对性、可执行性和操作性差，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4.无实施方案，得0分。</w:t>
            </w:r>
          </w:p>
        </w:tc>
        <w:tc>
          <w:tcPr>
            <w:tcW w:w="849"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cs="Times New Roman"/>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7" w:type="dxa"/>
            <w:vMerge w:val="continue"/>
            <w:tcBorders>
              <w:left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cs="Times New Roman"/>
                <w:b/>
                <w:sz w:val="21"/>
                <w:szCs w:val="21"/>
                <w:lang w:val="en-US"/>
              </w:rPr>
            </w:pPr>
          </w:p>
        </w:tc>
        <w:tc>
          <w:tcPr>
            <w:tcW w:w="697" w:type="dxa"/>
            <w:vMerge w:val="continue"/>
            <w:tcBorders>
              <w:left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cs="Times New Roman"/>
                <w:b/>
                <w:sz w:val="21"/>
                <w:szCs w:val="21"/>
                <w:lang w:val="en-US"/>
              </w:rPr>
            </w:pPr>
          </w:p>
        </w:tc>
        <w:tc>
          <w:tcPr>
            <w:tcW w:w="1076"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项目质量保证措施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（15分）</w:t>
            </w:r>
          </w:p>
        </w:tc>
        <w:tc>
          <w:tcPr>
            <w:tcW w:w="67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有制定详细、合理、可行的服务质量管理监测、应急及安全保障制度，保障服务计划有效实施。得15分；</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lang w:val="en-US" w:eastAsia="zh-CN"/>
              </w:rPr>
              <w:t>具有比较</w:t>
            </w:r>
            <w:r>
              <w:rPr>
                <w:rFonts w:hint="default" w:ascii="Times New Roman" w:hAnsi="Times New Roman" w:eastAsia="仿宋_GB2312" w:cs="Times New Roman"/>
                <w:kern w:val="2"/>
                <w:sz w:val="24"/>
                <w:szCs w:val="24"/>
                <w:lang w:val="en-US" w:eastAsia="zh-CN" w:bidi="ar"/>
              </w:rPr>
              <w:t>合理、可行的服务质量管理监测、应急及安全保障制度，比较能保障服务计划有效实施。得10分；</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服务质量管理监测、应急及安全保障一般，服务计划实施的保障一般。得5分。</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无服务质量管理监测、应急及安全保障。得0分。</w:t>
            </w:r>
          </w:p>
        </w:tc>
        <w:tc>
          <w:tcPr>
            <w:tcW w:w="849"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cs="Times New Roman"/>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7" w:type="dxa"/>
            <w:vMerge w:val="continue"/>
            <w:tcBorders>
              <w:left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cs="Times New Roman"/>
                <w:b/>
                <w:sz w:val="21"/>
                <w:szCs w:val="21"/>
                <w:lang w:val="en-US"/>
              </w:rPr>
            </w:pPr>
          </w:p>
        </w:tc>
        <w:tc>
          <w:tcPr>
            <w:tcW w:w="697" w:type="dxa"/>
            <w:vMerge w:val="continue"/>
            <w:tcBorders>
              <w:left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cs="Times New Roman"/>
                <w:b/>
                <w:sz w:val="21"/>
                <w:szCs w:val="21"/>
                <w:lang w:val="en-US"/>
              </w:rPr>
            </w:pPr>
          </w:p>
        </w:tc>
        <w:tc>
          <w:tcPr>
            <w:tcW w:w="1076"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lang w:val="en-US" w:eastAsia="zh-CN"/>
              </w:rPr>
              <w:t>项目经费使用计划（15分）</w:t>
            </w:r>
          </w:p>
        </w:tc>
        <w:tc>
          <w:tcPr>
            <w:tcW w:w="67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具有详细健全的项目经费预算明细，对工作中各项可能的支出考虑全面细致，得15分；</w:t>
            </w:r>
            <w:r>
              <w:rPr>
                <w:rFonts w:hint="default" w:ascii="Times New Roman" w:hAnsi="Times New Roman" w:eastAsia="仿宋_GB2312" w:cs="Times New Roman"/>
                <w:kern w:val="2"/>
                <w:lang w:val="en-US" w:eastAsia="zh-CN"/>
              </w:rPr>
              <w:br w:type="textWrapping"/>
            </w:r>
            <w:r>
              <w:rPr>
                <w:rFonts w:hint="default" w:ascii="Times New Roman" w:hAnsi="Times New Roman" w:eastAsia="仿宋_GB2312" w:cs="Times New Roman"/>
                <w:kern w:val="2"/>
                <w:lang w:val="en-US" w:eastAsia="zh-CN"/>
              </w:rPr>
              <w:t>2.具有较详细的项目经费预算明细，对工作中各项可能的支出考虑较全面细致，得10分；</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leftChars="0" w:right="0" w:rightChars="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3.项目经费预算明细一般，对工作中各项可能的支出考虑不够细致，得5分；</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leftChars="0" w:right="0" w:rightChars="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4.项目经费预算不健全，对工作中各项可能的支出考虑不全面、不细致，得0分。</w:t>
            </w:r>
          </w:p>
        </w:tc>
        <w:tc>
          <w:tcPr>
            <w:tcW w:w="849"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cs="Times New Roman"/>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7" w:type="dxa"/>
            <w:vMerge w:val="continue"/>
            <w:tcBorders>
              <w:left w:val="single" w:color="auto" w:sz="4" w:space="0"/>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cs="Times New Roman"/>
                <w:b/>
                <w:sz w:val="21"/>
                <w:szCs w:val="21"/>
                <w:lang w:val="en-US"/>
              </w:rPr>
            </w:pPr>
          </w:p>
        </w:tc>
        <w:tc>
          <w:tcPr>
            <w:tcW w:w="697" w:type="dxa"/>
            <w:vMerge w:val="continue"/>
            <w:tcBorders>
              <w:left w:val="single" w:color="auto" w:sz="4" w:space="0"/>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cs="Times New Roman"/>
                <w:b/>
                <w:sz w:val="21"/>
                <w:szCs w:val="21"/>
                <w:lang w:val="en-US"/>
              </w:rPr>
            </w:pPr>
          </w:p>
        </w:tc>
        <w:tc>
          <w:tcPr>
            <w:tcW w:w="1076"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lang w:val="en-US" w:eastAsia="zh-CN"/>
              </w:rPr>
              <w:t>人员组织架构（20分）</w:t>
            </w:r>
          </w:p>
        </w:tc>
        <w:tc>
          <w:tcPr>
            <w:tcW w:w="67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20" w:lineRule="exact"/>
              <w:ind w:right="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拟投入本项的团队设置（人数、资质等）合理、全面，成员资质深厚、经验丰富，得20分；</w:t>
            </w:r>
            <w:r>
              <w:rPr>
                <w:rFonts w:hint="default" w:ascii="Times New Roman" w:hAnsi="Times New Roman" w:eastAsia="仿宋_GB2312" w:cs="Times New Roman"/>
                <w:kern w:val="2"/>
                <w:lang w:val="en-US" w:eastAsia="zh-CN"/>
              </w:rPr>
              <w:br w:type="textWrapping"/>
            </w:r>
            <w:r>
              <w:rPr>
                <w:rFonts w:hint="default" w:ascii="Times New Roman" w:hAnsi="Times New Roman" w:eastAsia="仿宋_GB2312" w:cs="Times New Roman"/>
                <w:kern w:val="2"/>
                <w:lang w:val="en-US" w:eastAsia="zh-CN"/>
              </w:rPr>
              <w:t>2.拟投入本项的团队设置（人数、资质等）比较合理，成员资质较深、有一定经验，得15分；</w:t>
            </w:r>
            <w:r>
              <w:rPr>
                <w:rFonts w:hint="default" w:ascii="Times New Roman" w:hAnsi="Times New Roman" w:eastAsia="仿宋_GB2312" w:cs="Times New Roman"/>
                <w:kern w:val="2"/>
                <w:lang w:val="en-US" w:eastAsia="zh-CN"/>
              </w:rPr>
              <w:br w:type="textWrapping"/>
            </w:r>
            <w:r>
              <w:rPr>
                <w:rFonts w:hint="default" w:ascii="Times New Roman" w:hAnsi="Times New Roman" w:eastAsia="仿宋_GB2312" w:cs="Times New Roman"/>
                <w:kern w:val="2"/>
                <w:lang w:val="en-US" w:eastAsia="zh-CN"/>
              </w:rPr>
              <w:t>3.拟投入本项的团队设置（人数、资质等）一般，成员资质一般、有一定经验，得10分；</w:t>
            </w:r>
          </w:p>
          <w:p>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20" w:lineRule="exact"/>
              <w:ind w:right="0" w:rightChars="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拟投入本项的团队设置（人数、资质等）较差，成员资质较差、具有较少或无经验，得0分；</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right="0" w:rightChars="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（提供人员名单、劳动合同、社保、聘书、资质证书等相关佐证材料）</w:t>
            </w:r>
          </w:p>
        </w:tc>
        <w:tc>
          <w:tcPr>
            <w:tcW w:w="849"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cs="Times New Roman"/>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lang w:val="en-US" w:eastAsia="zh-CN"/>
              </w:rPr>
              <w:t>2</w:t>
            </w:r>
          </w:p>
        </w:tc>
        <w:tc>
          <w:tcPr>
            <w:tcW w:w="1773"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cs="Times New Roman"/>
                <w:b/>
                <w:sz w:val="21"/>
                <w:szCs w:val="21"/>
                <w:lang w:val="en-US"/>
              </w:rPr>
            </w:pPr>
            <w:r>
              <w:rPr>
                <w:rFonts w:hint="default" w:ascii="Times New Roman" w:hAnsi="Times New Roman" w:eastAsia="宋体" w:cs="Times New Roman"/>
                <w:b/>
                <w:sz w:val="21"/>
                <w:szCs w:val="21"/>
              </w:rPr>
              <w:t>以往业绩（</w:t>
            </w:r>
            <w:r>
              <w:rPr>
                <w:rFonts w:hint="default" w:ascii="Times New Roman" w:hAnsi="Times New Roman" w:cs="Times New Roman"/>
                <w:b/>
                <w:sz w:val="21"/>
                <w:szCs w:val="21"/>
                <w:lang w:val="en-US" w:eastAsia="zh-CN"/>
              </w:rPr>
              <w:t>20</w:t>
            </w:r>
            <w:r>
              <w:rPr>
                <w:rFonts w:hint="default" w:ascii="Times New Roman" w:hAnsi="Times New Roman" w:eastAsia="宋体" w:cs="Times New Roman"/>
                <w:b/>
                <w:sz w:val="21"/>
                <w:szCs w:val="21"/>
              </w:rPr>
              <w:t>分）</w:t>
            </w:r>
          </w:p>
        </w:tc>
        <w:tc>
          <w:tcPr>
            <w:tcW w:w="67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lang w:val="en-US"/>
              </w:rPr>
            </w:pPr>
            <w:r>
              <w:rPr>
                <w:rFonts w:hint="default" w:ascii="Times New Roman" w:hAnsi="Times New Roman" w:eastAsia="仿宋_GB2312" w:cs="Times New Roman"/>
                <w:kern w:val="2"/>
                <w:lang w:val="en-US" w:eastAsia="zh-CN"/>
              </w:rPr>
              <w:t>1.</w:t>
            </w:r>
            <w:r>
              <w:rPr>
                <w:rFonts w:hint="default" w:ascii="Times New Roman" w:hAnsi="Times New Roman" w:eastAsia="仿宋_GB2312" w:cs="Times New Roman"/>
                <w:kern w:val="2"/>
              </w:rPr>
              <w:t>具有类似项目</w:t>
            </w:r>
            <w:r>
              <w:rPr>
                <w:rFonts w:hint="default" w:ascii="Times New Roman" w:hAnsi="Times New Roman" w:eastAsia="仿宋_GB2312" w:cs="Times New Roman"/>
                <w:kern w:val="2"/>
                <w:lang w:val="en-US" w:eastAsia="zh-CN"/>
              </w:rPr>
              <w:t>服务</w:t>
            </w:r>
            <w:r>
              <w:rPr>
                <w:rFonts w:hint="default" w:ascii="Times New Roman" w:hAnsi="Times New Roman" w:eastAsia="仿宋_GB2312" w:cs="Times New Roman"/>
                <w:kern w:val="2"/>
              </w:rPr>
              <w:t>业绩，每提供一项得</w:t>
            </w:r>
            <w:r>
              <w:rPr>
                <w:rFonts w:hint="default" w:ascii="Times New Roman" w:hAnsi="Times New Roman" w:eastAsia="仿宋_GB2312" w:cs="Times New Roman"/>
                <w:kern w:val="2"/>
                <w:lang w:val="en-US" w:eastAsia="zh-CN"/>
              </w:rPr>
              <w:t>1</w:t>
            </w:r>
            <w:r>
              <w:rPr>
                <w:rFonts w:hint="default" w:ascii="Times New Roman" w:hAnsi="Times New Roman" w:eastAsia="仿宋_GB2312" w:cs="Times New Roman"/>
                <w:kern w:val="2"/>
              </w:rPr>
              <w:t>分，</w:t>
            </w:r>
            <w:r>
              <w:rPr>
                <w:rFonts w:hint="default" w:ascii="Times New Roman" w:hAnsi="Times New Roman" w:eastAsia="仿宋_GB2312" w:cs="Times New Roman"/>
                <w:kern w:val="2"/>
                <w:lang w:val="en-US" w:eastAsia="zh-CN"/>
              </w:rPr>
              <w:t>最高得4分。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2.同类项目服务获得区以上部门颁发的荣誉的，每获一项得2分，最高得8分。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3.项目团队配备的专职人员中，获得区以上部门颁发的婚姻家庭辅导工作荣誉或在相关期刊发表过婚姻家庭辅导和建设方面的调研文章或典型案例报导的，每一项得2分，最高得8分。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rPr>
              <w:t>注：</w:t>
            </w:r>
            <w:r>
              <w:rPr>
                <w:rFonts w:hint="default" w:ascii="Times New Roman" w:hAnsi="Times New Roman" w:eastAsia="仿宋_GB2312" w:cs="Times New Roman"/>
                <w:kern w:val="2"/>
                <w:lang w:val="en-US"/>
              </w:rPr>
              <w:t>.</w:t>
            </w:r>
            <w:r>
              <w:rPr>
                <w:rFonts w:hint="default" w:ascii="Times New Roman" w:hAnsi="Times New Roman" w:eastAsia="仿宋_GB2312" w:cs="Times New Roman"/>
                <w:kern w:val="2"/>
              </w:rPr>
              <w:t>提供</w:t>
            </w:r>
            <w:r>
              <w:rPr>
                <w:rFonts w:hint="default" w:ascii="Times New Roman" w:hAnsi="Times New Roman" w:eastAsia="仿宋_GB2312" w:cs="Times New Roman"/>
                <w:kern w:val="2"/>
                <w:lang w:val="en-US" w:eastAsia="zh-CN"/>
              </w:rPr>
              <w:t>服务</w:t>
            </w:r>
            <w:r>
              <w:rPr>
                <w:rFonts w:hint="default" w:ascii="Times New Roman" w:hAnsi="Times New Roman" w:eastAsia="仿宋_GB2312" w:cs="Times New Roman"/>
                <w:kern w:val="2"/>
              </w:rPr>
              <w:t>合同关键页（包括：合同封面、内容页及双方签章页等或中标通知书</w:t>
            </w:r>
            <w:r>
              <w:rPr>
                <w:rFonts w:hint="default" w:ascii="Times New Roman" w:hAnsi="Times New Roman" w:eastAsia="仿宋_GB2312" w:cs="Times New Roman"/>
                <w:kern w:val="2"/>
                <w:lang w:eastAsia="zh-CN"/>
              </w:rPr>
              <w:t>）、</w:t>
            </w:r>
            <w:r>
              <w:rPr>
                <w:rFonts w:hint="default" w:ascii="Times New Roman" w:hAnsi="Times New Roman" w:eastAsia="仿宋_GB2312" w:cs="Times New Roman"/>
                <w:kern w:val="2"/>
                <w:lang w:val="en-US" w:eastAsia="zh-CN"/>
              </w:rPr>
              <w:t>荣誉证书和发表文章期刊</w:t>
            </w:r>
            <w:r>
              <w:rPr>
                <w:rFonts w:hint="default" w:ascii="Times New Roman" w:hAnsi="Times New Roman" w:eastAsia="仿宋_GB2312" w:cs="Times New Roman"/>
                <w:kern w:val="2"/>
              </w:rPr>
              <w:t>复印件加盖投标人公章，不提供的不得分。</w:t>
            </w:r>
          </w:p>
        </w:tc>
        <w:tc>
          <w:tcPr>
            <w:tcW w:w="849"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cs="Times New Roman"/>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lang w:val="en-US" w:eastAsia="zh-CN"/>
              </w:rPr>
              <w:t>3</w:t>
            </w:r>
          </w:p>
        </w:tc>
        <w:tc>
          <w:tcPr>
            <w:tcW w:w="1773"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cs="Times New Roman"/>
                <w:b/>
                <w:sz w:val="21"/>
                <w:szCs w:val="21"/>
                <w:lang w:val="en-US"/>
              </w:rPr>
            </w:pPr>
            <w:r>
              <w:rPr>
                <w:rFonts w:hint="default" w:ascii="Times New Roman" w:hAnsi="Times New Roman" w:eastAsia="宋体" w:cs="Times New Roman"/>
                <w:b/>
                <w:sz w:val="21"/>
                <w:szCs w:val="21"/>
              </w:rPr>
              <w:t>项目报价（</w:t>
            </w:r>
            <w:r>
              <w:rPr>
                <w:rFonts w:hint="default" w:ascii="Times New Roman" w:hAnsi="Times New Roman" w:cs="Times New Roman"/>
                <w:b/>
                <w:sz w:val="21"/>
                <w:szCs w:val="21"/>
                <w:lang w:val="en-US" w:eastAsia="zh-CN"/>
              </w:rPr>
              <w:t>15</w:t>
            </w:r>
            <w:r>
              <w:rPr>
                <w:rFonts w:hint="default" w:ascii="Times New Roman" w:hAnsi="Times New Roman" w:eastAsia="宋体" w:cs="Times New Roman"/>
                <w:b/>
                <w:sz w:val="21"/>
                <w:szCs w:val="21"/>
              </w:rPr>
              <w:t>分）</w:t>
            </w:r>
          </w:p>
        </w:tc>
        <w:tc>
          <w:tcPr>
            <w:tcW w:w="6768"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eastAsia="仿宋_GB2312" w:cs="Times New Roman"/>
                <w:lang w:val="en-US"/>
              </w:rPr>
            </w:pPr>
            <w:r>
              <w:rPr>
                <w:rFonts w:hint="default" w:ascii="Times New Roman" w:hAnsi="Times New Roman" w:eastAsia="仿宋_GB2312" w:cs="Times New Roman"/>
                <w:kern w:val="2"/>
              </w:rPr>
              <w:t>投标报价得分＝（评标基准价</w:t>
            </w:r>
            <w:r>
              <w:rPr>
                <w:rFonts w:hint="default" w:ascii="Times New Roman" w:hAnsi="Times New Roman" w:eastAsia="仿宋_GB2312" w:cs="Times New Roman"/>
                <w:kern w:val="2"/>
                <w:lang w:val="en-US"/>
              </w:rPr>
              <w:t>/</w:t>
            </w:r>
            <w:r>
              <w:rPr>
                <w:rFonts w:hint="default" w:ascii="Times New Roman" w:hAnsi="Times New Roman" w:eastAsia="仿宋_GB2312" w:cs="Times New Roman"/>
                <w:kern w:val="2"/>
              </w:rPr>
              <w:t>投标报价）</w:t>
            </w:r>
            <w:r>
              <w:rPr>
                <w:rFonts w:hint="default" w:ascii="Times New Roman" w:hAnsi="Times New Roman" w:eastAsia="仿宋_GB2312" w:cs="Times New Roman"/>
                <w:kern w:val="2"/>
                <w:lang w:val="en-US"/>
              </w:rPr>
              <w:t>×</w:t>
            </w:r>
            <w:r>
              <w:rPr>
                <w:rFonts w:hint="default" w:ascii="Times New Roman" w:hAnsi="Times New Roman" w:eastAsia="仿宋_GB2312" w:cs="Times New Roman"/>
                <w:kern w:val="2"/>
              </w:rPr>
              <w:t>价格分值【注：满足招标文件要求且投标价格最低的投标报价为评标基准价。】</w:t>
            </w:r>
          </w:p>
        </w:tc>
        <w:tc>
          <w:tcPr>
            <w:tcW w:w="849" w:type="dxa"/>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cs="Times New Roman"/>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宋体" w:cs="Times New Roman"/>
                <w:sz w:val="21"/>
                <w:szCs w:val="21"/>
              </w:rPr>
            </w:pPr>
          </w:p>
        </w:tc>
        <w:tc>
          <w:tcPr>
            <w:tcW w:w="1773"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cs="Times New Roman"/>
                <w:b/>
                <w:sz w:val="21"/>
                <w:szCs w:val="21"/>
                <w:lang w:val="en-US"/>
              </w:rPr>
            </w:pPr>
            <w:r>
              <w:rPr>
                <w:rFonts w:hint="default" w:ascii="Times New Roman" w:hAnsi="Times New Roman" w:eastAsia="宋体" w:cs="Times New Roman"/>
                <w:sz w:val="21"/>
                <w:szCs w:val="21"/>
              </w:rPr>
              <w:t>合计：</w:t>
            </w:r>
          </w:p>
        </w:tc>
        <w:tc>
          <w:tcPr>
            <w:tcW w:w="7617" w:type="dxa"/>
            <w:gridSpan w:val="2"/>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imes New Roman" w:hAnsi="Times New Roman" w:cs="Times New Roman"/>
                <w:sz w:val="18"/>
                <w:szCs w:val="18"/>
                <w:lang w:val="en-US"/>
              </w:rPr>
            </w:pPr>
          </w:p>
        </w:tc>
      </w:tr>
    </w:tbl>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rPr>
      </w:pPr>
      <w:r>
        <w:rPr>
          <w:rFonts w:hint="eastAsia" w:ascii="仿宋_GB2312" w:hAnsi="Times New Roman" w:eastAsia="仿宋_GB2312" w:cs="仿宋_GB2312"/>
          <w:kern w:val="2"/>
          <w:sz w:val="21"/>
          <w:szCs w:val="22"/>
          <w:lang w:val="en-US" w:eastAsia="zh-CN" w:bidi="ar"/>
        </w:rPr>
        <w:t>说明：按总得分由高到低的顺序确定中选人；如总得分相同，则按报价低者得的原则确定中选人；总得分排名第一的投标供应商为第一中标候选人，排名第二的为第二中标候选人，以此类推。</w:t>
      </w:r>
    </w:p>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57435"/>
    <w:multiLevelType w:val="singleLevel"/>
    <w:tmpl w:val="BCF57435"/>
    <w:lvl w:ilvl="0" w:tentative="0">
      <w:start w:val="1"/>
      <w:numFmt w:val="decimal"/>
      <w:lvlText w:val="%1."/>
      <w:lvlJc w:val="left"/>
      <w:pPr>
        <w:tabs>
          <w:tab w:val="left" w:pos="312"/>
        </w:tabs>
      </w:pPr>
    </w:lvl>
  </w:abstractNum>
  <w:abstractNum w:abstractNumId="1">
    <w:nsid w:val="1B978A4C"/>
    <w:multiLevelType w:val="singleLevel"/>
    <w:tmpl w:val="1B978A4C"/>
    <w:lvl w:ilvl="0" w:tentative="0">
      <w:start w:val="1"/>
      <w:numFmt w:val="decimal"/>
      <w:lvlText w:val="%1."/>
      <w:lvlJc w:val="left"/>
      <w:pPr>
        <w:tabs>
          <w:tab w:val="left" w:pos="312"/>
        </w:tabs>
      </w:pPr>
    </w:lvl>
  </w:abstractNum>
  <w:abstractNum w:abstractNumId="2">
    <w:nsid w:val="22B1A658"/>
    <w:multiLevelType w:val="singleLevel"/>
    <w:tmpl w:val="22B1A658"/>
    <w:lvl w:ilvl="0" w:tentative="0">
      <w:start w:val="4"/>
      <w:numFmt w:val="decimal"/>
      <w:lvlText w:val="%1."/>
      <w:lvlJc w:val="left"/>
      <w:pPr>
        <w:tabs>
          <w:tab w:val="left" w:pos="312"/>
        </w:tabs>
      </w:pPr>
    </w:lvl>
  </w:abstractNum>
  <w:abstractNum w:abstractNumId="3">
    <w:nsid w:val="70B56A1E"/>
    <w:multiLevelType w:val="singleLevel"/>
    <w:tmpl w:val="70B56A1E"/>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F070F"/>
    <w:rsid w:val="067F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2025-05-29T03:23:00Z</dcterms:created>
  <dc:creator>区民政局</dc:creator>
  <cp:lastModifiedBy>区民政局</cp:lastModifiedBy>
  <dcterms:modified xsi:type="dcterms:W3CDTF">2025-05-29T03:23:47Z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