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ind w:left="0"/>
        <w:rPr>
          <w:rFonts w:hint="default" w:ascii="Times New Roman" w:hAnsi="Times New Roman" w:cs="Times New Roman"/>
          <w:sz w:val="20"/>
          <w:lang w:val="en-US"/>
        </w:rPr>
      </w:pPr>
      <w:r>
        <w:rPr>
          <w:rFonts w:hint="default" w:ascii="Times New Roman" w:hAnsi="Times New Roman" w:cs="Times New Roman"/>
          <w:sz w:val="20"/>
          <w:lang w:val="en-US"/>
        </w:rPr>
        <w:t xml:space="preserve">       </w:t>
      </w: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pStyle w:val="5"/>
        <w:spacing w:before="0"/>
        <w:ind w:left="0"/>
        <w:rPr>
          <w:rFonts w:hint="default" w:ascii="Times New Roman" w:hAnsi="Times New Roman" w:cs="Times New Roman"/>
          <w:sz w:val="20"/>
        </w:rPr>
      </w:pPr>
    </w:p>
    <w:p>
      <w:pPr>
        <w:spacing w:before="24" w:line="718" w:lineRule="exact"/>
        <w:ind w:right="133"/>
        <w:jc w:val="center"/>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“健康天河 2030”规划</w:t>
      </w:r>
    </w:p>
    <w:p>
      <w:pPr>
        <w:spacing w:line="718" w:lineRule="exact"/>
        <w:ind w:right="137"/>
        <w:jc w:val="center"/>
        <w:rPr>
          <w:rFonts w:hint="default" w:ascii="Times New Roman" w:hAnsi="Times New Roman" w:eastAsia="微软雅黑" w:cs="Times New Roman"/>
          <w:sz w:val="44"/>
        </w:rPr>
        <w:sectPr>
          <w:type w:val="continuous"/>
          <w:pgSz w:w="11910" w:h="16840"/>
          <w:pgMar w:top="1580" w:right="1540" w:bottom="280" w:left="1680" w:header="720" w:footer="720" w:gutter="0"/>
          <w:cols w:space="720" w:num="1"/>
        </w:sectPr>
      </w:pPr>
    </w:p>
    <w:p>
      <w:pPr>
        <w:pStyle w:val="5"/>
        <w:spacing w:before="7"/>
        <w:ind w:left="0"/>
        <w:rPr>
          <w:rFonts w:hint="default" w:ascii="Times New Roman" w:hAnsi="Times New Roman" w:cs="Times New Roman"/>
          <w:b/>
          <w:sz w:val="7"/>
        </w:rPr>
      </w:pPr>
    </w:p>
    <w:sdt>
      <w:sdtPr>
        <w:rPr>
          <w:rFonts w:hint="default" w:ascii="Times New Roman" w:hAnsi="Times New Roman" w:eastAsia="宋体" w:cs="Times New Roman"/>
          <w:b/>
          <w:bCs/>
          <w:color w:val="auto"/>
          <w:sz w:val="22"/>
          <w:szCs w:val="22"/>
          <w:lang w:val="zh-CN" w:bidi="zh-CN"/>
        </w:rPr>
        <w:id w:val="569766878"/>
      </w:sdtPr>
      <w:sdtEndPr>
        <w:rPr>
          <w:rFonts w:hint="default" w:ascii="Times New Roman" w:hAnsi="Times New Roman" w:eastAsia="宋体" w:cs="Times New Roman"/>
          <w:b/>
          <w:bCs/>
          <w:color w:val="auto"/>
          <w:sz w:val="22"/>
          <w:szCs w:val="22"/>
          <w:lang w:val="zh-CN" w:bidi="zh-CN"/>
        </w:rPr>
      </w:sdtEndPr>
      <w:sdtContent>
        <w:p>
          <w:pPr>
            <w:pStyle w:val="26"/>
            <w:jc w:val="center"/>
            <w:rPr>
              <w:rFonts w:hint="default" w:ascii="Times New Roman" w:hAnsi="Times New Roman" w:cs="Times New Roman"/>
              <w:b/>
              <w:bCs/>
              <w:color w:val="auto"/>
            </w:rPr>
          </w:pPr>
          <w:r>
            <w:rPr>
              <w:rFonts w:hint="default" w:ascii="Times New Roman" w:hAnsi="Times New Roman" w:cs="Times New Roman"/>
              <w:b/>
              <w:bCs/>
              <w:color w:val="auto"/>
              <w:lang w:val="zh-CN"/>
            </w:rPr>
            <w:t>目</w:t>
          </w:r>
          <w:r>
            <w:rPr>
              <w:rFonts w:hint="default" w:ascii="Times New Roman" w:hAnsi="Times New Roman" w:cs="Times New Roman"/>
              <w:b/>
              <w:bCs/>
              <w:color w:val="auto"/>
            </w:rPr>
            <w:t xml:space="preserve">     </w:t>
          </w:r>
          <w:r>
            <w:rPr>
              <w:rFonts w:hint="default" w:ascii="Times New Roman" w:hAnsi="Times New Roman" w:cs="Times New Roman"/>
              <w:b/>
              <w:bCs/>
              <w:color w:val="auto"/>
              <w:lang w:val="zh-CN"/>
            </w:rPr>
            <w:t>录</w:t>
          </w:r>
        </w:p>
        <w:p>
          <w:pPr>
            <w:pStyle w:val="9"/>
            <w:tabs>
              <w:tab w:val="right" w:leader="dot" w:pos="8690"/>
            </w:tabs>
            <w:spacing w:line="48" w:lineRule="auto"/>
            <w:ind w:right="25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"_Toc19266" </w:instrText>
          </w:r>
          <w:r>
            <w:rPr>
              <w:rFonts w:hint="default" w:ascii="Times New Roman" w:hAnsi="Times New Roman" w:cs="Times New Roman"/>
            </w:rPr>
            <w:fldChar w:fldCharType="separate"/>
          </w:r>
          <w:r>
            <w:rPr>
              <w:rFonts w:hint="default" w:ascii="Times New Roman" w:hAnsi="Times New Roman" w:eastAsia="仿宋_GB2312" w:cs="Times New Roman"/>
            </w:rPr>
            <w:t>一、 总体战略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_Toc19266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"_Toc27511" </w:instrText>
          </w:r>
          <w:r>
            <w:rPr>
              <w:rFonts w:hint="default" w:ascii="Times New Roman" w:hAnsi="Times New Roman" w:cs="Times New Roman"/>
            </w:rPr>
            <w:fldChar w:fldCharType="separate"/>
          </w:r>
          <w:r>
            <w:rPr>
              <w:rFonts w:hint="default" w:ascii="Times New Roman" w:hAnsi="Times New Roman" w:eastAsia="仿宋_GB2312" w:cs="Times New Roman"/>
            </w:rPr>
            <w:t>（一） 指导思想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_Toc27511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"_Toc28455" </w:instrText>
          </w:r>
          <w:r>
            <w:rPr>
              <w:rFonts w:hint="default" w:ascii="Times New Roman" w:hAnsi="Times New Roman" w:cs="Times New Roman"/>
            </w:rPr>
            <w:fldChar w:fldCharType="separate"/>
          </w:r>
          <w:r>
            <w:rPr>
              <w:rFonts w:hint="default" w:ascii="Times New Roman" w:hAnsi="Times New Roman" w:eastAsia="仿宋_GB2312" w:cs="Times New Roman"/>
            </w:rPr>
            <w:t>（二） 基本原则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_Toc28455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"_Toc14427" </w:instrText>
          </w:r>
          <w:r>
            <w:rPr>
              <w:rFonts w:hint="default" w:ascii="Times New Roman" w:hAnsi="Times New Roman" w:cs="Times New Roman"/>
            </w:rPr>
            <w:fldChar w:fldCharType="separate"/>
          </w:r>
          <w:r>
            <w:rPr>
              <w:rFonts w:hint="default" w:ascii="Times New Roman" w:hAnsi="Times New Roman" w:eastAsia="仿宋_GB2312" w:cs="Times New Roman"/>
            </w:rPr>
            <w:t>（三） 总体目标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_Toc14427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69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"_Toc7267" </w:instrText>
          </w:r>
          <w:r>
            <w:rPr>
              <w:rFonts w:hint="default" w:ascii="Times New Roman" w:hAnsi="Times New Roman" w:cs="Times New Roman"/>
            </w:rPr>
            <w:fldChar w:fldCharType="separate"/>
          </w:r>
          <w:r>
            <w:rPr>
              <w:rFonts w:hint="default" w:ascii="Times New Roman" w:hAnsi="Times New Roman" w:eastAsia="仿宋_GB2312" w:cs="Times New Roman"/>
            </w:rPr>
            <w:t>二、 普及健康生活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_Toc7267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"_Toc15379" </w:instrText>
          </w:r>
          <w:r>
            <w:rPr>
              <w:rFonts w:hint="default" w:ascii="Times New Roman" w:hAnsi="Times New Roman" w:cs="Times New Roman"/>
            </w:rPr>
            <w:fldChar w:fldCharType="separate"/>
          </w:r>
          <w:r>
            <w:rPr>
              <w:rFonts w:hint="default" w:ascii="Times New Roman" w:hAnsi="Times New Roman" w:eastAsia="仿宋_GB2312" w:cs="Times New Roman"/>
            </w:rPr>
            <w:t>（一） 加强全民健康促进与教育工作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_Toc15379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"_Toc6555" </w:instrText>
          </w:r>
          <w:r>
            <w:rPr>
              <w:rFonts w:hint="default" w:ascii="Times New Roman" w:hAnsi="Times New Roman" w:cs="Times New Roman"/>
            </w:rPr>
            <w:fldChar w:fldCharType="separate"/>
          </w:r>
          <w:r>
            <w:rPr>
              <w:rFonts w:hint="default" w:ascii="Times New Roman" w:hAnsi="Times New Roman" w:eastAsia="仿宋_GB2312" w:cs="Times New Roman"/>
            </w:rPr>
            <w:t>（二） 建设健康文化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_Toc6555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"_Toc11110" </w:instrText>
          </w:r>
          <w:r>
            <w:rPr>
              <w:rFonts w:hint="default" w:ascii="Times New Roman" w:hAnsi="Times New Roman" w:cs="Times New Roman"/>
            </w:rPr>
            <w:fldChar w:fldCharType="separate"/>
          </w:r>
          <w:r>
            <w:rPr>
              <w:rFonts w:hint="default" w:ascii="Times New Roman" w:hAnsi="Times New Roman" w:eastAsia="仿宋_GB2312" w:cs="Times New Roman"/>
            </w:rPr>
            <w:t>（三） 塑造</w:t>
          </w:r>
          <w:r>
            <w:rPr>
              <w:rFonts w:hint="default" w:ascii="Times New Roman" w:hAnsi="Times New Roman" w:eastAsia="仿宋_GB2312" w:cs="Times New Roman"/>
              <w:lang w:val="en-US"/>
            </w:rPr>
            <w:t>自主自立</w:t>
          </w:r>
          <w:r>
            <w:rPr>
              <w:rFonts w:hint="default" w:ascii="Times New Roman" w:hAnsi="Times New Roman" w:eastAsia="仿宋_GB2312" w:cs="Times New Roman"/>
            </w:rPr>
            <w:t>健康行为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_Toc11110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"_Toc5715" </w:instrText>
          </w:r>
          <w:r>
            <w:rPr>
              <w:rFonts w:hint="default" w:ascii="Times New Roman" w:hAnsi="Times New Roman" w:cs="Times New Roman"/>
            </w:rPr>
            <w:fldChar w:fldCharType="separate"/>
          </w:r>
          <w:r>
            <w:rPr>
              <w:rFonts w:hint="default" w:ascii="Times New Roman" w:hAnsi="Times New Roman" w:eastAsia="仿宋_GB2312" w:cs="Times New Roman"/>
            </w:rPr>
            <w:t>（四） 推动全民健身</w:t>
          </w:r>
          <w:r>
            <w:rPr>
              <w:rFonts w:hint="default" w:ascii="Times New Roman" w:hAnsi="Times New Roman" w:eastAsia="仿宋_GB2312" w:cs="Times New Roman"/>
              <w:lang w:val="en-US"/>
            </w:rPr>
            <w:t>普及</w:t>
          </w:r>
          <w:r>
            <w:rPr>
              <w:rFonts w:hint="default" w:ascii="Times New Roman" w:hAnsi="Times New Roman" w:eastAsia="仿宋_GB2312" w:cs="Times New Roman"/>
            </w:rPr>
            <w:t>化</w:t>
          </w:r>
          <w:r>
            <w:rPr>
              <w:rFonts w:hint="default" w:ascii="Times New Roman" w:hAnsi="Times New Roman" w:eastAsia="仿宋_GB2312" w:cs="Times New Roman"/>
              <w:lang w:val="en-US"/>
            </w:rPr>
            <w:t>科学</w:t>
          </w:r>
          <w:r>
            <w:rPr>
              <w:rFonts w:hint="default" w:ascii="Times New Roman" w:hAnsi="Times New Roman" w:eastAsia="仿宋_GB2312" w:cs="Times New Roman"/>
            </w:rPr>
            <w:t>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_Toc5715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69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"_Toc22101" </w:instrText>
          </w:r>
          <w:r>
            <w:rPr>
              <w:rFonts w:hint="default" w:ascii="Times New Roman" w:hAnsi="Times New Roman" w:cs="Times New Roman"/>
            </w:rPr>
            <w:fldChar w:fldCharType="separate"/>
          </w:r>
          <w:r>
            <w:rPr>
              <w:rFonts w:hint="default" w:ascii="Times New Roman" w:hAnsi="Times New Roman" w:eastAsia="仿宋_GB2312" w:cs="Times New Roman"/>
            </w:rPr>
            <w:t>三、 建设健康美丽宜居环境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_Toc22101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"_Toc12001" </w:instrText>
          </w:r>
          <w:r>
            <w:rPr>
              <w:rFonts w:hint="default" w:ascii="Times New Roman" w:hAnsi="Times New Roman" w:cs="Times New Roman"/>
            </w:rPr>
            <w:fldChar w:fldCharType="separate"/>
          </w:r>
          <w:r>
            <w:rPr>
              <w:rFonts w:hint="default" w:ascii="Times New Roman" w:hAnsi="Times New Roman" w:eastAsia="仿宋_GB2312" w:cs="Times New Roman"/>
            </w:rPr>
            <w:t>（一） 开展爱国卫生运动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_Toc12001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"_Toc19127" </w:instrText>
          </w:r>
          <w:r>
            <w:rPr>
              <w:rFonts w:hint="default" w:ascii="Times New Roman" w:hAnsi="Times New Roman" w:cs="Times New Roman"/>
            </w:rPr>
            <w:fldChar w:fldCharType="separate"/>
          </w:r>
          <w:r>
            <w:rPr>
              <w:rFonts w:hint="default" w:ascii="Times New Roman" w:hAnsi="Times New Roman" w:eastAsia="仿宋_GB2312" w:cs="Times New Roman"/>
            </w:rPr>
            <w:t>（二） 营造公共安全环境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_Toc19127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"_Toc31031" </w:instrText>
          </w:r>
          <w:r>
            <w:rPr>
              <w:rFonts w:hint="default" w:ascii="Times New Roman" w:hAnsi="Times New Roman" w:cs="Times New Roman"/>
            </w:rPr>
            <w:fldChar w:fldCharType="separate"/>
          </w:r>
          <w:r>
            <w:rPr>
              <w:rFonts w:hint="default" w:ascii="Times New Roman" w:hAnsi="Times New Roman" w:eastAsia="仿宋_GB2312" w:cs="Times New Roman"/>
            </w:rPr>
            <w:t>（三） 加强影响健康的环境问题治理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_Toc31031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"_Toc20574" </w:instrText>
          </w:r>
          <w:r>
            <w:rPr>
              <w:rFonts w:hint="default" w:ascii="Times New Roman" w:hAnsi="Times New Roman" w:cs="Times New Roman"/>
            </w:rPr>
            <w:fldChar w:fldCharType="separate"/>
          </w:r>
          <w:r>
            <w:rPr>
              <w:rFonts w:hint="default" w:ascii="Times New Roman" w:hAnsi="Times New Roman" w:eastAsia="仿宋_GB2312" w:cs="Times New Roman"/>
            </w:rPr>
            <w:t>（四） 保障食品药品安全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_Toc20574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69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"_Toc10464" </w:instrText>
          </w:r>
          <w:r>
            <w:rPr>
              <w:rFonts w:hint="default" w:ascii="Times New Roman" w:hAnsi="Times New Roman" w:cs="Times New Roman"/>
            </w:rPr>
            <w:fldChar w:fldCharType="separate"/>
          </w:r>
          <w:r>
            <w:rPr>
              <w:rFonts w:hint="default" w:ascii="Times New Roman" w:hAnsi="Times New Roman" w:eastAsia="仿宋_GB2312" w:cs="Times New Roman"/>
            </w:rPr>
            <w:t>四、 优化健康服务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_Toc10464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"_Toc13224" </w:instrText>
          </w:r>
          <w:r>
            <w:rPr>
              <w:rFonts w:hint="default" w:ascii="Times New Roman" w:hAnsi="Times New Roman" w:cs="Times New Roman"/>
            </w:rPr>
            <w:fldChar w:fldCharType="separate"/>
          </w:r>
          <w:r>
            <w:rPr>
              <w:rFonts w:hint="default" w:ascii="Times New Roman" w:hAnsi="Times New Roman" w:eastAsia="仿宋_GB2312" w:cs="Times New Roman"/>
            </w:rPr>
            <w:t>（一） 构建整合型卫生服务体系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_Toc13224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"_Toc3028" </w:instrText>
          </w:r>
          <w:r>
            <w:rPr>
              <w:rFonts w:hint="default" w:ascii="Times New Roman" w:hAnsi="Times New Roman" w:cs="Times New Roman"/>
            </w:rPr>
            <w:fldChar w:fldCharType="separate"/>
          </w:r>
          <w:r>
            <w:rPr>
              <w:rFonts w:hint="default" w:ascii="Times New Roman" w:hAnsi="Times New Roman" w:eastAsia="仿宋_GB2312" w:cs="Times New Roman"/>
            </w:rPr>
            <w:t>（二） 推进医疗卫生服务优质化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_Toc3028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"_Toc14708" </w:instrText>
          </w:r>
          <w:r>
            <w:rPr>
              <w:rFonts w:hint="default" w:ascii="Times New Roman" w:hAnsi="Times New Roman" w:cs="Times New Roman"/>
            </w:rPr>
            <w:fldChar w:fldCharType="separate"/>
          </w:r>
          <w:r>
            <w:rPr>
              <w:rFonts w:hint="default" w:ascii="Times New Roman" w:hAnsi="Times New Roman" w:eastAsia="仿宋_GB2312" w:cs="Times New Roman"/>
            </w:rPr>
            <w:t>（三） 构建覆盖基层、优化协同高效的公共卫生服务体系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_Toc14708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"_Toc28442" </w:instrText>
          </w:r>
          <w:r>
            <w:rPr>
              <w:rFonts w:hint="default" w:ascii="Times New Roman" w:hAnsi="Times New Roman" w:cs="Times New Roman"/>
            </w:rPr>
            <w:fldChar w:fldCharType="separate"/>
          </w:r>
          <w:r>
            <w:rPr>
              <w:rFonts w:hint="default" w:ascii="Times New Roman" w:hAnsi="Times New Roman" w:eastAsia="仿宋_GB2312" w:cs="Times New Roman"/>
            </w:rPr>
            <w:t>（四） 发展中医药特色服务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_Toc28442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69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"_Toc12232" </w:instrText>
          </w:r>
          <w:r>
            <w:rPr>
              <w:rFonts w:hint="default" w:ascii="Times New Roman" w:hAnsi="Times New Roman" w:cs="Times New Roman"/>
            </w:rPr>
            <w:fldChar w:fldCharType="separate"/>
          </w:r>
          <w:r>
            <w:rPr>
              <w:rFonts w:hint="default" w:ascii="Times New Roman" w:hAnsi="Times New Roman" w:eastAsia="仿宋_GB2312" w:cs="Times New Roman"/>
            </w:rPr>
            <w:t>五、 维护重点人群健康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_Toc12232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"_Toc12624" </w:instrText>
          </w:r>
          <w:r>
            <w:rPr>
              <w:rFonts w:hint="default" w:ascii="Times New Roman" w:hAnsi="Times New Roman" w:cs="Times New Roman"/>
            </w:rPr>
            <w:fldChar w:fldCharType="separate"/>
          </w:r>
          <w:r>
            <w:rPr>
              <w:rFonts w:hint="default" w:ascii="Times New Roman" w:hAnsi="Times New Roman" w:eastAsia="仿宋_GB2312" w:cs="Times New Roman"/>
            </w:rPr>
            <w:t>（一） 优化妇幼健康与计划生育服务水平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_Toc12624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"_Toc26802" </w:instrText>
          </w:r>
          <w:r>
            <w:rPr>
              <w:rFonts w:hint="default" w:ascii="Times New Roman" w:hAnsi="Times New Roman" w:cs="Times New Roman"/>
            </w:rPr>
            <w:fldChar w:fldCharType="separate"/>
          </w:r>
          <w:r>
            <w:rPr>
              <w:rFonts w:hint="default" w:ascii="Times New Roman" w:hAnsi="Times New Roman" w:eastAsia="仿宋_GB2312" w:cs="Times New Roman"/>
              <w:lang w:val="en-US"/>
            </w:rPr>
            <w:t>（二） 优化青少年和中青年</w:t>
          </w:r>
          <w:r>
            <w:rPr>
              <w:rFonts w:hint="default" w:ascii="Times New Roman" w:hAnsi="Times New Roman" w:eastAsia="仿宋_GB2312" w:cs="Times New Roman"/>
            </w:rPr>
            <w:t>健康服务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_Toc26802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"_Toc14988" </w:instrText>
          </w:r>
          <w:r>
            <w:rPr>
              <w:rFonts w:hint="default" w:ascii="Times New Roman" w:hAnsi="Times New Roman" w:cs="Times New Roman"/>
            </w:rPr>
            <w:fldChar w:fldCharType="separate"/>
          </w:r>
          <w:r>
            <w:rPr>
              <w:rFonts w:hint="default" w:ascii="Times New Roman" w:hAnsi="Times New Roman" w:eastAsia="仿宋_GB2312" w:cs="Times New Roman"/>
            </w:rPr>
            <w:t>（三） 优化老年人健康服务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_Toc14988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"_Toc6443" </w:instrText>
          </w:r>
          <w:r>
            <w:rPr>
              <w:rFonts w:hint="default" w:ascii="Times New Roman" w:hAnsi="Times New Roman" w:cs="Times New Roman"/>
            </w:rPr>
            <w:fldChar w:fldCharType="separate"/>
          </w:r>
          <w:r>
            <w:rPr>
              <w:rFonts w:hint="default" w:ascii="Times New Roman" w:hAnsi="Times New Roman" w:eastAsia="仿宋_GB2312" w:cs="Times New Roman"/>
              <w:lang w:val="en-US"/>
            </w:rPr>
            <w:t xml:space="preserve">（四） </w:t>
          </w:r>
          <w:r>
            <w:rPr>
              <w:rFonts w:hint="default" w:ascii="Times New Roman" w:hAnsi="Times New Roman" w:eastAsia="仿宋_GB2312" w:cs="Times New Roman"/>
            </w:rPr>
            <w:t>优化残疾人健康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_Toc6443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69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"_Toc3128" </w:instrText>
          </w:r>
          <w:r>
            <w:rPr>
              <w:rFonts w:hint="default" w:ascii="Times New Roman" w:hAnsi="Times New Roman" w:cs="Times New Roman"/>
            </w:rPr>
            <w:fldChar w:fldCharType="separate"/>
          </w:r>
          <w:r>
            <w:rPr>
              <w:rFonts w:hint="default" w:ascii="Times New Roman" w:hAnsi="Times New Roman" w:eastAsia="仿宋_GB2312" w:cs="Times New Roman"/>
            </w:rPr>
            <w:t>六、 发展健康产业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_Toc3128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"_Toc9214" </w:instrText>
          </w:r>
          <w:r>
            <w:rPr>
              <w:rFonts w:hint="default" w:ascii="Times New Roman" w:hAnsi="Times New Roman" w:cs="Times New Roman"/>
            </w:rPr>
            <w:fldChar w:fldCharType="separate"/>
          </w:r>
          <w:r>
            <w:rPr>
              <w:rFonts w:hint="default" w:ascii="Times New Roman" w:hAnsi="Times New Roman" w:eastAsia="仿宋_GB2312" w:cs="Times New Roman"/>
            </w:rPr>
            <w:t>（一） 加快形成多元办医格局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_Toc9214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"_Toc28885" </w:instrText>
          </w:r>
          <w:r>
            <w:rPr>
              <w:rFonts w:hint="default" w:ascii="Times New Roman" w:hAnsi="Times New Roman" w:cs="Times New Roman"/>
            </w:rPr>
            <w:fldChar w:fldCharType="separate"/>
          </w:r>
          <w:r>
            <w:rPr>
              <w:rFonts w:hint="default" w:ascii="Times New Roman" w:hAnsi="Times New Roman" w:eastAsia="仿宋_GB2312" w:cs="Times New Roman"/>
            </w:rPr>
            <w:t xml:space="preserve">（二） </w:t>
          </w:r>
          <w:r>
            <w:rPr>
              <w:rFonts w:hint="default" w:ascii="Times New Roman" w:hAnsi="Times New Roman" w:eastAsia="仿宋_GB2312" w:cs="Times New Roman"/>
              <w:lang w:val="en-US"/>
            </w:rPr>
            <w:t>充分发挥天河区智能化、数字化等</w:t>
          </w:r>
          <w:r>
            <w:rPr>
              <w:rFonts w:hint="default" w:ascii="Times New Roman" w:hAnsi="Times New Roman" w:eastAsia="仿宋_GB2312" w:cs="Times New Roman"/>
            </w:rPr>
            <w:t>科技创新资源</w:t>
          </w:r>
          <w:r>
            <w:rPr>
              <w:rFonts w:hint="default" w:ascii="Times New Roman" w:hAnsi="Times New Roman" w:eastAsia="仿宋_GB2312" w:cs="Times New Roman"/>
              <w:lang w:val="en-US"/>
            </w:rPr>
            <w:t>，大力</w:t>
          </w:r>
          <w:r>
            <w:rPr>
              <w:rFonts w:hint="default" w:ascii="Times New Roman" w:hAnsi="Times New Roman" w:eastAsia="仿宋_GB2312" w:cs="Times New Roman"/>
            </w:rPr>
            <w:t>发展健康服务新业态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_Toc28885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"_Toc22789" </w:instrText>
          </w:r>
          <w:r>
            <w:rPr>
              <w:rFonts w:hint="default" w:ascii="Times New Roman" w:hAnsi="Times New Roman" w:cs="Times New Roman"/>
            </w:rPr>
            <w:fldChar w:fldCharType="separate"/>
          </w:r>
          <w:r>
            <w:rPr>
              <w:rFonts w:hint="default" w:ascii="Times New Roman" w:hAnsi="Times New Roman" w:eastAsia="仿宋_GB2312" w:cs="Times New Roman"/>
            </w:rPr>
            <w:t xml:space="preserve">（三） </w:t>
          </w:r>
          <w:r>
            <w:rPr>
              <w:rFonts w:hint="default" w:ascii="Times New Roman" w:hAnsi="Times New Roman" w:eastAsia="仿宋_GB2312" w:cs="Times New Roman"/>
              <w:lang w:val="en-US"/>
            </w:rPr>
            <w:t>加快推动天河区生物医药与健康产业高质量发展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_Toc22789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69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"_Toc21192" </w:instrText>
          </w:r>
          <w:r>
            <w:rPr>
              <w:rFonts w:hint="default" w:ascii="Times New Roman" w:hAnsi="Times New Roman" w:cs="Times New Roman"/>
            </w:rPr>
            <w:fldChar w:fldCharType="separate"/>
          </w:r>
          <w:r>
            <w:rPr>
              <w:rFonts w:hint="default" w:ascii="Times New Roman" w:hAnsi="Times New Roman" w:eastAsia="仿宋_GB2312" w:cs="Times New Roman"/>
              <w:lang w:val="en-US"/>
            </w:rPr>
            <w:t xml:space="preserve">七、 </w:t>
          </w:r>
          <w:r>
            <w:rPr>
              <w:rFonts w:hint="default" w:ascii="Times New Roman" w:hAnsi="Times New Roman" w:eastAsia="仿宋_GB2312" w:cs="Times New Roman"/>
            </w:rPr>
            <w:t>健全健康支撑与保障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_Toc21192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"_Toc13116" </w:instrText>
          </w:r>
          <w:r>
            <w:rPr>
              <w:rFonts w:hint="default" w:ascii="Times New Roman" w:hAnsi="Times New Roman" w:cs="Times New Roman"/>
            </w:rPr>
            <w:fldChar w:fldCharType="separate"/>
          </w:r>
          <w:r>
            <w:rPr>
              <w:rFonts w:hint="default" w:ascii="Times New Roman" w:hAnsi="Times New Roman" w:eastAsia="仿宋_GB2312" w:cs="Times New Roman"/>
            </w:rPr>
            <w:t>（一） 强化健康政策支撑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_Toc13116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"_Toc15003" </w:instrText>
          </w:r>
          <w:r>
            <w:rPr>
              <w:rFonts w:hint="default" w:ascii="Times New Roman" w:hAnsi="Times New Roman" w:cs="Times New Roman"/>
            </w:rPr>
            <w:fldChar w:fldCharType="separate"/>
          </w:r>
          <w:r>
            <w:rPr>
              <w:rFonts w:hint="default" w:ascii="Times New Roman" w:hAnsi="Times New Roman" w:eastAsia="仿宋_GB2312" w:cs="Times New Roman"/>
            </w:rPr>
            <w:t>（二） 完善健康筹资机制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_Toc15003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"_Toc13431" </w:instrText>
          </w:r>
          <w:r>
            <w:rPr>
              <w:rFonts w:hint="default" w:ascii="Times New Roman" w:hAnsi="Times New Roman" w:cs="Times New Roman"/>
            </w:rPr>
            <w:fldChar w:fldCharType="separate"/>
          </w:r>
          <w:r>
            <w:rPr>
              <w:rFonts w:hint="default" w:ascii="Times New Roman" w:hAnsi="Times New Roman" w:eastAsia="仿宋_GB2312" w:cs="Times New Roman"/>
            </w:rPr>
            <w:t>（三） 强化资源基础保障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_Toc13431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"_Toc14438" </w:instrText>
          </w:r>
          <w:r>
            <w:rPr>
              <w:rFonts w:hint="default" w:ascii="Times New Roman" w:hAnsi="Times New Roman" w:cs="Times New Roman"/>
            </w:rPr>
            <w:fldChar w:fldCharType="separate"/>
          </w:r>
          <w:r>
            <w:rPr>
              <w:rFonts w:hint="default" w:ascii="Times New Roman" w:hAnsi="Times New Roman" w:eastAsia="仿宋_GB2312" w:cs="Times New Roman"/>
            </w:rPr>
            <w:t>（四） 推动健康科技创新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_Toc14438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69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"_Toc13249" </w:instrText>
          </w:r>
          <w:r>
            <w:rPr>
              <w:rFonts w:hint="default" w:ascii="Times New Roman" w:hAnsi="Times New Roman" w:cs="Times New Roman"/>
            </w:rPr>
            <w:fldChar w:fldCharType="separate"/>
          </w:r>
          <w:r>
            <w:rPr>
              <w:rFonts w:hint="default" w:ascii="Times New Roman" w:hAnsi="Times New Roman" w:eastAsia="仿宋_GB2312" w:cs="Times New Roman"/>
            </w:rPr>
            <w:t>八、 组织实施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_Toc13249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"_Toc22827" </w:instrText>
          </w:r>
          <w:r>
            <w:rPr>
              <w:rFonts w:hint="default" w:ascii="Times New Roman" w:hAnsi="Times New Roman" w:cs="Times New Roman"/>
            </w:rPr>
            <w:fldChar w:fldCharType="separate"/>
          </w:r>
          <w:r>
            <w:rPr>
              <w:rFonts w:hint="default" w:ascii="Times New Roman" w:hAnsi="Times New Roman" w:eastAsia="仿宋_GB2312" w:cs="Times New Roman"/>
            </w:rPr>
            <w:t>（一） 加强组织领导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_Toc22827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"_Toc23465" </w:instrText>
          </w:r>
          <w:r>
            <w:rPr>
              <w:rFonts w:hint="default" w:ascii="Times New Roman" w:hAnsi="Times New Roman" w:cs="Times New Roman"/>
            </w:rPr>
            <w:fldChar w:fldCharType="separate"/>
          </w:r>
          <w:r>
            <w:rPr>
              <w:rFonts w:hint="default" w:ascii="Times New Roman" w:hAnsi="Times New Roman" w:eastAsia="仿宋_GB2312" w:cs="Times New Roman"/>
            </w:rPr>
            <w:t>（二） 营造良好氛围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_Toc23465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"_Toc4207" </w:instrText>
          </w:r>
          <w:r>
            <w:rPr>
              <w:rFonts w:hint="default" w:ascii="Times New Roman" w:hAnsi="Times New Roman" w:cs="Times New Roman"/>
            </w:rPr>
            <w:fldChar w:fldCharType="separate"/>
          </w:r>
          <w:r>
            <w:rPr>
              <w:rFonts w:hint="default" w:ascii="Times New Roman" w:hAnsi="Times New Roman" w:eastAsia="仿宋_GB2312" w:cs="Times New Roman"/>
            </w:rPr>
            <w:t>（三） 实施监测评价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_Toc4207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69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"_Toc16395" </w:instrText>
          </w:r>
          <w:r>
            <w:rPr>
              <w:rFonts w:hint="default" w:ascii="Times New Roman" w:hAnsi="Times New Roman" w:cs="Times New Roman"/>
            </w:rPr>
            <w:fldChar w:fldCharType="separate"/>
          </w:r>
          <w:r>
            <w:rPr>
              <w:rFonts w:hint="default" w:ascii="Times New Roman" w:hAnsi="Times New Roman" w:cs="Times New Roman"/>
            </w:rPr>
            <w:t>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_Toc16395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690"/>
            </w:tabs>
            <w:ind w:left="44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"_Toc32607" </w:instrText>
          </w:r>
          <w:r>
            <w:rPr>
              <w:rFonts w:hint="default" w:ascii="Times New Roman" w:hAnsi="Times New Roman" w:cs="Times New Roman"/>
            </w:rPr>
            <w:fldChar w:fldCharType="separate"/>
          </w:r>
          <w:r>
            <w:rPr>
              <w:rFonts w:hint="default" w:ascii="Times New Roman" w:hAnsi="Times New Roman" w:cs="Times New Roman"/>
            </w:rPr>
            <w:t>健康天河建设主要指标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_Toc32607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cs="Times New Roman"/>
            </w:rPr>
            <w:fldChar w:fldCharType="end"/>
          </w:r>
        </w:p>
        <w:p>
          <w:pPr>
            <w:spacing w:line="216" w:lineRule="auto"/>
            <w:rPr>
              <w:rFonts w:hint="default" w:ascii="Times New Roman" w:hAnsi="Times New Roman" w:cs="Times New Roman"/>
            </w:rPr>
          </w:pPr>
          <w:r>
            <w:rPr>
              <w:rFonts w:hint="default" w:ascii="Times New Roman" w:hAnsi="Times New Roman" w:cs="Times New Roman"/>
              <w:bCs/>
            </w:rPr>
            <w:fldChar w:fldCharType="end"/>
          </w:r>
        </w:p>
      </w:sdtContent>
    </w:sdt>
    <w:p>
      <w:pPr>
        <w:rPr>
          <w:rFonts w:hint="default" w:ascii="Times New Roman" w:hAnsi="Times New Roman" w:cs="Times New Roman"/>
        </w:rPr>
        <w:sectPr>
          <w:pgSz w:w="11910" w:h="16840"/>
          <w:pgMar w:top="1580" w:right="1540" w:bottom="280" w:left="1680" w:header="720" w:footer="720" w:gutter="0"/>
          <w:cols w:space="720" w:num="1"/>
        </w:sectPr>
      </w:pPr>
    </w:p>
    <w:p>
      <w:pPr>
        <w:spacing w:before="354"/>
        <w:ind w:right="133"/>
        <w:jc w:val="center"/>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“健康天河 2030”规划</w:t>
      </w:r>
    </w:p>
    <w:p>
      <w:pPr>
        <w:pStyle w:val="5"/>
        <w:spacing w:before="12"/>
        <w:ind w:left="0"/>
        <w:rPr>
          <w:rFonts w:hint="default" w:ascii="Times New Roman" w:hAnsi="Times New Roman" w:cs="Times New Roman"/>
          <w:b/>
          <w:sz w:val="35"/>
        </w:rPr>
      </w:pPr>
    </w:p>
    <w:p>
      <w:pPr>
        <w:ind w:firstLine="58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康是促进人的全面发展的必然要求,是经济社会发展的基础条件。实现健康长寿，是国家富强、民族振兴的重要标志，是广大人民群众的共同愿望。为贯彻落实《“健康中国2030”规划纲要》《“健康广东2030”规划》《“健康</w:t>
      </w:r>
      <w:r>
        <w:rPr>
          <w:rFonts w:hint="default" w:ascii="Times New Roman" w:hAnsi="Times New Roman" w:eastAsia="仿宋_GB2312" w:cs="Times New Roman"/>
          <w:sz w:val="32"/>
          <w:szCs w:val="32"/>
        </w:rPr>
        <w:t>广州</w:t>
      </w:r>
      <w:r>
        <w:rPr>
          <w:rFonts w:hint="default" w:ascii="Times New Roman" w:hAnsi="Times New Roman" w:eastAsia="仿宋_GB2312" w:cs="Times New Roman"/>
          <w:sz w:val="32"/>
          <w:szCs w:val="32"/>
        </w:rPr>
        <w:t>2030”》</w:t>
      </w:r>
      <w:r>
        <w:rPr>
          <w:rFonts w:hint="default" w:ascii="Times New Roman" w:hAnsi="Times New Roman" w:eastAsia="仿宋_GB2312" w:cs="Times New Roman"/>
          <w:sz w:val="32"/>
          <w:szCs w:val="32"/>
          <w:lang w:val="en-US"/>
        </w:rPr>
        <w:t>等文件精神</w:t>
      </w:r>
      <w:r>
        <w:rPr>
          <w:rFonts w:hint="default" w:ascii="Times New Roman" w:hAnsi="Times New Roman" w:eastAsia="仿宋_GB2312" w:cs="Times New Roman"/>
          <w:sz w:val="32"/>
          <w:szCs w:val="32"/>
        </w:rPr>
        <w:t>，结合我区卫生与健康发展实际，加快推进健康天河建设，进一步提高全区人民群众健康水平和满足人民日益增长的美好生活需要，制定本规划。</w:t>
      </w:r>
    </w:p>
    <w:p>
      <w:pPr>
        <w:pStyle w:val="12"/>
        <w:numPr>
          <w:ilvl w:val="0"/>
          <w:numId w:val="1"/>
        </w:numPr>
        <w:ind w:firstLine="643" w:firstLineChars="200"/>
        <w:jc w:val="left"/>
        <w:rPr>
          <w:rFonts w:hint="default" w:ascii="Times New Roman" w:hAnsi="Times New Roman" w:eastAsia="仿宋_GB2312" w:cs="Times New Roman"/>
        </w:rPr>
      </w:pPr>
      <w:bookmarkStart w:id="0" w:name="_Toc19266"/>
      <w:bookmarkStart w:id="1" w:name="_Toc7496"/>
      <w:r>
        <w:rPr>
          <w:rFonts w:hint="default" w:ascii="Times New Roman" w:hAnsi="Times New Roman" w:eastAsia="仿宋_GB2312" w:cs="Times New Roman"/>
        </w:rPr>
        <w:t>总体战略</w:t>
      </w:r>
      <w:bookmarkEnd w:id="0"/>
      <w:bookmarkEnd w:id="1"/>
      <w:bookmarkStart w:id="83" w:name="_GoBack"/>
      <w:bookmarkEnd w:id="83"/>
    </w:p>
    <w:p>
      <w:pPr>
        <w:pStyle w:val="3"/>
        <w:numPr>
          <w:ilvl w:val="0"/>
          <w:numId w:val="2"/>
        </w:numPr>
        <w:spacing w:line="240" w:lineRule="auto"/>
        <w:ind w:firstLine="643" w:firstLineChars="200"/>
        <w:rPr>
          <w:rFonts w:hint="default" w:ascii="Times New Roman" w:hAnsi="Times New Roman" w:eastAsia="仿宋_GB2312" w:cs="Times New Roman"/>
        </w:rPr>
      </w:pPr>
      <w:bookmarkStart w:id="2" w:name="_Toc27511"/>
      <w:bookmarkStart w:id="3" w:name="_Toc15458"/>
      <w:r>
        <w:rPr>
          <w:rFonts w:hint="default" w:ascii="Times New Roman" w:hAnsi="Times New Roman" w:eastAsia="仿宋_GB2312" w:cs="Times New Roman"/>
        </w:rPr>
        <w:t>指导思想</w:t>
      </w:r>
      <w:bookmarkEnd w:id="2"/>
      <w:bookmarkEnd w:id="3"/>
    </w:p>
    <w:p>
      <w:pPr>
        <w:spacing w:line="560" w:lineRule="exact"/>
        <w:ind w:firstLine="584"/>
        <w:jc w:val="both"/>
        <w:rPr>
          <w:rFonts w:hint="default" w:ascii="Times New Roman" w:hAnsi="Times New Roman" w:eastAsia="仿宋_GB2312" w:cs="Times New Roman"/>
          <w:sz w:val="32"/>
          <w:szCs w:val="32"/>
        </w:rPr>
      </w:pPr>
      <w:bookmarkStart w:id="4" w:name="一、指导思想"/>
      <w:bookmarkEnd w:id="4"/>
      <w:r>
        <w:rPr>
          <w:rFonts w:hint="default" w:ascii="Times New Roman" w:hAnsi="Times New Roman" w:eastAsia="仿宋_GB2312" w:cs="Times New Roman"/>
          <w:sz w:val="32"/>
          <w:szCs w:val="32"/>
        </w:rPr>
        <w:t>以习近平新时代中国特色社会主义思想为指导，全面贯彻党的十九大和十九届二中、三中、四中、五中、</w:t>
      </w:r>
      <w:r>
        <w:rPr>
          <w:rFonts w:hint="default" w:ascii="Times New Roman" w:hAnsi="Times New Roman" w:eastAsia="仿宋_GB2312" w:cs="Times New Roman"/>
          <w:sz w:val="32"/>
          <w:szCs w:val="32"/>
          <w:lang w:val="en-US"/>
        </w:rPr>
        <w:t>六中</w:t>
      </w:r>
      <w:r>
        <w:rPr>
          <w:rFonts w:hint="default" w:ascii="Times New Roman" w:hAnsi="Times New Roman" w:eastAsia="仿宋_GB2312" w:cs="Times New Roman"/>
          <w:sz w:val="32"/>
          <w:szCs w:val="32"/>
        </w:rPr>
        <w:t>全会精神，深入贯彻落实习近平总书记关于健康中国建设系列重要论述以及对广东重要讲话和重要指示批示精神，坚持新时代卫生与健康工作方针，以保障人民生命安全和身体健康为中心，以全方位立体化普及健康生活、优化全生命周期全链条健康服务、建设健康美丽宜居环境、维护城区公共卫生安全、促进健康产业创新发展、健全健康支撑与保障为重点，以改革创新为动力，把健康融入所有政策，</w:t>
      </w:r>
      <w:r>
        <w:rPr>
          <w:rFonts w:hint="default" w:ascii="Times New Roman" w:hAnsi="Times New Roman" w:eastAsia="仿宋_GB2312" w:cs="Times New Roman"/>
          <w:sz w:val="32"/>
          <w:szCs w:val="32"/>
          <w:lang w:val="en-US"/>
        </w:rPr>
        <w:t>加快转变健康领域发展方式，推进卫生健康领域高质量发展</w:t>
      </w:r>
      <w:r>
        <w:rPr>
          <w:rFonts w:hint="default" w:ascii="Times New Roman" w:hAnsi="Times New Roman" w:eastAsia="仿宋_GB2312" w:cs="Times New Roman"/>
          <w:sz w:val="32"/>
          <w:szCs w:val="32"/>
        </w:rPr>
        <w:t>，强化政府、社会和个人责任，全方位、全周期保障人民健康，实现健康与经济、社会协调发展，力创健康城市天河</w:t>
      </w:r>
      <w:r>
        <w:rPr>
          <w:rFonts w:hint="default" w:ascii="Times New Roman" w:hAnsi="Times New Roman" w:eastAsia="仿宋_GB2312" w:cs="Times New Roman"/>
          <w:sz w:val="32"/>
          <w:szCs w:val="32"/>
          <w:lang w:val="en-US"/>
        </w:rPr>
        <w:t>城区</w:t>
      </w:r>
      <w:r>
        <w:rPr>
          <w:rFonts w:hint="default" w:ascii="Times New Roman" w:hAnsi="Times New Roman" w:eastAsia="仿宋_GB2312" w:cs="Times New Roman"/>
          <w:sz w:val="32"/>
          <w:szCs w:val="32"/>
        </w:rPr>
        <w:t>典范，为</w:t>
      </w:r>
      <w:r>
        <w:rPr>
          <w:rFonts w:hint="default" w:ascii="Times New Roman" w:hAnsi="Times New Roman" w:eastAsia="仿宋_GB2312" w:cs="Times New Roman"/>
          <w:sz w:val="32"/>
          <w:szCs w:val="32"/>
          <w:lang w:val="en-US"/>
        </w:rPr>
        <w:t>把</w:t>
      </w:r>
      <w:r>
        <w:rPr>
          <w:rFonts w:hint="default" w:ascii="Times New Roman" w:hAnsi="Times New Roman" w:eastAsia="仿宋_GB2312" w:cs="Times New Roman"/>
          <w:sz w:val="32"/>
          <w:szCs w:val="32"/>
        </w:rPr>
        <w:t>天河加快建设</w:t>
      </w:r>
      <w:r>
        <w:rPr>
          <w:rFonts w:hint="default" w:ascii="Times New Roman" w:hAnsi="Times New Roman" w:eastAsia="仿宋_GB2312" w:cs="Times New Roman"/>
          <w:sz w:val="32"/>
          <w:szCs w:val="32"/>
          <w:lang w:val="en-US"/>
        </w:rPr>
        <w:t>成为</w:t>
      </w:r>
      <w:r>
        <w:rPr>
          <w:rFonts w:hint="default" w:ascii="Times New Roman" w:hAnsi="Times New Roman" w:eastAsia="仿宋_GB2312" w:cs="Times New Roman"/>
          <w:sz w:val="32"/>
          <w:szCs w:val="32"/>
        </w:rPr>
        <w:t>具有独特魅力和发展活力的国际大都市中心区，努力在广州实现老城市新活力、“四个出新出彩”中走在前列提供坚实的健康保障。</w:t>
      </w:r>
    </w:p>
    <w:p>
      <w:pPr>
        <w:pStyle w:val="3"/>
        <w:numPr>
          <w:ilvl w:val="0"/>
          <w:numId w:val="2"/>
        </w:numPr>
        <w:spacing w:line="240" w:lineRule="auto"/>
        <w:ind w:firstLine="643" w:firstLineChars="200"/>
        <w:rPr>
          <w:rFonts w:hint="default" w:ascii="Times New Roman" w:hAnsi="Times New Roman" w:eastAsia="仿宋_GB2312" w:cs="Times New Roman"/>
        </w:rPr>
      </w:pPr>
      <w:bookmarkStart w:id="5" w:name="_Toc1303"/>
      <w:bookmarkStart w:id="6" w:name="_Toc28455"/>
      <w:r>
        <w:rPr>
          <w:rFonts w:hint="default" w:ascii="Times New Roman" w:hAnsi="Times New Roman" w:eastAsia="仿宋_GB2312" w:cs="Times New Roman"/>
        </w:rPr>
        <w:t>基本原则</w:t>
      </w:r>
      <w:bookmarkEnd w:id="5"/>
      <w:bookmarkEnd w:id="6"/>
    </w:p>
    <w:p>
      <w:pPr>
        <w:numPr>
          <w:ilvl w:val="0"/>
          <w:numId w:val="3"/>
        </w:numPr>
        <w:ind w:lef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健康优先。把健康摆在优先发展的战略地位，立足区情,将促进健康的理念融入所有政策制定实施的全过程,加快形成有利于健康的生活方式、生态环境和经济社会发展模式,实现健康与经济社会协调发展，形成“大健康”治理格局。</w:t>
      </w:r>
    </w:p>
    <w:p>
      <w:pPr>
        <w:numPr>
          <w:ilvl w:val="0"/>
          <w:numId w:val="3"/>
        </w:numPr>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平公正。以基层为重点,推动健康领域基本公共服务均等化,维护基本医疗卫生服务的公益性,通过医联体建设，推进优质医疗资源和服务下沉，逐步缩小社区、人群间基本健康服务和健康水平的差异,实现全民健康覆盖,促进社会公平。</w:t>
      </w:r>
    </w:p>
    <w:p>
      <w:pPr>
        <w:numPr>
          <w:ilvl w:val="0"/>
          <w:numId w:val="3"/>
        </w:numPr>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改革创新。坚持政府主导,发挥市场机制作用,加快关键环节改革步伐,冲破思想观念束缚,破除利益固化藩篱,清除体制机制障碍,推进医疗卫生、体育健身、康养旅游等健康行业供给侧结构性改革,把创新作为引领发展的第一动力,形成促进全民健康的制度体系，推动做好全区卫生健康事业，做大做强医疗健康产业。</w:t>
      </w:r>
    </w:p>
    <w:p>
      <w:pPr>
        <w:numPr>
          <w:ilvl w:val="0"/>
          <w:numId w:val="3"/>
        </w:numPr>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发展。把握健康领域发展规律,坚持预防为主、防治结合、中西医并重，转变健康服务模式，把预防摆在更加突出的位置，关口前移，强化早期干预。构建整合型医疗卫生服务体系,推动健康服务从规模扩张的粗放型发展转变到质量效益提升的绿色集约式</w:t>
      </w:r>
      <w:r>
        <w:rPr>
          <w:rFonts w:hint="default" w:ascii="Times New Roman" w:hAnsi="Times New Roman" w:eastAsia="仿宋_GB2312" w:cs="Times New Roman"/>
          <w:sz w:val="32"/>
          <w:szCs w:val="32"/>
          <w:lang w:val="en-US"/>
        </w:rPr>
        <w:t>高质量</w:t>
      </w:r>
      <w:r>
        <w:rPr>
          <w:rFonts w:hint="default" w:ascii="Times New Roman" w:hAnsi="Times New Roman" w:eastAsia="仿宋_GB2312" w:cs="Times New Roman"/>
          <w:sz w:val="32"/>
          <w:szCs w:val="32"/>
        </w:rPr>
        <w:t>发展，提升健康服务水平。</w:t>
      </w:r>
    </w:p>
    <w:p>
      <w:pPr>
        <w:numPr>
          <w:ilvl w:val="0"/>
          <w:numId w:val="3"/>
        </w:numPr>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共建共享。坚持共享发展理念，强化政府在健康领域的领导、保障、管理、监督责任,全社会积极参与,强化个人健康</w:t>
      </w:r>
      <w:r>
        <w:rPr>
          <w:rFonts w:hint="default" w:ascii="Times New Roman" w:hAnsi="Times New Roman" w:eastAsia="仿宋_GB2312" w:cs="Times New Roman"/>
          <w:sz w:val="32"/>
          <w:szCs w:val="32"/>
          <w:lang w:val="en-US"/>
        </w:rPr>
        <w:t>第一</w:t>
      </w:r>
      <w:r>
        <w:rPr>
          <w:rFonts w:hint="default" w:ascii="Times New Roman" w:hAnsi="Times New Roman" w:eastAsia="仿宋_GB2312" w:cs="Times New Roman"/>
          <w:sz w:val="32"/>
          <w:szCs w:val="32"/>
        </w:rPr>
        <w:t>责任</w:t>
      </w:r>
      <w:r>
        <w:rPr>
          <w:rFonts w:hint="default" w:ascii="Times New Roman" w:hAnsi="Times New Roman" w:eastAsia="仿宋_GB2312" w:cs="Times New Roman"/>
          <w:sz w:val="32"/>
          <w:szCs w:val="32"/>
          <w:lang w:val="en-US"/>
        </w:rPr>
        <w:t>人</w:t>
      </w:r>
      <w:r>
        <w:rPr>
          <w:rFonts w:hint="default" w:ascii="Times New Roman" w:hAnsi="Times New Roman" w:eastAsia="仿宋_GB2312" w:cs="Times New Roman"/>
          <w:sz w:val="32"/>
          <w:szCs w:val="32"/>
        </w:rPr>
        <w:t>意识,有效控制影响健康的危险因素,形成维护和促进健康的强大合力。</w:t>
      </w:r>
    </w:p>
    <w:p>
      <w:pPr>
        <w:pStyle w:val="3"/>
        <w:numPr>
          <w:ilvl w:val="0"/>
          <w:numId w:val="2"/>
        </w:numPr>
        <w:spacing w:line="240" w:lineRule="auto"/>
        <w:ind w:firstLine="643" w:firstLineChars="200"/>
        <w:rPr>
          <w:rFonts w:hint="default" w:ascii="Times New Roman" w:hAnsi="Times New Roman" w:eastAsia="仿宋_GB2312" w:cs="Times New Roman"/>
        </w:rPr>
      </w:pPr>
      <w:bookmarkStart w:id="7" w:name="_Toc17311"/>
      <w:bookmarkStart w:id="8" w:name="_Toc14427"/>
      <w:r>
        <w:rPr>
          <w:rFonts w:hint="default" w:ascii="Times New Roman" w:hAnsi="Times New Roman" w:eastAsia="仿宋_GB2312" w:cs="Times New Roman"/>
        </w:rPr>
        <w:t>总体目标</w:t>
      </w:r>
      <w:bookmarkEnd w:id="7"/>
      <w:bookmarkEnd w:id="8"/>
    </w:p>
    <w:p>
      <w:p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科学配置卫生与健康资源,促进健康服务体系更加优化、医疗保障体系更加健全、综合监管</w:t>
      </w:r>
      <w:r>
        <w:rPr>
          <w:rFonts w:hint="default" w:ascii="Times New Roman" w:hAnsi="Times New Roman" w:eastAsia="仿宋_GB2312" w:cs="Times New Roman"/>
          <w:sz w:val="32"/>
          <w:szCs w:val="32"/>
          <w:lang w:val="en-US"/>
        </w:rPr>
        <w:t>治理</w:t>
      </w:r>
      <w:r>
        <w:rPr>
          <w:rFonts w:hint="default" w:ascii="Times New Roman" w:hAnsi="Times New Roman" w:eastAsia="仿宋_GB2312" w:cs="Times New Roman"/>
          <w:sz w:val="32"/>
          <w:szCs w:val="32"/>
        </w:rPr>
        <w:t>体系更加规范、全民健康制度体系更加完善,总体实现基本医疗和公共卫生服务均等化,主要健康指标</w:t>
      </w:r>
      <w:r>
        <w:rPr>
          <w:rFonts w:hint="default" w:ascii="Times New Roman" w:hAnsi="Times New Roman" w:eastAsia="仿宋_GB2312" w:cs="Times New Roman"/>
          <w:sz w:val="32"/>
          <w:szCs w:val="32"/>
          <w:lang w:val="en-US"/>
        </w:rPr>
        <w:t>处于广州市领先水平</w:t>
      </w:r>
      <w:r>
        <w:rPr>
          <w:rFonts w:hint="default" w:ascii="Times New Roman" w:hAnsi="Times New Roman" w:eastAsia="仿宋_GB2312" w:cs="Times New Roman"/>
          <w:sz w:val="32"/>
          <w:szCs w:val="32"/>
        </w:rPr>
        <w:t>。</w:t>
      </w:r>
    </w:p>
    <w:p>
      <w:p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w:t>
      </w:r>
      <w:r>
        <w:rPr>
          <w:rFonts w:hint="default" w:ascii="Times New Roman" w:hAnsi="Times New Roman" w:eastAsia="仿宋_GB2312" w:cs="Times New Roman"/>
          <w:sz w:val="32"/>
          <w:szCs w:val="32"/>
          <w:lang w:val="en-US"/>
        </w:rPr>
        <w:t>5</w:t>
      </w:r>
      <w:r>
        <w:rPr>
          <w:rFonts w:hint="default" w:ascii="Times New Roman" w:hAnsi="Times New Roman" w:eastAsia="仿宋_GB2312" w:cs="Times New Roman"/>
          <w:sz w:val="32"/>
          <w:szCs w:val="32"/>
        </w:rPr>
        <w:t>年，公共政策充分体现健康理念，居民健康素养水平明显提高，环境更加健康优美，健康服务能力持续提升，健康支撑与保障体系日趋完善，新型健康产业体系基本形成，健康科技创新水平不断提高，健康天河建设主要指标位居广州市前列，以健康促进城</w:t>
      </w:r>
      <w:r>
        <w:rPr>
          <w:rFonts w:hint="default" w:ascii="Times New Roman" w:hAnsi="Times New Roman" w:eastAsia="仿宋_GB2312" w:cs="Times New Roman"/>
          <w:sz w:val="32"/>
          <w:szCs w:val="32"/>
          <w:lang w:val="en-US"/>
        </w:rPr>
        <w:t>区</w:t>
      </w:r>
      <w:r>
        <w:rPr>
          <w:rFonts w:hint="default" w:ascii="Times New Roman" w:hAnsi="Times New Roman" w:eastAsia="仿宋_GB2312" w:cs="Times New Roman"/>
          <w:sz w:val="32"/>
          <w:szCs w:val="32"/>
        </w:rPr>
        <w:t>发展，建立与</w:t>
      </w:r>
      <w:r>
        <w:rPr>
          <w:rFonts w:hint="default" w:ascii="Times New Roman" w:hAnsi="Times New Roman" w:eastAsia="仿宋_GB2312" w:cs="Times New Roman"/>
          <w:sz w:val="32"/>
          <w:szCs w:val="32"/>
          <w:lang w:val="en-US"/>
        </w:rPr>
        <w:t>天河</w:t>
      </w:r>
      <w:r>
        <w:rPr>
          <w:rFonts w:hint="default" w:ascii="Times New Roman" w:hAnsi="Times New Roman" w:eastAsia="仿宋_GB2312" w:cs="Times New Roman"/>
          <w:sz w:val="32"/>
          <w:szCs w:val="32"/>
        </w:rPr>
        <w:t>经济社会发展水平相适应、与中心城区功能定位相匹配、以居民健康为中心的整合型健康服务体系。</w:t>
      </w:r>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到2030年，健康融入所有政策，健康与经济社会和自然生态协调发展，人人享有高质量的健康服务和高水平的健康保障，健康产业成为区域重要产业，形成全民健康共建共治共享新格局，主要健康指标达到国际先进城市水平，成为健康城市天河典范。</w:t>
      </w:r>
    </w:p>
    <w:p>
      <w:pPr>
        <w:pStyle w:val="12"/>
        <w:numPr>
          <w:ilvl w:val="0"/>
          <w:numId w:val="1"/>
        </w:numPr>
        <w:ind w:firstLine="643" w:firstLineChars="200"/>
        <w:jc w:val="left"/>
        <w:rPr>
          <w:rFonts w:hint="default" w:ascii="Times New Roman" w:hAnsi="Times New Roman" w:eastAsia="仿宋_GB2312" w:cs="Times New Roman"/>
        </w:rPr>
      </w:pPr>
      <w:bookmarkStart w:id="9" w:name="三、重点领域"/>
      <w:bookmarkEnd w:id="9"/>
      <w:bookmarkStart w:id="10" w:name="二、目标要求"/>
      <w:bookmarkEnd w:id="10"/>
      <w:bookmarkStart w:id="11" w:name="_Toc7267"/>
      <w:bookmarkStart w:id="12" w:name="_Toc24066"/>
      <w:r>
        <w:rPr>
          <w:rFonts w:hint="default" w:ascii="Times New Roman" w:hAnsi="Times New Roman" w:eastAsia="仿宋_GB2312" w:cs="Times New Roman"/>
        </w:rPr>
        <w:t>普及健康生活</w:t>
      </w:r>
      <w:bookmarkEnd w:id="11"/>
      <w:bookmarkEnd w:id="12"/>
    </w:p>
    <w:p>
      <w:pPr>
        <w:pStyle w:val="3"/>
        <w:numPr>
          <w:ilvl w:val="0"/>
          <w:numId w:val="4"/>
        </w:numPr>
        <w:spacing w:line="240" w:lineRule="auto"/>
        <w:ind w:left="440" w:leftChars="200" w:firstLine="0"/>
        <w:rPr>
          <w:rFonts w:hint="default" w:ascii="Times New Roman" w:hAnsi="Times New Roman" w:eastAsia="仿宋_GB2312" w:cs="Times New Roman"/>
        </w:rPr>
      </w:pPr>
      <w:bookmarkStart w:id="13" w:name="_Toc15379"/>
      <w:bookmarkStart w:id="14" w:name="_Toc27930"/>
      <w:r>
        <w:rPr>
          <w:rFonts w:hint="default" w:ascii="Times New Roman" w:hAnsi="Times New Roman" w:eastAsia="仿宋_GB2312" w:cs="Times New Roman"/>
        </w:rPr>
        <w:t>加强全民健康促进与教育工作</w:t>
      </w:r>
      <w:bookmarkEnd w:id="13"/>
      <w:bookmarkEnd w:id="14"/>
    </w:p>
    <w:p>
      <w:pPr>
        <w:pStyle w:val="5"/>
        <w:numPr>
          <w:ilvl w:val="0"/>
          <w:numId w:val="5"/>
        </w:numPr>
        <w:spacing w:before="1"/>
        <w:ind w:left="0" w:firstLine="643" w:firstLineChars="200"/>
        <w:jc w:val="both"/>
        <w:rPr>
          <w:rFonts w:hint="default" w:ascii="Times New Roman" w:hAnsi="Times New Roman" w:eastAsia="仿宋_GB2312" w:cs="Times New Roman"/>
          <w:bCs/>
        </w:rPr>
      </w:pPr>
      <w:bookmarkStart w:id="15" w:name="_Hlk60077920"/>
      <w:r>
        <w:rPr>
          <w:rFonts w:hint="default" w:ascii="Times New Roman" w:hAnsi="Times New Roman" w:eastAsia="仿宋_GB2312" w:cs="Times New Roman"/>
          <w:b/>
          <w:bCs/>
        </w:rPr>
        <w:t>全力创建健康促进区。完善健康促进与教育服务体系，</w:t>
      </w:r>
      <w:r>
        <w:rPr>
          <w:rFonts w:hint="default" w:ascii="Times New Roman" w:hAnsi="Times New Roman" w:eastAsia="仿宋_GB2312" w:cs="Times New Roman"/>
        </w:rPr>
        <w:t>完善以健康教育专业机构为龙头，以医院、基层医疗卫生机构、专业公共卫生机构为基础，以学校、机关、社区、企事业单位健康教育职能部门为延伸的健康促进与教育网络。</w:t>
      </w:r>
      <w:r>
        <w:rPr>
          <w:rFonts w:hint="default" w:ascii="Times New Roman" w:hAnsi="Times New Roman" w:eastAsia="仿宋" w:cs="Times New Roman"/>
          <w:lang w:val="en-US" w:bidi="ar"/>
        </w:rPr>
        <w:t>加强健康教育人才队伍建设，完善人才培养、进修与晋升机制。</w:t>
      </w:r>
      <w:r>
        <w:rPr>
          <w:rFonts w:hint="default" w:ascii="Times New Roman" w:hAnsi="Times New Roman" w:eastAsia="仿宋_GB2312" w:cs="Times New Roman"/>
        </w:rPr>
        <w:t>强化医疗机构和医务人员的健康教育与</w:t>
      </w:r>
      <w:r>
        <w:rPr>
          <w:rFonts w:hint="default" w:ascii="Times New Roman" w:hAnsi="Times New Roman" w:eastAsia="仿宋" w:cs="Times New Roman"/>
          <w:lang w:val="en-US" w:bidi="ar"/>
        </w:rPr>
        <w:t>健康</w:t>
      </w:r>
      <w:r>
        <w:rPr>
          <w:rFonts w:hint="default" w:ascii="Times New Roman" w:hAnsi="Times New Roman" w:eastAsia="仿宋_GB2312" w:cs="Times New Roman"/>
        </w:rPr>
        <w:t>促进职能。完善全科医生、专科医生培养培训内容，使医务人员掌握与岗位相适应的健康科普知识，并在诊疗过程中为病人主动提供健康指导</w:t>
      </w:r>
      <w:r>
        <w:rPr>
          <w:rFonts w:hint="default" w:ascii="Times New Roman" w:hAnsi="Times New Roman" w:eastAsia="仿宋_GB2312" w:cs="Times New Roman"/>
          <w:bCs/>
        </w:rPr>
        <w:t>，探索建立“药品+健康教育”双处方制度，</w:t>
      </w:r>
      <w:r>
        <w:rPr>
          <w:rFonts w:hint="default" w:ascii="Times New Roman" w:hAnsi="Times New Roman" w:eastAsia="仿宋_GB2312" w:cs="Times New Roman"/>
        </w:rPr>
        <w:t>建立鼓励医疗卫生机构和医务人员开展健康教育与促进的激励机制，</w:t>
      </w:r>
      <w:r>
        <w:rPr>
          <w:rFonts w:hint="default" w:ascii="Times New Roman" w:hAnsi="Times New Roman" w:eastAsia="仿宋_GB2312" w:cs="Times New Roman"/>
          <w:bCs/>
        </w:rPr>
        <w:t>落实好将健康促进与教育工作纳入各类医疗机构绩效考核以及医务人员绩效考核的要求，</w:t>
      </w:r>
      <w:r>
        <w:rPr>
          <w:rFonts w:hint="default" w:ascii="Times New Roman" w:hAnsi="Times New Roman" w:eastAsia="仿宋_GB2312" w:cs="Times New Roman"/>
        </w:rPr>
        <w:t>调动医务人员参与健康教育与</w:t>
      </w:r>
      <w:r>
        <w:rPr>
          <w:rFonts w:hint="default" w:ascii="Times New Roman" w:hAnsi="Times New Roman" w:eastAsia="仿宋" w:cs="Times New Roman"/>
          <w:lang w:val="en-US" w:bidi="ar"/>
        </w:rPr>
        <w:t>健康</w:t>
      </w:r>
      <w:r>
        <w:rPr>
          <w:rFonts w:hint="default" w:ascii="Times New Roman" w:hAnsi="Times New Roman" w:eastAsia="仿宋_GB2312" w:cs="Times New Roman"/>
        </w:rPr>
        <w:t>促进工作的积极性</w:t>
      </w:r>
      <w:r>
        <w:rPr>
          <w:rFonts w:hint="default" w:ascii="Times New Roman" w:hAnsi="Times New Roman" w:eastAsia="仿宋_GB2312" w:cs="Times New Roman"/>
          <w:bCs/>
        </w:rPr>
        <w:t>。</w:t>
      </w:r>
    </w:p>
    <w:p>
      <w:pPr>
        <w:pStyle w:val="5"/>
        <w:numPr>
          <w:ilvl w:val="0"/>
          <w:numId w:val="5"/>
        </w:numPr>
        <w:spacing w:before="1"/>
        <w:ind w:left="0" w:firstLine="643" w:firstLineChars="200"/>
        <w:jc w:val="both"/>
        <w:rPr>
          <w:rFonts w:hint="default" w:ascii="Times New Roman" w:hAnsi="Times New Roman" w:eastAsia="仿宋_GB2312" w:cs="Times New Roman"/>
          <w:bCs/>
        </w:rPr>
      </w:pPr>
      <w:r>
        <w:rPr>
          <w:rFonts w:hint="default" w:ascii="Times New Roman" w:hAnsi="Times New Roman" w:eastAsia="仿宋" w:cs="Times New Roman"/>
          <w:b/>
          <w:bCs/>
          <w:lang w:val="en-US" w:bidi="ar"/>
        </w:rPr>
        <w:t>提升居民健康素养水平。</w:t>
      </w:r>
      <w:r>
        <w:rPr>
          <w:rFonts w:hint="default" w:ascii="Times New Roman" w:hAnsi="Times New Roman" w:eastAsia="仿宋" w:cs="Times New Roman"/>
          <w:lang w:bidi="ar"/>
        </w:rPr>
        <w:t>充分发挥媒体、社会组织、专家、志愿者等在健康促进与教育中的作用，在医院、学校、机关和企事业单位建设健康促进场所。推广健康主题公园。</w:t>
      </w:r>
      <w:r>
        <w:rPr>
          <w:rFonts w:hint="default" w:ascii="Times New Roman" w:hAnsi="Times New Roman" w:eastAsia="仿宋_GB2312" w:cs="Times New Roman"/>
        </w:rPr>
        <w:t>推进全</w:t>
      </w:r>
      <w:r>
        <w:rPr>
          <w:rFonts w:hint="default" w:ascii="Times New Roman" w:hAnsi="Times New Roman" w:eastAsia="仿宋_GB2312" w:cs="Times New Roman"/>
          <w:lang w:val="en-US"/>
        </w:rPr>
        <w:t>区</w:t>
      </w:r>
      <w:r>
        <w:rPr>
          <w:rFonts w:hint="default" w:ascii="Times New Roman" w:hAnsi="Times New Roman" w:eastAsia="仿宋_GB2312" w:cs="Times New Roman"/>
        </w:rPr>
        <w:t>各级医疗卫生机构运用“两微一端”（微信、微博、移动客户端）等新媒体开展健康科普。</w:t>
      </w:r>
      <w:r>
        <w:rPr>
          <w:rFonts w:hint="default" w:ascii="Times New Roman" w:hAnsi="Times New Roman" w:eastAsia="仿宋_GB2312" w:cs="Times New Roman"/>
          <w:bCs/>
        </w:rPr>
        <w:t>充分利用主流媒体和新媒体开展多种形式的健康教育与</w:t>
      </w:r>
      <w:r>
        <w:rPr>
          <w:rFonts w:hint="default" w:ascii="Times New Roman" w:hAnsi="Times New Roman" w:eastAsia="仿宋" w:cs="Times New Roman"/>
          <w:lang w:val="en-US" w:bidi="ar"/>
        </w:rPr>
        <w:t>传播</w:t>
      </w:r>
      <w:r>
        <w:rPr>
          <w:rFonts w:hint="default" w:ascii="Times New Roman" w:hAnsi="Times New Roman" w:eastAsia="仿宋_GB2312" w:cs="Times New Roman"/>
          <w:bCs/>
        </w:rPr>
        <w:t>活动。建立区健康科普专家库</w:t>
      </w:r>
      <w:r>
        <w:rPr>
          <w:rFonts w:hint="default" w:ascii="Times New Roman" w:hAnsi="Times New Roman" w:eastAsia="仿宋_GB2312" w:cs="Times New Roman"/>
        </w:rPr>
        <w:t>和资源库</w:t>
      </w:r>
      <w:r>
        <w:rPr>
          <w:rFonts w:hint="default" w:ascii="Times New Roman" w:hAnsi="Times New Roman" w:eastAsia="仿宋_GB2312" w:cs="Times New Roman"/>
          <w:bCs/>
        </w:rPr>
        <w:t>。加强对各类健康促进与教育志愿者的培训。</w:t>
      </w:r>
      <w:r>
        <w:rPr>
          <w:rFonts w:hint="default" w:ascii="Times New Roman" w:hAnsi="Times New Roman" w:eastAsia="仿宋" w:cs="Times New Roman"/>
          <w:lang w:val="en-US" w:bidi="ar"/>
        </w:rPr>
        <w:t>开展</w:t>
      </w:r>
      <w:r>
        <w:rPr>
          <w:rFonts w:hint="default" w:ascii="Times New Roman" w:hAnsi="Times New Roman" w:eastAsia="仿宋_GB2312" w:cs="Times New Roman"/>
          <w:bCs/>
        </w:rPr>
        <w:t>辖区居民健康促进与</w:t>
      </w:r>
      <w:r>
        <w:rPr>
          <w:rFonts w:hint="default" w:ascii="Times New Roman" w:hAnsi="Times New Roman" w:eastAsia="仿宋" w:cs="Times New Roman"/>
          <w:lang w:val="en-US" w:bidi="ar"/>
        </w:rPr>
        <w:t>健康</w:t>
      </w:r>
      <w:r>
        <w:rPr>
          <w:rFonts w:hint="default" w:ascii="Times New Roman" w:hAnsi="Times New Roman" w:eastAsia="仿宋_GB2312" w:cs="Times New Roman"/>
          <w:bCs/>
        </w:rPr>
        <w:t>教育服务需求</w:t>
      </w:r>
      <w:r>
        <w:rPr>
          <w:rFonts w:hint="default" w:ascii="Times New Roman" w:hAnsi="Times New Roman" w:eastAsia="仿宋" w:cs="Times New Roman"/>
          <w:lang w:val="en-US" w:bidi="ar"/>
        </w:rPr>
        <w:t>评估</w:t>
      </w:r>
      <w:r>
        <w:rPr>
          <w:rFonts w:hint="default" w:ascii="Times New Roman" w:hAnsi="Times New Roman" w:eastAsia="仿宋_GB2312" w:cs="Times New Roman"/>
          <w:bCs/>
        </w:rPr>
        <w:t>，健全覆盖全区的健康素养和生活方式监测体系。按照上级部署并结合辖区居民需求，继续实施全民健康素养促进行动、全民健康生活方式行动、健康知识进万家、婚育新风进万家、名医大讲堂等专项行动计划，增强全民健康意识。</w:t>
      </w:r>
      <w:r>
        <w:rPr>
          <w:rFonts w:hint="default" w:ascii="Times New Roman" w:hAnsi="Times New Roman" w:eastAsia="仿宋_GB2312" w:cs="Times New Roman"/>
        </w:rPr>
        <w:t>至202</w:t>
      </w:r>
      <w:r>
        <w:rPr>
          <w:rFonts w:hint="default" w:ascii="Times New Roman" w:hAnsi="Times New Roman" w:eastAsia="仿宋_GB2312" w:cs="Times New Roman"/>
          <w:lang w:val="en-US"/>
        </w:rPr>
        <w:t>5</w:t>
      </w:r>
      <w:r>
        <w:rPr>
          <w:rFonts w:hint="default" w:ascii="Times New Roman" w:hAnsi="Times New Roman" w:eastAsia="仿宋_GB2312" w:cs="Times New Roman"/>
        </w:rPr>
        <w:t>年，居民健康素养水平达到</w:t>
      </w:r>
      <w:r>
        <w:rPr>
          <w:rFonts w:hint="default" w:ascii="Times New Roman" w:hAnsi="Times New Roman" w:eastAsia="仿宋_GB2312" w:cs="Times New Roman"/>
          <w:lang w:val="en-US"/>
        </w:rPr>
        <w:t>35</w:t>
      </w:r>
      <w:r>
        <w:rPr>
          <w:rFonts w:hint="default" w:ascii="Times New Roman" w:hAnsi="Times New Roman" w:eastAsia="仿宋_GB2312" w:cs="Times New Roman"/>
        </w:rPr>
        <w:t>%</w:t>
      </w:r>
      <w:r>
        <w:rPr>
          <w:rFonts w:hint="default" w:ascii="Times New Roman" w:hAnsi="Times New Roman" w:eastAsia="仿宋_GB2312" w:cs="Times New Roman"/>
          <w:lang w:val="en-US"/>
        </w:rPr>
        <w:t>及以上</w:t>
      </w:r>
      <w:r>
        <w:rPr>
          <w:rFonts w:hint="default" w:ascii="Times New Roman" w:hAnsi="Times New Roman" w:eastAsia="仿宋_GB2312" w:cs="Times New Roman"/>
        </w:rPr>
        <w:t>，居民中医药健康文化素养水平达到38%，居民合理用药知晓率大幅度提高</w:t>
      </w:r>
      <w:r>
        <w:rPr>
          <w:rFonts w:hint="default" w:ascii="Times New Roman" w:hAnsi="Times New Roman" w:eastAsia="仿宋_GB2312" w:cs="Times New Roman"/>
        </w:rPr>
        <w:t>，</w:t>
      </w:r>
      <w:r>
        <w:rPr>
          <w:rFonts w:hint="default" w:ascii="Times New Roman" w:hAnsi="Times New Roman" w:eastAsia="仿宋_GB2312" w:cs="Times New Roman"/>
          <w:lang w:val="en-US"/>
        </w:rPr>
        <w:t>建成国家级健康促进区</w:t>
      </w:r>
      <w:r>
        <w:rPr>
          <w:rFonts w:hint="default" w:ascii="Times New Roman" w:hAnsi="Times New Roman" w:eastAsia="仿宋_GB2312" w:cs="Times New Roman"/>
        </w:rPr>
        <w:t>；至2030年，居民健康素养水平达到</w:t>
      </w:r>
      <w:r>
        <w:rPr>
          <w:rFonts w:hint="default" w:ascii="Times New Roman" w:hAnsi="Times New Roman" w:eastAsia="仿宋_GB2312" w:cs="Times New Roman"/>
          <w:lang w:val="en-US"/>
        </w:rPr>
        <w:t>45</w:t>
      </w:r>
      <w:r>
        <w:rPr>
          <w:rFonts w:hint="default" w:ascii="Times New Roman" w:hAnsi="Times New Roman" w:eastAsia="仿宋_GB2312" w:cs="Times New Roman"/>
        </w:rPr>
        <w:t>%</w:t>
      </w:r>
      <w:r>
        <w:rPr>
          <w:rFonts w:hint="default" w:ascii="Times New Roman" w:hAnsi="Times New Roman" w:eastAsia="仿宋_GB2312" w:cs="Times New Roman"/>
          <w:lang w:val="en-US"/>
        </w:rPr>
        <w:t>及以上</w:t>
      </w:r>
      <w:r>
        <w:rPr>
          <w:rFonts w:hint="default" w:ascii="Times New Roman" w:hAnsi="Times New Roman" w:eastAsia="仿宋_GB2312" w:cs="Times New Roman"/>
        </w:rPr>
        <w:t>，居民中医药健康文化素养水平达到42%，居民合理用药知晓率基本达到发达国家水平。（</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：区卫生健康局、区教育局、区住建园林局、区市场监管局、区残联、区民政局、区公安分局、区</w:t>
      </w:r>
      <w:r>
        <w:rPr>
          <w:rFonts w:hint="default" w:ascii="Times New Roman" w:hAnsi="Times New Roman" w:eastAsia="仿宋_GB2312" w:cs="Times New Roman"/>
        </w:rPr>
        <w:t>人力资源社会保障</w:t>
      </w:r>
      <w:r>
        <w:rPr>
          <w:rFonts w:hint="default" w:ascii="Times New Roman" w:hAnsi="Times New Roman" w:eastAsia="仿宋_GB2312" w:cs="Times New Roman"/>
        </w:rPr>
        <w:t>局、区财政局</w:t>
      </w:r>
      <w:r>
        <w:rPr>
          <w:rFonts w:hint="default" w:ascii="Times New Roman" w:hAnsi="Times New Roman" w:eastAsia="仿宋_GB2312" w:cs="Times New Roman"/>
        </w:rPr>
        <w:t>、</w:t>
      </w:r>
      <w:r>
        <w:rPr>
          <w:rFonts w:hint="default" w:ascii="Times New Roman" w:hAnsi="Times New Roman" w:eastAsia="仿宋_GB2312" w:cs="Times New Roman"/>
        </w:rPr>
        <w:t>区疾病预防控制中心、区慢性病防治中心</w:t>
      </w:r>
      <w:r>
        <w:rPr>
          <w:rFonts w:hint="default" w:ascii="Times New Roman" w:hAnsi="Times New Roman" w:eastAsia="仿宋_GB2312" w:cs="Times New Roman"/>
        </w:rPr>
        <w:t>。排第一的为牵头单位，下同</w:t>
      </w:r>
      <w:r>
        <w:rPr>
          <w:rFonts w:hint="default" w:ascii="Times New Roman" w:hAnsi="Times New Roman" w:eastAsia="仿宋_GB2312" w:cs="Times New Roman"/>
        </w:rPr>
        <w:t>）。</w:t>
      </w:r>
    </w:p>
    <w:p>
      <w:pPr>
        <w:pStyle w:val="5"/>
        <w:numPr>
          <w:ilvl w:val="0"/>
          <w:numId w:val="5"/>
        </w:numPr>
        <w:spacing w:before="1"/>
        <w:ind w:left="0" w:firstLine="643" w:firstLineChars="200"/>
        <w:jc w:val="both"/>
        <w:rPr>
          <w:rFonts w:hint="default" w:ascii="Times New Roman" w:hAnsi="Times New Roman" w:eastAsia="仿宋_GB2312" w:cs="Times New Roman"/>
        </w:rPr>
      </w:pPr>
      <w:r>
        <w:rPr>
          <w:rFonts w:hint="default" w:ascii="Times New Roman" w:hAnsi="Times New Roman" w:eastAsia="仿宋" w:cs="Times New Roman"/>
          <w:b/>
          <w:bCs/>
          <w:lang w:val="en-US" w:bidi="ar"/>
        </w:rPr>
        <w:t>优化健康教育服务。</w:t>
      </w:r>
      <w:r>
        <w:rPr>
          <w:rFonts w:hint="default" w:ascii="Times New Roman" w:hAnsi="Times New Roman" w:eastAsia="仿宋_GB2312" w:cs="Times New Roman"/>
          <w:bCs/>
        </w:rPr>
        <w:t>加强青少年、育龄妇女及流动人群等重点人群性教育，开展全社会毒品危害教育。加强</w:t>
      </w:r>
      <w:r>
        <w:rPr>
          <w:rFonts w:hint="default" w:ascii="Times New Roman" w:hAnsi="Times New Roman" w:eastAsia="仿宋_GB2312" w:cs="Times New Roman"/>
        </w:rPr>
        <w:t>区慢性病防治</w:t>
      </w:r>
      <w:r>
        <w:rPr>
          <w:rFonts w:hint="default" w:ascii="Times New Roman" w:hAnsi="Times New Roman" w:eastAsia="仿宋_GB2312" w:cs="Times New Roman"/>
          <w:bCs/>
        </w:rPr>
        <w:t>、社会办心理健康服务机构等服务能力建设。完善“线上与线下相结合，群体保健与个体干预相结合”的心理健康管理模式，以抑郁症、焦虑症等常见精神障碍为重点，大力开展心理健康科普，提升公众心理健康素养。加强对儿童、青少年、老人等重点人群和社区矫正人员、刑满释放等重点人群的心理健康服务。实现心理健康知识进基层、进社区、进学校等活动常态化。</w:t>
      </w:r>
      <w:r>
        <w:rPr>
          <w:rFonts w:hint="default" w:ascii="Times New Roman" w:hAnsi="Times New Roman" w:eastAsia="仿宋_GB2312" w:cs="Times New Roman"/>
        </w:rPr>
        <w:t>加强严重精神障碍患者检出报告登记和救治救助管理，提高患者管理率和规范管理率，促进其病情稳定康复和回归社会，减少肇事肇祸。</w:t>
      </w:r>
      <w:r>
        <w:rPr>
          <w:rFonts w:hint="default" w:ascii="Times New Roman" w:hAnsi="Times New Roman" w:eastAsia="仿宋_GB2312" w:cs="Times New Roman"/>
          <w:bCs/>
        </w:rPr>
        <w:t>大力推进精神障碍社区康复工作。</w:t>
      </w:r>
      <w:r>
        <w:rPr>
          <w:rFonts w:hint="default" w:ascii="Times New Roman" w:hAnsi="Times New Roman" w:eastAsia="仿宋_GB2312" w:cs="Times New Roman"/>
        </w:rPr>
        <w:t>至202</w:t>
      </w:r>
      <w:r>
        <w:rPr>
          <w:rFonts w:hint="default" w:ascii="Times New Roman" w:hAnsi="Times New Roman" w:eastAsia="仿宋_GB2312" w:cs="Times New Roman"/>
          <w:lang w:val="en-US"/>
        </w:rPr>
        <w:t>5</w:t>
      </w:r>
      <w:r>
        <w:rPr>
          <w:rFonts w:hint="default" w:ascii="Times New Roman" w:hAnsi="Times New Roman" w:eastAsia="仿宋_GB2312" w:cs="Times New Roman"/>
        </w:rPr>
        <w:t>年，形成热爱健康、追求健康、促进健康的社会氛围。至2030年，健康文化理念深入人心，形成全社会关注健康、促进健康的良好氛围。（</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：区卫生健康局、区教育局、区住建园林局、区市场监管局、区残联、区民政局、区公安分局、区</w:t>
      </w:r>
      <w:r>
        <w:rPr>
          <w:rFonts w:hint="default" w:ascii="Times New Roman" w:hAnsi="Times New Roman" w:eastAsia="仿宋_GB2312" w:cs="Times New Roman"/>
        </w:rPr>
        <w:t>人力资源社会保障</w:t>
      </w:r>
      <w:r>
        <w:rPr>
          <w:rFonts w:hint="default" w:ascii="Times New Roman" w:hAnsi="Times New Roman" w:eastAsia="仿宋_GB2312" w:cs="Times New Roman"/>
        </w:rPr>
        <w:t>局、区财政局</w:t>
      </w:r>
      <w:r>
        <w:rPr>
          <w:rFonts w:hint="default" w:ascii="Times New Roman" w:hAnsi="Times New Roman" w:eastAsia="仿宋_GB2312" w:cs="Times New Roman"/>
        </w:rPr>
        <w:t>、</w:t>
      </w:r>
      <w:r>
        <w:rPr>
          <w:rFonts w:hint="default" w:ascii="Times New Roman" w:hAnsi="Times New Roman" w:eastAsia="仿宋_GB2312" w:cs="Times New Roman"/>
        </w:rPr>
        <w:t>区疾病预防控制中心、区慢性病防治中心）。</w:t>
      </w:r>
    </w:p>
    <w:p>
      <w:pPr>
        <w:pStyle w:val="5"/>
        <w:numPr>
          <w:ilvl w:val="0"/>
          <w:numId w:val="5"/>
        </w:numPr>
        <w:spacing w:before="1"/>
        <w:ind w:left="0" w:firstLine="643" w:firstLineChars="200"/>
        <w:jc w:val="both"/>
        <w:rPr>
          <w:rFonts w:hint="default" w:ascii="Times New Roman" w:hAnsi="Times New Roman" w:eastAsia="仿宋_GB2312" w:cs="Times New Roman"/>
        </w:rPr>
      </w:pPr>
      <w:r>
        <w:rPr>
          <w:rFonts w:hint="default" w:ascii="Times New Roman" w:hAnsi="Times New Roman" w:eastAsia="仿宋_GB2312" w:cs="Times New Roman"/>
          <w:b/>
          <w:bCs/>
          <w:lang w:val="en-US"/>
        </w:rPr>
        <w:t>探索</w:t>
      </w:r>
      <w:r>
        <w:rPr>
          <w:rFonts w:hint="default" w:ascii="Times New Roman" w:hAnsi="Times New Roman" w:eastAsia="仿宋_GB2312" w:cs="Times New Roman"/>
          <w:b/>
          <w:bCs/>
        </w:rPr>
        <w:t>建立居民健康积分制度，</w:t>
      </w:r>
      <w:r>
        <w:rPr>
          <w:rFonts w:hint="default" w:ascii="Times New Roman" w:hAnsi="Times New Roman" w:eastAsia="仿宋_GB2312" w:cs="Times New Roman"/>
          <w:bCs/>
        </w:rPr>
        <w:t>对参与基本公共卫生服务、签约家庭医生等社区健康服务的居民给予积分，鼓励医疗卫生机构、健康服务企业、保险企业等相关单位提供积分兑奖服务，促进市民参与健康服务。到2030年，</w:t>
      </w:r>
      <w:r>
        <w:rPr>
          <w:rFonts w:hint="default" w:ascii="Times New Roman" w:hAnsi="Times New Roman" w:eastAsia="仿宋_GB2312" w:cs="Times New Roman"/>
        </w:rPr>
        <w:t>每千人至少拥有1名健康宣传指导员。（</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：区卫生健康局、区教育局、区住建园林局、区市场监管局、区残联、区民政局、区公安分局、区</w:t>
      </w:r>
      <w:r>
        <w:rPr>
          <w:rFonts w:hint="default" w:ascii="Times New Roman" w:hAnsi="Times New Roman" w:eastAsia="仿宋_GB2312" w:cs="Times New Roman"/>
        </w:rPr>
        <w:t>人力资源社会保障</w:t>
      </w:r>
      <w:r>
        <w:rPr>
          <w:rFonts w:hint="default" w:ascii="Times New Roman" w:hAnsi="Times New Roman" w:eastAsia="仿宋_GB2312" w:cs="Times New Roman"/>
        </w:rPr>
        <w:t>局、区财政局</w:t>
      </w:r>
      <w:r>
        <w:rPr>
          <w:rFonts w:hint="default" w:ascii="Times New Roman" w:hAnsi="Times New Roman" w:eastAsia="仿宋_GB2312" w:cs="Times New Roman"/>
        </w:rPr>
        <w:t>、</w:t>
      </w:r>
      <w:r>
        <w:rPr>
          <w:rFonts w:hint="default" w:ascii="Times New Roman" w:hAnsi="Times New Roman" w:eastAsia="仿宋_GB2312" w:cs="Times New Roman"/>
        </w:rPr>
        <w:t>区疾病预防控制中心、区慢性病防治中心）</w:t>
      </w:r>
      <w:bookmarkEnd w:id="15"/>
      <w:r>
        <w:rPr>
          <w:rFonts w:hint="default" w:ascii="Times New Roman" w:hAnsi="Times New Roman" w:eastAsia="仿宋_GB2312" w:cs="Times New Roman"/>
        </w:rPr>
        <w:t>。</w:t>
      </w:r>
    </w:p>
    <w:p>
      <w:pPr>
        <w:pStyle w:val="3"/>
        <w:numPr>
          <w:ilvl w:val="0"/>
          <w:numId w:val="4"/>
        </w:numPr>
        <w:spacing w:line="240" w:lineRule="auto"/>
        <w:ind w:left="440" w:leftChars="200" w:firstLine="0"/>
        <w:rPr>
          <w:rFonts w:hint="default" w:ascii="Times New Roman" w:hAnsi="Times New Roman" w:eastAsia="仿宋_GB2312" w:cs="Times New Roman"/>
        </w:rPr>
      </w:pPr>
      <w:bookmarkStart w:id="16" w:name="_Toc6555"/>
      <w:bookmarkStart w:id="17" w:name="_Toc17534"/>
      <w:r>
        <w:rPr>
          <w:rFonts w:hint="default" w:ascii="Times New Roman" w:hAnsi="Times New Roman" w:eastAsia="仿宋_GB2312" w:cs="Times New Roman"/>
        </w:rPr>
        <w:t>建设健康文化</w:t>
      </w:r>
      <w:bookmarkEnd w:id="16"/>
      <w:bookmarkEnd w:id="17"/>
    </w:p>
    <w:p>
      <w:pPr>
        <w:pStyle w:val="5"/>
        <w:numPr>
          <w:ilvl w:val="0"/>
          <w:numId w:val="6"/>
        </w:numPr>
        <w:spacing w:before="1"/>
        <w:ind w:left="0" w:firstLine="640" w:firstLineChars="200"/>
        <w:jc w:val="both"/>
        <w:rPr>
          <w:rFonts w:hint="default" w:ascii="Times New Roman" w:hAnsi="Times New Roman" w:eastAsia="仿宋_GB2312" w:cs="Times New Roman"/>
          <w:bCs/>
        </w:rPr>
      </w:pPr>
      <w:r>
        <w:rPr>
          <w:rFonts w:hint="default" w:ascii="Times New Roman" w:hAnsi="Times New Roman" w:eastAsia="仿宋_GB2312" w:cs="Times New Roman"/>
          <w:bCs/>
        </w:rPr>
        <w:t>普及健康文化理念。开展生命教育，引导居民树立科学的生命观。传播医学和健康常识，普及敬畏生命、关爱健康、尊重医学规律理念。增进全社会对医学、医务人员的理解和尊重，引导居民形成科学就医理念和对医疗服务结果的合理预期。培育和发展中医药传统文化</w:t>
      </w:r>
      <w:r>
        <w:rPr>
          <w:rFonts w:hint="default" w:ascii="Times New Roman" w:hAnsi="Times New Roman" w:eastAsia="仿宋_GB2312" w:cs="Times New Roman"/>
          <w:bCs/>
          <w:lang w:bidi="ar"/>
        </w:rPr>
        <w:t>，</w:t>
      </w:r>
      <w:r>
        <w:rPr>
          <w:rFonts w:hint="default" w:ascii="Times New Roman" w:hAnsi="Times New Roman" w:eastAsia="仿宋_GB2312" w:cs="Times New Roman"/>
          <w:bCs/>
          <w:lang w:val="en-US" w:bidi="ar"/>
        </w:rPr>
        <w:t>推广中医药养生方式</w:t>
      </w:r>
      <w:r>
        <w:rPr>
          <w:rFonts w:hint="default" w:ascii="Times New Roman" w:hAnsi="Times New Roman" w:eastAsia="仿宋_GB2312" w:cs="Times New Roman"/>
          <w:bCs/>
        </w:rPr>
        <w:t>。（</w:t>
      </w:r>
      <w:r>
        <w:rPr>
          <w:rFonts w:hint="default" w:ascii="Times New Roman" w:hAnsi="Times New Roman" w:eastAsia="仿宋_GB2312" w:cs="Times New Roman"/>
        </w:rPr>
        <w:t>责任单位：</w:t>
      </w:r>
      <w:r>
        <w:rPr>
          <w:rFonts w:hint="default" w:ascii="Times New Roman" w:hAnsi="Times New Roman" w:eastAsia="仿宋_GB2312" w:cs="Times New Roman"/>
          <w:bCs/>
        </w:rPr>
        <w:t>区委宣传部、 区卫生健康局、各街道）</w:t>
      </w:r>
    </w:p>
    <w:p>
      <w:pPr>
        <w:pStyle w:val="5"/>
        <w:numPr>
          <w:ilvl w:val="0"/>
          <w:numId w:val="6"/>
        </w:numPr>
        <w:spacing w:before="1"/>
        <w:ind w:left="0" w:firstLine="640" w:firstLineChars="200"/>
        <w:jc w:val="both"/>
        <w:rPr>
          <w:rFonts w:hint="default" w:ascii="Times New Roman" w:hAnsi="Times New Roman" w:eastAsia="仿宋_GB2312" w:cs="Times New Roman"/>
          <w:bCs/>
        </w:rPr>
      </w:pPr>
      <w:r>
        <w:rPr>
          <w:rFonts w:hint="default" w:ascii="Times New Roman" w:hAnsi="Times New Roman" w:eastAsia="仿宋_GB2312" w:cs="Times New Roman"/>
          <w:bCs/>
        </w:rPr>
        <w:t>强化个人健康责任。强化市民对自身健康负责的意识，坚持人人尽责、人人享有，形成“每个人是自己健康的第一责任人”理念。引导</w:t>
      </w:r>
      <w:r>
        <w:rPr>
          <w:rFonts w:hint="default" w:ascii="Times New Roman" w:hAnsi="Times New Roman" w:eastAsia="仿宋" w:cs="Times New Roman"/>
          <w:lang w:val="en-US" w:bidi="ar"/>
        </w:rPr>
        <w:t>居</w:t>
      </w:r>
      <w:r>
        <w:rPr>
          <w:rFonts w:hint="default" w:ascii="Times New Roman" w:hAnsi="Times New Roman" w:eastAsia="仿宋_GB2312" w:cs="Times New Roman"/>
          <w:bCs/>
        </w:rPr>
        <w:t>民加强自我健康管理，形成自主自律、符合自身特点的健康文明生活方式。</w:t>
      </w:r>
      <w:r>
        <w:rPr>
          <w:rFonts w:hint="default" w:ascii="Times New Roman" w:hAnsi="Times New Roman" w:eastAsia="仿宋_GB2312" w:cs="Times New Roman"/>
          <w:bCs/>
          <w:lang w:val="en-US"/>
        </w:rPr>
        <w:t>探索</w:t>
      </w:r>
      <w:r>
        <w:rPr>
          <w:rFonts w:hint="default" w:ascii="Times New Roman" w:hAnsi="Times New Roman" w:eastAsia="仿宋_GB2312" w:cs="Times New Roman"/>
        </w:rPr>
        <w:t>居民健康自我管理小组建设，推进健康自我管理活动多元化、规范化发展。引导家庭医生、社会体育指导员主动参与指导小组活动。单位、学校因地制宜开展职业人群、青少年的健康自我管理活动。鼓励社会资源参与小组建设，提升自我管理小组信息化管理水平，建立覆盖所有社区的健康管理同伴支持网络。至202</w:t>
      </w:r>
      <w:r>
        <w:rPr>
          <w:rFonts w:hint="default" w:ascii="Times New Roman" w:hAnsi="Times New Roman" w:eastAsia="仿宋_GB2312" w:cs="Times New Roman"/>
          <w:lang w:val="en-US"/>
        </w:rPr>
        <w:t>5</w:t>
      </w:r>
      <w:r>
        <w:rPr>
          <w:rFonts w:hint="default" w:ascii="Times New Roman" w:hAnsi="Times New Roman" w:eastAsia="仿宋_GB2312" w:cs="Times New Roman"/>
        </w:rPr>
        <w:t>年和2030年，参与健康自我管理小组的人数分别达到85万人和120万人。</w:t>
      </w:r>
      <w:r>
        <w:rPr>
          <w:rFonts w:hint="default" w:ascii="Times New Roman" w:hAnsi="Times New Roman" w:eastAsia="仿宋_GB2312" w:cs="Times New Roman"/>
          <w:bCs/>
        </w:rPr>
        <w:t>（</w:t>
      </w:r>
      <w:r>
        <w:rPr>
          <w:rFonts w:hint="default" w:ascii="Times New Roman" w:hAnsi="Times New Roman" w:eastAsia="仿宋_GB2312" w:cs="Times New Roman"/>
        </w:rPr>
        <w:t>责任单位</w:t>
      </w:r>
      <w:r>
        <w:rPr>
          <w:rFonts w:hint="default" w:ascii="Times New Roman" w:hAnsi="Times New Roman" w:eastAsia="仿宋_GB2312" w:cs="Times New Roman"/>
        </w:rPr>
        <w:t>：</w:t>
      </w:r>
      <w:r>
        <w:rPr>
          <w:rFonts w:hint="default" w:ascii="Times New Roman" w:hAnsi="Times New Roman" w:eastAsia="仿宋_GB2312" w:cs="Times New Roman"/>
          <w:bCs/>
        </w:rPr>
        <w:t>区委宣传部、 区卫生健康局、</w:t>
      </w:r>
      <w:r>
        <w:rPr>
          <w:rFonts w:hint="default" w:ascii="Times New Roman" w:hAnsi="Times New Roman" w:eastAsia="仿宋_GB2312" w:cs="Times New Roman"/>
          <w:bCs/>
        </w:rPr>
        <w:t>各街道</w:t>
      </w:r>
      <w:r>
        <w:rPr>
          <w:rFonts w:hint="default" w:ascii="Times New Roman" w:hAnsi="Times New Roman" w:eastAsia="仿宋_GB2312" w:cs="Times New Roman"/>
          <w:bCs/>
        </w:rPr>
        <w:t>）</w:t>
      </w:r>
    </w:p>
    <w:p>
      <w:pPr>
        <w:pStyle w:val="5"/>
        <w:numPr>
          <w:ilvl w:val="0"/>
          <w:numId w:val="6"/>
        </w:numPr>
        <w:spacing w:before="1"/>
        <w:ind w:left="0" w:firstLine="640" w:firstLineChars="200"/>
        <w:rPr>
          <w:rFonts w:hint="default" w:ascii="Times New Roman" w:hAnsi="Times New Roman" w:eastAsia="仿宋_GB2312" w:cs="Times New Roman"/>
          <w:bCs/>
        </w:rPr>
      </w:pPr>
      <w:r>
        <w:rPr>
          <w:rFonts w:hint="default" w:ascii="Times New Roman" w:hAnsi="Times New Roman" w:eastAsia="仿宋_GB2312" w:cs="Times New Roman"/>
          <w:bCs/>
        </w:rPr>
        <w:t>完善健康文化共建机制。强化政府在健康文化建设中的主体地位，将健康文化建设融入城市文化建设体系</w:t>
      </w:r>
      <w:r>
        <w:rPr>
          <w:rFonts w:hint="default" w:ascii="Times New Roman" w:hAnsi="Times New Roman" w:eastAsia="仿宋_GB2312" w:cs="Times New Roman"/>
          <w:bCs/>
        </w:rPr>
        <w:t>，</w:t>
      </w:r>
      <w:r>
        <w:rPr>
          <w:rFonts w:hint="default" w:ascii="Times New Roman" w:hAnsi="Times New Roman" w:eastAsia="仿宋_GB2312" w:cs="Times New Roman"/>
          <w:bCs/>
        </w:rPr>
        <w:t>落实把健康融入所有政策的理念。充分利用天河区CBD的文化优势，做好健康文化推广。强化企业社会责任感， 牢固树立绿色安全发展理念，发挥企业在建设健康环境中的关键作用。强化企业保护员工健康权益的意识，加强员工健康教育和健康管理，普及常规体检，落实职业健康检查、女职工“两癌”筛查。支持社会力量参与健康文化建设。（</w:t>
      </w:r>
      <w:r>
        <w:rPr>
          <w:rFonts w:hint="default" w:ascii="Times New Roman" w:hAnsi="Times New Roman" w:eastAsia="仿宋_GB2312" w:cs="Times New Roman"/>
        </w:rPr>
        <w:t>责任单位</w:t>
      </w:r>
      <w:r>
        <w:rPr>
          <w:rFonts w:hint="default" w:ascii="Times New Roman" w:hAnsi="Times New Roman" w:eastAsia="仿宋_GB2312" w:cs="Times New Roman"/>
        </w:rPr>
        <w:t>：</w:t>
      </w:r>
      <w:r>
        <w:rPr>
          <w:rFonts w:hint="default" w:ascii="Times New Roman" w:hAnsi="Times New Roman" w:eastAsia="仿宋_GB2312" w:cs="Times New Roman"/>
          <w:bCs/>
        </w:rPr>
        <w:t>区委宣传部、 区卫生健康局、</w:t>
      </w:r>
      <w:r>
        <w:rPr>
          <w:rFonts w:hint="default" w:ascii="Times New Roman" w:hAnsi="Times New Roman" w:eastAsia="仿宋_GB2312" w:cs="Times New Roman"/>
          <w:bCs/>
        </w:rPr>
        <w:t>各街道</w:t>
      </w:r>
      <w:r>
        <w:rPr>
          <w:rFonts w:hint="default" w:ascii="Times New Roman" w:hAnsi="Times New Roman" w:eastAsia="仿宋_GB2312" w:cs="Times New Roman"/>
          <w:bCs/>
        </w:rPr>
        <w:t>）</w:t>
      </w:r>
    </w:p>
    <w:p>
      <w:pPr>
        <w:pStyle w:val="3"/>
        <w:numPr>
          <w:ilvl w:val="0"/>
          <w:numId w:val="4"/>
        </w:numPr>
        <w:spacing w:line="240" w:lineRule="auto"/>
        <w:ind w:left="440" w:leftChars="200" w:firstLine="0"/>
        <w:rPr>
          <w:rFonts w:hint="default" w:ascii="Times New Roman" w:hAnsi="Times New Roman" w:eastAsia="仿宋_GB2312" w:cs="Times New Roman"/>
        </w:rPr>
      </w:pPr>
      <w:bookmarkStart w:id="18" w:name="_Toc11110"/>
      <w:bookmarkStart w:id="19" w:name="_Toc4603"/>
      <w:r>
        <w:rPr>
          <w:rFonts w:hint="default" w:ascii="Times New Roman" w:hAnsi="Times New Roman" w:eastAsia="仿宋_GB2312" w:cs="Times New Roman"/>
        </w:rPr>
        <w:t>塑造</w:t>
      </w:r>
      <w:r>
        <w:rPr>
          <w:rFonts w:hint="default" w:ascii="Times New Roman" w:hAnsi="Times New Roman" w:eastAsia="仿宋_GB2312" w:cs="Times New Roman"/>
          <w:lang w:val="en-US"/>
        </w:rPr>
        <w:t>自主自立</w:t>
      </w:r>
      <w:r>
        <w:rPr>
          <w:rFonts w:hint="default" w:ascii="Times New Roman" w:hAnsi="Times New Roman" w:eastAsia="仿宋_GB2312" w:cs="Times New Roman"/>
        </w:rPr>
        <w:t>健康行为</w:t>
      </w:r>
      <w:bookmarkEnd w:id="18"/>
      <w:bookmarkEnd w:id="19"/>
    </w:p>
    <w:p>
      <w:pPr>
        <w:pStyle w:val="5"/>
        <w:numPr>
          <w:ilvl w:val="0"/>
          <w:numId w:val="7"/>
        </w:numPr>
        <w:spacing w:before="1"/>
        <w:ind w:left="0" w:firstLine="640" w:firstLineChars="200"/>
        <w:jc w:val="both"/>
        <w:rPr>
          <w:rFonts w:hint="default" w:ascii="Times New Roman" w:hAnsi="Times New Roman" w:eastAsia="仿宋_GB2312" w:cs="Times New Roman"/>
          <w:bCs/>
        </w:rPr>
      </w:pPr>
      <w:r>
        <w:rPr>
          <w:rFonts w:hint="default" w:ascii="Times New Roman" w:hAnsi="Times New Roman" w:eastAsia="仿宋_GB2312" w:cs="Times New Roman"/>
          <w:bCs/>
        </w:rPr>
        <w:t>引导合理膳食。实施《国民营养计划（2017-2030 年）》。多途径全面普及膳食营养和健康知识，引导居民形成科学的膳食习惯，推进健康饮食文化建设。开展居民营养监测制度，加强对儿童、孕妇</w:t>
      </w:r>
      <w:r>
        <w:rPr>
          <w:rFonts w:hint="default" w:ascii="Times New Roman" w:hAnsi="Times New Roman" w:eastAsia="仿宋_GB2312" w:cs="Times New Roman"/>
          <w:bCs/>
        </w:rPr>
        <w:t>、</w:t>
      </w:r>
      <w:r>
        <w:rPr>
          <w:rFonts w:hint="default" w:ascii="Times New Roman" w:hAnsi="Times New Roman" w:eastAsia="仿宋_GB2312" w:cs="Times New Roman"/>
          <w:bCs/>
        </w:rPr>
        <w:t>老年人等人群的营养干预， 重点解决营养不均衡等问题，预防和控制居民营养性疾病。实施临床营养干预。加强对学校、幼儿园、养老机构等营养健康工作的指导。开展示范健康食堂和健康餐厅建设。到2030年，每万人至少拥有</w:t>
      </w:r>
      <w:r>
        <w:rPr>
          <w:rFonts w:hint="default" w:ascii="Times New Roman" w:hAnsi="Times New Roman" w:eastAsia="仿宋_GB2312" w:cs="Times New Roman"/>
          <w:bCs/>
          <w:lang w:val="en-US"/>
        </w:rPr>
        <w:t>1</w:t>
      </w:r>
      <w:r>
        <w:rPr>
          <w:rFonts w:hint="default" w:ascii="Times New Roman" w:hAnsi="Times New Roman" w:eastAsia="仿宋_GB2312" w:cs="Times New Roman"/>
          <w:bCs/>
        </w:rPr>
        <w:t>名营养指导员，居民营养知识素养明显提高，全</w:t>
      </w:r>
      <w:r>
        <w:rPr>
          <w:rFonts w:hint="default" w:ascii="Times New Roman" w:hAnsi="Times New Roman" w:eastAsia="仿宋_GB2312" w:cs="Times New Roman"/>
          <w:bCs/>
          <w:lang w:val="en-US"/>
        </w:rPr>
        <w:t>区</w:t>
      </w:r>
      <w:r>
        <w:rPr>
          <w:rFonts w:hint="default" w:ascii="Times New Roman" w:hAnsi="Times New Roman" w:eastAsia="仿宋_GB2312" w:cs="Times New Roman"/>
          <w:bCs/>
        </w:rPr>
        <w:t>人均每日食盐摄入量降低 20</w:t>
      </w:r>
      <w:r>
        <w:rPr>
          <w:rFonts w:hint="default" w:ascii="Times New Roman" w:hAnsi="Times New Roman" w:eastAsia="仿宋_GB2312" w:cs="Times New Roman"/>
          <w:bCs/>
          <w:lang w:val="en-US" w:bidi="ar-SA"/>
        </w:rPr>
        <w:drawing>
          <wp:inline distT="0" distB="0" distL="0" distR="0">
            <wp:extent cx="85090" cy="154940"/>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rFonts w:hint="default" w:ascii="Times New Roman" w:hAnsi="Times New Roman" w:eastAsia="仿宋_GB2312" w:cs="Times New Roman"/>
          <w:bCs/>
        </w:rPr>
        <w:t>，居民超重、肥胖的增长速度明显放缓。（</w:t>
      </w:r>
      <w:r>
        <w:rPr>
          <w:rFonts w:hint="default" w:ascii="Times New Roman" w:hAnsi="Times New Roman" w:eastAsia="仿宋_GB2312" w:cs="Times New Roman"/>
        </w:rPr>
        <w:t>责任单位</w:t>
      </w:r>
      <w:r>
        <w:rPr>
          <w:rFonts w:hint="default" w:ascii="Times New Roman" w:hAnsi="Times New Roman" w:eastAsia="仿宋_GB2312" w:cs="Times New Roman"/>
        </w:rPr>
        <w:t>：</w:t>
      </w:r>
      <w:r>
        <w:rPr>
          <w:rFonts w:hint="default" w:ascii="Times New Roman" w:hAnsi="Times New Roman" w:eastAsia="仿宋_GB2312" w:cs="Times New Roman"/>
          <w:bCs/>
        </w:rPr>
        <w:t>区卫生健康局、区教育局、区委编办、</w:t>
      </w:r>
      <w:r>
        <w:rPr>
          <w:rFonts w:hint="default" w:ascii="Times New Roman" w:hAnsi="Times New Roman" w:eastAsia="仿宋_GB2312" w:cs="Times New Roman"/>
          <w:bCs/>
        </w:rPr>
        <w:t>各街道</w:t>
      </w:r>
      <w:r>
        <w:rPr>
          <w:rFonts w:hint="default" w:ascii="Times New Roman" w:hAnsi="Times New Roman" w:eastAsia="仿宋_GB2312" w:cs="Times New Roman"/>
          <w:bCs/>
        </w:rPr>
        <w:t>）</w:t>
      </w:r>
    </w:p>
    <w:p>
      <w:pPr>
        <w:pStyle w:val="5"/>
        <w:numPr>
          <w:ilvl w:val="0"/>
          <w:numId w:val="7"/>
        </w:numPr>
        <w:spacing w:before="1"/>
        <w:ind w:left="0" w:firstLine="640" w:firstLineChars="200"/>
        <w:jc w:val="both"/>
        <w:rPr>
          <w:rFonts w:hint="default" w:ascii="Times New Roman" w:hAnsi="Times New Roman" w:eastAsia="仿宋_GB2312" w:cs="Times New Roman"/>
          <w:bCs/>
        </w:rPr>
      </w:pPr>
      <w:r>
        <w:rPr>
          <w:rFonts w:hint="default" w:ascii="Times New Roman" w:hAnsi="Times New Roman" w:eastAsia="仿宋_GB2312" w:cs="Times New Roman"/>
          <w:bCs/>
        </w:rPr>
        <w:t>开展控烟限酒。严格执行《广东省爱国卫生工作条例》，大力推进城市市区室内公共场所和室内公共办公场所禁烟，积极推进无烟环境建设。领导干部带头在公共场所禁烟，把各级党政机关</w:t>
      </w:r>
      <w:r>
        <w:rPr>
          <w:rFonts w:hint="default" w:ascii="Times New Roman" w:hAnsi="Times New Roman" w:eastAsia="仿宋_GB2312" w:cs="Times New Roman"/>
          <w:bCs/>
        </w:rPr>
        <w:t>、</w:t>
      </w:r>
      <w:r>
        <w:rPr>
          <w:rFonts w:hint="default" w:ascii="Times New Roman" w:hAnsi="Times New Roman" w:eastAsia="仿宋_GB2312" w:cs="Times New Roman"/>
          <w:bCs/>
        </w:rPr>
        <w:t>事业单位建成无烟单位。深入开展控烟宣传教育。强化戒烟服务。到2030年，15岁以上人群吸烟率降低到 20</w:t>
      </w:r>
      <w:r>
        <w:rPr>
          <w:rFonts w:hint="default" w:ascii="Times New Roman" w:hAnsi="Times New Roman" w:eastAsia="仿宋_GB2312" w:cs="Times New Roman"/>
          <w:bCs/>
          <w:lang w:val="en-US" w:bidi="ar-SA"/>
        </w:rPr>
        <w:drawing>
          <wp:inline distT="0" distB="0" distL="0" distR="0">
            <wp:extent cx="85090" cy="154940"/>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rFonts w:hint="default" w:ascii="Times New Roman" w:hAnsi="Times New Roman" w:eastAsia="仿宋_GB2312" w:cs="Times New Roman"/>
          <w:bCs/>
        </w:rPr>
        <w:t xml:space="preserve">以下，全面无烟法规保护的人口比例达到80 </w:t>
      </w:r>
      <w:r>
        <w:rPr>
          <w:rFonts w:hint="default" w:ascii="Times New Roman" w:hAnsi="Times New Roman" w:eastAsia="仿宋_GB2312" w:cs="Times New Roman"/>
          <w:bCs/>
          <w:lang w:val="en-US" w:bidi="ar-SA"/>
        </w:rPr>
        <w:drawing>
          <wp:inline distT="0" distB="0" distL="0" distR="0">
            <wp:extent cx="85090" cy="154940"/>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rFonts w:hint="default" w:ascii="Times New Roman" w:hAnsi="Times New Roman" w:eastAsia="仿宋_GB2312" w:cs="Times New Roman"/>
          <w:bCs/>
        </w:rPr>
        <w:t>以上；</w:t>
      </w:r>
      <w:r>
        <w:rPr>
          <w:rFonts w:hint="default" w:ascii="Times New Roman" w:hAnsi="Times New Roman" w:eastAsia="仿宋_GB2312" w:cs="Times New Roman"/>
        </w:rPr>
        <w:t>禁止任何形式的烟草广告、促销和赞助，禁止向未成年人销售烟草或由未成年人销售烟草；把各级党政机关、学校、医疗机构全面建成无烟单位，全面实现室内公共场所、室内工作场所和公共交通工具全面禁烟</w:t>
      </w:r>
      <w:r>
        <w:rPr>
          <w:rFonts w:hint="default" w:ascii="Times New Roman" w:hAnsi="Times New Roman" w:eastAsia="仿宋_GB2312" w:cs="Times New Roman"/>
          <w:bCs/>
        </w:rPr>
        <w:t>。加强限酒健康教育，减少酗酒。对酒精使用造成相关疾病的个人及其家庭提供预防和治疗干预措施。加强有害使用酒精监测。（</w:t>
      </w:r>
      <w:r>
        <w:rPr>
          <w:rFonts w:hint="default" w:ascii="Times New Roman" w:hAnsi="Times New Roman" w:eastAsia="仿宋_GB2312" w:cs="Times New Roman"/>
        </w:rPr>
        <w:t>责任单位</w:t>
      </w:r>
      <w:r>
        <w:rPr>
          <w:rFonts w:hint="default" w:ascii="Times New Roman" w:hAnsi="Times New Roman" w:eastAsia="仿宋_GB2312" w:cs="Times New Roman"/>
        </w:rPr>
        <w:t>：</w:t>
      </w:r>
      <w:r>
        <w:rPr>
          <w:rFonts w:hint="default" w:ascii="Times New Roman" w:hAnsi="Times New Roman" w:eastAsia="仿宋_GB2312" w:cs="Times New Roman"/>
          <w:bCs/>
        </w:rPr>
        <w:t>区委宣传部、区卫生健康局、</w:t>
      </w:r>
      <w:r>
        <w:rPr>
          <w:rFonts w:hint="default" w:ascii="Times New Roman" w:hAnsi="Times New Roman" w:eastAsia="仿宋_GB2312" w:cs="Times New Roman"/>
          <w:bCs/>
        </w:rPr>
        <w:t>各街道</w:t>
      </w:r>
      <w:r>
        <w:rPr>
          <w:rFonts w:hint="default" w:ascii="Times New Roman" w:hAnsi="Times New Roman" w:eastAsia="仿宋_GB2312" w:cs="Times New Roman"/>
          <w:bCs/>
        </w:rPr>
        <w:t>）</w:t>
      </w:r>
    </w:p>
    <w:p>
      <w:pPr>
        <w:pStyle w:val="5"/>
        <w:numPr>
          <w:ilvl w:val="0"/>
          <w:numId w:val="7"/>
        </w:numPr>
        <w:spacing w:before="1"/>
        <w:ind w:left="0" w:firstLine="640" w:firstLineChars="200"/>
        <w:rPr>
          <w:rFonts w:hint="default" w:ascii="Times New Roman" w:hAnsi="Times New Roman" w:eastAsia="仿宋_GB2312" w:cs="Times New Roman"/>
          <w:bCs/>
        </w:rPr>
      </w:pPr>
      <w:r>
        <w:rPr>
          <w:rFonts w:hint="default" w:ascii="Times New Roman" w:hAnsi="Times New Roman" w:eastAsia="仿宋_GB2312" w:cs="Times New Roman"/>
          <w:bCs/>
        </w:rPr>
        <w:t>减少不安全性行为和药物滥用。强化社会综合治理，以青少年、育龄妇女、流动人群等为重点，加强性道德、性健康、性安全宣传教育和干预，加强对性传播高危行为人群的综合干预，减少意外妊娠和性病、艾滋病等疾病传播。</w:t>
      </w:r>
      <w:r>
        <w:rPr>
          <w:rFonts w:hint="default" w:ascii="Times New Roman" w:hAnsi="Times New Roman" w:eastAsia="仿宋_GB2312" w:cs="Times New Roman"/>
          <w:bCs/>
          <w:lang w:val="en-US"/>
        </w:rPr>
        <w:t>积极参与全民禁毒工程，</w:t>
      </w:r>
      <w:r>
        <w:rPr>
          <w:rFonts w:hint="default" w:ascii="Times New Roman" w:hAnsi="Times New Roman" w:eastAsia="仿宋_GB2312" w:cs="Times New Roman"/>
          <w:bCs/>
        </w:rPr>
        <w:t>加强毒品预防教育，普及毒品滥用危害和治疗应对等相关知识，</w:t>
      </w:r>
      <w:r>
        <w:rPr>
          <w:rFonts w:hint="default" w:ascii="Times New Roman" w:hAnsi="Times New Roman" w:eastAsia="仿宋_GB2312" w:cs="Times New Roman"/>
          <w:bCs/>
          <w:lang w:val="en-US"/>
        </w:rPr>
        <w:t>提高全民禁毒意识，争创无毒社区</w:t>
      </w:r>
      <w:r>
        <w:rPr>
          <w:rFonts w:hint="default" w:ascii="Times New Roman" w:hAnsi="Times New Roman" w:eastAsia="仿宋_GB2312" w:cs="Times New Roman"/>
          <w:bCs/>
        </w:rPr>
        <w:t>。加强戒毒医疗服务体系建设，开展药物维持治疗和心理干预“一站式”社区戒毒医疗服务。完善集生理脱毒、心理康复、就业扶持、回归社会于一体的戒毒康复模式，最大限度减少毒品对个人、家庭、社会的危害。加强抗菌药物临床应用管理，增强市民合理使用抗生素意识，完善抗菌药物临床监测网和细菌耐药监测网，提高合理用药水平。到2030年</w:t>
      </w:r>
      <w:r>
        <w:rPr>
          <w:rFonts w:hint="default" w:ascii="Times New Roman" w:hAnsi="Times New Roman" w:eastAsia="仿宋_GB2312" w:cs="Times New Roman"/>
          <w:bCs/>
        </w:rPr>
        <w:t>，</w:t>
      </w:r>
      <w:r>
        <w:rPr>
          <w:rFonts w:hint="default" w:ascii="Times New Roman" w:hAnsi="Times New Roman" w:eastAsia="仿宋_GB2312" w:cs="Times New Roman"/>
          <w:bCs/>
          <w:lang w:val="en-US"/>
        </w:rPr>
        <w:t>全区达到无毒社区“四无”标准：即无贩毒、无吸毒、无种毒、无制毒。</w:t>
      </w:r>
      <w:r>
        <w:rPr>
          <w:rFonts w:hint="default" w:ascii="Times New Roman" w:hAnsi="Times New Roman" w:eastAsia="仿宋_GB2312" w:cs="Times New Roman"/>
          <w:bCs/>
        </w:rPr>
        <w:t>（</w:t>
      </w:r>
      <w:r>
        <w:rPr>
          <w:rFonts w:hint="default" w:ascii="Times New Roman" w:hAnsi="Times New Roman" w:eastAsia="仿宋_GB2312" w:cs="Times New Roman"/>
        </w:rPr>
        <w:t>责任单位</w:t>
      </w:r>
      <w:r>
        <w:rPr>
          <w:rFonts w:hint="default" w:ascii="Times New Roman" w:hAnsi="Times New Roman" w:eastAsia="仿宋_GB2312" w:cs="Times New Roman"/>
        </w:rPr>
        <w:t>：</w:t>
      </w:r>
      <w:r>
        <w:rPr>
          <w:rFonts w:hint="default" w:ascii="Times New Roman" w:hAnsi="Times New Roman" w:eastAsia="仿宋_GB2312" w:cs="Times New Roman"/>
          <w:bCs/>
        </w:rPr>
        <w:t>区公安</w:t>
      </w:r>
      <w:r>
        <w:rPr>
          <w:rFonts w:hint="default" w:ascii="Times New Roman" w:hAnsi="Times New Roman" w:eastAsia="仿宋_GB2312" w:cs="Times New Roman"/>
          <w:bCs/>
          <w:lang w:val="en-US"/>
        </w:rPr>
        <w:t>分</w:t>
      </w:r>
      <w:r>
        <w:rPr>
          <w:rFonts w:hint="default" w:ascii="Times New Roman" w:hAnsi="Times New Roman" w:eastAsia="仿宋_GB2312" w:cs="Times New Roman"/>
          <w:bCs/>
        </w:rPr>
        <w:t>局、区委宣传部、区卫生健康局、区教育局、</w:t>
      </w:r>
      <w:r>
        <w:rPr>
          <w:rFonts w:hint="default" w:ascii="Times New Roman" w:hAnsi="Times New Roman" w:eastAsia="仿宋_GB2312" w:cs="Times New Roman"/>
          <w:bCs/>
        </w:rPr>
        <w:t>各街道</w:t>
      </w:r>
      <w:r>
        <w:rPr>
          <w:rFonts w:hint="default" w:ascii="Times New Roman" w:hAnsi="Times New Roman" w:eastAsia="仿宋_GB2312" w:cs="Times New Roman"/>
          <w:bCs/>
        </w:rPr>
        <w:t>）</w:t>
      </w:r>
    </w:p>
    <w:p>
      <w:pPr>
        <w:pStyle w:val="5"/>
        <w:numPr>
          <w:ilvl w:val="0"/>
          <w:numId w:val="7"/>
        </w:numPr>
        <w:spacing w:before="1"/>
        <w:ind w:left="0" w:firstLine="640" w:firstLineChars="200"/>
        <w:jc w:val="both"/>
        <w:rPr>
          <w:rFonts w:hint="default" w:ascii="Times New Roman" w:hAnsi="Times New Roman" w:eastAsia="仿宋_GB2312" w:cs="Times New Roman"/>
          <w:bCs/>
        </w:rPr>
      </w:pPr>
      <w:r>
        <w:rPr>
          <w:rFonts w:hint="default" w:ascii="Times New Roman" w:hAnsi="Times New Roman" w:eastAsia="仿宋_GB2312" w:cs="Times New Roman"/>
          <w:bCs/>
        </w:rPr>
        <w:t>促进心理健康和精神卫生。大力开展心理健康科普，提升公众心理健康素养水平，提高主动就医意识，鼓励个人正确认识抑郁症和焦虑症状，掌握基本的情绪管理、压力管理等自我心理调适方法。完善心理健康矫正，强化对行为障碍、抑郁症、儿童青少年孤独症、焦虑症、强迫症等常见精神障碍和心理行为问题的干预。加大对儿童、青少年、老人等重点人群和社区矫正人员、刑满释放人员等特殊人群以及特殊职业人群心理问题早期发现和及时干预力度。做好严重精神障碍患者服务报告登记、救治救助和服务管理。全面推进精神障碍社区康复。鼓励、引导社会力量提供心理健康和精神障碍康复服务，加强规范化管理。各类临床医务人员主动掌握心理健康知识和技能，应用于临床诊疗活动中。到2030年，重点人群心理健康问题得到关注和及时疏导，常见精神障碍防治和心理行为问题识别干预水平显著提高，失眠现患率、焦虑障碍患病率、抑郁症患病率上升趋势减缓。（</w:t>
      </w:r>
      <w:r>
        <w:rPr>
          <w:rFonts w:hint="default" w:ascii="Times New Roman" w:hAnsi="Times New Roman" w:eastAsia="仿宋_GB2312" w:cs="Times New Roman"/>
        </w:rPr>
        <w:t>责任单位</w:t>
      </w:r>
      <w:r>
        <w:rPr>
          <w:rFonts w:hint="default" w:ascii="Times New Roman" w:hAnsi="Times New Roman" w:eastAsia="仿宋_GB2312" w:cs="Times New Roman"/>
        </w:rPr>
        <w:t>：</w:t>
      </w:r>
      <w:r>
        <w:rPr>
          <w:rFonts w:hint="default" w:ascii="Times New Roman" w:hAnsi="Times New Roman" w:eastAsia="仿宋_GB2312" w:cs="Times New Roman"/>
          <w:bCs/>
        </w:rPr>
        <w:t>区卫生健康局、区</w:t>
      </w:r>
      <w:r>
        <w:rPr>
          <w:rFonts w:hint="default" w:ascii="Times New Roman" w:hAnsi="Times New Roman" w:eastAsia="仿宋_GB2312" w:cs="Times New Roman"/>
          <w:bCs/>
          <w:lang w:val="en-US"/>
        </w:rPr>
        <w:t>司法局</w:t>
      </w:r>
      <w:r>
        <w:rPr>
          <w:rFonts w:hint="default" w:ascii="Times New Roman" w:hAnsi="Times New Roman" w:eastAsia="仿宋_GB2312" w:cs="Times New Roman"/>
          <w:bCs/>
        </w:rPr>
        <w:t>、区委编办、区</w:t>
      </w:r>
      <w:r>
        <w:rPr>
          <w:rFonts w:hint="default" w:ascii="Times New Roman" w:hAnsi="Times New Roman" w:eastAsia="仿宋_GB2312" w:cs="Times New Roman"/>
          <w:bCs/>
        </w:rPr>
        <w:t>发展改革</w:t>
      </w:r>
      <w:r>
        <w:rPr>
          <w:rFonts w:hint="default" w:ascii="Times New Roman" w:hAnsi="Times New Roman" w:eastAsia="仿宋_GB2312" w:cs="Times New Roman"/>
          <w:bCs/>
        </w:rPr>
        <w:t>局、区财政局、区</w:t>
      </w:r>
      <w:r>
        <w:rPr>
          <w:rFonts w:hint="default" w:ascii="Times New Roman" w:hAnsi="Times New Roman" w:eastAsia="仿宋_GB2312" w:cs="Times New Roman"/>
          <w:bCs/>
          <w:lang w:val="en-US"/>
        </w:rPr>
        <w:t>规划和</w:t>
      </w:r>
      <w:r>
        <w:rPr>
          <w:rFonts w:hint="default" w:ascii="Times New Roman" w:hAnsi="Times New Roman" w:eastAsia="仿宋_GB2312" w:cs="Times New Roman"/>
          <w:bCs/>
        </w:rPr>
        <w:t>自然资源</w:t>
      </w:r>
      <w:r>
        <w:rPr>
          <w:rFonts w:hint="default" w:ascii="Times New Roman" w:hAnsi="Times New Roman" w:eastAsia="仿宋_GB2312" w:cs="Times New Roman"/>
          <w:bCs/>
          <w:lang w:val="en-US"/>
        </w:rPr>
        <w:t>分</w:t>
      </w:r>
      <w:r>
        <w:rPr>
          <w:rFonts w:hint="default" w:ascii="Times New Roman" w:hAnsi="Times New Roman" w:eastAsia="仿宋_GB2312" w:cs="Times New Roman"/>
          <w:bCs/>
        </w:rPr>
        <w:t>局、区生态环境</w:t>
      </w:r>
      <w:r>
        <w:rPr>
          <w:rFonts w:hint="default" w:ascii="Times New Roman" w:hAnsi="Times New Roman" w:eastAsia="仿宋_GB2312" w:cs="Times New Roman"/>
          <w:bCs/>
        </w:rPr>
        <w:t>分</w:t>
      </w:r>
      <w:r>
        <w:rPr>
          <w:rFonts w:hint="default" w:ascii="Times New Roman" w:hAnsi="Times New Roman" w:eastAsia="仿宋_GB2312" w:cs="Times New Roman"/>
          <w:bCs/>
        </w:rPr>
        <w:t>局、</w:t>
      </w:r>
      <w:r>
        <w:rPr>
          <w:rFonts w:hint="default" w:ascii="Times New Roman" w:hAnsi="Times New Roman" w:eastAsia="仿宋_GB2312" w:cs="Times New Roman"/>
        </w:rPr>
        <w:t>区住建</w:t>
      </w:r>
      <w:r>
        <w:rPr>
          <w:rFonts w:hint="default" w:ascii="Times New Roman" w:hAnsi="Times New Roman" w:eastAsia="仿宋_GB2312" w:cs="Times New Roman"/>
          <w:lang w:val="en-US"/>
        </w:rPr>
        <w:t>园林</w:t>
      </w:r>
      <w:r>
        <w:rPr>
          <w:rFonts w:hint="default" w:ascii="Times New Roman" w:hAnsi="Times New Roman" w:eastAsia="仿宋_GB2312" w:cs="Times New Roman"/>
        </w:rPr>
        <w:t>局</w:t>
      </w:r>
      <w:r>
        <w:rPr>
          <w:rFonts w:hint="default" w:ascii="Times New Roman" w:hAnsi="Times New Roman" w:eastAsia="仿宋_GB2312" w:cs="Times New Roman"/>
          <w:bCs/>
        </w:rPr>
        <w:t>、区</w:t>
      </w:r>
      <w:r>
        <w:rPr>
          <w:rFonts w:hint="default" w:ascii="Times New Roman" w:hAnsi="Times New Roman" w:eastAsia="仿宋_GB2312" w:cs="Times New Roman"/>
          <w:bCs/>
        </w:rPr>
        <w:t>人力资源社会保障</w:t>
      </w:r>
      <w:r>
        <w:rPr>
          <w:rFonts w:hint="default" w:ascii="Times New Roman" w:hAnsi="Times New Roman" w:eastAsia="仿宋_GB2312" w:cs="Times New Roman"/>
          <w:bCs/>
        </w:rPr>
        <w:t>局、区民政局、 区残联、</w:t>
      </w:r>
      <w:r>
        <w:rPr>
          <w:rFonts w:hint="default" w:ascii="Times New Roman" w:hAnsi="Times New Roman" w:eastAsia="仿宋_GB2312" w:cs="Times New Roman"/>
          <w:bCs/>
          <w:lang w:val="en-US"/>
        </w:rPr>
        <w:t>区</w:t>
      </w:r>
      <w:r>
        <w:rPr>
          <w:rFonts w:hint="default" w:ascii="Times New Roman" w:hAnsi="Times New Roman" w:eastAsia="仿宋_GB2312" w:cs="Times New Roman"/>
          <w:bCs/>
        </w:rPr>
        <w:t>教育局、区公安</w:t>
      </w:r>
      <w:r>
        <w:rPr>
          <w:rFonts w:hint="default" w:ascii="Times New Roman" w:hAnsi="Times New Roman" w:eastAsia="仿宋_GB2312" w:cs="Times New Roman"/>
          <w:bCs/>
          <w:lang w:val="en-US"/>
        </w:rPr>
        <w:t>分</w:t>
      </w:r>
      <w:r>
        <w:rPr>
          <w:rFonts w:hint="default" w:ascii="Times New Roman" w:hAnsi="Times New Roman" w:eastAsia="仿宋_GB2312" w:cs="Times New Roman"/>
          <w:bCs/>
        </w:rPr>
        <w:t>局、</w:t>
      </w:r>
      <w:r>
        <w:rPr>
          <w:rFonts w:hint="default" w:ascii="Times New Roman" w:hAnsi="Times New Roman" w:eastAsia="仿宋_GB2312" w:cs="Times New Roman"/>
          <w:bCs/>
        </w:rPr>
        <w:t>各街道</w:t>
      </w:r>
      <w:r>
        <w:rPr>
          <w:rFonts w:hint="default" w:ascii="Times New Roman" w:hAnsi="Times New Roman" w:eastAsia="仿宋_GB2312" w:cs="Times New Roman"/>
          <w:bCs/>
        </w:rPr>
        <w:t>）</w:t>
      </w:r>
    </w:p>
    <w:p>
      <w:pPr>
        <w:pStyle w:val="5"/>
        <w:numPr>
          <w:ilvl w:val="0"/>
          <w:numId w:val="7"/>
        </w:numPr>
        <w:spacing w:before="1"/>
        <w:ind w:left="0" w:firstLine="640" w:firstLineChars="200"/>
        <w:jc w:val="both"/>
        <w:rPr>
          <w:rFonts w:hint="default" w:ascii="Times New Roman" w:hAnsi="Times New Roman" w:eastAsia="仿宋_GB2312" w:cs="Times New Roman"/>
          <w:bCs/>
        </w:rPr>
      </w:pPr>
      <w:r>
        <w:rPr>
          <w:rFonts w:hint="default" w:ascii="Times New Roman" w:hAnsi="Times New Roman" w:eastAsia="仿宋_GB2312" w:cs="Times New Roman"/>
          <w:bCs/>
        </w:rPr>
        <w:t>提高全民自救互救能力。普及应急救护知识与技 能，组织居民参与医疗自救互救等演练。动员社会力量参与自救互救活动，建立卫生应急救援志愿者队伍。鼓励居民家庭自备医疗急救包。到2030年，在人群密集的公共场所配备自动体外除颤仪等自救互救设备，全</w:t>
      </w:r>
      <w:r>
        <w:rPr>
          <w:rFonts w:hint="default" w:ascii="Times New Roman" w:hAnsi="Times New Roman" w:eastAsia="仿宋_GB2312" w:cs="Times New Roman"/>
          <w:bCs/>
          <w:lang w:val="en-US"/>
        </w:rPr>
        <w:t>区</w:t>
      </w:r>
      <w:r>
        <w:rPr>
          <w:rFonts w:hint="default" w:ascii="Times New Roman" w:hAnsi="Times New Roman" w:eastAsia="仿宋_GB2312" w:cs="Times New Roman"/>
          <w:bCs/>
        </w:rPr>
        <w:t>学校、机关、企事业单位等人群密集场所均配备急救药品及设施。（</w:t>
      </w:r>
      <w:r>
        <w:rPr>
          <w:rFonts w:hint="default" w:ascii="Times New Roman" w:hAnsi="Times New Roman" w:eastAsia="仿宋_GB2312" w:cs="Times New Roman"/>
        </w:rPr>
        <w:t>责任单位</w:t>
      </w:r>
      <w:r>
        <w:rPr>
          <w:rFonts w:hint="default" w:ascii="Times New Roman" w:hAnsi="Times New Roman" w:eastAsia="仿宋_GB2312" w:cs="Times New Roman"/>
        </w:rPr>
        <w:t>：</w:t>
      </w:r>
      <w:r>
        <w:rPr>
          <w:rFonts w:hint="default" w:ascii="Times New Roman" w:hAnsi="Times New Roman" w:eastAsia="仿宋_GB2312" w:cs="Times New Roman"/>
          <w:bCs/>
        </w:rPr>
        <w:t>区应急管理局、区卫生健康局、</w:t>
      </w:r>
      <w:r>
        <w:rPr>
          <w:rFonts w:hint="default" w:ascii="Times New Roman" w:hAnsi="Times New Roman" w:eastAsia="仿宋_GB2312" w:cs="Times New Roman"/>
          <w:bCs/>
        </w:rPr>
        <w:t>各街道</w:t>
      </w:r>
      <w:r>
        <w:rPr>
          <w:rFonts w:hint="default" w:ascii="Times New Roman" w:hAnsi="Times New Roman" w:eastAsia="仿宋_GB2312" w:cs="Times New Roman"/>
          <w:bCs/>
        </w:rPr>
        <w:t>）</w:t>
      </w:r>
    </w:p>
    <w:p>
      <w:pPr>
        <w:pStyle w:val="3"/>
        <w:numPr>
          <w:ilvl w:val="0"/>
          <w:numId w:val="4"/>
        </w:numPr>
        <w:spacing w:line="240" w:lineRule="auto"/>
        <w:ind w:left="440" w:leftChars="200" w:firstLine="0"/>
        <w:rPr>
          <w:rFonts w:hint="default" w:ascii="Times New Roman" w:hAnsi="Times New Roman" w:eastAsia="仿宋_GB2312" w:cs="Times New Roman"/>
        </w:rPr>
      </w:pPr>
      <w:bookmarkStart w:id="20" w:name="_Toc18808"/>
      <w:bookmarkStart w:id="21" w:name="_Toc5715"/>
      <w:r>
        <w:rPr>
          <w:rFonts w:hint="default" w:ascii="Times New Roman" w:hAnsi="Times New Roman" w:eastAsia="仿宋_GB2312" w:cs="Times New Roman"/>
        </w:rPr>
        <w:t>推动全民健身</w:t>
      </w:r>
      <w:r>
        <w:rPr>
          <w:rFonts w:hint="default" w:ascii="Times New Roman" w:hAnsi="Times New Roman" w:eastAsia="仿宋_GB2312" w:cs="Times New Roman"/>
          <w:lang w:val="en-US"/>
        </w:rPr>
        <w:t>普及</w:t>
      </w:r>
      <w:r>
        <w:rPr>
          <w:rFonts w:hint="default" w:ascii="Times New Roman" w:hAnsi="Times New Roman" w:eastAsia="仿宋_GB2312" w:cs="Times New Roman"/>
        </w:rPr>
        <w:t>化</w:t>
      </w:r>
      <w:r>
        <w:rPr>
          <w:rFonts w:hint="default" w:ascii="Times New Roman" w:hAnsi="Times New Roman" w:eastAsia="仿宋_GB2312" w:cs="Times New Roman"/>
          <w:lang w:val="en-US"/>
        </w:rPr>
        <w:t>科学</w:t>
      </w:r>
      <w:r>
        <w:rPr>
          <w:rFonts w:hint="default" w:ascii="Times New Roman" w:hAnsi="Times New Roman" w:eastAsia="仿宋_GB2312" w:cs="Times New Roman"/>
        </w:rPr>
        <w:t>化</w:t>
      </w:r>
      <w:bookmarkEnd w:id="20"/>
      <w:bookmarkEnd w:id="21"/>
    </w:p>
    <w:p>
      <w:pPr>
        <w:pStyle w:val="5"/>
        <w:spacing w:before="1"/>
        <w:ind w:right="99" w:firstLine="645"/>
        <w:jc w:val="both"/>
        <w:rPr>
          <w:rFonts w:hint="default" w:ascii="Times New Roman" w:hAnsi="Times New Roman" w:eastAsia="仿宋_GB2312" w:cs="Times New Roman"/>
          <w:bCs/>
        </w:rPr>
      </w:pPr>
      <w:r>
        <w:rPr>
          <w:rFonts w:hint="default" w:ascii="Times New Roman" w:hAnsi="Times New Roman" w:eastAsia="仿宋_GB2312" w:cs="Times New Roman"/>
          <w:bCs/>
        </w:rPr>
        <w:t>完善全民健身公共服务体系。科学规划全民健身公共设施，推进公共体育设施、校园体育场地免费或者低收费向社会开放，支持在公园、绿地、新建居住区和社区等设置公共体育场地和设施。到202</w:t>
      </w:r>
      <w:r>
        <w:rPr>
          <w:rFonts w:hint="default" w:ascii="Times New Roman" w:hAnsi="Times New Roman" w:eastAsia="仿宋_GB2312" w:cs="Times New Roman"/>
          <w:bCs/>
          <w:lang w:val="en-US"/>
        </w:rPr>
        <w:t>5</w:t>
      </w:r>
      <w:r>
        <w:rPr>
          <w:rFonts w:hint="default" w:ascii="Times New Roman" w:hAnsi="Times New Roman" w:eastAsia="仿宋_GB2312" w:cs="Times New Roman"/>
          <w:bCs/>
        </w:rPr>
        <w:t>年，新建居住区和社区体育设施覆盖率达到100%。积极推进运动休闲特色社区建设。鼓励和支持社会资本采取多种形式参与活动场馆和健身设施建设，努力打造百姓身边“1</w:t>
      </w:r>
      <w:r>
        <w:rPr>
          <w:rFonts w:hint="default" w:ascii="Times New Roman" w:hAnsi="Times New Roman" w:eastAsia="仿宋_GB2312" w:cs="Times New Roman"/>
          <w:bCs/>
          <w:lang w:val="en-US"/>
        </w:rPr>
        <w:t>5</w:t>
      </w:r>
      <w:r>
        <w:rPr>
          <w:rFonts w:hint="default" w:ascii="Times New Roman" w:hAnsi="Times New Roman" w:eastAsia="仿宋_GB2312" w:cs="Times New Roman"/>
          <w:bCs/>
        </w:rPr>
        <w:t>分钟健身圈”。实施全民健身计划，鼓励市民积极参加各级各类健身赛事活动。发挥各行业各部门优势，组织开展群众性健身运动项目或比赛，大力发展足球、篮球、气排球、羽毛球、网球、乒乓球、游泳、健身气功、广场舞等群众喜闻乐见的健身活动项目，传承推广武术、龙舟、舞狮等岭南传统体育项目，结合天河地理条件，开展徒步、自行车、马拉松等户外体育活动。支持社会体育指导员广泛开展全民健身指导服务。促进青少年、妇女、老年人、职业群体及残疾人等重点人群体育活动。鼓励和支持新建工作场所建设适当的健身活动场地。实施体医融合行动计划。推广运动处方库，推动形成体医结合的疾病管理与健康服务模式。建立健全科学健身指导服务体系，加强“一站两点”（即街道文化体育服务站、社会体育指导员服务点和国民体质监测点）建设。加强国民体质监测，积极推进体质监测、健身指导、运动干预和体医结合的市民体质干预工作。到2030年，</w:t>
      </w:r>
      <w:r>
        <w:rPr>
          <w:rFonts w:hint="default" w:ascii="Times New Roman" w:hAnsi="Times New Roman" w:eastAsia="仿宋_GB2312" w:cs="Times New Roman"/>
        </w:rPr>
        <w:t>城乡居民达到《国民体质测定标准》合格以上的人数比例不低于96%；</w:t>
      </w:r>
      <w:r>
        <w:rPr>
          <w:rFonts w:hint="default" w:ascii="Times New Roman" w:hAnsi="Times New Roman" w:eastAsia="仿宋_GB2312" w:cs="Times New Roman"/>
          <w:bCs/>
        </w:rPr>
        <w:t>人均体育场地面积</w:t>
      </w:r>
      <w:r>
        <w:rPr>
          <w:rFonts w:hint="default" w:ascii="Times New Roman" w:hAnsi="Times New Roman" w:eastAsia="仿宋_GB2312" w:cs="Times New Roman"/>
          <w:bCs/>
          <w:lang w:val="en-US"/>
        </w:rPr>
        <w:t>持续增多</w:t>
      </w:r>
      <w:r>
        <w:rPr>
          <w:rFonts w:hint="default" w:ascii="Times New Roman" w:hAnsi="Times New Roman" w:eastAsia="仿宋_GB2312" w:cs="Times New Roman"/>
          <w:bCs/>
        </w:rPr>
        <w:t>，每千人至少拥有3名社会体育指导员。（</w:t>
      </w:r>
      <w:r>
        <w:rPr>
          <w:rFonts w:hint="default" w:ascii="Times New Roman" w:hAnsi="Times New Roman" w:eastAsia="仿宋_GB2312" w:cs="Times New Roman"/>
          <w:bCs/>
        </w:rPr>
        <w:t>责任单位</w:t>
      </w:r>
      <w:r>
        <w:rPr>
          <w:rFonts w:hint="default" w:ascii="Times New Roman" w:hAnsi="Times New Roman" w:eastAsia="仿宋_GB2312" w:cs="Times New Roman"/>
          <w:bCs/>
        </w:rPr>
        <w:t>：区文化广电旅游体育局、区财政局、区教育局、区卫生健康局）</w:t>
      </w:r>
      <w:bookmarkStart w:id="22" w:name="（二）优化健康服务"/>
      <w:bookmarkEnd w:id="22"/>
    </w:p>
    <w:p>
      <w:pPr>
        <w:pStyle w:val="12"/>
        <w:numPr>
          <w:ilvl w:val="0"/>
          <w:numId w:val="1"/>
        </w:numPr>
        <w:ind w:firstLine="643" w:firstLineChars="200"/>
        <w:jc w:val="left"/>
        <w:rPr>
          <w:rFonts w:hint="default" w:ascii="Times New Roman" w:hAnsi="Times New Roman" w:eastAsia="仿宋_GB2312" w:cs="Times New Roman"/>
        </w:rPr>
      </w:pPr>
      <w:bookmarkStart w:id="23" w:name="_Toc12891"/>
      <w:bookmarkStart w:id="24" w:name="_Toc22101"/>
      <w:r>
        <w:rPr>
          <w:rFonts w:hint="default" w:ascii="Times New Roman" w:hAnsi="Times New Roman" w:eastAsia="仿宋_GB2312" w:cs="Times New Roman"/>
        </w:rPr>
        <w:t>建设健康美丽宜居环境</w:t>
      </w:r>
      <w:bookmarkEnd w:id="23"/>
      <w:bookmarkEnd w:id="24"/>
    </w:p>
    <w:p>
      <w:pPr>
        <w:pStyle w:val="3"/>
        <w:numPr>
          <w:ilvl w:val="0"/>
          <w:numId w:val="8"/>
        </w:numPr>
        <w:spacing w:line="240" w:lineRule="auto"/>
        <w:ind w:firstLine="643" w:firstLineChars="200"/>
        <w:rPr>
          <w:rFonts w:hint="default" w:ascii="Times New Roman" w:hAnsi="Times New Roman" w:eastAsia="仿宋_GB2312" w:cs="Times New Roman"/>
        </w:rPr>
      </w:pPr>
      <w:bookmarkStart w:id="25" w:name="_Toc15380"/>
      <w:bookmarkStart w:id="26" w:name="_Toc12001"/>
      <w:r>
        <w:rPr>
          <w:rFonts w:hint="default" w:ascii="Times New Roman" w:hAnsi="Times New Roman" w:eastAsia="仿宋_GB2312" w:cs="Times New Roman"/>
        </w:rPr>
        <w:t>开展爱国卫生运动</w:t>
      </w:r>
      <w:bookmarkEnd w:id="25"/>
      <w:bookmarkEnd w:id="26"/>
    </w:p>
    <w:p>
      <w:pPr>
        <w:pStyle w:val="5"/>
        <w:spacing w:before="1"/>
        <w:ind w:right="99" w:firstLine="645"/>
        <w:jc w:val="both"/>
        <w:rPr>
          <w:rFonts w:hint="default" w:ascii="Times New Roman" w:hAnsi="Times New Roman" w:eastAsia="仿宋_GB2312" w:cs="Times New Roman"/>
          <w:bCs/>
        </w:rPr>
      </w:pPr>
      <w:r>
        <w:rPr>
          <w:rFonts w:hint="default" w:ascii="Times New Roman" w:hAnsi="Times New Roman" w:eastAsia="仿宋_GB2312" w:cs="Times New Roman"/>
          <w:bCs/>
        </w:rPr>
        <w:t>巩固发展国家卫生城市创建成果。建立健全区、街道、社区三级爱国卫生队伍。推行环境卫生网格化管理，全面落实“三个一”环境卫生整治制度。完善城镇环境卫生基础设施。以垃圾污水处理和城市环境卫生薄弱地段整治为重点，巩固“厕所革命”创建成果，持续推进城区环境卫生整洁行动。实施以环境治理为主的病媒生物综合防制策略。强化基层病媒生物防制力量，通过政府购买服务的方式建立健全蚊媒应急控制专业队伍，鼓励街道购买病媒生物防制有偿服务，控制病媒生物密度，</w:t>
      </w:r>
      <w:r>
        <w:rPr>
          <w:rFonts w:hint="default" w:ascii="Times New Roman" w:hAnsi="Times New Roman" w:eastAsia="仿宋_GB2312" w:cs="Times New Roman"/>
          <w:bCs/>
          <w:lang w:val="en-US"/>
        </w:rPr>
        <w:t>加强对防控效果进行监督和评价</w:t>
      </w:r>
      <w:r>
        <w:rPr>
          <w:rFonts w:hint="default" w:ascii="Times New Roman" w:hAnsi="Times New Roman" w:eastAsia="仿宋_GB2312" w:cs="Times New Roman"/>
          <w:bCs/>
        </w:rPr>
        <w:t>，</w:t>
      </w:r>
      <w:r>
        <w:rPr>
          <w:rFonts w:hint="default" w:ascii="Times New Roman" w:hAnsi="Times New Roman" w:eastAsia="仿宋_GB2312" w:cs="Times New Roman"/>
          <w:bCs/>
        </w:rPr>
        <w:t>有效防控传染病暴发和流行。</w:t>
      </w:r>
      <w:r>
        <w:rPr>
          <w:rFonts w:hint="default" w:ascii="Times New Roman" w:hAnsi="Times New Roman" w:eastAsia="仿宋_GB2312" w:cs="Times New Roman"/>
        </w:rPr>
        <w:t>推进社区、单位、学校、家庭等健康细胞工程</w:t>
      </w:r>
      <w:r>
        <w:rPr>
          <w:rFonts w:hint="default" w:ascii="Times New Roman" w:hAnsi="Times New Roman" w:eastAsia="仿宋_GB2312" w:cs="Times New Roman"/>
          <w:bCs/>
          <w:lang w:val="en-US"/>
        </w:rPr>
        <w:t>建设</w:t>
      </w:r>
      <w:r>
        <w:rPr>
          <w:rFonts w:hint="default" w:ascii="Times New Roman" w:hAnsi="Times New Roman" w:eastAsia="仿宋_GB2312" w:cs="Times New Roman"/>
          <w:bCs/>
        </w:rPr>
        <w:t>，推动将健康管理融入城市规划、建设和管理的全过程各环节，保障与健康相关的公共设施用地需求，完善相关公共服务设施体系、布局和标准。因地制宜规划建设城市碧道、步道、慢行道，提升绿化美化水平，增强便民服务功能，打造生态休闲廊道。创新</w:t>
      </w:r>
      <w:r>
        <w:rPr>
          <w:rFonts w:hint="default" w:ascii="Times New Roman" w:hAnsi="Times New Roman" w:eastAsia="仿宋_GB2312" w:cs="Times New Roman"/>
          <w:bCs/>
          <w:lang w:val="en-US"/>
        </w:rPr>
        <w:t>社会动员</w:t>
      </w:r>
      <w:r>
        <w:rPr>
          <w:rFonts w:hint="default" w:ascii="Times New Roman" w:hAnsi="Times New Roman" w:eastAsia="仿宋_GB2312" w:cs="Times New Roman"/>
          <w:bCs/>
        </w:rPr>
        <w:t>方式方法。发挥党建引领作用，通过建立“领导挂钩制”发挥领导干部带头示范效应，引导群众积极参与。加大监督监管力度，通过文明引导员、“曝光台”、群众“随手拍”等多种方式，引导人民群众及时主动制止随地吐痰、乱扔垃圾、公共场所吸烟等不文明行为，形成约束有力的社会监督和舆论监督氛围。鼓励社会组织和志愿者参与爱国卫生运动。</w:t>
      </w:r>
      <w:r>
        <w:rPr>
          <w:rFonts w:hint="default" w:ascii="Times New Roman" w:hAnsi="Times New Roman" w:eastAsia="仿宋_GB2312" w:cs="Times New Roman"/>
        </w:rPr>
        <w:t>至2030年，</w:t>
      </w:r>
      <w:r>
        <w:rPr>
          <w:rFonts w:hint="default" w:ascii="Times New Roman" w:hAnsi="Times New Roman" w:eastAsia="仿宋_GB2312" w:cs="Times New Roman"/>
          <w:lang w:val="en-US"/>
        </w:rPr>
        <w:t>建</w:t>
      </w:r>
      <w:r>
        <w:rPr>
          <w:rFonts w:hint="default" w:ascii="Times New Roman" w:hAnsi="Times New Roman" w:eastAsia="仿宋_GB2312" w:cs="Times New Roman"/>
        </w:rPr>
        <w:t>成一批具有典型示范作用的健康细胞。</w:t>
      </w:r>
      <w:r>
        <w:rPr>
          <w:rFonts w:hint="default" w:ascii="Times New Roman" w:hAnsi="Times New Roman" w:eastAsia="仿宋_GB2312" w:cs="Times New Roman"/>
          <w:bCs/>
        </w:rPr>
        <w:t>（</w:t>
      </w:r>
      <w:r>
        <w:rPr>
          <w:rFonts w:hint="default" w:ascii="Times New Roman" w:hAnsi="Times New Roman" w:eastAsia="仿宋_GB2312" w:cs="Times New Roman"/>
          <w:bCs/>
        </w:rPr>
        <w:t>责任单位</w:t>
      </w:r>
      <w:r>
        <w:rPr>
          <w:rFonts w:hint="default" w:ascii="Times New Roman" w:hAnsi="Times New Roman" w:eastAsia="仿宋_GB2312" w:cs="Times New Roman"/>
          <w:bCs/>
        </w:rPr>
        <w:t>：区卫生健康局、区农业农村局、区水务局、区城市管理综合执法局、区规划和自然资源分局）</w:t>
      </w:r>
    </w:p>
    <w:p>
      <w:pPr>
        <w:pStyle w:val="3"/>
        <w:numPr>
          <w:ilvl w:val="0"/>
          <w:numId w:val="8"/>
        </w:numPr>
        <w:spacing w:line="240" w:lineRule="auto"/>
        <w:ind w:firstLine="643" w:firstLineChars="200"/>
        <w:rPr>
          <w:rFonts w:hint="default" w:ascii="Times New Roman" w:hAnsi="Times New Roman" w:eastAsia="仿宋_GB2312" w:cs="Times New Roman"/>
        </w:rPr>
      </w:pPr>
      <w:bookmarkStart w:id="27" w:name="_Toc19127"/>
      <w:bookmarkStart w:id="28" w:name="_Toc14960"/>
      <w:r>
        <w:rPr>
          <w:rFonts w:hint="default" w:ascii="Times New Roman" w:hAnsi="Times New Roman" w:eastAsia="仿宋_GB2312" w:cs="Times New Roman"/>
        </w:rPr>
        <w:t>营造公共安全环境</w:t>
      </w:r>
      <w:bookmarkEnd w:id="27"/>
      <w:bookmarkEnd w:id="28"/>
    </w:p>
    <w:p>
      <w:pPr>
        <w:pStyle w:val="5"/>
        <w:numPr>
          <w:ilvl w:val="0"/>
          <w:numId w:val="9"/>
        </w:numPr>
        <w:spacing w:before="1"/>
        <w:ind w:left="0" w:firstLine="640" w:firstLineChars="200"/>
        <w:jc w:val="both"/>
        <w:rPr>
          <w:rFonts w:hint="default" w:ascii="Times New Roman" w:hAnsi="Times New Roman" w:eastAsia="仿宋_GB2312" w:cs="Times New Roman"/>
          <w:bCs/>
        </w:rPr>
      </w:pPr>
      <w:r>
        <w:rPr>
          <w:rFonts w:hint="default" w:ascii="Times New Roman" w:hAnsi="Times New Roman" w:eastAsia="仿宋_GB2312" w:cs="Times New Roman"/>
          <w:bCs/>
        </w:rPr>
        <w:t>强化安全生产和职业健康</w:t>
      </w:r>
    </w:p>
    <w:p>
      <w:pPr>
        <w:pStyle w:val="5"/>
        <w:spacing w:before="1"/>
        <w:ind w:right="99" w:firstLine="645"/>
        <w:jc w:val="both"/>
        <w:rPr>
          <w:rFonts w:hint="default" w:ascii="Times New Roman" w:hAnsi="Times New Roman" w:eastAsia="仿宋_GB2312" w:cs="Times New Roman"/>
          <w:bCs/>
        </w:rPr>
      </w:pPr>
      <w:r>
        <w:rPr>
          <w:rFonts w:hint="default" w:ascii="Times New Roman" w:hAnsi="Times New Roman" w:eastAsia="仿宋_GB2312" w:cs="Times New Roman"/>
          <w:bCs/>
        </w:rPr>
        <w:t>强化企业安全生产主体责任，切实落实政府和有关部门安全监管责任，加强安全生产风险等级管控、隐患排查治理、责任考核追究、安全教育培训。强化安全生产社会治理。强化建筑施工、危险化学品、特种设备等重点行业领域安全生产监管。发展安全生产科技，推广先进适用技术装备。加强职业病危害普查和源头治理，采取有针对性的健康干预措施。加强重点职业病监测与职业病危害因素监测、报告工作。建立分级分类监管机制，对职业病危害高风险企业实施重点监管，对重点行业领域职业病危害开展专项治理。强化职业病报告制度，开展用人单位职业健康促进工作，预防和控制工伤事故以及职业病发生。加强放射诊疗辐射防护和监管。发挥工会组织作用，开展健康体检、健康关爱等系列服务活动；开展免费为职业危害人员体检活动，提高职业危害人员体检覆盖率；落实市总工会医疗互助保障计划、“住院关爱”计划和工伤探视活动。</w:t>
      </w:r>
      <w:r>
        <w:rPr>
          <w:rFonts w:hint="default" w:ascii="Times New Roman" w:hAnsi="Times New Roman" w:eastAsia="仿宋_GB2312" w:cs="Times New Roman"/>
        </w:rPr>
        <w:t>至2030年，职业健康检查和职业病诊断服务覆盖率100%</w:t>
      </w:r>
      <w:r>
        <w:rPr>
          <w:rFonts w:hint="default" w:ascii="Times New Roman" w:hAnsi="Times New Roman" w:eastAsia="仿宋_GB2312" w:cs="Times New Roman"/>
        </w:rPr>
        <w:t>。</w:t>
      </w:r>
      <w:r>
        <w:rPr>
          <w:rFonts w:hint="default" w:ascii="Times New Roman" w:hAnsi="Times New Roman" w:eastAsia="仿宋_GB2312" w:cs="Times New Roman"/>
          <w:bCs/>
        </w:rPr>
        <w:t>（</w:t>
      </w:r>
      <w:r>
        <w:rPr>
          <w:rFonts w:hint="default" w:ascii="Times New Roman" w:hAnsi="Times New Roman" w:eastAsia="仿宋_GB2312" w:cs="Times New Roman"/>
          <w:bCs/>
        </w:rPr>
        <w:t>责任单位</w:t>
      </w:r>
      <w:r>
        <w:rPr>
          <w:rFonts w:hint="default" w:ascii="Times New Roman" w:hAnsi="Times New Roman" w:eastAsia="仿宋_GB2312" w:cs="Times New Roman"/>
          <w:bCs/>
        </w:rPr>
        <w:t>：区应急管理局、区卫生健康局、</w:t>
      </w:r>
      <w:r>
        <w:rPr>
          <w:rFonts w:hint="default" w:ascii="Times New Roman" w:hAnsi="Times New Roman" w:eastAsia="仿宋_GB2312" w:cs="Times New Roman"/>
        </w:rPr>
        <w:t>区住建园林局、区市场监管局、区生态环境分局、区总工会</w:t>
      </w:r>
      <w:r>
        <w:rPr>
          <w:rFonts w:hint="default" w:ascii="Times New Roman" w:hAnsi="Times New Roman" w:eastAsia="仿宋_GB2312" w:cs="Times New Roman"/>
          <w:bCs/>
        </w:rPr>
        <w:t>）</w:t>
      </w:r>
    </w:p>
    <w:p>
      <w:pPr>
        <w:pStyle w:val="5"/>
        <w:numPr>
          <w:ilvl w:val="0"/>
          <w:numId w:val="9"/>
        </w:numPr>
        <w:spacing w:before="1"/>
        <w:ind w:left="0" w:firstLine="640" w:firstLineChars="200"/>
        <w:jc w:val="both"/>
        <w:rPr>
          <w:rFonts w:hint="default" w:ascii="Times New Roman" w:hAnsi="Times New Roman" w:eastAsia="仿宋_GB2312" w:cs="Times New Roman"/>
          <w:bCs/>
        </w:rPr>
      </w:pPr>
      <w:r>
        <w:rPr>
          <w:rFonts w:hint="default" w:ascii="Times New Roman" w:hAnsi="Times New Roman" w:eastAsia="仿宋_GB2312" w:cs="Times New Roman"/>
          <w:bCs/>
        </w:rPr>
        <w:t>预防和减少伤害</w:t>
      </w:r>
    </w:p>
    <w:p>
      <w:pPr>
        <w:pStyle w:val="5"/>
        <w:spacing w:before="1"/>
        <w:ind w:right="99" w:firstLine="645"/>
        <w:jc w:val="both"/>
        <w:rPr>
          <w:rFonts w:hint="default" w:ascii="Times New Roman" w:hAnsi="Times New Roman" w:eastAsia="仿宋" w:cs="Times New Roman"/>
          <w:bCs/>
        </w:rPr>
      </w:pPr>
      <w:r>
        <w:rPr>
          <w:rFonts w:hint="default" w:ascii="Times New Roman" w:hAnsi="Times New Roman" w:eastAsia="仿宋_GB2312" w:cs="Times New Roman"/>
          <w:bCs/>
        </w:rPr>
        <w:t>加强全民安全意识教育，提高社会公众自救互救能力。建立伤害综合监测体系，落实重点伤害干预技术指南和标准。加快交通基础设施建设，完善道路交通标识，增加道路安全设施。强化交通安全监管和治理，加强对重型载货汽车、校车、旅游包车、危化品运输车、无人驾驶汽车等重点车辆和驾驶人安全驾驶管理。倡导文明出行，降低交通事故发生率。改善步行和自行车出行环境，完善无障碍交通设施，为群众安全、便捷出行提供保障。到2030年，道路交通事故万车死亡率力争下降30%。加强老年人和儿童伤害预防和干预，减少儿童交通伤害、溺水和老年人意外跌落。完善重点场所和设备防护设施，预防和减少自杀、意外中毒等伤害事件。完善公共消防设施建设和维护管理责任机制。（</w:t>
      </w:r>
      <w:r>
        <w:rPr>
          <w:rFonts w:hint="default" w:ascii="Times New Roman" w:hAnsi="Times New Roman" w:eastAsia="仿宋_GB2312" w:cs="Times New Roman"/>
          <w:bCs/>
        </w:rPr>
        <w:t>责任单位</w:t>
      </w:r>
      <w:r>
        <w:rPr>
          <w:rFonts w:hint="default" w:ascii="Times New Roman" w:hAnsi="Times New Roman" w:eastAsia="仿宋_GB2312" w:cs="Times New Roman"/>
          <w:bCs/>
        </w:rPr>
        <w:t>：区应急管理局、区公安分局、</w:t>
      </w:r>
      <w:r>
        <w:rPr>
          <w:rFonts w:hint="default" w:ascii="Times New Roman" w:hAnsi="Times New Roman" w:eastAsia="仿宋_GB2312" w:cs="Times New Roman"/>
        </w:rPr>
        <w:t>区住建园林局、交警天河大队</w:t>
      </w:r>
      <w:r>
        <w:rPr>
          <w:rFonts w:hint="default" w:ascii="Times New Roman" w:hAnsi="Times New Roman" w:eastAsia="仿宋_GB2312" w:cs="Times New Roman"/>
        </w:rPr>
        <w:t>、</w:t>
      </w:r>
      <w:r>
        <w:rPr>
          <w:rFonts w:hint="default" w:ascii="Times New Roman" w:hAnsi="Times New Roman" w:eastAsia="仿宋_GB2312" w:cs="Times New Roman"/>
          <w:lang w:val="en-US"/>
        </w:rPr>
        <w:t>区消防救援大队</w:t>
      </w:r>
      <w:r>
        <w:rPr>
          <w:rFonts w:hint="default" w:ascii="Times New Roman" w:hAnsi="Times New Roman" w:eastAsia="仿宋_GB2312" w:cs="Times New Roman"/>
          <w:bCs/>
        </w:rPr>
        <w:t>）</w:t>
      </w:r>
    </w:p>
    <w:p>
      <w:pPr>
        <w:pStyle w:val="5"/>
        <w:numPr>
          <w:ilvl w:val="0"/>
          <w:numId w:val="9"/>
        </w:numPr>
        <w:spacing w:before="1"/>
        <w:ind w:left="0" w:firstLine="640" w:firstLineChars="200"/>
        <w:jc w:val="both"/>
        <w:rPr>
          <w:rFonts w:hint="default" w:ascii="Times New Roman" w:hAnsi="Times New Roman" w:eastAsia="仿宋_GB2312" w:cs="Times New Roman"/>
          <w:bCs/>
        </w:rPr>
      </w:pPr>
      <w:r>
        <w:rPr>
          <w:rFonts w:hint="default" w:ascii="Times New Roman" w:hAnsi="Times New Roman" w:eastAsia="仿宋_GB2312" w:cs="Times New Roman"/>
          <w:bCs/>
        </w:rPr>
        <w:t>提高突发事件应急能力</w:t>
      </w:r>
    </w:p>
    <w:p>
      <w:pPr>
        <w:pStyle w:val="5"/>
        <w:spacing w:before="1"/>
        <w:ind w:right="99" w:firstLine="645"/>
        <w:jc w:val="both"/>
        <w:rPr>
          <w:rFonts w:hint="default" w:ascii="Times New Roman" w:hAnsi="Times New Roman" w:eastAsia="仿宋_GB2312" w:cs="Times New Roman"/>
          <w:bCs/>
        </w:rPr>
      </w:pPr>
      <w:r>
        <w:rPr>
          <w:rFonts w:hint="default" w:ascii="Times New Roman" w:hAnsi="Times New Roman" w:eastAsia="仿宋_GB2312" w:cs="Times New Roman"/>
          <w:bCs/>
        </w:rPr>
        <w:t>构建布局合理、运转高效、保障有力的突发事件应急救援公共安全网络。建立健全全区公共消防设施建设和维护管理责任机制</w:t>
      </w:r>
      <w:r>
        <w:rPr>
          <w:rFonts w:hint="default" w:ascii="Times New Roman" w:hAnsi="Times New Roman" w:eastAsia="仿宋_GB2312" w:cs="Times New Roman"/>
          <w:bCs/>
        </w:rPr>
        <w:t>，</w:t>
      </w:r>
      <w:r>
        <w:rPr>
          <w:rFonts w:hint="default" w:ascii="Times New Roman" w:hAnsi="Times New Roman" w:eastAsia="仿宋_GB2312" w:cs="Times New Roman"/>
          <w:bCs/>
        </w:rPr>
        <w:t>到2030年</w:t>
      </w:r>
      <w:r>
        <w:rPr>
          <w:rFonts w:hint="default" w:ascii="Times New Roman" w:hAnsi="Times New Roman" w:eastAsia="仿宋_GB2312" w:cs="Times New Roman"/>
          <w:bCs/>
        </w:rPr>
        <w:t>，</w:t>
      </w:r>
      <w:r>
        <w:rPr>
          <w:rFonts w:hint="default" w:ascii="Times New Roman" w:hAnsi="Times New Roman" w:eastAsia="仿宋_GB2312" w:cs="Times New Roman"/>
          <w:bCs/>
        </w:rPr>
        <w:t>全区公共消防设施基本实现全覆盖。提高防灾减灾和应急能力。（</w:t>
      </w:r>
      <w:r>
        <w:rPr>
          <w:rFonts w:hint="default" w:ascii="Times New Roman" w:hAnsi="Times New Roman" w:eastAsia="仿宋_GB2312" w:cs="Times New Roman"/>
          <w:bCs/>
        </w:rPr>
        <w:t>责任单位</w:t>
      </w:r>
      <w:r>
        <w:rPr>
          <w:rFonts w:hint="default" w:ascii="Times New Roman" w:hAnsi="Times New Roman" w:eastAsia="仿宋_GB2312" w:cs="Times New Roman"/>
          <w:bCs/>
        </w:rPr>
        <w:t>：区应急管理局、区公安分局</w:t>
      </w:r>
      <w:r>
        <w:rPr>
          <w:rFonts w:hint="default" w:ascii="Times New Roman" w:hAnsi="Times New Roman" w:eastAsia="仿宋_GB2312" w:cs="Times New Roman"/>
          <w:bCs/>
        </w:rPr>
        <w:t>、</w:t>
      </w:r>
      <w:r>
        <w:rPr>
          <w:rFonts w:hint="default" w:ascii="Times New Roman" w:hAnsi="Times New Roman" w:eastAsia="仿宋_GB2312" w:cs="Times New Roman"/>
          <w:bCs/>
          <w:lang w:val="en-US"/>
        </w:rPr>
        <w:t>区消防救援大队</w:t>
      </w:r>
      <w:r>
        <w:rPr>
          <w:rFonts w:hint="default" w:ascii="Times New Roman" w:hAnsi="Times New Roman" w:eastAsia="仿宋_GB2312" w:cs="Times New Roman"/>
          <w:bCs/>
        </w:rPr>
        <w:t>）</w:t>
      </w:r>
    </w:p>
    <w:p>
      <w:pPr>
        <w:pStyle w:val="3"/>
        <w:numPr>
          <w:ilvl w:val="0"/>
          <w:numId w:val="8"/>
        </w:numPr>
        <w:spacing w:line="240" w:lineRule="auto"/>
        <w:ind w:firstLine="643" w:firstLineChars="200"/>
        <w:rPr>
          <w:rFonts w:hint="default" w:ascii="Times New Roman" w:hAnsi="Times New Roman" w:eastAsia="仿宋_GB2312" w:cs="Times New Roman"/>
        </w:rPr>
      </w:pPr>
      <w:bookmarkStart w:id="29" w:name="_Toc29361"/>
      <w:bookmarkStart w:id="30" w:name="_Toc31031"/>
      <w:r>
        <w:rPr>
          <w:rFonts w:hint="default" w:ascii="Times New Roman" w:hAnsi="Times New Roman" w:eastAsia="仿宋_GB2312" w:cs="Times New Roman"/>
        </w:rPr>
        <w:t>加强影响健康的环境问题治理</w:t>
      </w:r>
      <w:bookmarkEnd w:id="29"/>
      <w:bookmarkEnd w:id="30"/>
    </w:p>
    <w:p>
      <w:pPr>
        <w:pStyle w:val="5"/>
        <w:spacing w:before="1"/>
        <w:ind w:right="99" w:firstLine="645"/>
        <w:jc w:val="both"/>
        <w:rPr>
          <w:rFonts w:hint="default" w:ascii="Times New Roman" w:hAnsi="Times New Roman" w:eastAsia="仿宋_GB2312" w:cs="Times New Roman"/>
          <w:bCs/>
        </w:rPr>
      </w:pPr>
      <w:r>
        <w:rPr>
          <w:rFonts w:hint="default" w:ascii="Times New Roman" w:hAnsi="Times New Roman" w:eastAsia="仿宋_GB2312" w:cs="Times New Roman"/>
        </w:rPr>
        <w:t>严格落实领导干部任期生态文明建设责任制，积极创建国家生态文明建设示范区，公众生态文明建设知晓率和参与度达到国家标准。</w:t>
      </w:r>
      <w:r>
        <w:rPr>
          <w:rFonts w:hint="default" w:ascii="Times New Roman" w:hAnsi="Times New Roman" w:eastAsia="仿宋_GB2312" w:cs="Times New Roman"/>
          <w:b/>
        </w:rPr>
        <w:t>深入开展大气、水、土壤污染防治。打赢蓝天保卫战，</w:t>
      </w:r>
      <w:r>
        <w:rPr>
          <w:rFonts w:hint="default" w:ascii="Times New Roman" w:hAnsi="Times New Roman" w:eastAsia="仿宋_GB2312" w:cs="Times New Roman"/>
        </w:rPr>
        <w:t>推进“减煤、控车、降尘、少油烟”综合治理，建设清洁能源体系，推动空气PM2.5、PM10稳定达标。</w:t>
      </w:r>
      <w:r>
        <w:rPr>
          <w:rFonts w:hint="default" w:ascii="Times New Roman" w:hAnsi="Times New Roman" w:eastAsia="仿宋_GB2312" w:cs="Times New Roman"/>
          <w:b/>
        </w:rPr>
        <w:t>着力打好碧水保卫战，</w:t>
      </w:r>
      <w:r>
        <w:rPr>
          <w:rFonts w:hint="default" w:ascii="Times New Roman" w:hAnsi="Times New Roman" w:eastAsia="仿宋_GB2312" w:cs="Times New Roman"/>
        </w:rPr>
        <w:t>巩固南粤水更清行动效果，持续抓好源头减污、源头截污和雨污分流，全面剿灭黑臭水体，强化地下水管理和保护，推进地下水超采区治理与污染综合防治，不断提高“排水单元达标”比例，构建区域绿色生态水网。</w:t>
      </w:r>
      <w:r>
        <w:rPr>
          <w:rFonts w:hint="default" w:ascii="Times New Roman" w:hAnsi="Times New Roman" w:eastAsia="仿宋_GB2312" w:cs="Times New Roman"/>
          <w:b/>
        </w:rPr>
        <w:t>扎实推进净土保卫战，</w:t>
      </w:r>
      <w:r>
        <w:rPr>
          <w:rFonts w:hint="default" w:ascii="Times New Roman" w:hAnsi="Times New Roman" w:eastAsia="仿宋_GB2312" w:cs="Times New Roman"/>
        </w:rPr>
        <w:t>强化土壤污染管控和修复，巩固提升垃圾分类工作成效，推动城中村垃圾分类全覆盖全提升，推进辖区快递包装绿色治理，对标“无废城市”建设要求，强化生活垃圾、医疗废物和危险废物等固体废物污染防治，加强“城市矿产”开发利用。</w:t>
      </w:r>
      <w:r>
        <w:rPr>
          <w:rFonts w:hint="default" w:ascii="Times New Roman" w:hAnsi="Times New Roman" w:eastAsia="仿宋_GB2312" w:cs="Times New Roman"/>
          <w:b/>
        </w:rPr>
        <w:t>强化工业污染源治理。</w:t>
      </w:r>
      <w:r>
        <w:rPr>
          <w:rFonts w:hint="default" w:ascii="Times New Roman" w:hAnsi="Times New Roman" w:eastAsia="仿宋_GB2312" w:cs="Times New Roman"/>
        </w:rPr>
        <w:t>全面实施工业污染源排污许可管理。落实工业污染源全面达标排放计划，全面排查未达标工业污染源，推动企业依法开展自行监测和信息及时公开，建立排污台账，强化污染源风险管控。开展工业集聚区污染专项治理。逐步建立环境与健康的调查、监测、风险评估和沟通制度，在上级有关部门指导下，开展与群众健康密切相关的饮用水、空气、土壤等环境健康影响监测与评价。深入推进产业园区等开发建设规划环评工作，扩大相关群众参与度，严格建设项目环评审批，强化源头预防。加强健康环境法规执行力度，继续开展“散乱污”场所清理整治、餐饮业燃烧非清洁能源、加油站油气排放、黑臭小微水体整治等专项执法活动。到2030年，居民饮用水水质达标情况继续保持和改善；居民环境与健康素养水平达到25%及以上。（</w:t>
      </w:r>
      <w:r>
        <w:rPr>
          <w:rFonts w:hint="default" w:ascii="Times New Roman" w:hAnsi="Times New Roman" w:eastAsia="仿宋_GB2312" w:cs="Times New Roman"/>
        </w:rPr>
        <w:t>责任单位</w:t>
      </w:r>
      <w:r>
        <w:rPr>
          <w:rFonts w:hint="default" w:ascii="Times New Roman" w:hAnsi="Times New Roman" w:eastAsia="仿宋_GB2312" w:cs="Times New Roman"/>
        </w:rPr>
        <w:t>：区生态环境分局、区水务局、区农业农村局、区城市管理综合执法局）</w:t>
      </w:r>
    </w:p>
    <w:p>
      <w:pPr>
        <w:pStyle w:val="3"/>
        <w:numPr>
          <w:ilvl w:val="0"/>
          <w:numId w:val="8"/>
        </w:numPr>
        <w:spacing w:line="240" w:lineRule="auto"/>
        <w:ind w:firstLine="643" w:firstLineChars="200"/>
        <w:rPr>
          <w:rFonts w:hint="default" w:ascii="Times New Roman" w:hAnsi="Times New Roman" w:eastAsia="仿宋_GB2312" w:cs="Times New Roman"/>
        </w:rPr>
      </w:pPr>
      <w:bookmarkStart w:id="31" w:name="_Toc20574"/>
      <w:bookmarkStart w:id="32" w:name="_Toc24094"/>
      <w:r>
        <w:rPr>
          <w:rFonts w:hint="default" w:ascii="Times New Roman" w:hAnsi="Times New Roman" w:eastAsia="仿宋_GB2312" w:cs="Times New Roman"/>
        </w:rPr>
        <w:t>保障食品药品安全</w:t>
      </w:r>
      <w:bookmarkEnd w:id="31"/>
      <w:bookmarkEnd w:id="32"/>
    </w:p>
    <w:p>
      <w:pPr>
        <w:pStyle w:val="5"/>
        <w:spacing w:before="1"/>
        <w:ind w:right="99" w:firstLine="645"/>
        <w:jc w:val="both"/>
        <w:rPr>
          <w:rFonts w:hint="default" w:ascii="Times New Roman" w:hAnsi="Times New Roman" w:eastAsia="仿宋" w:cs="Times New Roman"/>
        </w:rPr>
      </w:pPr>
      <w:r>
        <w:rPr>
          <w:rFonts w:hint="default" w:ascii="Times New Roman" w:hAnsi="Times New Roman" w:eastAsia="仿宋_GB2312" w:cs="Times New Roman"/>
        </w:rPr>
        <w:t>严格落实食品药品安全党政同责和属地责任制，坚决守住不发生系统性、区域性食品安全事故的底线。推进国家食品安全示范城市建设。完善食品安全全程追溯体系，充分运用“互联网+”、大数据分析、人工智能等新技术手段，实现食品全流程智慧监管。引导企业应用先进的生产管理方案全面规范生产行为，完善生产企业自查报告制度。实施“优质粮食工程”行动，提高优质安全粮油产品供给水平。积极推进食用农产品市场监管，推广应用广州市农产品质量安全追溯信息平台，配合建立健全食用农产品产地准出和市场准入有效衔接机制，在蔬菜产地、生猪屠宰和蔬菜批发市场中提升基层人员快速检测能力。加强食品批发市场、超市、校园周边杂食店、现场制售食品经营单位的食品安全监管。扎实推进食品销售风险分级管理工作。推进餐饮服务质量安全提升行动，继续深化实施餐饮业量化分级提升工程、明厨亮灶建设工程、餐饮服务示范工程、规范有序形象提升工程、网络订餐提升工程等五大工程。加强集体用餐单位、旅游景区、工地食堂、养老机构食堂、长者饭堂、网络订餐食品安全监管。持续推进餐厨废弃物资源化利用和无害化处理。实施校园食品安全守护与营养改善行动、假冒伪劣食品治理行动、保健食品行业专项清理整治行动。推进食品安全风险监测与食源性疾病报告网络覆盖全区。加大食品检验检测力度，加强对抽检不合格产品的核查处置。鼓励社会力量提供食品药品检测服务。在辖区大型超市和农贸市场开展天天快检，及时公开检测结果。推进食品安全信用体系建设，完善食品安全信息公开制度。大力开展食品安全风险隐患大排查大整治。完善食品安全突发事件应急响应机制。加强食品安全法治和科普知识宣传教育。全面加强药品全过程监管，推进药品追溯体系建设，形成全品种、全过程完整追溯与监管链条。加强高风险医疗器械生产企业的日常监管，实施医疗器械分级动态管理。不断完善药品不良反应、医疗器械不良事件、化妆品不良反应等监测体系。建立药品安全管理“零容忍”机制，建立健全药品安全信用体系。开展药品安全科普宣传活动。</w:t>
      </w:r>
      <w:r>
        <w:rPr>
          <w:rFonts w:hint="default" w:ascii="Times New Roman" w:hAnsi="Times New Roman" w:eastAsia="仿宋_GB2312" w:cs="Times New Roman"/>
          <w:kern w:val="2"/>
        </w:rPr>
        <w:t>至2030年，学校食堂和大型职工食堂“放心食堂”达标率达100%；中型以上公共餐饮服务单位“明厨亮灶”覆盖率达100%，“放心餐厅”达标率达80%以上；集体用餐配送单位、中央厨房、学校</w:t>
      </w:r>
      <w:r>
        <w:rPr>
          <w:rFonts w:hint="default" w:ascii="Times New Roman" w:hAnsi="Times New Roman" w:eastAsia="仿宋_GB2312" w:cs="Times New Roman"/>
          <w:spacing w:val="-17"/>
          <w:kern w:val="2"/>
        </w:rPr>
        <w:t>食堂等食品经营者实施良好操作规范覆盖率达80%以上。主要食品安全总体监测合格率达97%及以上。</w:t>
      </w:r>
      <w:r>
        <w:rPr>
          <w:rFonts w:hint="default" w:ascii="Times New Roman" w:hAnsi="Times New Roman" w:eastAsia="仿宋_GB2312" w:cs="Times New Roman"/>
          <w:spacing w:val="-17"/>
        </w:rPr>
        <w:t>（责任单位：区市场监管局）</w:t>
      </w:r>
    </w:p>
    <w:p>
      <w:pPr>
        <w:pStyle w:val="12"/>
        <w:numPr>
          <w:ilvl w:val="0"/>
          <w:numId w:val="1"/>
        </w:numPr>
        <w:ind w:firstLine="643" w:firstLineChars="200"/>
        <w:jc w:val="left"/>
        <w:rPr>
          <w:rFonts w:hint="default" w:ascii="Times New Roman" w:hAnsi="Times New Roman" w:eastAsia="仿宋_GB2312" w:cs="Times New Roman"/>
        </w:rPr>
      </w:pPr>
      <w:bookmarkStart w:id="33" w:name="_Toc5308"/>
      <w:bookmarkStart w:id="34" w:name="_Toc10464"/>
      <w:r>
        <w:rPr>
          <w:rFonts w:hint="default" w:ascii="Times New Roman" w:hAnsi="Times New Roman" w:eastAsia="仿宋_GB2312" w:cs="Times New Roman"/>
        </w:rPr>
        <w:t>优化</w:t>
      </w:r>
      <w:r>
        <w:rPr>
          <w:rFonts w:hint="default" w:ascii="Times New Roman" w:hAnsi="Times New Roman" w:eastAsia="仿宋_GB2312" w:cs="Times New Roman"/>
          <w:lang w:val="en-US"/>
        </w:rPr>
        <w:t>医疗卫生</w:t>
      </w:r>
      <w:r>
        <w:rPr>
          <w:rFonts w:hint="default" w:ascii="Times New Roman" w:hAnsi="Times New Roman" w:eastAsia="仿宋_GB2312" w:cs="Times New Roman"/>
        </w:rPr>
        <w:t>服务</w:t>
      </w:r>
      <w:bookmarkEnd w:id="33"/>
      <w:bookmarkEnd w:id="34"/>
    </w:p>
    <w:p>
      <w:pPr>
        <w:pStyle w:val="3"/>
        <w:numPr>
          <w:ilvl w:val="0"/>
          <w:numId w:val="10"/>
        </w:numPr>
        <w:spacing w:line="240" w:lineRule="auto"/>
        <w:ind w:firstLine="643" w:firstLineChars="200"/>
        <w:rPr>
          <w:rFonts w:hint="default" w:ascii="Times New Roman" w:hAnsi="Times New Roman" w:eastAsia="仿宋_GB2312" w:cs="Times New Roman"/>
        </w:rPr>
      </w:pPr>
      <w:bookmarkStart w:id="35" w:name="_Toc13224"/>
      <w:bookmarkStart w:id="36" w:name="_Toc9701"/>
      <w:r>
        <w:rPr>
          <w:rFonts w:hint="default" w:ascii="Times New Roman" w:hAnsi="Times New Roman" w:eastAsia="仿宋_GB2312" w:cs="Times New Roman"/>
        </w:rPr>
        <w:t>构建整合型卫生服务体系</w:t>
      </w:r>
      <w:bookmarkEnd w:id="35"/>
      <w:bookmarkEnd w:id="36"/>
    </w:p>
    <w:p>
      <w:pPr>
        <w:pStyle w:val="5"/>
        <w:numPr>
          <w:ilvl w:val="0"/>
          <w:numId w:val="11"/>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以公平可及为目标，优化医疗卫生资源配置。</w:t>
      </w:r>
      <w:r>
        <w:rPr>
          <w:rFonts w:hint="default" w:ascii="Times New Roman" w:hAnsi="Times New Roman" w:eastAsia="仿宋_GB2312" w:cs="Times New Roman"/>
        </w:rPr>
        <w:t>实施</w:t>
      </w:r>
      <w:r>
        <w:rPr>
          <w:rFonts w:hint="default" w:ascii="Times New Roman" w:hAnsi="Times New Roman" w:eastAsia="仿宋_GB2312" w:cs="Times New Roman"/>
        </w:rPr>
        <w:t>“高水平医院建设工程”</w:t>
      </w:r>
      <w:r>
        <w:rPr>
          <w:rFonts w:hint="default" w:ascii="Times New Roman" w:hAnsi="Times New Roman" w:eastAsia="仿宋_GB2312" w:cs="Times New Roman"/>
        </w:rPr>
        <w:t>。</w:t>
      </w:r>
      <w:r>
        <w:rPr>
          <w:rFonts w:hint="default" w:ascii="Times New Roman" w:hAnsi="Times New Roman" w:eastAsia="仿宋_GB2312" w:cs="Times New Roman"/>
        </w:rPr>
        <w:t>全区共规划建设</w:t>
      </w:r>
      <w:r>
        <w:rPr>
          <w:rFonts w:hint="default" w:ascii="Times New Roman" w:hAnsi="Times New Roman" w:eastAsia="仿宋_GB2312" w:cs="Times New Roman"/>
          <w:lang w:val="en-US"/>
        </w:rPr>
        <w:t>10</w:t>
      </w:r>
      <w:r>
        <w:rPr>
          <w:rFonts w:hint="default" w:ascii="Times New Roman" w:hAnsi="Times New Roman" w:eastAsia="仿宋_GB2312" w:cs="Times New Roman"/>
        </w:rPr>
        <w:t>所三级医院，</w:t>
      </w:r>
      <w:r>
        <w:rPr>
          <w:rFonts w:hint="default" w:ascii="Times New Roman" w:hAnsi="Times New Roman" w:eastAsia="仿宋_GB2312" w:cs="Times New Roman"/>
        </w:rPr>
        <w:t>新增优质</w:t>
      </w:r>
      <w:r>
        <w:rPr>
          <w:rFonts w:hint="default" w:ascii="Times New Roman" w:hAnsi="Times New Roman" w:eastAsia="仿宋_GB2312" w:cs="Times New Roman"/>
        </w:rPr>
        <w:t>床位数约</w:t>
      </w:r>
      <w:r>
        <w:rPr>
          <w:rFonts w:hint="default" w:ascii="Times New Roman" w:hAnsi="Times New Roman" w:eastAsia="仿宋_GB2312" w:cs="Times New Roman"/>
          <w:lang w:val="en-US"/>
        </w:rPr>
        <w:t>74</w:t>
      </w:r>
      <w:r>
        <w:rPr>
          <w:rFonts w:hint="default" w:ascii="Times New Roman" w:hAnsi="Times New Roman" w:eastAsia="仿宋_GB2312" w:cs="Times New Roman"/>
        </w:rPr>
        <w:t>00 床。加快推进天河区第二人民医院</w:t>
      </w:r>
      <w:r>
        <w:rPr>
          <w:rFonts w:hint="default" w:ascii="Times New Roman" w:hAnsi="Times New Roman" w:eastAsia="仿宋_GB2312" w:cs="Times New Roman"/>
          <w:lang w:val="en-US"/>
        </w:rPr>
        <w:t>建设</w:t>
      </w:r>
      <w:r>
        <w:rPr>
          <w:rFonts w:hint="default" w:ascii="Times New Roman" w:hAnsi="Times New Roman" w:eastAsia="仿宋_GB2312" w:cs="Times New Roman"/>
        </w:rPr>
        <w:t>，筹建以智慧医疗为特色的三级综合医院，以胃肠、妇幼、生殖医学为重点建设方向；在天河智慧城片区推进建设肿瘤、口腔、骨科三所医学科学中心（研究院），实施医教研产一体化发展；协助推进在车陂广氮地块的广州市中医医院</w:t>
      </w:r>
      <w:r>
        <w:rPr>
          <w:rFonts w:hint="default" w:ascii="Times New Roman" w:hAnsi="Times New Roman" w:eastAsia="仿宋_GB2312" w:cs="Times New Roman"/>
          <w:lang w:val="en-US"/>
        </w:rPr>
        <w:t>新院区</w:t>
      </w:r>
      <w:r>
        <w:rPr>
          <w:rFonts w:hint="default" w:ascii="Times New Roman" w:hAnsi="Times New Roman" w:eastAsia="仿宋_GB2312" w:cs="Times New Roman"/>
        </w:rPr>
        <w:t>建设，增加东北部区域优质医疗资源供给。</w:t>
      </w:r>
      <w:r>
        <w:rPr>
          <w:rFonts w:hint="default" w:ascii="Times New Roman" w:hAnsi="Times New Roman" w:eastAsia="仿宋_GB2312" w:cs="Times New Roman"/>
          <w:lang w:val="en-US"/>
        </w:rPr>
        <w:t>增设区老年病医院或康复医院，</w:t>
      </w:r>
      <w:r>
        <w:rPr>
          <w:rFonts w:hint="default" w:ascii="Times New Roman" w:hAnsi="Times New Roman" w:eastAsia="仿宋_GB2312" w:cs="Times New Roman"/>
        </w:rPr>
        <w:t>探索医养结合模式，促进老年康复、养老护理以及老年病医治的有机结合，实现医疗、康复、护理、养老一体化</w:t>
      </w:r>
      <w:r>
        <w:rPr>
          <w:rFonts w:hint="default" w:ascii="Times New Roman" w:hAnsi="Times New Roman" w:eastAsia="仿宋_GB2312" w:cs="Times New Roman"/>
        </w:rPr>
        <w:t>。建设“精美”区属医院，</w:t>
      </w:r>
      <w:r>
        <w:rPr>
          <w:rFonts w:hint="default" w:ascii="Times New Roman" w:hAnsi="Times New Roman" w:eastAsia="仿宋_GB2312" w:cs="Times New Roman"/>
        </w:rPr>
        <w:t>加强区人民医院、区中医院、区妇幼保健院</w:t>
      </w:r>
      <w:r>
        <w:rPr>
          <w:rFonts w:hint="default" w:ascii="Times New Roman" w:hAnsi="Times New Roman" w:eastAsia="仿宋_GB2312" w:cs="Times New Roman"/>
          <w:lang w:val="en-US"/>
        </w:rPr>
        <w:t>基础</w:t>
      </w:r>
      <w:r>
        <w:rPr>
          <w:rFonts w:hint="default" w:ascii="Times New Roman" w:hAnsi="Times New Roman" w:eastAsia="仿宋_GB2312" w:cs="Times New Roman"/>
        </w:rPr>
        <w:t>建设</w:t>
      </w:r>
      <w:r>
        <w:rPr>
          <w:rFonts w:hint="default" w:ascii="Times New Roman" w:hAnsi="Times New Roman" w:eastAsia="仿宋_GB2312" w:cs="Times New Roman"/>
        </w:rPr>
        <w:t>和设施设备升级改造</w:t>
      </w:r>
      <w:r>
        <w:rPr>
          <w:rFonts w:hint="default" w:ascii="Times New Roman" w:hAnsi="Times New Roman" w:eastAsia="仿宋_GB2312" w:cs="Times New Roman"/>
        </w:rPr>
        <w:t>，</w:t>
      </w:r>
      <w:r>
        <w:rPr>
          <w:rFonts w:hint="default" w:ascii="Times New Roman" w:hAnsi="Times New Roman" w:eastAsia="仿宋_GB2312" w:cs="Times New Roman"/>
        </w:rPr>
        <w:t>积极创建重点专科、</w:t>
      </w:r>
      <w:r>
        <w:rPr>
          <w:rFonts w:hint="default" w:ascii="Times New Roman" w:hAnsi="Times New Roman" w:eastAsia="仿宋_GB2312" w:cs="Times New Roman"/>
        </w:rPr>
        <w:t>特色专科。巩固社区医疗卫生服务网底。</w:t>
      </w:r>
      <w:r>
        <w:rPr>
          <w:rFonts w:hint="default" w:ascii="Times New Roman" w:hAnsi="Times New Roman" w:eastAsia="仿宋_GB2312" w:cs="Times New Roman"/>
        </w:rPr>
        <w:t>结合</w:t>
      </w:r>
      <w:r>
        <w:rPr>
          <w:rFonts w:hint="default" w:ascii="Times New Roman" w:hAnsi="Times New Roman" w:eastAsia="仿宋_GB2312" w:cs="Times New Roman"/>
        </w:rPr>
        <w:t>“高水平医院建设工程”</w:t>
      </w:r>
      <w:r>
        <w:rPr>
          <w:rFonts w:hint="default" w:ascii="Times New Roman" w:hAnsi="Times New Roman" w:eastAsia="仿宋_GB2312" w:cs="Times New Roman"/>
        </w:rPr>
        <w:t>，同时</w:t>
      </w:r>
      <w:r>
        <w:rPr>
          <w:rFonts w:hint="default" w:ascii="Times New Roman" w:hAnsi="Times New Roman" w:eastAsia="仿宋_GB2312" w:cs="Times New Roman"/>
        </w:rPr>
        <w:t>通过片区城市更新</w:t>
      </w:r>
      <w:r>
        <w:rPr>
          <w:rFonts w:hint="default" w:ascii="Times New Roman" w:hAnsi="Times New Roman" w:eastAsia="仿宋_GB2312" w:cs="Times New Roman"/>
        </w:rPr>
        <w:t>、</w:t>
      </w:r>
      <w:r>
        <w:rPr>
          <w:rFonts w:hint="default" w:ascii="Times New Roman" w:hAnsi="Times New Roman" w:eastAsia="仿宋_GB2312" w:cs="Times New Roman"/>
        </w:rPr>
        <w:t>公建配套建设等途径，全面推进社区卫生服务中心标准化建设和设施设备提档升级，按照成熟一个建设一个的要求，制定分步实施的具体计划，加快龙洞、凤凰、元岗、兴华、新塘、珠吉、员村、猎德、黄村、长兴10个行政街政府办社区卫生服务中心规划，落实沙河街、天河南街、猎德街社区卫生服务中心业务用房标准化建设，积极优化猎德社区卫生中心管理体制机制。加强内涵管理，明确功能定位，结合辖区居民的健康服务需求，探索特色差异化发展，养老护理健康需求高的沙东街等社区卫生服务中心重点发展医养结合，天河南街等社区卫生服务中心探索向辖区内的学校、园区、企业、办公楼宇等功能社区提供针对性健康服务。选择具备较强服务能力和一定规模服务人口的2~3个社区卫生服务中心升级建设为社区医院。改革完善疾病预防控制网络。以区疾病预防控制机构为骨干，以综合医疗机构为依托，以社区卫生服务中心为网底，加强与上级疾病预防控制机构对接，健全职能清晰、机制顺畅、上下协同的疾病预防控制网络。</w:t>
      </w:r>
      <w:r>
        <w:rPr>
          <w:rFonts w:hint="default" w:ascii="Times New Roman" w:hAnsi="Times New Roman" w:eastAsia="仿宋_GB2312" w:cs="Times New Roman"/>
          <w:lang w:val="en-US"/>
        </w:rPr>
        <w:t>结合渔沙坦村规划医院建设区公共卫生临床（医学）中心</w:t>
      </w:r>
      <w:r>
        <w:rPr>
          <w:rFonts w:hint="default" w:ascii="Times New Roman" w:hAnsi="Times New Roman" w:eastAsia="仿宋_GB2312" w:cs="Times New Roman"/>
          <w:lang w:val="en-US"/>
        </w:rPr>
        <w:t>。</w:t>
      </w:r>
      <w:r>
        <w:rPr>
          <w:rFonts w:hint="default" w:ascii="Times New Roman" w:hAnsi="Times New Roman" w:eastAsia="仿宋_GB2312" w:cs="Times New Roman"/>
        </w:rPr>
        <w:t>优化完善区疾控中心</w:t>
      </w:r>
      <w:r>
        <w:rPr>
          <w:rFonts w:hint="default" w:ascii="Times New Roman" w:hAnsi="Times New Roman" w:eastAsia="仿宋_GB2312" w:cs="Times New Roman"/>
        </w:rPr>
        <w:t>、</w:t>
      </w:r>
      <w:r>
        <w:rPr>
          <w:rFonts w:hint="default" w:ascii="Times New Roman" w:hAnsi="Times New Roman" w:eastAsia="仿宋_GB2312" w:cs="Times New Roman"/>
        </w:rPr>
        <w:t>区慢性病防治中心职能设置，强化疾病预防和健康管理的组织实施、技术指导和监测评估职能。全面提升区疾控</w:t>
      </w:r>
      <w:r>
        <w:rPr>
          <w:rFonts w:hint="default" w:ascii="Times New Roman" w:hAnsi="Times New Roman" w:eastAsia="仿宋_GB2312" w:cs="Times New Roman"/>
          <w:lang w:val="en-US"/>
        </w:rPr>
        <w:t>中心</w:t>
      </w:r>
      <w:r>
        <w:rPr>
          <w:rFonts w:hint="default" w:ascii="Times New Roman" w:hAnsi="Times New Roman" w:eastAsia="仿宋_GB2312" w:cs="Times New Roman"/>
        </w:rPr>
        <w:t>现场调查处置能力、信息分析能力、检验检测能力；提升区慢性病防治中心现场危险评估、分类干预、应急处置协调指导、心理危机干预能力。根据国家、省和市统一部署，推进区疾控中心和区慢性病防治中心体制改革。全面加强区级精神卫生服务能力与慢性非传染性疾病防控能力建设。构建由疾控机构、医疗机构、第三方检测实验室等组成的公共卫生病原检测实验室网络和平行实验平台，支持建设市、区一体的全方位公共卫生实验室检测体系。区疾控机构实验室检测项目率和A类仪器设备配置率达标率达到五年建设标准。依托</w:t>
      </w:r>
      <w:r>
        <w:rPr>
          <w:rFonts w:hint="default" w:ascii="Times New Roman" w:hAnsi="Times New Roman" w:eastAsia="仿宋_GB2312" w:cs="Times New Roman"/>
          <w:lang w:val="en-US"/>
        </w:rPr>
        <w:t>各</w:t>
      </w:r>
      <w:r>
        <w:rPr>
          <w:rFonts w:hint="default" w:ascii="Times New Roman" w:hAnsi="Times New Roman" w:eastAsia="仿宋_GB2312" w:cs="Times New Roman"/>
        </w:rPr>
        <w:t>街道疾病预防控制中心，加强疾病预防控制工作，加强人财物的保障力度，设置专门的公共卫生科室，强化基层疾病预防控制职能。</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：区卫生健康局、区发展改革局、区财政局、区委编办、区规划和自然资源分局）</w:t>
      </w:r>
    </w:p>
    <w:p>
      <w:pPr>
        <w:pStyle w:val="5"/>
        <w:numPr>
          <w:ilvl w:val="0"/>
          <w:numId w:val="11"/>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以居民健康为中心，推进体系整合化。以“健康守门员”为目标，健全全科医生制度。建立以全科医生为主体、全科专科有效联动、医防有机融合的家庭医生签约服务模式，充分利用信息化手段，提高签约服务质量。鼓励家庭医生提供中医药服务。落实签约居民在就医方面的优惠政策，逐步引导居民形成家庭医生首诊和分级诊疗的模式。以网格化服务为导向，推进紧密型医联体建设。深化公立医疗机构“辖区三级医院—辖区二级医院—社区卫生服务中心”医联体格局，加强医联体内部床位、号源、设备等资源的统筹使用，推动检查和诊断结果的互认。探索区属医院与社区卫生机构实行一</w:t>
      </w:r>
      <w:r>
        <w:rPr>
          <w:rFonts w:hint="default" w:ascii="Times New Roman" w:hAnsi="Times New Roman" w:eastAsia="仿宋_GB2312" w:cs="Times New Roman"/>
          <w:lang w:val="en-US"/>
        </w:rPr>
        <w:t>体</w:t>
      </w:r>
      <w:r>
        <w:rPr>
          <w:rFonts w:hint="default" w:ascii="Times New Roman" w:hAnsi="Times New Roman" w:eastAsia="仿宋_GB2312" w:cs="Times New Roman"/>
        </w:rPr>
        <w:t>化管理模式。探索医疗联合体升级为健康联合体。以医防融合为路径，加强全程健康管理。深化区属医疗机构与区疾控中心、区慢病中心的协作，建立人才流动、服务融合、信息共享机制。二级以上医疗机构明确统筹管理公共卫生工作的科室。探索疾病预防控制专业人员参与医联体工作并享受相关待遇，建立社区疾病预防控制片区责任制。建立公共卫生医师到医疗机构进修临床知识和临床医师到公卫机构进修公卫知识的机制。以中西医并重为指引，加强中医药守正创新。实施中医临床优势培育工程，打造一批中医“名医”“名科”“名院”。巩固提升“全国基层中医药先进单位”成果，继续推进基层中医药服务能力提升工程，完善社区卫生服务中心中医馆等中医综合服务区建设，推广适宜技术。大力发展中医非药物疗法和中医特色康复服务。实施中医“治未病”健康工程，鼓励家庭医生提供中医治未病签约服务，鼓励社会力量举办中医养生保健机构。拓展区中医医院服务领域，为群众提供中医健康咨询评估、干预调理、随访管理等治未病服务。鼓励区中医院、中医医师为中医养生保健机构提供保健咨询和调理等技术支持，加强中医养生保健服务技术转化。大力传播中医药知识和易于掌握的</w:t>
      </w:r>
      <w:r>
        <w:rPr>
          <w:rFonts w:hint="default" w:ascii="Times New Roman" w:hAnsi="Times New Roman" w:eastAsia="仿宋_GB2312" w:cs="Times New Roman"/>
          <w:lang w:val="en-US"/>
        </w:rPr>
        <w:t>普适性</w:t>
      </w:r>
      <w:r>
        <w:rPr>
          <w:rFonts w:hint="default" w:ascii="Times New Roman" w:hAnsi="Times New Roman" w:eastAsia="仿宋_GB2312" w:cs="Times New Roman"/>
        </w:rPr>
        <w:t>养生保健技术和方法，开展中医药进校园、进社区活动。实施中医药传承创新工程，重视中医药经典医籍研读及挖掘，全面系统继承历代各家学术理论、流派及学说，不断弘扬当代岭南名老中医药专家学术思想和临床诊疗经验，挖掘特色的民间诊疗技术和方药，加强中医药非物质文化遗产的保护和传承运用，实现中医药健康养生文化创造性转化、创新性发展。建立中医药师承教育培养体系，加强岭南名老中医药专家和学术流派传承工作室建设。鼓励有资质的中医专业技术人员特别是名老中医开办中医诊所,推动中医门诊部、诊所和中医坐堂诊所规范建设和连锁发展。(责任单位：区卫生健康局、区财政局、区人力资源社会保障局）</w:t>
      </w:r>
    </w:p>
    <w:p>
      <w:pPr>
        <w:pStyle w:val="3"/>
        <w:numPr>
          <w:ilvl w:val="0"/>
          <w:numId w:val="10"/>
        </w:numPr>
        <w:spacing w:line="240" w:lineRule="auto"/>
        <w:ind w:firstLine="643" w:firstLineChars="200"/>
        <w:rPr>
          <w:rFonts w:hint="default" w:ascii="Times New Roman" w:hAnsi="Times New Roman" w:eastAsia="仿宋_GB2312" w:cs="Times New Roman"/>
        </w:rPr>
      </w:pPr>
      <w:bookmarkStart w:id="37" w:name="_Toc3028"/>
      <w:bookmarkStart w:id="38" w:name="_Toc13391"/>
      <w:r>
        <w:rPr>
          <w:rFonts w:hint="default" w:ascii="Times New Roman" w:hAnsi="Times New Roman" w:eastAsia="仿宋_GB2312" w:cs="Times New Roman"/>
        </w:rPr>
        <w:t>推进医疗卫生服务优质化</w:t>
      </w:r>
      <w:bookmarkEnd w:id="37"/>
      <w:bookmarkEnd w:id="38"/>
    </w:p>
    <w:p>
      <w:pPr>
        <w:pStyle w:val="5"/>
        <w:numPr>
          <w:ilvl w:val="0"/>
          <w:numId w:val="12"/>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强化重点疾病综合防治。实施慢性病综合防控战略</w:t>
      </w:r>
      <w:r>
        <w:rPr>
          <w:rFonts w:hint="default" w:ascii="Times New Roman" w:hAnsi="Times New Roman" w:eastAsia="仿宋_GB2312" w:cs="Times New Roman"/>
        </w:rPr>
        <w:t>，</w:t>
      </w:r>
      <w:r>
        <w:rPr>
          <w:rFonts w:hint="default" w:ascii="Times New Roman" w:hAnsi="Times New Roman" w:eastAsia="仿宋_GB2312" w:cs="Times New Roman"/>
        </w:rPr>
        <w:t>巩固提升慢性病综合防控示范区建设成果，加强慢性病及其危险性因素监测，强化慢性病筛查和早期发现，针对重点癌症开展早诊早治工作。推动癌症、脑卒中、冠心病等慢性病的机会性筛查，实现高血压、糖尿病患者管理干预全覆盖，建立以信息化为基础的健康管理与分级诊疗。实施健康口腔行动。到2030年，实现全人群、全生命周期的慢性病健康管理，总体癌症5年生存率≥46.6%，12岁以下儿童患龋率控制在25%以内。加强重大传染病防控。继续实施国家扩大免疫规划，适龄儿童国家免疫规划疫苗接种率维持在较高水平。开展乙型病毒性肝炎、艾滋病、结核病、梅毒等重点传染病防治工作。加强艾滋病检测、抗病毒治疗和随访管理，全面落实临床用血核酸检测和预防艾滋病母婴传播，</w:t>
      </w:r>
      <w:r>
        <w:rPr>
          <w:rFonts w:hint="default" w:ascii="Times New Roman" w:hAnsi="Times New Roman" w:eastAsia="仿宋_GB2312" w:cs="Times New Roman"/>
          <w:lang w:val="en-US"/>
        </w:rPr>
        <w:t>积极配合广州市开展</w:t>
      </w:r>
      <w:r>
        <w:rPr>
          <w:rFonts w:hint="default" w:ascii="Times New Roman" w:hAnsi="Times New Roman" w:eastAsia="仿宋_GB2312" w:cs="Times New Roman"/>
        </w:rPr>
        <w:t>全国艾滋病综合防治</w:t>
      </w:r>
      <w:r>
        <w:rPr>
          <w:rFonts w:hint="default" w:ascii="Times New Roman" w:hAnsi="Times New Roman" w:eastAsia="仿宋_GB2312" w:cs="Times New Roman"/>
          <w:lang w:val="en-US"/>
        </w:rPr>
        <w:t>城市</w:t>
      </w:r>
      <w:r>
        <w:rPr>
          <w:rFonts w:hint="default" w:ascii="Times New Roman" w:hAnsi="Times New Roman" w:eastAsia="仿宋_GB2312" w:cs="Times New Roman"/>
        </w:rPr>
        <w:t>示范区</w:t>
      </w:r>
      <w:r>
        <w:rPr>
          <w:rFonts w:hint="default" w:ascii="Times New Roman" w:hAnsi="Times New Roman" w:eastAsia="仿宋_GB2312" w:cs="Times New Roman"/>
          <w:lang w:val="en-US"/>
        </w:rPr>
        <w:t>各项工作</w:t>
      </w:r>
      <w:r>
        <w:rPr>
          <w:rFonts w:hint="default" w:ascii="Times New Roman" w:hAnsi="Times New Roman" w:eastAsia="仿宋_GB2312" w:cs="Times New Roman"/>
        </w:rPr>
        <w:t>。进一步完善新型结核病防治管理模式，推进结核病防治机构能力建设，拓展耐多药结核病规范诊治覆盖面。优化梅毒等性病综合防治策略，加强性病防治能力建设。加强登革热、手足口病、流感、麻疹、霍乱等急性传染病和新发急性传染病以及未知疾病的监测和防控。实施以传染源控制为主的狂犬病、H7N9禽流感等人畜共患病综合治理策略，强化动物源性传染病的源头治理。继续巩固消除疟疾成果，加强鼠疫、传染性非典型肺炎等烈性传染病的防控，防范输入性突发急性传染病。（</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：区卫生健康局、区教育局）</w:t>
      </w:r>
    </w:p>
    <w:p>
      <w:pPr>
        <w:pStyle w:val="5"/>
        <w:numPr>
          <w:ilvl w:val="0"/>
          <w:numId w:val="12"/>
        </w:numPr>
        <w:spacing w:before="1"/>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推进基本公共卫生计生服务均等化。实施基本公共卫生服务项目和重大公共卫生服务项目，对影响居民健康主要问题</w:t>
      </w:r>
      <w:r>
        <w:rPr>
          <w:rFonts w:hint="default" w:ascii="Times New Roman" w:hAnsi="Times New Roman" w:eastAsia="仿宋_GB2312" w:cs="Times New Roman"/>
          <w:lang w:val="en-US"/>
        </w:rPr>
        <w:t>加强</w:t>
      </w:r>
      <w:r>
        <w:rPr>
          <w:rFonts w:hint="default" w:ascii="Times New Roman" w:hAnsi="Times New Roman" w:eastAsia="仿宋_GB2312" w:cs="Times New Roman"/>
        </w:rPr>
        <w:t>干预，消除主要健康危险因素。全面推进流动人口基本公共卫生计生服务均等化，流动人口基本公共卫生计生服务实现全覆盖。（</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w:t>
      </w:r>
    </w:p>
    <w:p>
      <w:pPr>
        <w:pStyle w:val="3"/>
        <w:numPr>
          <w:ilvl w:val="0"/>
          <w:numId w:val="10"/>
        </w:numPr>
        <w:spacing w:line="240" w:lineRule="auto"/>
        <w:ind w:firstLine="643" w:firstLineChars="200"/>
        <w:rPr>
          <w:rFonts w:hint="default" w:ascii="Times New Roman" w:hAnsi="Times New Roman" w:eastAsia="仿宋_GB2312" w:cs="Times New Roman"/>
        </w:rPr>
      </w:pPr>
      <w:bookmarkStart w:id="39" w:name="_Toc24721"/>
      <w:bookmarkStart w:id="40" w:name="_Toc14708"/>
      <w:r>
        <w:rPr>
          <w:rFonts w:hint="default" w:ascii="Times New Roman" w:hAnsi="Times New Roman" w:eastAsia="仿宋_GB2312" w:cs="Times New Roman"/>
        </w:rPr>
        <w:t>构建协同高效的公共卫生</w:t>
      </w:r>
      <w:r>
        <w:rPr>
          <w:rFonts w:hint="default" w:ascii="Times New Roman" w:hAnsi="Times New Roman" w:eastAsia="仿宋_GB2312" w:cs="Times New Roman"/>
          <w:lang w:val="en-US"/>
        </w:rPr>
        <w:t>服务</w:t>
      </w:r>
      <w:r>
        <w:rPr>
          <w:rFonts w:hint="default" w:ascii="Times New Roman" w:hAnsi="Times New Roman" w:eastAsia="仿宋_GB2312" w:cs="Times New Roman"/>
        </w:rPr>
        <w:t>体系</w:t>
      </w:r>
      <w:bookmarkEnd w:id="39"/>
      <w:bookmarkEnd w:id="40"/>
    </w:p>
    <w:p>
      <w:pPr>
        <w:pStyle w:val="5"/>
        <w:numPr>
          <w:ilvl w:val="0"/>
          <w:numId w:val="13"/>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lang w:val="en-US"/>
        </w:rPr>
        <w:t>成立</w:t>
      </w:r>
      <w:r>
        <w:rPr>
          <w:rFonts w:hint="default" w:ascii="Times New Roman" w:hAnsi="Times New Roman" w:eastAsia="仿宋_GB2312" w:cs="Times New Roman"/>
        </w:rPr>
        <w:t>区、街、居</w:t>
      </w:r>
      <w:r>
        <w:rPr>
          <w:rFonts w:hint="default" w:ascii="Times New Roman" w:hAnsi="Times New Roman" w:eastAsia="仿宋_GB2312" w:cs="Times New Roman"/>
          <w:lang w:val="en-US"/>
        </w:rPr>
        <w:t>三</w:t>
      </w:r>
      <w:r>
        <w:rPr>
          <w:rFonts w:hint="default" w:ascii="Times New Roman" w:hAnsi="Times New Roman" w:eastAsia="仿宋_GB2312" w:cs="Times New Roman"/>
        </w:rPr>
        <w:t>级公共卫生委员会</w:t>
      </w:r>
      <w:r>
        <w:rPr>
          <w:rFonts w:hint="default" w:ascii="Times New Roman" w:hAnsi="Times New Roman" w:eastAsia="仿宋_GB2312" w:cs="Times New Roman"/>
          <w:lang w:val="en-US"/>
        </w:rPr>
        <w:t>公共卫生委员会。</w:t>
      </w:r>
      <w:r>
        <w:rPr>
          <w:rFonts w:hint="default" w:ascii="Times New Roman" w:hAnsi="Times New Roman" w:eastAsia="仿宋_GB2312" w:cs="Times New Roman"/>
        </w:rPr>
        <w:t>进一步加强我区公共卫生与重大疾病防治工作，切实维护公共卫生安全，建立“指挥高效、统一协调、部门联动” 的联防联控工作机制，加快建设形成与国家重要中心城市核心区责任担当相匹配的公共卫生体系。</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：区卫生健康局、区发展改革局、区教育局、区科工信局、区民政局、区司法局、 区财政局、区人力资源社会保障局、区住建园林局、区水务局、区农业农村局、区商务金融局、区文化广电旅游体育局、 区退役军人事务局、区应急管理局、区市场监管局、区城市管理综合执法局、区信访局、区政务服务数据管理局、区公安分局、区规划和自然资源分局、各街道、区总工会、团区委、区妇联、区残联、区工商联</w:t>
      </w:r>
      <w:r>
        <w:rPr>
          <w:rFonts w:hint="default" w:ascii="Times New Roman" w:hAnsi="Times New Roman" w:eastAsia="仿宋_GB2312" w:cs="Times New Roman"/>
        </w:rPr>
        <w:t>）</w:t>
      </w:r>
    </w:p>
    <w:p>
      <w:pPr>
        <w:pStyle w:val="5"/>
        <w:numPr>
          <w:ilvl w:val="0"/>
          <w:numId w:val="13"/>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建设灵敏可靠的公共卫生监测预警体系。严格落实“早发现、早报告、早隔离、早治疗”的要求，增强早期疫情监测预警能力。完善传染病疫情和突发公共卫生事件监测系统，实行传染病报告首诊负责制，规范各级医疗卫生机构的信息发现、收集、分析、报送程序，健全网络直报、医疗卫生人员报告、科研发现报告、舆情监测等多渠道疫情监测和快速反应体系，扩大监测工作覆盖面。加强对重点传染病、新发突发传染病、食源性疾病、不明原因疾病和异常健康事件的监测。加强对农贸市场、超市等场所以及冷链环节产品、人员和环境的常态化监测。完善发热门诊、肠道门诊、药店、个体诊所、交通站点、口岸、学校等监测哨点布局，协调解决发热门诊场地需求，配套专项经费解决日常运营管理困难，按标准配备相应医疗检测设备和防护设备，加快实现区属二级以上医院发热门诊、社区卫生服务中心发热哨点诊室</w:t>
      </w:r>
      <w:r>
        <w:rPr>
          <w:rFonts w:hint="default" w:ascii="Times New Roman" w:hAnsi="Times New Roman" w:eastAsia="仿宋_GB2312" w:cs="Times New Roman"/>
        </w:rPr>
        <w:t>（</w:t>
      </w:r>
      <w:r>
        <w:rPr>
          <w:rFonts w:hint="default" w:ascii="Times New Roman" w:hAnsi="Times New Roman" w:eastAsia="仿宋_GB2312" w:cs="Times New Roman"/>
        </w:rPr>
        <w:t>或发热门诊</w:t>
      </w:r>
      <w:r>
        <w:rPr>
          <w:rFonts w:hint="default" w:ascii="Times New Roman" w:hAnsi="Times New Roman" w:eastAsia="仿宋_GB2312" w:cs="Times New Roman"/>
        </w:rPr>
        <w:t>）</w:t>
      </w:r>
      <w:r>
        <w:rPr>
          <w:rFonts w:hint="default" w:ascii="Times New Roman" w:hAnsi="Times New Roman" w:eastAsia="仿宋_GB2312" w:cs="Times New Roman"/>
        </w:rPr>
        <w:t>规范化建设全覆盖。加强医疗机构、重点公共场所、智能卡口等体温监测设施建设。加强卫生健康系统内部以及与医保、教育、市场监管、海关、公安、交通、住建、文化旅游、商务金融、来穗人员服务管理、政务服务数据管理、气象、生态环境等多部门数据共享，形成疫情相关多源数据的监测、交换和汇聚。改进不明原因疾病和异常健康事件监测机制，建立智慧化预警多点触发机制，充分利用大数据、5</w:t>
      </w:r>
      <w:r>
        <w:rPr>
          <w:rFonts w:hint="default" w:ascii="Times New Roman" w:hAnsi="Times New Roman" w:eastAsia="仿宋_GB2312" w:cs="Times New Roman"/>
          <w:lang w:val="en-US"/>
        </w:rPr>
        <w:t>G</w:t>
      </w:r>
      <w:r>
        <w:rPr>
          <w:rFonts w:hint="default" w:ascii="Times New Roman" w:hAnsi="Times New Roman" w:eastAsia="仿宋_GB2312" w:cs="Times New Roman"/>
        </w:rPr>
        <w:t>、人工智能、云计算等智慧化手段，建立从传统基于个体疾病诊断的串联预警模式转向基于个体和人群行为、症状、气象和人口流动等并联多点触发预警模式，提升公共卫生风险评估和预警的时效性、前瞻性、精准性。加强监测数据的分析和应用，提高主动监测能力，建立可疑病例讨论报告制度。加强流感等呼吸道传染病防控，多病共防，降低与其他呼吸道传染病叠加流行的风险。完善传染病密切接触者隔离医学观察机制。（</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：区卫生健康局、区政务服务数据管理局、区来穗人员服务管理局）</w:t>
      </w:r>
    </w:p>
    <w:p>
      <w:pPr>
        <w:pStyle w:val="5"/>
        <w:numPr>
          <w:ilvl w:val="0"/>
          <w:numId w:val="13"/>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建立健全分级、分层、分流的重大疫情救治体系。全面加强公立医院传染病救治能力建设。二级以上综合医院加强传染病科</w:t>
      </w:r>
      <w:r>
        <w:rPr>
          <w:rFonts w:hint="default" w:ascii="Times New Roman" w:hAnsi="Times New Roman" w:eastAsia="仿宋_GB2312" w:cs="Times New Roman"/>
        </w:rPr>
        <w:t>（</w:t>
      </w:r>
      <w:r>
        <w:rPr>
          <w:rFonts w:hint="default" w:ascii="Times New Roman" w:hAnsi="Times New Roman" w:eastAsia="仿宋_GB2312" w:cs="Times New Roman"/>
        </w:rPr>
        <w:t>病区</w:t>
      </w:r>
      <w:r>
        <w:rPr>
          <w:rFonts w:hint="default" w:ascii="Times New Roman" w:hAnsi="Times New Roman" w:eastAsia="仿宋_GB2312" w:cs="Times New Roman"/>
        </w:rPr>
        <w:t>）</w:t>
      </w:r>
      <w:r>
        <w:rPr>
          <w:rFonts w:hint="default" w:ascii="Times New Roman" w:hAnsi="Times New Roman" w:eastAsia="仿宋_GB2312" w:cs="Times New Roman"/>
        </w:rPr>
        <w:t xml:space="preserve">规范化建设，增加ICU床位、划定传染病救治演练独立场所，增加负压救护车、呼吸机等救治设备。完善与疾病早期监测、健康管理相衔接的智能化预检分诊体系。增强医疗机构传染病检验检测能力，有条件的二级以上医疗机构建设独立的P2实验室，区属医院全部具备核酸检测能力。落实推进区属医疗机构接入市级检验检查结果互认平台，积极发展云胶片、云病理、云病历，推动检验检查资源共享，提升突发公共卫生事件伤病员的协同救治效率，有效降低伤病亡率。区疾控中心加强对全区医疗机构的院感监测，强化全区医疗机构感染防控能力建设。建立健全集中隔离场所、留验检疫中心应急征调机制，选取、储备一批大型公共场馆、公有设施、宾馆酒店等，按应急标准完善功能、环保、卫生条件，做好人员培训和物资储备，确保需要时可快速投入使用。建立和完善相关制度，全区选定1-2家应急征调场所作为区级密切接触者医学观察场所。 </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：区卫生健康局、区发展改革局、区文化广电旅游体育局、区生态环境分局</w:t>
      </w:r>
      <w:r>
        <w:rPr>
          <w:rFonts w:hint="default" w:ascii="Times New Roman" w:hAnsi="Times New Roman" w:eastAsia="仿宋_GB2312" w:cs="Times New Roman"/>
        </w:rPr>
        <w:t>）</w:t>
      </w:r>
    </w:p>
    <w:p>
      <w:pPr>
        <w:pStyle w:val="5"/>
        <w:numPr>
          <w:ilvl w:val="0"/>
          <w:numId w:val="13"/>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构建平战结合的应急物资储备体系。成立卫生物资保障组织机构，负责天河区卫生应急物资计划编制、物资采购、物资储备、物资运输、经费保障、统筹协调等工作。制定卫生应急物资保障预案。设立应急物资储备保障专项经费，用于应急物资储备和管理，并列入财政部门预算管理，实行专款专用。区级储备以体温计、口罩、防护服、消毒用品、应急救援药物等常用物资为主，采用“实物储备”和“合同储备”相结合的方式储备应急物资，保障应急物资应急调配，“实物储备”的物资在有效期内根据“先进先出法”与临床定期置换，保证“实物储备”的物资不失效，提高“实物储备”物资的使用率。依托区属医疗卫生机构，建立专门公共卫生应急物资储备仓库，引进应急物资管理信息系统，提高应急物资管理的信息化水平，实时动态监控各物资的数量、种类和位置。（</w:t>
      </w:r>
      <w:r>
        <w:rPr>
          <w:rFonts w:hint="default" w:ascii="Times New Roman" w:hAnsi="Times New Roman" w:eastAsia="仿宋_GB2312" w:cs="Times New Roman"/>
        </w:rPr>
        <w:t>责任单位</w:t>
      </w:r>
      <w:r>
        <w:rPr>
          <w:rFonts w:hint="default" w:ascii="Times New Roman" w:hAnsi="Times New Roman" w:eastAsia="仿宋_GB2312" w:cs="Times New Roman"/>
        </w:rPr>
        <w:t>：区发展改革局、区卫生健康局、区应急管理局）</w:t>
      </w:r>
    </w:p>
    <w:p>
      <w:pPr>
        <w:pStyle w:val="5"/>
        <w:spacing w:before="1"/>
        <w:ind w:right="99" w:firstLine="645"/>
        <w:rPr>
          <w:rFonts w:hint="default" w:ascii="Times New Roman" w:hAnsi="Times New Roman" w:eastAsia="仿宋_GB2312" w:cs="Times New Roman"/>
        </w:rPr>
      </w:pPr>
      <w:r>
        <w:rPr>
          <w:rFonts w:hint="default" w:ascii="Times New Roman" w:hAnsi="Times New Roman" w:eastAsia="仿宋_GB2312" w:cs="Times New Roman"/>
          <w:lang w:val="en-US"/>
        </w:rPr>
        <w:t>到202</w:t>
      </w:r>
      <w:r>
        <w:rPr>
          <w:rFonts w:hint="default" w:ascii="Times New Roman" w:hAnsi="Times New Roman" w:eastAsia="仿宋_GB2312" w:cs="Times New Roman"/>
          <w:lang w:val="en-US"/>
        </w:rPr>
        <w:t>5</w:t>
      </w:r>
      <w:r>
        <w:rPr>
          <w:rFonts w:hint="default" w:ascii="Times New Roman" w:hAnsi="Times New Roman" w:eastAsia="仿宋_GB2312" w:cs="Times New Roman"/>
          <w:lang w:val="en-US"/>
        </w:rPr>
        <w:t>年，</w:t>
      </w:r>
      <w:r>
        <w:rPr>
          <w:rFonts w:hint="default" w:ascii="Times New Roman" w:hAnsi="Times New Roman" w:eastAsia="仿宋_GB2312" w:cs="Times New Roman"/>
          <w:lang w:val="en-US"/>
        </w:rPr>
        <w:t>建立健全</w:t>
      </w:r>
      <w:r>
        <w:rPr>
          <w:rFonts w:hint="default" w:ascii="Times New Roman" w:hAnsi="Times New Roman" w:eastAsia="仿宋_GB2312" w:cs="Times New Roman"/>
        </w:rPr>
        <w:t>区、街、居</w:t>
      </w:r>
      <w:r>
        <w:rPr>
          <w:rFonts w:hint="default" w:ascii="Times New Roman" w:hAnsi="Times New Roman" w:eastAsia="仿宋_GB2312" w:cs="Times New Roman"/>
          <w:lang w:val="en-US"/>
        </w:rPr>
        <w:t>三</w:t>
      </w:r>
      <w:r>
        <w:rPr>
          <w:rFonts w:hint="default" w:ascii="Times New Roman" w:hAnsi="Times New Roman" w:eastAsia="仿宋_GB2312" w:cs="Times New Roman"/>
        </w:rPr>
        <w:t>级公共卫生委员会</w:t>
      </w:r>
      <w:r>
        <w:rPr>
          <w:rFonts w:hint="default" w:ascii="Times New Roman" w:hAnsi="Times New Roman" w:eastAsia="仿宋_GB2312" w:cs="Times New Roman"/>
          <w:lang w:val="en-US"/>
        </w:rPr>
        <w:t>公共卫生委员会。</w:t>
      </w:r>
      <w:r>
        <w:rPr>
          <w:rFonts w:hint="default" w:ascii="Times New Roman" w:hAnsi="Times New Roman" w:eastAsia="仿宋_GB2312" w:cs="Times New Roman"/>
        </w:rPr>
        <w:t>到2030年，建立完善的疾病预防控制体制机制和高效的医防融合、多部门协作的疾病防控工作模式，公共卫生服务体系和应急救治体系更加完善；突发公共卫生应急处置能力、实验室检测能力及疾病防控能力达到</w:t>
      </w:r>
      <w:r>
        <w:rPr>
          <w:rFonts w:hint="default" w:ascii="Times New Roman" w:hAnsi="Times New Roman" w:eastAsia="仿宋_GB2312" w:cs="Times New Roman"/>
          <w:lang w:val="en-US"/>
        </w:rPr>
        <w:t>国内</w:t>
      </w:r>
      <w:r>
        <w:rPr>
          <w:rFonts w:hint="default" w:ascii="Times New Roman" w:hAnsi="Times New Roman" w:eastAsia="仿宋_GB2312" w:cs="Times New Roman"/>
        </w:rPr>
        <w:t>一流水平；卫生健康监督综合执法体系不断完善，卫生健康综合执法水平全国领先。</w:t>
      </w:r>
    </w:p>
    <w:p>
      <w:pPr>
        <w:pStyle w:val="3"/>
        <w:numPr>
          <w:ilvl w:val="0"/>
          <w:numId w:val="10"/>
        </w:numPr>
        <w:spacing w:line="240" w:lineRule="auto"/>
        <w:ind w:firstLine="643" w:firstLineChars="200"/>
        <w:rPr>
          <w:rFonts w:hint="default" w:ascii="Times New Roman" w:hAnsi="Times New Roman" w:eastAsia="仿宋_GB2312" w:cs="Times New Roman"/>
        </w:rPr>
      </w:pPr>
      <w:bookmarkStart w:id="41" w:name="_Toc28442"/>
      <w:bookmarkStart w:id="42" w:name="_Toc15805"/>
      <w:r>
        <w:rPr>
          <w:rFonts w:hint="default" w:ascii="Times New Roman" w:hAnsi="Times New Roman" w:eastAsia="仿宋_GB2312" w:cs="Times New Roman"/>
        </w:rPr>
        <w:t>发展中医药特色服务</w:t>
      </w:r>
      <w:bookmarkEnd w:id="41"/>
      <w:bookmarkEnd w:id="42"/>
    </w:p>
    <w:p>
      <w:pPr>
        <w:pStyle w:val="5"/>
        <w:numPr>
          <w:ilvl w:val="0"/>
          <w:numId w:val="14"/>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提升中医药服务能力。大力发展中医非药物疗法，发展中医特色康复服务。实施中医临床优势培育工程，打造中医“名医”“名科”“名院”。大力发展中医非药物疗法，突出中医药防治常见病、多发病和慢性病的独特作用。到2030年，中医药服务在治未病中的主导作用、在重大疾病治疗中的协同作用、在疾病康复中的核心作用得到充分发挥。（</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：区卫生健康局、区委编办、区</w:t>
      </w:r>
      <w:r>
        <w:rPr>
          <w:rFonts w:hint="default" w:ascii="Times New Roman" w:hAnsi="Times New Roman" w:eastAsia="仿宋_GB2312" w:cs="Times New Roman"/>
        </w:rPr>
        <w:t>人力资源社会保障</w:t>
      </w:r>
      <w:r>
        <w:rPr>
          <w:rFonts w:hint="default" w:ascii="Times New Roman" w:hAnsi="Times New Roman" w:eastAsia="仿宋_GB2312" w:cs="Times New Roman"/>
        </w:rPr>
        <w:t>局、区发展改革局、区财政局、</w:t>
      </w:r>
      <w:r>
        <w:rPr>
          <w:rFonts w:hint="default" w:ascii="Times New Roman" w:hAnsi="Times New Roman" w:eastAsia="仿宋_GB2312" w:cs="Times New Roman"/>
          <w:bCs/>
        </w:rPr>
        <w:t>区</w:t>
      </w:r>
      <w:r>
        <w:rPr>
          <w:rFonts w:hint="default" w:ascii="Times New Roman" w:hAnsi="Times New Roman" w:eastAsia="仿宋_GB2312" w:cs="Times New Roman"/>
          <w:bCs/>
          <w:lang w:val="en-US"/>
        </w:rPr>
        <w:t>规划和</w:t>
      </w:r>
      <w:r>
        <w:rPr>
          <w:rFonts w:hint="default" w:ascii="Times New Roman" w:hAnsi="Times New Roman" w:eastAsia="仿宋_GB2312" w:cs="Times New Roman"/>
          <w:bCs/>
        </w:rPr>
        <w:t>自然资源</w:t>
      </w:r>
      <w:r>
        <w:rPr>
          <w:rFonts w:hint="default" w:ascii="Times New Roman" w:hAnsi="Times New Roman" w:eastAsia="仿宋_GB2312" w:cs="Times New Roman"/>
          <w:bCs/>
          <w:lang w:val="en-US"/>
        </w:rPr>
        <w:t>分</w:t>
      </w:r>
      <w:r>
        <w:rPr>
          <w:rFonts w:hint="default" w:ascii="Times New Roman" w:hAnsi="Times New Roman" w:eastAsia="仿宋_GB2312" w:cs="Times New Roman"/>
          <w:bCs/>
        </w:rPr>
        <w:t>局</w:t>
      </w:r>
      <w:r>
        <w:rPr>
          <w:rFonts w:hint="default" w:ascii="Times New Roman" w:hAnsi="Times New Roman" w:eastAsia="仿宋_GB2312" w:cs="Times New Roman"/>
        </w:rPr>
        <w:t>、 区生态环境</w:t>
      </w:r>
      <w:r>
        <w:rPr>
          <w:rFonts w:hint="default" w:ascii="Times New Roman" w:hAnsi="Times New Roman" w:eastAsia="仿宋_GB2312" w:cs="Times New Roman"/>
        </w:rPr>
        <w:t>分</w:t>
      </w:r>
      <w:r>
        <w:rPr>
          <w:rFonts w:hint="default" w:ascii="Times New Roman" w:hAnsi="Times New Roman" w:eastAsia="仿宋_GB2312" w:cs="Times New Roman"/>
        </w:rPr>
        <w:t>局、区住建</w:t>
      </w:r>
      <w:r>
        <w:rPr>
          <w:rFonts w:hint="default" w:ascii="Times New Roman" w:hAnsi="Times New Roman" w:eastAsia="仿宋_GB2312" w:cs="Times New Roman"/>
          <w:lang w:val="en-US"/>
        </w:rPr>
        <w:t>园林</w:t>
      </w:r>
      <w:r>
        <w:rPr>
          <w:rFonts w:hint="default" w:ascii="Times New Roman" w:hAnsi="Times New Roman" w:eastAsia="仿宋_GB2312" w:cs="Times New Roman"/>
        </w:rPr>
        <w:t>局、</w:t>
      </w:r>
      <w:r>
        <w:rPr>
          <w:rFonts w:hint="default" w:ascii="Times New Roman" w:hAnsi="Times New Roman" w:eastAsia="仿宋_GB2312" w:cs="Times New Roman"/>
        </w:rPr>
        <w:t>各街道</w:t>
      </w:r>
      <w:r>
        <w:rPr>
          <w:rFonts w:hint="default" w:ascii="Times New Roman" w:hAnsi="Times New Roman" w:eastAsia="仿宋_GB2312" w:cs="Times New Roman"/>
        </w:rPr>
        <w:t>）</w:t>
      </w:r>
    </w:p>
    <w:p>
      <w:pPr>
        <w:pStyle w:val="5"/>
        <w:numPr>
          <w:ilvl w:val="0"/>
          <w:numId w:val="14"/>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发展中医治未病服务。实施中医治未病健康工程， 发挥中医药“治未病”养生保健的优势，加强中医药参与公共卫生、重大传染病诊疗、康复护理、健康管理，利用天河得天独厚的环境和条件，推进中医药与养生、养老融合发展。 发展基层医疗卫生服务机构中医预防保健服务。在中医医院设立治未病科，提供中医健康咨询、干预调理、随访管理等治未病服务。鼓励社会力量举办中医养生保健机构，加快养生保健服务发展。鼓励中医医疗机构、中医医师为中医养生保健机构提供保健咨询和调理等技术支持。大力传播中医药知识和易于掌握的养生保健技术和方法。到20</w:t>
      </w:r>
      <w:r>
        <w:rPr>
          <w:rFonts w:hint="default" w:ascii="Times New Roman" w:hAnsi="Times New Roman" w:eastAsia="仿宋_GB2312" w:cs="Times New Roman"/>
          <w:lang w:val="en-US"/>
        </w:rPr>
        <w:t>30</w:t>
      </w:r>
      <w:r>
        <w:rPr>
          <w:rFonts w:hint="default" w:ascii="Times New Roman" w:hAnsi="Times New Roman" w:eastAsia="仿宋_GB2312" w:cs="Times New Roman"/>
        </w:rPr>
        <w:t>年，中医医院设置治未病科室比例为 100</w:t>
      </w:r>
      <w:r>
        <w:rPr>
          <w:rFonts w:hint="default" w:ascii="Times New Roman" w:hAnsi="Times New Roman" w:eastAsia="仿宋_GB2312" w:cs="Times New Roman"/>
          <w:lang w:val="en-US" w:bidi="ar-SA"/>
        </w:rPr>
        <w:drawing>
          <wp:inline distT="0" distB="0" distL="0" distR="0">
            <wp:extent cx="85090" cy="154940"/>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rFonts w:hint="default" w:ascii="Times New Roman" w:hAnsi="Times New Roman" w:eastAsia="仿宋_GB2312" w:cs="Times New Roman"/>
        </w:rPr>
        <w:t>。（</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：区卫生健康局、区民政局、区发展改革局、区市场监督管理局、</w:t>
      </w:r>
      <w:r>
        <w:rPr>
          <w:rFonts w:hint="default" w:ascii="Times New Roman" w:hAnsi="Times New Roman" w:eastAsia="仿宋_GB2312" w:cs="Times New Roman"/>
        </w:rPr>
        <w:t>各街道</w:t>
      </w:r>
      <w:r>
        <w:rPr>
          <w:rFonts w:hint="default" w:ascii="Times New Roman" w:hAnsi="Times New Roman" w:eastAsia="仿宋_GB2312" w:cs="Times New Roman"/>
        </w:rPr>
        <w:t>）</w:t>
      </w:r>
    </w:p>
    <w:p>
      <w:pPr>
        <w:pStyle w:val="5"/>
        <w:numPr>
          <w:ilvl w:val="0"/>
          <w:numId w:val="14"/>
        </w:numPr>
        <w:spacing w:before="1"/>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推进中医药继承创新。实施中医药传承工程，全面系统继承历代各家学术理论、流派及学说，不断弘扬当代岭南名老中医药专家学术思想和临床诊疗经验，挖掘民间诊疗技术和方药，推进中医药文化传承与发展。加强中医药师承培养，建设名老中医药专家传承工作室，鼓励名老中医药专家和长期服务基层的中医药专家通过师承模式培养中医药人才。（</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：区卫生健康局、区市场监督管理局、</w:t>
      </w:r>
      <w:r>
        <w:rPr>
          <w:rFonts w:hint="default" w:ascii="Times New Roman" w:hAnsi="Times New Roman" w:eastAsia="仿宋_GB2312" w:cs="Times New Roman"/>
        </w:rPr>
        <w:t>各街道</w:t>
      </w:r>
      <w:r>
        <w:rPr>
          <w:rFonts w:hint="default" w:ascii="Times New Roman" w:hAnsi="Times New Roman" w:eastAsia="仿宋_GB2312" w:cs="Times New Roman"/>
        </w:rPr>
        <w:t>）</w:t>
      </w:r>
      <w:bookmarkStart w:id="43" w:name="_Toc1812"/>
    </w:p>
    <w:p>
      <w:pPr>
        <w:pStyle w:val="12"/>
        <w:numPr>
          <w:ilvl w:val="0"/>
          <w:numId w:val="1"/>
        </w:numPr>
        <w:ind w:firstLine="643" w:firstLineChars="200"/>
        <w:jc w:val="left"/>
        <w:rPr>
          <w:rFonts w:hint="default" w:ascii="Times New Roman" w:hAnsi="Times New Roman" w:eastAsia="仿宋_GB2312" w:cs="Times New Roman"/>
        </w:rPr>
      </w:pPr>
      <w:bookmarkStart w:id="44" w:name="_Toc12232"/>
      <w:r>
        <w:rPr>
          <w:rFonts w:hint="default" w:ascii="Times New Roman" w:hAnsi="Times New Roman" w:eastAsia="仿宋_GB2312" w:cs="Times New Roman"/>
        </w:rPr>
        <w:t>维护重点人群健康</w:t>
      </w:r>
      <w:bookmarkEnd w:id="43"/>
      <w:bookmarkEnd w:id="44"/>
    </w:p>
    <w:p>
      <w:pPr>
        <w:pStyle w:val="3"/>
        <w:numPr>
          <w:ilvl w:val="0"/>
          <w:numId w:val="15"/>
        </w:numPr>
        <w:spacing w:line="240" w:lineRule="auto"/>
        <w:ind w:firstLine="643" w:firstLineChars="200"/>
        <w:rPr>
          <w:rFonts w:hint="default" w:ascii="Times New Roman" w:hAnsi="Times New Roman" w:eastAsia="仿宋_GB2312" w:cs="Times New Roman"/>
        </w:rPr>
      </w:pPr>
      <w:bookmarkStart w:id="45" w:name="_Toc13423"/>
      <w:bookmarkStart w:id="46" w:name="_Toc12624"/>
      <w:r>
        <w:rPr>
          <w:rFonts w:hint="default" w:ascii="Times New Roman" w:hAnsi="Times New Roman" w:eastAsia="仿宋_GB2312" w:cs="Times New Roman"/>
        </w:rPr>
        <w:t>优化妇幼健康与计划生育服务水平</w:t>
      </w:r>
      <w:bookmarkEnd w:id="45"/>
      <w:bookmarkEnd w:id="46"/>
    </w:p>
    <w:p>
      <w:pPr>
        <w:pStyle w:val="5"/>
        <w:numPr>
          <w:ilvl w:val="0"/>
          <w:numId w:val="16"/>
        </w:numPr>
        <w:spacing w:before="1"/>
        <w:ind w:left="0"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优化妇幼健康服务。充分发挥广州市妇女儿童医疗中心在辖区的辐射带动作用，提升以区妇幼保健院为核心、社区卫生服务中心为基础的区域妇幼保健服务能级，推进优生优育全程服务，构建涵盖婚前、孕前、孕期、新生儿各阶段的疾病筛查、监测和防治网络。实施母婴安康行动计划，整合辖区市区两级重症孕产妇救治、重症新生儿救治、出生缺陷综合干预资源，提供免费婚前和孕前医学检查，推广产前筛查和产前诊断一体化服务模式，提高产前筛查服务覆盖率和产前诊断水平，扩大新生儿疾病筛查病种，预防和减少出生缺陷，持续控制孕产妇和婴儿死亡率。进一步规范妇女常见病筛查工作，加大对妇女宫颈癌、乳腺癌的防控，将预防艾滋病、梅毒、乙肝母婴传播综合服务纳入妇幼保健常规工作。促进儿童早期综合发展，打造本市儿童早期综合发展示范基地，完善儿童生长发育、听力、视力、口腔保健等服务转诊、干预网络。大力发展普惠婴幼儿照护服务。加强辖区托幼机构卫生保健管理。适龄儿童国家免疫规划疫苗接种率保持在较高水平，适时推动非免疫规划疫苗预防接种。加强区属医院儿科和新生儿科建设，加大儿童重点疾病防治力度。实施儿童伤害综合干预行动计划，有效预防和减少儿童意外伤害的发生。关爱特殊儿童，完善特殊儿童入学评估机制。</w:t>
      </w:r>
      <w:r>
        <w:rPr>
          <w:rFonts w:hint="default" w:ascii="Times New Roman" w:hAnsi="Times New Roman" w:eastAsia="仿宋_GB2312" w:cs="Times New Roman"/>
        </w:rPr>
        <w:t>至2030年，婴儿死亡率、5岁以下儿童死亡率、孕产妇死亡率</w:t>
      </w:r>
      <w:r>
        <w:rPr>
          <w:rFonts w:hint="default" w:ascii="Times New Roman" w:hAnsi="Times New Roman" w:eastAsia="仿宋_GB2312" w:cs="Times New Roman"/>
          <w:lang w:val="en-US"/>
        </w:rPr>
        <w:t>达到国内先进</w:t>
      </w:r>
      <w:r>
        <w:rPr>
          <w:rFonts w:hint="default" w:ascii="Times New Roman" w:hAnsi="Times New Roman" w:eastAsia="仿宋_GB2312" w:cs="Times New Roman"/>
        </w:rPr>
        <w:t>水平；新生儿遗传代谢性疾病筛查率、新生儿听力筛查率、新生儿先天性心脏病筛查率均达到9</w:t>
      </w:r>
      <w:r>
        <w:rPr>
          <w:rFonts w:hint="default" w:ascii="Times New Roman" w:hAnsi="Times New Roman" w:eastAsia="仿宋_GB2312" w:cs="Times New Roman"/>
          <w:lang w:val="en-US"/>
        </w:rPr>
        <w:t>6</w:t>
      </w:r>
      <w:r>
        <w:rPr>
          <w:rFonts w:hint="default" w:ascii="Times New Roman" w:hAnsi="Times New Roman" w:eastAsia="仿宋_GB2312" w:cs="Times New Roman"/>
        </w:rPr>
        <w:t>%</w:t>
      </w:r>
      <w:r>
        <w:rPr>
          <w:rFonts w:hint="default" w:ascii="Times New Roman" w:hAnsi="Times New Roman" w:eastAsia="仿宋_GB2312" w:cs="Times New Roman"/>
          <w:lang w:val="en-US"/>
        </w:rPr>
        <w:t>及以上</w:t>
      </w:r>
      <w:r>
        <w:rPr>
          <w:rFonts w:hint="default" w:ascii="Times New Roman" w:hAnsi="Times New Roman" w:eastAsia="仿宋_GB2312" w:cs="Times New Roman"/>
        </w:rPr>
        <w:t>。（</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：区卫生健康局、区教育局）</w:t>
      </w:r>
    </w:p>
    <w:p>
      <w:pPr>
        <w:pStyle w:val="5"/>
        <w:numPr>
          <w:ilvl w:val="0"/>
          <w:numId w:val="16"/>
        </w:numPr>
        <w:spacing w:before="1"/>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优化计划生育服务。加快计划生育服务管理转型，推动计划生育工作目标向提高出生人口素质、优化人口结构、服务家庭发展转变。完善利益导向机制，构建以生育支持、幼儿养育、青少年发展、老人赡养、病残照料为主题的家庭发展政策框架，积极鼓励市民按政策生育。全面开展生殖健康促进工作，普及避孕节育和生殖健康知识，加强流动人口、青少年、未婚育龄、更年期人群生殖健康公共服务，减少非意愿妊娠和人工流产。强化再生育技术服务指导。深入开展创建幸福家庭活动，保护家庭传统功能。完善计划生育家庭奖励扶助制度和特别扶助制度，落实奖励扶助金标准动态调整政策。建立健全出生人口监测机制。继续开展出生人口性别比治理，促进人口结构优化和素质提升。到2030年，全区出生人口性别比实现自然平衡。（</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w:t>
      </w:r>
      <w:r>
        <w:rPr>
          <w:rFonts w:hint="default" w:ascii="Times New Roman" w:hAnsi="Times New Roman" w:eastAsia="仿宋_GB2312" w:cs="Times New Roman"/>
        </w:rPr>
        <w:t>）</w:t>
      </w:r>
    </w:p>
    <w:p>
      <w:pPr>
        <w:pStyle w:val="3"/>
        <w:numPr>
          <w:ilvl w:val="0"/>
          <w:numId w:val="15"/>
        </w:numPr>
        <w:spacing w:line="240" w:lineRule="auto"/>
        <w:ind w:firstLine="643" w:firstLineChars="200"/>
        <w:rPr>
          <w:rFonts w:hint="default" w:ascii="Times New Roman" w:hAnsi="Times New Roman" w:eastAsia="仿宋_GB2312" w:cs="Times New Roman"/>
          <w:lang w:val="en-US"/>
        </w:rPr>
      </w:pPr>
      <w:bookmarkStart w:id="47" w:name="_Toc19562"/>
      <w:bookmarkStart w:id="48" w:name="_Toc26802"/>
      <w:r>
        <w:rPr>
          <w:rFonts w:hint="default" w:ascii="Times New Roman" w:hAnsi="Times New Roman" w:eastAsia="仿宋_GB2312" w:cs="Times New Roman"/>
          <w:lang w:val="en-US"/>
        </w:rPr>
        <w:t>优化青少年和中青年</w:t>
      </w:r>
      <w:r>
        <w:rPr>
          <w:rFonts w:hint="default" w:ascii="Times New Roman" w:hAnsi="Times New Roman" w:eastAsia="仿宋_GB2312" w:cs="Times New Roman"/>
        </w:rPr>
        <w:t>健康服务</w:t>
      </w:r>
      <w:bookmarkEnd w:id="47"/>
      <w:bookmarkEnd w:id="48"/>
    </w:p>
    <w:p>
      <w:pPr>
        <w:pStyle w:val="5"/>
        <w:numPr>
          <w:ilvl w:val="0"/>
          <w:numId w:val="17"/>
        </w:numPr>
        <w:spacing w:before="1"/>
        <w:ind w:left="0" w:right="96"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优化青少年健康服务。对标健康学校标准，全区</w:t>
      </w:r>
      <w:r>
        <w:rPr>
          <w:rFonts w:hint="default" w:ascii="Times New Roman" w:hAnsi="Times New Roman" w:eastAsia="仿宋_GB2312" w:cs="Times New Roman"/>
          <w:lang w:val="en-US"/>
        </w:rPr>
        <w:t>开展</w:t>
      </w:r>
      <w:r>
        <w:rPr>
          <w:rFonts w:hint="default" w:ascii="Times New Roman" w:hAnsi="Times New Roman" w:eastAsia="仿宋_GB2312" w:cs="Times New Roman"/>
        </w:rPr>
        <w:t>创建若干个健康学校。建立健全辖区青少年健康服务体系，为青少年提供生理、心理、性与生殖、营养运动等全链条的咨询指导、健康教育、医疗保健服务。建立家庭、学校、卫生机构“三方联动”的学生疾病预防控制模式。</w:t>
      </w:r>
      <w:r>
        <w:rPr>
          <w:rFonts w:hint="default" w:ascii="Times New Roman" w:hAnsi="Times New Roman" w:eastAsia="仿宋_GB2312" w:cs="Times New Roman"/>
        </w:rPr>
        <w:t>加强医务室（卫生室、保健室）建设，积极采取多种途径配备中小学专兼职学校卫生人员，到202</w:t>
      </w:r>
      <w:r>
        <w:rPr>
          <w:rFonts w:hint="default" w:ascii="Times New Roman" w:hAnsi="Times New Roman" w:eastAsia="仿宋_GB2312" w:cs="Times New Roman"/>
          <w:lang w:val="en-US"/>
        </w:rPr>
        <w:t>5</w:t>
      </w:r>
      <w:r>
        <w:rPr>
          <w:rFonts w:hint="default" w:ascii="Times New Roman" w:hAnsi="Times New Roman" w:eastAsia="仿宋_GB2312" w:cs="Times New Roman"/>
        </w:rPr>
        <w:t>年和2030年，寄宿制中小学校或600名学生以上的非寄宿制中小学校配备专职卫生专业技术人员、600名学生以下的非寄宿制中小学校配备专兼职保健教师或卫生专业技术人员的比例分别达到70%及以上和90%及以上。完善中小学校医校协作机制，完善卫生健康副校长配备制度。</w:t>
      </w:r>
      <w:r>
        <w:rPr>
          <w:rFonts w:hint="default" w:ascii="Times New Roman" w:hAnsi="Times New Roman" w:eastAsia="仿宋_GB2312" w:cs="Times New Roman"/>
        </w:rPr>
        <w:t>全面开展学生健康体检、体质健康监测、常见病和健康危害因素监测与干预。将健康教育作为所有教育阶段素质教育的重要内容，确保健康教育课时，中小学要加强专兼职健康教育教师的培养，将健康教育纳入体育等相关学科教师职前教育和职后培训内容，</w:t>
      </w:r>
      <w:r>
        <w:rPr>
          <w:rFonts w:hint="default" w:ascii="Times New Roman" w:hAnsi="Times New Roman" w:eastAsia="仿宋_GB2312" w:cs="Times New Roman"/>
          <w:lang w:val="en-US"/>
        </w:rPr>
        <w:t>探索健康教育创新模式。</w:t>
      </w:r>
      <w:r>
        <w:rPr>
          <w:rFonts w:hint="default" w:ascii="Times New Roman" w:hAnsi="Times New Roman" w:eastAsia="仿宋_GB2312" w:cs="Times New Roman"/>
        </w:rPr>
        <w:t>落实学生意外伤害事故预防和处置、社会实践、防溺水等安全教育和管理。完善学校传染病防控制度，规范落实防控措施。加强学校营养健康工作，积极创建健康食堂，推广学校营养午餐食谱，积极推动中小学校不在校园内售卖含糖饮料。实施儿童青少年近视综合防治行动，开展分级分类视力健康服务与管理，推进近视综合干预，创建近视综合防控示范区和若干示范学校，总体近视率在2018年的基础上每年降低0.5个百分点以上，到2030年小学生近视率下降到38%以下，学生的新发近视率明显下降。实施儿童口腔健康服务与管理，开展口腔健康检查、涂氟防龋、窝沟封闭和龋齿充填等基本公共卫生服务。关爱青少年生殖健康。关注学生心理健康，对有心理困扰或心理行为问题的学生，及时给予必要的危机干预。实施“青少年体育活动促进计划”，确保学生校内每天体育活动时间不少于1小时，基本实现青少年熟练掌握1项以上体育运动技能。到2030年，学校体育场地设施与器材配置达标率达到100%，青少年学生每周参与体育活动达到中等强度3次以上，《国家学生体质健康标准》达标优秀率</w:t>
      </w:r>
      <w:r>
        <w:rPr>
          <w:rFonts w:hint="default" w:ascii="Times New Roman" w:hAnsi="Times New Roman" w:eastAsia="仿宋_GB2312" w:cs="Times New Roman"/>
          <w:lang w:val="en-US"/>
        </w:rPr>
        <w:t>60</w:t>
      </w:r>
      <w:r>
        <w:rPr>
          <w:rFonts w:hint="default" w:ascii="Times New Roman" w:hAnsi="Times New Roman" w:eastAsia="仿宋_GB2312" w:cs="Times New Roman"/>
        </w:rPr>
        <w:t>%以上。 （</w:t>
      </w:r>
      <w:r>
        <w:rPr>
          <w:rFonts w:hint="default" w:ascii="Times New Roman" w:hAnsi="Times New Roman" w:eastAsia="仿宋_GB2312" w:cs="Times New Roman"/>
        </w:rPr>
        <w:t>责任单位</w:t>
      </w:r>
      <w:r>
        <w:rPr>
          <w:rFonts w:hint="default" w:ascii="Times New Roman" w:hAnsi="Times New Roman" w:eastAsia="仿宋_GB2312" w:cs="Times New Roman"/>
        </w:rPr>
        <w:t>：区教育局、</w:t>
      </w:r>
      <w:r>
        <w:rPr>
          <w:rFonts w:hint="default" w:ascii="Times New Roman" w:hAnsi="Times New Roman" w:eastAsia="仿宋_GB2312" w:cs="Times New Roman"/>
          <w:lang w:val="en-US"/>
        </w:rPr>
        <w:t>区卫生健康局、</w:t>
      </w:r>
      <w:r>
        <w:rPr>
          <w:rFonts w:hint="default" w:ascii="Times New Roman" w:hAnsi="Times New Roman" w:eastAsia="仿宋_GB2312" w:cs="Times New Roman"/>
        </w:rPr>
        <w:t>区文化广电旅游体育局）</w:t>
      </w:r>
    </w:p>
    <w:p>
      <w:pPr>
        <w:pStyle w:val="5"/>
        <w:numPr>
          <w:ilvl w:val="0"/>
          <w:numId w:val="17"/>
        </w:numPr>
        <w:spacing w:before="1"/>
        <w:ind w:left="0" w:right="96"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优化职业人群健康</w:t>
      </w:r>
      <w:r>
        <w:rPr>
          <w:rFonts w:hint="default" w:ascii="Times New Roman" w:hAnsi="Times New Roman" w:eastAsia="仿宋_GB2312" w:cs="Times New Roman"/>
          <w:lang w:val="en-US"/>
        </w:rPr>
        <w:t>服务</w:t>
      </w:r>
      <w:r>
        <w:rPr>
          <w:rFonts w:hint="default" w:ascii="Times New Roman" w:hAnsi="Times New Roman" w:eastAsia="仿宋_GB2312" w:cs="Times New Roman"/>
        </w:rPr>
        <w:t>。以机关和企事业单位为重点，加强健康工作场所建设，落实定期体检、职业健康检查、职业防护等制度，创造有益于健康的工作环境。依托工会搭建职工体育活动平台，继续推进健步走和工间操活动。结合国民体质监测工作，充分运用互联网技术，继续开展不同职业人群体质监测工作，指导中青年人群对自身的健康危险因素进行评估和自我管理，降低危险因素影响，鼓励其积极参与各项健康行动，改变不良生活方式，提高自身健康素养和健康生活质量。到2030年，实现机关企事业单位职工定期健康体检</w:t>
      </w:r>
      <w:r>
        <w:rPr>
          <w:rFonts w:hint="default" w:ascii="Times New Roman" w:hAnsi="Times New Roman" w:eastAsia="仿宋_GB2312" w:cs="Times New Roman"/>
        </w:rPr>
        <w:t>、</w:t>
      </w:r>
      <w:r>
        <w:rPr>
          <w:rFonts w:hint="default" w:ascii="Times New Roman" w:hAnsi="Times New Roman" w:eastAsia="仿宋_GB2312" w:cs="Times New Roman"/>
          <w:lang w:val="en-US"/>
        </w:rPr>
        <w:t>健康管理</w:t>
      </w:r>
      <w:r>
        <w:rPr>
          <w:rFonts w:hint="default" w:ascii="Times New Roman" w:hAnsi="Times New Roman" w:eastAsia="仿宋_GB2312" w:cs="Times New Roman"/>
        </w:rPr>
        <w:t>全覆盖。（</w:t>
      </w:r>
      <w:r>
        <w:rPr>
          <w:rFonts w:hint="default" w:ascii="Times New Roman" w:hAnsi="Times New Roman" w:eastAsia="仿宋_GB2312" w:cs="Times New Roman"/>
        </w:rPr>
        <w:t>责任单位</w:t>
      </w:r>
      <w:r>
        <w:rPr>
          <w:rFonts w:hint="default" w:ascii="Times New Roman" w:hAnsi="Times New Roman" w:eastAsia="仿宋_GB2312" w:cs="Times New Roman"/>
        </w:rPr>
        <w:t>：区文化广电旅游体育局、区卫生健康局、区总工会）</w:t>
      </w:r>
    </w:p>
    <w:p>
      <w:pPr>
        <w:pStyle w:val="3"/>
        <w:numPr>
          <w:ilvl w:val="0"/>
          <w:numId w:val="15"/>
        </w:numPr>
        <w:spacing w:line="240" w:lineRule="auto"/>
        <w:ind w:firstLine="643" w:firstLineChars="200"/>
        <w:rPr>
          <w:rFonts w:hint="default" w:ascii="Times New Roman" w:hAnsi="Times New Roman" w:eastAsia="仿宋_GB2312" w:cs="Times New Roman"/>
        </w:rPr>
      </w:pPr>
      <w:bookmarkStart w:id="49" w:name="_Toc12228"/>
      <w:bookmarkStart w:id="50" w:name="_Toc14988"/>
      <w:r>
        <w:rPr>
          <w:rFonts w:hint="default" w:ascii="Times New Roman" w:hAnsi="Times New Roman" w:eastAsia="仿宋_GB2312" w:cs="Times New Roman"/>
        </w:rPr>
        <w:t>优化老年人健康服务</w:t>
      </w:r>
      <w:bookmarkEnd w:id="49"/>
      <w:bookmarkEnd w:id="50"/>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优化老年医疗资源配置，发展老年医学和护理学科，推动区属综合医院、中医医院开设老年医学科，增加老年病床数量，社区卫生服务中心提高康复、护理床位比例。按照国家基本公共卫生服务项目要求，推进老年人健康管理，开展对老年常见病、慢性病的健康指导和综合干预，推动对老年痴呆症、心理健康问题的干预。构建“医康养护”相结合的新型健康养老服务模式。加快医养结合型健康养老示范基地建设。探索医疗卫生机构和养老机构组建医养联合体。支持建设康复、老年病、长期护理、慢性病管理、安宁疗护等接续性医疗机构或者鼓励区属医疗机构、社会办医、有条件的养老机构提供相关服务。将社区卫生服务中心打造为医养结合重要平台，扩大家庭医生对老年人的签约覆盖，提供“医防融合”“全专结合”“中西医结合”的整合型健康服务，为有需求的老人提供家庭病床、制定护理计划、开展居家护理、慢性病长处方、安宁疗护等服务。推动居家老人长期照护服务发展，稳步扩大长期护理保险覆盖对象范围，落实经济困难的高龄、失能老人补贴制度。开展老年人照护统一需求评估，根据评估结果精准确定老年人应享有的医疗、护理、养老服务。推进老年人社区和居家适老化改造，</w:t>
      </w:r>
      <w:r>
        <w:rPr>
          <w:rFonts w:hint="default" w:ascii="Times New Roman" w:hAnsi="Times New Roman" w:eastAsia="仿宋_GB2312" w:cs="Times New Roman"/>
          <w:lang w:val="en-US"/>
        </w:rPr>
        <w:t>开展国家级老年友好型社区创建。</w:t>
      </w:r>
      <w:r>
        <w:rPr>
          <w:rFonts w:hint="default" w:ascii="Times New Roman" w:hAnsi="Times New Roman" w:eastAsia="仿宋_GB2312" w:cs="Times New Roman"/>
        </w:rPr>
        <w:t>加强街道综合养老服务中心（颐康中心）等社区养老机构建设，优化提升长者配餐服务。至2030年，65岁至74岁老年人失能发生率有所下降，65岁以上人群老年期痴呆患病率增速下降；65岁及以上老年人健康管理率达到80%及以上，65岁及以上老年人中医药健康管理率达到75%及以上</w:t>
      </w:r>
      <w:r>
        <w:rPr>
          <w:rFonts w:hint="default" w:ascii="Times New Roman" w:hAnsi="Times New Roman" w:eastAsia="仿宋_GB2312" w:cs="Times New Roman"/>
          <w:lang w:val="en-US"/>
        </w:rPr>
        <w:t>。</w:t>
      </w:r>
      <w:r>
        <w:rPr>
          <w:rFonts w:hint="default" w:ascii="Times New Roman" w:hAnsi="Times New Roman" w:eastAsia="仿宋_GB2312" w:cs="Times New Roman"/>
        </w:rPr>
        <w:t>（</w:t>
      </w:r>
      <w:r>
        <w:rPr>
          <w:rFonts w:hint="default" w:ascii="Times New Roman" w:hAnsi="Times New Roman" w:eastAsia="仿宋_GB2312" w:cs="Times New Roman"/>
        </w:rPr>
        <w:t>责任单位</w:t>
      </w:r>
      <w:r>
        <w:rPr>
          <w:rFonts w:hint="default" w:ascii="Times New Roman" w:hAnsi="Times New Roman" w:eastAsia="仿宋_GB2312" w:cs="Times New Roman"/>
        </w:rPr>
        <w:t>：区民政局、区卫生健康局）</w:t>
      </w:r>
    </w:p>
    <w:p>
      <w:pPr>
        <w:pStyle w:val="3"/>
        <w:numPr>
          <w:ilvl w:val="0"/>
          <w:numId w:val="15"/>
        </w:numPr>
        <w:spacing w:line="240" w:lineRule="auto"/>
        <w:ind w:firstLine="643" w:firstLineChars="200"/>
        <w:rPr>
          <w:rFonts w:hint="default" w:ascii="Times New Roman" w:hAnsi="Times New Roman" w:eastAsia="仿宋_GB2312" w:cs="Times New Roman"/>
          <w:lang w:val="en-US"/>
        </w:rPr>
      </w:pPr>
      <w:bookmarkStart w:id="51" w:name="_Toc6443"/>
      <w:bookmarkStart w:id="52" w:name="_Toc8579"/>
      <w:r>
        <w:rPr>
          <w:rFonts w:hint="default" w:ascii="Times New Roman" w:hAnsi="Times New Roman" w:eastAsia="仿宋_GB2312" w:cs="Times New Roman"/>
        </w:rPr>
        <w:t>优化残疾人健康</w:t>
      </w:r>
      <w:bookmarkEnd w:id="51"/>
      <w:bookmarkEnd w:id="52"/>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落实广州市残疾预防行动方案，强化残疾预防宣传教育，增强全社会残疾预防意识，加强对致残疾病以及其他致残因素的防控，开展全人群、全生命周期的残疾预防。增加残疾人社区康复和居家康复服务供给。实施残疾人精准康复服务工作，推进残疾人辅助器具精准化、智能化适配工作，推动残疾人康复体育和健身体育广泛开展，可比口径残疾发生率低于全市平均水平，有康复需求的残疾儿童和持证残疾人基本康复服务覆盖率达到90%以上，实现残疾人“人人享有康复服务”目标。为残疾人看病就医提供绿色通道和便利设施，建立区属医疗机构与残疾人专业康复机构双向转诊机制，推动社区卫生服务中心优先为残疾人提供家庭医生签约服务。建立残疾高位人群致残疾病快速确诊资助机制，加大低收入残疾人和0-6岁残疾儿童医疗康复救助力度，对残疾人辅助器具给予补贴适配。通过政府、社会、家庭三方联动，大力推动残疾人融入社会。至20</w:t>
      </w:r>
      <w:r>
        <w:rPr>
          <w:rFonts w:hint="default" w:ascii="Times New Roman" w:hAnsi="Times New Roman" w:eastAsia="仿宋_GB2312" w:cs="Times New Roman"/>
          <w:lang w:val="en-US"/>
        </w:rPr>
        <w:t>30</w:t>
      </w:r>
      <w:r>
        <w:rPr>
          <w:rFonts w:hint="default" w:ascii="Times New Roman" w:hAnsi="Times New Roman" w:eastAsia="仿宋_GB2312" w:cs="Times New Roman"/>
        </w:rPr>
        <w:t>年，残疾人家庭医生签约率达到100%</w:t>
      </w:r>
      <w:r>
        <w:rPr>
          <w:rFonts w:hint="default" w:ascii="Times New Roman" w:hAnsi="Times New Roman" w:eastAsia="仿宋_GB2312" w:cs="Times New Roman"/>
        </w:rPr>
        <w:t>，</w:t>
      </w:r>
      <w:r>
        <w:rPr>
          <w:rFonts w:hint="default" w:ascii="Times New Roman" w:hAnsi="Times New Roman" w:eastAsia="仿宋_GB2312" w:cs="Times New Roman"/>
        </w:rPr>
        <w:t>残疾预防和康复体系进一步完善。（</w:t>
      </w:r>
      <w:r>
        <w:rPr>
          <w:rFonts w:hint="default" w:ascii="Times New Roman" w:hAnsi="Times New Roman" w:eastAsia="仿宋_GB2312" w:cs="Times New Roman"/>
        </w:rPr>
        <w:t>责任单位</w:t>
      </w:r>
      <w:r>
        <w:rPr>
          <w:rFonts w:hint="default" w:ascii="Times New Roman" w:hAnsi="Times New Roman" w:eastAsia="仿宋_GB2312" w:cs="Times New Roman"/>
        </w:rPr>
        <w:t>：区残联</w:t>
      </w:r>
      <w:r>
        <w:rPr>
          <w:rFonts w:hint="default" w:ascii="Times New Roman" w:hAnsi="Times New Roman" w:eastAsia="仿宋_GB2312" w:cs="Times New Roman"/>
        </w:rPr>
        <w:t>、</w:t>
      </w:r>
      <w:r>
        <w:rPr>
          <w:rFonts w:hint="default" w:ascii="Times New Roman" w:hAnsi="Times New Roman" w:eastAsia="仿宋_GB2312" w:cs="Times New Roman"/>
        </w:rPr>
        <w:t>区卫生健康局、区财政局）</w:t>
      </w:r>
    </w:p>
    <w:p>
      <w:pPr>
        <w:pStyle w:val="12"/>
        <w:numPr>
          <w:ilvl w:val="0"/>
          <w:numId w:val="1"/>
        </w:numPr>
        <w:ind w:firstLine="643" w:firstLineChars="200"/>
        <w:jc w:val="left"/>
        <w:rPr>
          <w:rFonts w:hint="default" w:ascii="Times New Roman" w:hAnsi="Times New Roman" w:eastAsia="仿宋_GB2312" w:cs="Times New Roman"/>
        </w:rPr>
      </w:pPr>
      <w:bookmarkStart w:id="53" w:name="_Toc20350"/>
      <w:bookmarkStart w:id="54" w:name="_Toc3128"/>
      <w:r>
        <w:rPr>
          <w:rFonts w:hint="default" w:ascii="Times New Roman" w:hAnsi="Times New Roman" w:eastAsia="仿宋_GB2312" w:cs="Times New Roman"/>
        </w:rPr>
        <w:t>发展健康产业</w:t>
      </w:r>
      <w:bookmarkEnd w:id="53"/>
      <w:bookmarkEnd w:id="54"/>
    </w:p>
    <w:p>
      <w:pPr>
        <w:pStyle w:val="3"/>
        <w:numPr>
          <w:ilvl w:val="0"/>
          <w:numId w:val="18"/>
        </w:numPr>
        <w:spacing w:line="240" w:lineRule="auto"/>
        <w:ind w:firstLine="643" w:firstLineChars="200"/>
        <w:rPr>
          <w:rFonts w:hint="default" w:ascii="Times New Roman" w:hAnsi="Times New Roman" w:eastAsia="仿宋_GB2312" w:cs="Times New Roman"/>
        </w:rPr>
      </w:pPr>
      <w:bookmarkStart w:id="55" w:name="_Toc9214"/>
      <w:bookmarkStart w:id="56" w:name="_Toc22433"/>
      <w:r>
        <w:rPr>
          <w:rFonts w:hint="default" w:ascii="Times New Roman" w:hAnsi="Times New Roman" w:eastAsia="仿宋_GB2312" w:cs="Times New Roman"/>
        </w:rPr>
        <w:t>加快形成多元办医格局</w:t>
      </w:r>
      <w:bookmarkEnd w:id="55"/>
      <w:bookmarkEnd w:id="56"/>
    </w:p>
    <w:p>
      <w:pPr>
        <w:pStyle w:val="5"/>
        <w:spacing w:before="1"/>
        <w:ind w:right="99" w:firstLine="645"/>
        <w:rPr>
          <w:rFonts w:hint="default" w:ascii="Times New Roman" w:hAnsi="Times New Roman" w:eastAsia="仿宋_GB2312" w:cs="Times New Roman"/>
        </w:rPr>
      </w:pPr>
      <w:r>
        <w:rPr>
          <w:rFonts w:hint="default" w:ascii="Times New Roman" w:hAnsi="Times New Roman" w:eastAsia="仿宋_GB2312" w:cs="Times New Roman"/>
        </w:rPr>
        <w:t>鼓励社会办医在医疗资源稀缺区域高质量、专科化、品牌化和国际化发展。支持提供传统中医药服务的中医诊所、门诊部连锁化发展。鼓励社会力量举办名医工作室、名中医馆、医生集团、家庭医生集团等医疗健康新业态。支持社会力量举办独立设置的健康体检、医学检验、安宁疗护等专业机构。引导和支持保险公司开发家庭医生服务、长期照护、健康管理等健康相关保险产品开发，拓展长期照护、康复、安宁疗护等老年健康服务。支持保险业投资、设立医疗机构，鼓励发展专业性医院管理集团，以及集医药、医疗、商业健康保险为一体的健康服务业集团。至2030年，建成与</w:t>
      </w:r>
      <w:r>
        <w:rPr>
          <w:rFonts w:hint="default" w:ascii="Times New Roman" w:hAnsi="Times New Roman" w:eastAsia="仿宋_GB2312" w:cs="Times New Roman"/>
          <w:lang w:val="en-US"/>
        </w:rPr>
        <w:t>天河区CBD核心区定位</w:t>
      </w:r>
      <w:r>
        <w:rPr>
          <w:rFonts w:hint="default" w:ascii="Times New Roman" w:hAnsi="Times New Roman" w:eastAsia="仿宋_GB2312" w:cs="Times New Roman"/>
        </w:rPr>
        <w:t>相适应的多元化办医新格局。（</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：区卫生健康局、区发展改革局）</w:t>
      </w:r>
    </w:p>
    <w:p>
      <w:pPr>
        <w:pStyle w:val="3"/>
        <w:numPr>
          <w:ilvl w:val="0"/>
          <w:numId w:val="18"/>
        </w:numPr>
        <w:spacing w:line="240" w:lineRule="auto"/>
        <w:ind w:firstLine="643" w:firstLineChars="200"/>
        <w:rPr>
          <w:rFonts w:hint="default" w:ascii="Times New Roman" w:hAnsi="Times New Roman" w:eastAsia="仿宋_GB2312" w:cs="Times New Roman"/>
        </w:rPr>
      </w:pPr>
      <w:bookmarkStart w:id="57" w:name="_Toc28885"/>
      <w:bookmarkStart w:id="58" w:name="_Toc21012"/>
      <w:r>
        <w:rPr>
          <w:rFonts w:hint="default" w:ascii="Times New Roman" w:hAnsi="Times New Roman" w:eastAsia="仿宋_GB2312" w:cs="Times New Roman"/>
          <w:lang w:val="en-US"/>
        </w:rPr>
        <w:t>充分发挥天河区智能化、数字化等</w:t>
      </w:r>
      <w:r>
        <w:rPr>
          <w:rFonts w:hint="default" w:ascii="Times New Roman" w:hAnsi="Times New Roman" w:eastAsia="仿宋_GB2312" w:cs="Times New Roman"/>
        </w:rPr>
        <w:t>科技创新资源</w:t>
      </w:r>
      <w:r>
        <w:rPr>
          <w:rFonts w:hint="default" w:ascii="Times New Roman" w:hAnsi="Times New Roman" w:eastAsia="仿宋_GB2312" w:cs="Times New Roman"/>
          <w:lang w:val="en-US"/>
        </w:rPr>
        <w:t>，大力</w:t>
      </w:r>
      <w:r>
        <w:rPr>
          <w:rFonts w:hint="default" w:ascii="Times New Roman" w:hAnsi="Times New Roman" w:eastAsia="仿宋_GB2312" w:cs="Times New Roman"/>
        </w:rPr>
        <w:t>发展健康服务新业态</w:t>
      </w:r>
      <w:bookmarkEnd w:id="57"/>
      <w:bookmarkEnd w:id="58"/>
    </w:p>
    <w:p>
      <w:pPr>
        <w:pStyle w:val="5"/>
        <w:spacing w:before="1"/>
        <w:ind w:left="0"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创造更加公平、开放、健康的市场环境，探索以社会力量为主，利用资源和区位优势，打造特色鲜明、具有竞争力和影响力的健康服务产业聚集区。积极发展智慧健康产业，充分发挥辖区优质医疗资源和科技创新资源的引领作用，深入推进“互联网+”健康医疗，探索建设互联网医院、数字化医院等新型业态，支持运用智慧健康技术开展在线健康教育、健康知识宣传</w:t>
      </w:r>
      <w:r>
        <w:rPr>
          <w:rFonts w:hint="default" w:ascii="Times New Roman" w:hAnsi="Times New Roman" w:eastAsia="仿宋_GB2312" w:cs="Times New Roman"/>
        </w:rPr>
        <w:t>、</w:t>
      </w:r>
      <w:r>
        <w:rPr>
          <w:rFonts w:hint="default" w:ascii="Times New Roman" w:hAnsi="Times New Roman" w:eastAsia="仿宋_GB2312" w:cs="Times New Roman"/>
          <w:lang w:val="en-US"/>
        </w:rPr>
        <w:t>心理咨询</w:t>
      </w:r>
      <w:r>
        <w:rPr>
          <w:rFonts w:hint="default" w:ascii="Times New Roman" w:hAnsi="Times New Roman" w:eastAsia="仿宋_GB2312" w:cs="Times New Roman"/>
        </w:rPr>
        <w:t>、网络诊疗咨询等新型健康管理服务，探索线上线下结合发展模式。加快推进医疗器械产业与云计算、大数据等新技术的结合，重点围绕医学影像、精准医疗、医疗大数据、云健康、智慧健康管理等产品进行开发研究。推进物联网技术与健康医疗产业的对接融合，着力打造医疗健康物联网，实现医疗健康信息的智能化、实时化管理。发展健康咨询和管理产业，大力引进健康体检、健康移动监测、健康风险评估、亚健康调理与预警、保健康复、防病养生、未病管理、健康促进等专业性、系统化、个性化的健康咨询服务机构。支持引进国际高端健康管理机构和品牌，培育高端健康体检市场，提供对个体或群体的健康进行全面监测、分析和评估，以及健康咨询与指导、对健康危险因素进行干预的全过程健康管理服务。积极发展健身休闲运动产业，完善社会资本举办健身休闲运动产业支持政策，促进健身休闲、竞赛表演、场馆服务等体育产业门类发展。推动体育与商务、文化、旅游、健康、科技、互联网等领域融合发展，鼓励发展体育旅游、体育中介、体育传媒等产业新业态。完善健康养老产业链，鼓励社会力量进入老年医疗、护理、康复、养老等领域，支持社会力量举办护理院、护理中心、护理站、养老机构内设医疗机构等。鼓励健康养老相关企业落户天河，支持企业加强康复护理器材设施研发，推广老年人可穿戴健康设备应用，加强老年人群健康管理。（</w:t>
      </w:r>
      <w:r>
        <w:rPr>
          <w:rFonts w:hint="default" w:ascii="Times New Roman" w:hAnsi="Times New Roman" w:eastAsia="仿宋_GB2312" w:cs="Times New Roman"/>
        </w:rPr>
        <w:t>责任单位</w:t>
      </w:r>
      <w:r>
        <w:rPr>
          <w:rFonts w:hint="default" w:ascii="Times New Roman" w:hAnsi="Times New Roman" w:eastAsia="仿宋_GB2312" w:cs="Times New Roman"/>
        </w:rPr>
        <w:t>：区发展改革局、区卫生健康局、区民政局、区文化广电旅游体育局、区科工信局、区商务金融局）</w:t>
      </w:r>
    </w:p>
    <w:p>
      <w:pPr>
        <w:pStyle w:val="3"/>
        <w:numPr>
          <w:ilvl w:val="0"/>
          <w:numId w:val="18"/>
        </w:numPr>
        <w:spacing w:line="240" w:lineRule="auto"/>
        <w:ind w:firstLine="643" w:firstLineChars="200"/>
        <w:rPr>
          <w:rFonts w:hint="default" w:ascii="Times New Roman" w:hAnsi="Times New Roman" w:eastAsia="仿宋_GB2312" w:cs="Times New Roman"/>
        </w:rPr>
      </w:pPr>
      <w:bookmarkStart w:id="59" w:name="_Toc22789"/>
      <w:r>
        <w:rPr>
          <w:rFonts w:hint="default" w:ascii="Times New Roman" w:hAnsi="Times New Roman" w:eastAsia="仿宋_GB2312" w:cs="Times New Roman"/>
          <w:lang w:val="en-US"/>
        </w:rPr>
        <w:t>加快推动天河区生物医药与健康产业高质量发展</w:t>
      </w:r>
      <w:bookmarkEnd w:id="59"/>
    </w:p>
    <w:p>
      <w:pPr>
        <w:pStyle w:val="5"/>
        <w:spacing w:before="1"/>
        <w:ind w:right="99" w:firstLine="645"/>
        <w:rPr>
          <w:rFonts w:hint="default" w:ascii="Times New Roman" w:hAnsi="Times New Roman" w:eastAsia="仿宋_GB2312" w:cs="Times New Roman"/>
        </w:rPr>
      </w:pPr>
      <w:r>
        <w:rPr>
          <w:rFonts w:hint="default" w:ascii="Times New Roman" w:hAnsi="Times New Roman" w:eastAsia="仿宋_GB2312" w:cs="Times New Roman"/>
          <w:lang w:val="en-US"/>
        </w:rPr>
        <w:t>以中山大学肿瘤医学科学中心为依托，以医学、医药、医疗“三医融合”为特色，推进天河区生命科学产业园开发建设。重点发展医疗人工智能产业、医疗信息化产业、重离子中心、药物研发产业（靶向药等）、医疗器械研发生产（影像设备、内镜器械等）、检验检测以及大健康（康复、疗养等）等领域。建成后将成为集医疗实验室、临床转化、临床中试、检验检测、医药研发、器械研发生产、医疗信息化、科技服务、健康咨询管理、医疗康养等全链条的生命科学产业园。（责任单位：区发展改革局、区中央商务区管委会、天河科技园管委会、区政府办公室、区科工信局、区财政局、区住建园林局、区水务局、区卫生健康局、区城市管理综合执法局、区规划和自然资源分局、区生态环境分局、龙洞街、凤凰街）</w:t>
      </w:r>
    </w:p>
    <w:p>
      <w:pPr>
        <w:pStyle w:val="12"/>
        <w:numPr>
          <w:ilvl w:val="0"/>
          <w:numId w:val="1"/>
        </w:numPr>
        <w:ind w:firstLine="643" w:firstLineChars="200"/>
        <w:jc w:val="left"/>
        <w:rPr>
          <w:rFonts w:hint="default" w:ascii="Times New Roman" w:hAnsi="Times New Roman" w:eastAsia="仿宋_GB2312" w:cs="Times New Roman"/>
          <w:lang w:val="en-US"/>
        </w:rPr>
      </w:pPr>
      <w:bookmarkStart w:id="60" w:name="_Toc24529"/>
      <w:bookmarkStart w:id="61" w:name="_Toc21192"/>
      <w:r>
        <w:rPr>
          <w:rFonts w:hint="default" w:ascii="Times New Roman" w:hAnsi="Times New Roman" w:eastAsia="仿宋_GB2312" w:cs="Times New Roman"/>
        </w:rPr>
        <w:t>健全健康支撑与保障</w:t>
      </w:r>
      <w:bookmarkEnd w:id="60"/>
      <w:bookmarkEnd w:id="61"/>
    </w:p>
    <w:p>
      <w:pPr>
        <w:pStyle w:val="3"/>
        <w:numPr>
          <w:ilvl w:val="0"/>
          <w:numId w:val="19"/>
        </w:numPr>
        <w:spacing w:line="240" w:lineRule="auto"/>
        <w:ind w:firstLine="643" w:firstLineChars="200"/>
        <w:rPr>
          <w:rFonts w:hint="default" w:ascii="Times New Roman" w:hAnsi="Times New Roman" w:eastAsia="仿宋_GB2312" w:cs="Times New Roman"/>
        </w:rPr>
      </w:pPr>
      <w:bookmarkStart w:id="62" w:name="_Toc30075"/>
      <w:r>
        <w:rPr>
          <w:rFonts w:hint="default" w:ascii="Times New Roman" w:hAnsi="Times New Roman" w:eastAsia="仿宋_GB2312" w:cs="Times New Roman"/>
        </w:rPr>
        <w:t xml:space="preserve"> </w:t>
      </w:r>
      <w:bookmarkStart w:id="63" w:name="_Toc13116"/>
      <w:r>
        <w:rPr>
          <w:rFonts w:hint="default" w:ascii="Times New Roman" w:hAnsi="Times New Roman" w:eastAsia="仿宋_GB2312" w:cs="Times New Roman"/>
        </w:rPr>
        <w:t>强化健康政策支撑</w:t>
      </w:r>
      <w:bookmarkEnd w:id="62"/>
      <w:bookmarkEnd w:id="63"/>
    </w:p>
    <w:p>
      <w:pPr>
        <w:pStyle w:val="5"/>
        <w:numPr>
          <w:ilvl w:val="0"/>
          <w:numId w:val="20"/>
        </w:numPr>
        <w:spacing w:before="1"/>
        <w:ind w:left="0" w:right="96"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建立把健康融入所有政策的机制</w:t>
      </w:r>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树立维护健康是政府各部门共同责任的理念，成立健康天河建设</w:t>
      </w:r>
      <w:r>
        <w:rPr>
          <w:rFonts w:hint="default" w:ascii="Times New Roman" w:hAnsi="Times New Roman" w:eastAsia="仿宋_GB2312" w:cs="Times New Roman"/>
          <w:lang w:val="en-US"/>
        </w:rPr>
        <w:t>委员会</w:t>
      </w:r>
      <w:r>
        <w:rPr>
          <w:rFonts w:hint="default" w:ascii="Times New Roman" w:hAnsi="Times New Roman" w:eastAsia="仿宋_GB2312" w:cs="Times New Roman"/>
        </w:rPr>
        <w:t>，领导健康天河、卫生强区等工作，加强各部门沟通协作，形成促进健康的工作合力。邀请国内外专家组建天河区健康</w:t>
      </w:r>
      <w:r>
        <w:rPr>
          <w:rFonts w:hint="default" w:ascii="Times New Roman" w:hAnsi="Times New Roman" w:eastAsia="仿宋_GB2312" w:cs="Times New Roman"/>
          <w:lang w:val="en-US"/>
        </w:rPr>
        <w:t>专家委员会</w:t>
      </w:r>
      <w:r>
        <w:rPr>
          <w:rFonts w:hint="default" w:ascii="Times New Roman" w:hAnsi="Times New Roman" w:eastAsia="仿宋_GB2312" w:cs="Times New Roman"/>
        </w:rPr>
        <w:t>，为健康天河建设提供高质量的政策论证和决策咨询服务。全面建立健康影响评估机制，系统评估各项经济社会发展规划和政策、重大工程项目对健康的影响，健全监督、问责机制。畅通公众参与渠道，加强社会监督。（</w:t>
      </w:r>
      <w:r>
        <w:rPr>
          <w:rFonts w:hint="default" w:ascii="Times New Roman" w:hAnsi="Times New Roman" w:eastAsia="仿宋_GB2312" w:cs="Times New Roman"/>
        </w:rPr>
        <w:t>责任单位</w:t>
      </w:r>
      <w:r>
        <w:rPr>
          <w:rFonts w:hint="default" w:ascii="Times New Roman" w:hAnsi="Times New Roman" w:eastAsia="仿宋_GB2312" w:cs="Times New Roman"/>
        </w:rPr>
        <w:t>：各</w:t>
      </w:r>
      <w:r>
        <w:rPr>
          <w:rFonts w:hint="default" w:ascii="Times New Roman" w:hAnsi="Times New Roman" w:eastAsia="仿宋_GB2312" w:cs="Times New Roman"/>
          <w:lang w:val="en-US"/>
        </w:rPr>
        <w:t>部委办、</w:t>
      </w:r>
      <w:r>
        <w:rPr>
          <w:rFonts w:hint="default" w:ascii="Times New Roman" w:hAnsi="Times New Roman" w:eastAsia="仿宋_GB2312" w:cs="Times New Roman"/>
        </w:rPr>
        <w:t>各街道</w:t>
      </w:r>
      <w:r>
        <w:rPr>
          <w:rFonts w:hint="default" w:ascii="Times New Roman" w:hAnsi="Times New Roman" w:eastAsia="仿宋_GB2312" w:cs="Times New Roman"/>
        </w:rPr>
        <w:t>）</w:t>
      </w:r>
    </w:p>
    <w:p>
      <w:pPr>
        <w:pStyle w:val="5"/>
        <w:numPr>
          <w:ilvl w:val="0"/>
          <w:numId w:val="20"/>
        </w:numPr>
        <w:spacing w:before="1"/>
        <w:ind w:left="0" w:right="96"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全面深化医药卫生体制改革</w:t>
      </w:r>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加快建立与天河经济社会发展水平相适应、更加成熟定型的基本医疗卫生制度，维护公共医疗卫生的公益性，实现人人享有基本医疗卫生服务。完善治理机制，推动建立现代医院管理制度。以家庭医生制度为基础，稳步推进分级诊疗制度建设。落实好基本医保政策，提高保障能力。推进药品供应保障机制改革，控制医药费用不合理增长。提升公共卫生服务能力，保障公共卫生安全。协调推进政府投入、医疗服务价格、人事薪酬、学科人才</w:t>
      </w:r>
      <w:r>
        <w:rPr>
          <w:rFonts w:hint="default" w:ascii="Times New Roman" w:hAnsi="Times New Roman" w:eastAsia="仿宋_GB2312" w:cs="Times New Roman"/>
          <w:lang w:val="en-US"/>
        </w:rPr>
        <w:t>队伍建设</w:t>
      </w:r>
      <w:r>
        <w:rPr>
          <w:rFonts w:hint="default" w:ascii="Times New Roman" w:hAnsi="Times New Roman" w:eastAsia="仿宋_GB2312" w:cs="Times New Roman"/>
        </w:rPr>
        <w:t>、卫生健康信息化等配套改革。（</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：区卫生健康局，配合单位：区委宣传部、区委编办、区政府办公室、区发展改革局、区教育局、区民政局、区司法局、区财政局、区人力资源社会保障局、区市场监管局、区医保分局、区总工会、区残联）</w:t>
      </w:r>
    </w:p>
    <w:p>
      <w:pPr>
        <w:pStyle w:val="3"/>
        <w:numPr>
          <w:ilvl w:val="0"/>
          <w:numId w:val="19"/>
        </w:numPr>
        <w:spacing w:line="240" w:lineRule="auto"/>
        <w:ind w:firstLine="643" w:firstLineChars="200"/>
        <w:rPr>
          <w:rFonts w:hint="default" w:ascii="Times New Roman" w:hAnsi="Times New Roman" w:eastAsia="仿宋_GB2312" w:cs="Times New Roman"/>
        </w:rPr>
      </w:pPr>
      <w:bookmarkStart w:id="64" w:name="_Toc31925"/>
      <w:bookmarkStart w:id="65" w:name="_Toc15003"/>
      <w:r>
        <w:rPr>
          <w:rFonts w:hint="default" w:ascii="Times New Roman" w:hAnsi="Times New Roman" w:eastAsia="仿宋_GB2312" w:cs="Times New Roman"/>
        </w:rPr>
        <w:t>完善</w:t>
      </w:r>
      <w:r>
        <w:rPr>
          <w:rFonts w:hint="default" w:ascii="Times New Roman" w:hAnsi="Times New Roman" w:eastAsia="仿宋_GB2312" w:cs="Times New Roman"/>
          <w:lang w:val="en-US"/>
        </w:rPr>
        <w:t>经费保障</w:t>
      </w:r>
      <w:r>
        <w:rPr>
          <w:rFonts w:hint="default" w:ascii="Times New Roman" w:hAnsi="Times New Roman" w:eastAsia="仿宋_GB2312" w:cs="Times New Roman"/>
        </w:rPr>
        <w:t>机制</w:t>
      </w:r>
      <w:bookmarkEnd w:id="64"/>
      <w:bookmarkEnd w:id="65"/>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调整优化财政支出结构，加大对健康领域投入，切实保障市民群众基本健康服务需求。完善政府对健康的投入机制，开展健康投入绩效监测和评价，加大人才、科技等软件建设投入力度。鼓励社会组织和企业投资健康领域，鼓励社会资本发起设立健康事业专项基金，发挥财政资金的引导作用，鼓励金融等机构创新健康相关产品和服务，形成多元化筹资格局。大力发展慈善事业，鼓励社会、个人捐赠和互助。（</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w:t>
      </w:r>
      <w:r>
        <w:rPr>
          <w:rFonts w:hint="default" w:ascii="Times New Roman" w:hAnsi="Times New Roman" w:eastAsia="仿宋_GB2312" w:cs="Times New Roman"/>
        </w:rPr>
        <w:t>、</w:t>
      </w:r>
      <w:r>
        <w:rPr>
          <w:rFonts w:hint="default" w:ascii="Times New Roman" w:hAnsi="Times New Roman" w:eastAsia="仿宋_GB2312" w:cs="Times New Roman"/>
        </w:rPr>
        <w:t>区委宣传部、区委编办、区政府办公室、区发展改革局、区教育局、区民政局、区司法局、区财政局、区人力资源社会保障局、区商务金融局、区市场监管局、区医保分局、区总工会、区残联）</w:t>
      </w:r>
    </w:p>
    <w:p>
      <w:pPr>
        <w:pStyle w:val="3"/>
        <w:numPr>
          <w:ilvl w:val="0"/>
          <w:numId w:val="19"/>
        </w:numPr>
        <w:spacing w:line="240" w:lineRule="auto"/>
        <w:ind w:firstLine="643" w:firstLineChars="200"/>
        <w:rPr>
          <w:rFonts w:hint="default" w:ascii="Times New Roman" w:hAnsi="Times New Roman" w:eastAsia="仿宋_GB2312" w:cs="Times New Roman"/>
        </w:rPr>
      </w:pPr>
      <w:bookmarkStart w:id="66" w:name="_Toc8249"/>
      <w:bookmarkStart w:id="67" w:name="_Toc13431"/>
      <w:r>
        <w:rPr>
          <w:rFonts w:hint="default" w:ascii="Times New Roman" w:hAnsi="Times New Roman" w:eastAsia="仿宋_GB2312" w:cs="Times New Roman"/>
        </w:rPr>
        <w:t>强化资源基础保障</w:t>
      </w:r>
      <w:bookmarkEnd w:id="66"/>
      <w:bookmarkEnd w:id="67"/>
    </w:p>
    <w:p>
      <w:pPr>
        <w:pStyle w:val="5"/>
        <w:numPr>
          <w:ilvl w:val="0"/>
          <w:numId w:val="21"/>
        </w:numPr>
        <w:spacing w:before="1"/>
        <w:ind w:left="0" w:right="96" w:firstLine="640" w:firstLineChars="200"/>
        <w:jc w:val="both"/>
        <w:rPr>
          <w:rFonts w:hint="default" w:ascii="Times New Roman" w:hAnsi="Times New Roman" w:eastAsia="仿宋_GB2312" w:cs="Times New Roman"/>
        </w:rPr>
      </w:pPr>
      <w:bookmarkStart w:id="68" w:name="_Hlk60082707"/>
      <w:r>
        <w:rPr>
          <w:rFonts w:hint="default" w:ascii="Times New Roman" w:hAnsi="Times New Roman" w:eastAsia="仿宋_GB2312" w:cs="Times New Roman"/>
        </w:rPr>
        <w:t>提供健康人才保障</w:t>
      </w:r>
      <w:bookmarkEnd w:id="68"/>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聚焦“质优量足”，引进培养留住人才。通过柔性引进、刚性引进、内部培养相结合的方式，加强高层次和骨干人才的培养和引进，重点是公共卫生、全科、儿科、产科、精神科、老年医学科、护理、心理、急救、康复、实验室检验检测等紧缺人才，简化急需紧缺人才招聘手续。加强健康管理师、公共营养师、</w:t>
      </w:r>
      <w:r>
        <w:rPr>
          <w:rFonts w:hint="default" w:ascii="Times New Roman" w:hAnsi="Times New Roman" w:eastAsia="仿宋_GB2312" w:cs="Times New Roman"/>
        </w:rPr>
        <w:t>康复治疗师、心理咨询师、</w:t>
      </w:r>
      <w:r>
        <w:rPr>
          <w:rFonts w:hint="default" w:ascii="Times New Roman" w:hAnsi="Times New Roman" w:eastAsia="仿宋_GB2312" w:cs="Times New Roman"/>
        </w:rPr>
        <w:t>生殖健康咨询师、养老护理员等技能型健康服务人才培养。聚焦“发挥作用”，促进人才职业发展。全面推行公立医疗卫生机构薪酬制度改革，落实“两个允许”的要求，合理核定公共卫生机构的绩效工资总量和水平。落实上级关于卫生防疫人员津贴和传染病疫情防治人员临时性补助的政策。健全医院院长选拔任用机制，推行院长职业化、专业化，实行院长任期目标责任制、年薪制和考核问责制。按照国家统一部署，逐步在公共卫生事业单位推行职员等级晋升制度改革，拓展公共卫生管理人员职业晋升通道。落实突出贡献人才和基层卫生专业技术人员职称评审政策。支持卫生专业技术人员参加国内外专业能力培训项目。（</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：区卫生健康局、区人力资源社会保障局、区财政局）</w:t>
      </w:r>
    </w:p>
    <w:p>
      <w:pPr>
        <w:pStyle w:val="5"/>
        <w:numPr>
          <w:ilvl w:val="0"/>
          <w:numId w:val="21"/>
        </w:numPr>
        <w:spacing w:before="1"/>
        <w:ind w:left="0" w:right="96" w:firstLine="640" w:firstLineChars="200"/>
        <w:jc w:val="both"/>
        <w:rPr>
          <w:rFonts w:hint="default" w:ascii="Times New Roman" w:hAnsi="Times New Roman" w:eastAsia="仿宋_GB2312" w:cs="Times New Roman"/>
        </w:rPr>
      </w:pPr>
      <w:r>
        <w:rPr>
          <w:rFonts w:hint="default" w:ascii="Times New Roman" w:hAnsi="Times New Roman" w:eastAsia="仿宋_GB2312" w:cs="Times New Roman"/>
        </w:rPr>
        <w:t>发挥信息化引领作用</w:t>
      </w:r>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完善区级全民健康信息平台，消除数据壁垒，实现跨部门跨领域密切配合、统一归口的健康医疗数据采集与共享机制，实现全民健康信息平台横向和纵向全面互联互通。融合新技术驱动智慧医疗。有条件的区属公立医院加快互联网医院建设。深化“互联网+医疗健康”便民惠民服务，加快推进所有区属医疗机构网上预约诊疗、居民健康档案查询、检验检查结果实时查询、电子处方、电子健康卡、远程医疗、诊间结算等便民服务全覆盖。深化智慧公共卫生服务应用。普及个人智慧健康管理应用。全面深化健康医疗大数据在行业治理、临床和科研、公共卫生等领域的应用，培育健康医疗大数据应用新业态，为提高服务能力、控制服务质量、优化内部管理、改善就医感受、加强综合监管提供支撑。加强健康医疗数据安全保障，实现临床治疗和公共卫生数据规范化管理，强化患者隐私保护。（</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：区卫生健康局、区科工信局、区政务服务数据管理局、区财政局）</w:t>
      </w:r>
    </w:p>
    <w:p>
      <w:pPr>
        <w:pStyle w:val="3"/>
        <w:numPr>
          <w:ilvl w:val="0"/>
          <w:numId w:val="19"/>
        </w:numPr>
        <w:spacing w:line="240" w:lineRule="auto"/>
        <w:ind w:firstLine="643" w:firstLineChars="200"/>
        <w:rPr>
          <w:rFonts w:hint="default" w:ascii="Times New Roman" w:hAnsi="Times New Roman" w:eastAsia="仿宋_GB2312" w:cs="Times New Roman"/>
        </w:rPr>
      </w:pPr>
      <w:bookmarkStart w:id="69" w:name="_Toc23943"/>
      <w:bookmarkStart w:id="70" w:name="_Toc14438"/>
      <w:r>
        <w:rPr>
          <w:rFonts w:hint="default" w:ascii="Times New Roman" w:hAnsi="Times New Roman" w:eastAsia="仿宋_GB2312" w:cs="Times New Roman"/>
        </w:rPr>
        <w:t>推动健康科技创新</w:t>
      </w:r>
      <w:bookmarkEnd w:id="69"/>
      <w:bookmarkEnd w:id="70"/>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坚持科技创新与体制机制创新双轮驱动，积极推进生物与医药技术的研究与应用。抢抓广深澳科技创新走廊建设机遇，加强医学科技创新环境建设，建设 “医研企”科技协同创新平合、医药成果转化推广平台和示范基地等创新基地平台。健全和完善健康领域科技成果转移转化的收益分配、权属等激励政策，调动卫生与健康领域科技人员积极性。继续加强区重点学科群建设。大力发展全科医学、康复医学、急诊医学、精神卫生、儿科、公共卫生等学科建设，鼓励辖区医疗卫生机构按照疾病诊治链学科联合、技术相似性学科联合、强强学科联合、弱强学科联合等形式组建一批具有实体性质的学科群，带动天河区医疗卫生服务水平的提高。支持新建的肿瘤、口腔、骨科三所医学科学中心（研究院）实施前沿性医学重大科技创新、先进医疗技术应用。鼓励引进、转化和研发、应用国际先进的、技术成熟的个体化生物治疗技术，支持高端个体化治疗产业化发展。</w:t>
      </w:r>
      <w:r>
        <w:rPr>
          <w:rFonts w:hint="default" w:ascii="Times New Roman" w:hAnsi="Times New Roman" w:eastAsia="仿宋_GB2312" w:cs="Times New Roman"/>
          <w:kern w:val="2"/>
        </w:rPr>
        <w:t>至2030年，本</w:t>
      </w:r>
      <w:r>
        <w:rPr>
          <w:rFonts w:hint="default" w:ascii="Times New Roman" w:hAnsi="Times New Roman" w:eastAsia="仿宋_GB2312" w:cs="Times New Roman"/>
          <w:kern w:val="2"/>
          <w:lang w:val="en-US"/>
        </w:rPr>
        <w:t>区</w:t>
      </w:r>
      <w:r>
        <w:rPr>
          <w:rFonts w:hint="default" w:ascii="Times New Roman" w:hAnsi="Times New Roman" w:eastAsia="仿宋_GB2312" w:cs="Times New Roman"/>
          <w:kern w:val="2"/>
        </w:rPr>
        <w:t>健康服务业增加值占全</w:t>
      </w:r>
      <w:r>
        <w:rPr>
          <w:rFonts w:hint="default" w:ascii="Times New Roman" w:hAnsi="Times New Roman" w:eastAsia="仿宋_GB2312" w:cs="Times New Roman"/>
          <w:kern w:val="2"/>
          <w:lang w:val="en-US"/>
        </w:rPr>
        <w:t>区</w:t>
      </w:r>
      <w:r>
        <w:rPr>
          <w:rFonts w:hint="default" w:ascii="Times New Roman" w:hAnsi="Times New Roman" w:eastAsia="仿宋_GB2312" w:cs="Times New Roman"/>
          <w:kern w:val="2"/>
        </w:rPr>
        <w:t>生产总值比重达到7%左右。</w:t>
      </w:r>
      <w:r>
        <w:rPr>
          <w:rFonts w:hint="default" w:ascii="Times New Roman" w:hAnsi="Times New Roman" w:eastAsia="仿宋_GB2312" w:cs="Times New Roman"/>
        </w:rPr>
        <w:t>（</w:t>
      </w:r>
      <w:r>
        <w:rPr>
          <w:rFonts w:hint="default" w:ascii="Times New Roman" w:hAnsi="Times New Roman" w:eastAsia="仿宋_GB2312" w:cs="Times New Roman"/>
        </w:rPr>
        <w:t>责任单位</w:t>
      </w:r>
      <w:r>
        <w:rPr>
          <w:rFonts w:hint="default" w:ascii="Times New Roman" w:hAnsi="Times New Roman" w:eastAsia="仿宋_GB2312" w:cs="Times New Roman"/>
        </w:rPr>
        <w:t>：区卫生健康局、区科工信局、区财政局）</w:t>
      </w:r>
    </w:p>
    <w:p>
      <w:pPr>
        <w:pStyle w:val="12"/>
        <w:numPr>
          <w:ilvl w:val="0"/>
          <w:numId w:val="1"/>
        </w:numPr>
        <w:ind w:firstLine="643" w:firstLineChars="200"/>
        <w:jc w:val="left"/>
        <w:rPr>
          <w:rFonts w:hint="default" w:ascii="Times New Roman" w:hAnsi="Times New Roman" w:eastAsia="仿宋_GB2312" w:cs="Times New Roman"/>
        </w:rPr>
      </w:pPr>
      <w:bookmarkStart w:id="71" w:name="_Toc25429"/>
      <w:bookmarkStart w:id="72" w:name="_Toc13249"/>
      <w:r>
        <w:rPr>
          <w:rFonts w:hint="default" w:ascii="Times New Roman" w:hAnsi="Times New Roman" w:eastAsia="仿宋_GB2312" w:cs="Times New Roman"/>
        </w:rPr>
        <w:t>组织实施</w:t>
      </w:r>
      <w:bookmarkEnd w:id="71"/>
      <w:bookmarkEnd w:id="72"/>
    </w:p>
    <w:p>
      <w:pPr>
        <w:pStyle w:val="3"/>
        <w:numPr>
          <w:ilvl w:val="0"/>
          <w:numId w:val="22"/>
        </w:numPr>
        <w:spacing w:line="240" w:lineRule="auto"/>
        <w:ind w:firstLine="643" w:firstLineChars="200"/>
        <w:rPr>
          <w:rFonts w:hint="default" w:ascii="Times New Roman" w:hAnsi="Times New Roman" w:eastAsia="仿宋_GB2312" w:cs="Times New Roman"/>
        </w:rPr>
      </w:pPr>
      <w:bookmarkStart w:id="73" w:name="_Toc22827"/>
      <w:bookmarkStart w:id="74" w:name="_Toc16948"/>
      <w:r>
        <w:rPr>
          <w:rFonts w:hint="default" w:ascii="Times New Roman" w:hAnsi="Times New Roman" w:eastAsia="仿宋_GB2312" w:cs="Times New Roman"/>
        </w:rPr>
        <w:t>加强组织领导</w:t>
      </w:r>
      <w:bookmarkEnd w:id="73"/>
      <w:bookmarkEnd w:id="74"/>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lang w:val="en-US"/>
        </w:rPr>
        <w:t>在</w:t>
      </w:r>
      <w:r>
        <w:rPr>
          <w:rFonts w:hint="default" w:ascii="Times New Roman" w:hAnsi="Times New Roman" w:eastAsia="仿宋_GB2312" w:cs="Times New Roman"/>
        </w:rPr>
        <w:t>区委、区政府</w:t>
      </w:r>
      <w:r>
        <w:rPr>
          <w:rFonts w:hint="default" w:ascii="Times New Roman" w:hAnsi="Times New Roman" w:eastAsia="仿宋_GB2312" w:cs="Times New Roman"/>
          <w:lang w:val="en-US"/>
        </w:rPr>
        <w:t>的领导下统筹推进健康天河行动，</w:t>
      </w:r>
      <w:r>
        <w:rPr>
          <w:rFonts w:hint="default" w:ascii="Times New Roman" w:hAnsi="Times New Roman" w:eastAsia="仿宋_GB2312" w:cs="Times New Roman"/>
        </w:rPr>
        <w:t>协调相关部门、社会和个人共同参与。</w:t>
      </w:r>
      <w:r>
        <w:rPr>
          <w:rFonts w:hint="default" w:ascii="Times New Roman" w:hAnsi="Times New Roman" w:eastAsia="仿宋_GB2312" w:cs="Times New Roman"/>
          <w:lang w:val="en-US"/>
        </w:rPr>
        <w:t>各级政府及区级各</w:t>
      </w:r>
      <w:r>
        <w:rPr>
          <w:rFonts w:hint="default" w:ascii="Times New Roman" w:hAnsi="Times New Roman" w:eastAsia="仿宋_GB2312" w:cs="Times New Roman"/>
        </w:rPr>
        <w:t>部门要围绕健康</w:t>
      </w:r>
      <w:r>
        <w:rPr>
          <w:rFonts w:hint="default" w:ascii="Times New Roman" w:hAnsi="Times New Roman" w:eastAsia="仿宋_GB2312" w:cs="Times New Roman"/>
          <w:lang w:val="en-US"/>
        </w:rPr>
        <w:t>天河</w:t>
      </w:r>
      <w:r>
        <w:rPr>
          <w:rFonts w:hint="default" w:ascii="Times New Roman" w:hAnsi="Times New Roman" w:eastAsia="仿宋_GB2312" w:cs="Times New Roman"/>
        </w:rPr>
        <w:t>行动，通力合作、各司其职，制定具体实施方案，分阶段、分步骤有序推进，将健康天河建设纳入重要议事日程。建立健全党委统一领导、党政齐抓共管的工作格局。</w:t>
      </w:r>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牢固树立“大卫生”理念</w:t>
      </w:r>
      <w:r>
        <w:rPr>
          <w:rFonts w:hint="default" w:ascii="Times New Roman" w:hAnsi="Times New Roman" w:eastAsia="仿宋_GB2312" w:cs="Times New Roman"/>
        </w:rPr>
        <w:t>，</w:t>
      </w:r>
      <w:r>
        <w:rPr>
          <w:rFonts w:hint="default" w:ascii="Times New Roman" w:hAnsi="Times New Roman" w:eastAsia="仿宋_GB2312" w:cs="Times New Roman"/>
        </w:rPr>
        <w:t>逐步形成融入全局、贯穿全程、动员全民的卫生与健康工作新格局。建立完善健康天河建设推进协调机制</w:t>
      </w:r>
      <w:r>
        <w:rPr>
          <w:rFonts w:hint="default" w:ascii="Times New Roman" w:hAnsi="Times New Roman" w:eastAsia="仿宋_GB2312" w:cs="Times New Roman"/>
        </w:rPr>
        <w:t>，</w:t>
      </w:r>
      <w:r>
        <w:rPr>
          <w:rFonts w:hint="default" w:ascii="Times New Roman" w:hAnsi="Times New Roman" w:eastAsia="仿宋_GB2312" w:cs="Times New Roman"/>
        </w:rPr>
        <w:t>统筹协调推进健康天河建设工作</w:t>
      </w:r>
      <w:r>
        <w:rPr>
          <w:rFonts w:hint="default" w:ascii="Times New Roman" w:hAnsi="Times New Roman" w:eastAsia="仿宋_GB2312" w:cs="Times New Roman"/>
        </w:rPr>
        <w:t>，</w:t>
      </w:r>
      <w:r>
        <w:rPr>
          <w:rFonts w:hint="default" w:ascii="Times New Roman" w:hAnsi="Times New Roman" w:eastAsia="仿宋_GB2312" w:cs="Times New Roman"/>
        </w:rPr>
        <w:t>审议重大决策、重大问题、重要工作、重大项目和重大工程</w:t>
      </w:r>
      <w:r>
        <w:rPr>
          <w:rFonts w:hint="default" w:ascii="Times New Roman" w:hAnsi="Times New Roman" w:eastAsia="仿宋_GB2312" w:cs="Times New Roman"/>
        </w:rPr>
        <w:t>，</w:t>
      </w:r>
      <w:r>
        <w:rPr>
          <w:rFonts w:hint="default" w:ascii="Times New Roman" w:hAnsi="Times New Roman" w:eastAsia="仿宋_GB2312" w:cs="Times New Roman"/>
        </w:rPr>
        <w:t>指导相关部门开展工作。卫生健康、发展改革、财政、人力资源和社会保障、文化体育和旅游、经济科技和信息化、教育、公安、民政、生态环境、规划和自然资源、住房和城乡建设、应急管理、农业农村、商务和投资促进、市场监管等部门等单位根据职能</w:t>
      </w:r>
      <w:r>
        <w:rPr>
          <w:rFonts w:hint="default" w:ascii="Times New Roman" w:hAnsi="Times New Roman" w:eastAsia="仿宋_GB2312" w:cs="Times New Roman"/>
        </w:rPr>
        <w:t>，</w:t>
      </w:r>
      <w:r>
        <w:rPr>
          <w:rFonts w:hint="default" w:ascii="Times New Roman" w:hAnsi="Times New Roman" w:eastAsia="仿宋_GB2312" w:cs="Times New Roman"/>
        </w:rPr>
        <w:t>落实健康天河建设责任。</w:t>
      </w:r>
    </w:p>
    <w:p>
      <w:pPr>
        <w:pStyle w:val="5"/>
        <w:spacing w:before="1"/>
        <w:ind w:right="99" w:firstLine="645"/>
        <w:jc w:val="both"/>
        <w:rPr>
          <w:rFonts w:hint="default" w:ascii="Times New Roman" w:hAnsi="Times New Roman" w:eastAsia="仿宋_GB2312" w:cs="Times New Roman"/>
        </w:rPr>
      </w:pPr>
      <w:r>
        <w:rPr>
          <w:rFonts w:hint="default" w:ascii="Times New Roman" w:hAnsi="Times New Roman" w:eastAsia="仿宋_GB2312" w:cs="Times New Roman"/>
        </w:rPr>
        <w:t>凝聚全社会力量，形成健康促进的强大合力。动员个人和家庭积极参与健康</w:t>
      </w:r>
      <w:r>
        <w:rPr>
          <w:rFonts w:hint="default" w:ascii="Times New Roman" w:hAnsi="Times New Roman" w:eastAsia="仿宋_GB2312" w:cs="Times New Roman"/>
          <w:lang w:val="en-US"/>
        </w:rPr>
        <w:t>天河</w:t>
      </w:r>
      <w:r>
        <w:rPr>
          <w:rFonts w:hint="default" w:ascii="Times New Roman" w:hAnsi="Times New Roman" w:eastAsia="仿宋_GB2312" w:cs="Times New Roman"/>
        </w:rPr>
        <w:t>行动，提升个人健康责任意识，养成健康的生活方式。各单位特别是学校、企业、居（村）委等要充分挖掘和利用自身资源，积极开展健康细胞工程建设，营造健康支持性环境。发挥工会、共青团、妇联等群团组织及其他社会组织作用</w:t>
      </w:r>
      <w:r>
        <w:rPr>
          <w:rFonts w:hint="default" w:ascii="Times New Roman" w:hAnsi="Times New Roman" w:eastAsia="仿宋_GB2312" w:cs="Times New Roman"/>
        </w:rPr>
        <w:t>，</w:t>
      </w:r>
      <w:r>
        <w:rPr>
          <w:rFonts w:hint="default" w:ascii="Times New Roman" w:hAnsi="Times New Roman" w:eastAsia="仿宋_GB2312" w:cs="Times New Roman"/>
        </w:rPr>
        <w:t>发挥民主党派、工商联和无党派人士作用</w:t>
      </w:r>
      <w:r>
        <w:rPr>
          <w:rFonts w:hint="default" w:ascii="Times New Roman" w:hAnsi="Times New Roman" w:eastAsia="仿宋_GB2312" w:cs="Times New Roman"/>
        </w:rPr>
        <w:t>，</w:t>
      </w:r>
      <w:r>
        <w:rPr>
          <w:rFonts w:hint="default" w:ascii="Times New Roman" w:hAnsi="Times New Roman" w:eastAsia="仿宋_GB2312" w:cs="Times New Roman"/>
        </w:rPr>
        <w:t>最大限度凝聚全社会共识和力量</w:t>
      </w:r>
      <w:r>
        <w:rPr>
          <w:rFonts w:hint="default" w:ascii="Times New Roman" w:hAnsi="Times New Roman" w:eastAsia="仿宋_GB2312" w:cs="Times New Roman"/>
        </w:rPr>
        <w:t>，</w:t>
      </w:r>
      <w:r>
        <w:rPr>
          <w:rFonts w:hint="default" w:ascii="Times New Roman" w:hAnsi="Times New Roman" w:eastAsia="仿宋_GB2312" w:cs="Times New Roman"/>
        </w:rPr>
        <w:t>共同推进健康天河建设。</w:t>
      </w:r>
    </w:p>
    <w:p>
      <w:pPr>
        <w:pStyle w:val="3"/>
        <w:numPr>
          <w:ilvl w:val="0"/>
          <w:numId w:val="22"/>
        </w:numPr>
        <w:spacing w:line="240" w:lineRule="auto"/>
        <w:ind w:firstLine="643" w:firstLineChars="200"/>
        <w:rPr>
          <w:rFonts w:hint="default" w:ascii="Times New Roman" w:hAnsi="Times New Roman" w:eastAsia="仿宋_GB2312" w:cs="Times New Roman"/>
        </w:rPr>
      </w:pPr>
      <w:bookmarkStart w:id="75" w:name="_Toc23465"/>
      <w:bookmarkStart w:id="76" w:name="_Toc28771"/>
      <w:r>
        <w:rPr>
          <w:rFonts w:hint="default" w:ascii="Times New Roman" w:hAnsi="Times New Roman" w:eastAsia="仿宋_GB2312" w:cs="Times New Roman"/>
        </w:rPr>
        <w:t>营造良好氛围</w:t>
      </w:r>
      <w:bookmarkEnd w:id="75"/>
      <w:bookmarkEnd w:id="76"/>
    </w:p>
    <w:p>
      <w:pPr>
        <w:pStyle w:val="5"/>
        <w:spacing w:before="1"/>
        <w:ind w:left="0" w:right="99" w:firstLine="645"/>
        <w:jc w:val="both"/>
        <w:rPr>
          <w:rFonts w:hint="default" w:ascii="Times New Roman" w:hAnsi="Times New Roman" w:eastAsia="仿宋" w:cs="Times New Roman"/>
        </w:rPr>
      </w:pPr>
      <w:r>
        <w:rPr>
          <w:rFonts w:hint="default" w:ascii="Times New Roman" w:hAnsi="Times New Roman" w:eastAsia="仿宋_GB2312" w:cs="Times New Roman"/>
        </w:rPr>
        <w:t>大力宣传党和国家关于维护和增进全民健康的重大战略思想和方针政策，宣传推进健康天河建设的重大意义、总体战略、目标任务和重大举措。加大正面宣传和典型引导、舆论监督，增强各界对健康天河建设的普遍认知，调动全社会参与的主动性、积极性，着力培育弘扬健康文化、人人关注健康的社会环境，促进增强科学健康观念和转变健康管理意识，营造全社会关心、支持健康天河建设的良好社会氛围，有效引导群众了解和掌握必备健康知识，推动个人践行健康生活方式，牢固树立 “每个人是自己健康第一责任人”理念。充分发挥医疗卫生机构和医务人员在行动实施中的重要作用，完善培养培训、服务标准、绩效考核等制度，鼓励引导广大医务人员践行</w:t>
      </w:r>
      <w:r>
        <w:rPr>
          <w:rFonts w:hint="default" w:ascii="Times New Roman" w:hAnsi="Times New Roman" w:eastAsia="仿宋_GB2312" w:cs="Times New Roman"/>
        </w:rPr>
        <w:t>“</w:t>
      </w:r>
      <w:r>
        <w:rPr>
          <w:rFonts w:hint="default" w:ascii="Times New Roman" w:hAnsi="Times New Roman" w:eastAsia="仿宋_GB2312" w:cs="Times New Roman"/>
        </w:rPr>
        <w:t>大卫生、大健康</w:t>
      </w:r>
      <w:r>
        <w:rPr>
          <w:rFonts w:hint="default" w:ascii="Times New Roman" w:hAnsi="Times New Roman" w:eastAsia="仿宋_GB2312" w:cs="Times New Roman"/>
        </w:rPr>
        <w:t>”</w:t>
      </w:r>
      <w:r>
        <w:rPr>
          <w:rFonts w:hint="default" w:ascii="Times New Roman" w:hAnsi="Times New Roman" w:eastAsia="仿宋_GB2312" w:cs="Times New Roman"/>
        </w:rPr>
        <w:t>理念，做好健康促进与教育工作。</w:t>
      </w:r>
    </w:p>
    <w:p>
      <w:pPr>
        <w:pStyle w:val="3"/>
        <w:numPr>
          <w:ilvl w:val="0"/>
          <w:numId w:val="22"/>
        </w:numPr>
        <w:spacing w:line="240" w:lineRule="auto"/>
        <w:ind w:firstLine="643" w:firstLineChars="200"/>
        <w:rPr>
          <w:rFonts w:hint="default" w:ascii="Times New Roman" w:hAnsi="Times New Roman" w:eastAsia="仿宋_GB2312" w:cs="Times New Roman"/>
        </w:rPr>
      </w:pPr>
      <w:bookmarkStart w:id="77" w:name="_Toc15711"/>
      <w:bookmarkStart w:id="78" w:name="_Toc4207"/>
      <w:r>
        <w:rPr>
          <w:rFonts w:hint="default" w:ascii="Times New Roman" w:hAnsi="Times New Roman" w:eastAsia="仿宋_GB2312" w:cs="Times New Roman"/>
        </w:rPr>
        <w:t>实施监测评价</w:t>
      </w:r>
      <w:bookmarkEnd w:id="77"/>
      <w:bookmarkEnd w:id="78"/>
    </w:p>
    <w:p>
      <w:pPr>
        <w:ind w:firstLine="555"/>
        <w:jc w:val="both"/>
        <w:rPr>
          <w:rFonts w:hint="default" w:ascii="Times New Roman" w:hAnsi="Times New Roman" w:eastAsia="仿宋_GB2312" w:cs="Times New Roman"/>
          <w:sz w:val="32"/>
          <w:szCs w:val="32"/>
        </w:rPr>
        <w:sectPr>
          <w:headerReference r:id="rId3" w:type="default"/>
          <w:footerReference r:id="rId4" w:type="default"/>
          <w:pgSz w:w="11906" w:h="16838"/>
          <w:pgMar w:top="1440" w:right="1474" w:bottom="1440" w:left="1474" w:header="851" w:footer="992" w:gutter="0"/>
          <w:cols w:space="425" w:num="1"/>
          <w:docGrid w:type="lines" w:linePitch="312" w:charSpace="0"/>
        </w:sectPr>
      </w:pPr>
      <w:r>
        <w:rPr>
          <w:rFonts w:hint="default" w:ascii="Times New Roman" w:hAnsi="Times New Roman" w:eastAsia="仿宋_GB2312" w:cs="Times New Roman"/>
          <w:sz w:val="32"/>
          <w:szCs w:val="32"/>
        </w:rPr>
        <w:t>各有关部门要结合实际研究制定相关配套政策和措施。明确各个阶段所要实施的重大工程、重大项目和重大决策。开展监测评估和考核评价，创新考核办法，推动将主要健康指标纳入党委和政府重要考核指标，考核结果作为各级各部门领导干部考核评价、任用的重要参考。建立通报制度，制定监测评估工作方案，加强信息沟通和相关数据的统计、报送，对主要倡导性指标和预期性指标、重点任务的实施进度和效果进行年度监测评估，形成监测评估报告并通报各有关部门和各区。建立考核问责机制，对各</w:t>
      </w:r>
      <w:r>
        <w:rPr>
          <w:rFonts w:hint="default" w:ascii="Times New Roman" w:hAnsi="Times New Roman" w:eastAsia="仿宋_GB2312" w:cs="Times New Roman"/>
          <w:sz w:val="32"/>
          <w:szCs w:val="32"/>
          <w:lang w:val="en-US"/>
        </w:rPr>
        <w:t>级政府</w:t>
      </w:r>
      <w:r>
        <w:rPr>
          <w:rFonts w:hint="default" w:ascii="Times New Roman" w:hAnsi="Times New Roman" w:eastAsia="仿宋_GB2312" w:cs="Times New Roman"/>
          <w:sz w:val="32"/>
          <w:szCs w:val="32"/>
        </w:rPr>
        <w:t>、各部门、各单位等的落实情况进行考核评价，把考评结果作为对各</w:t>
      </w:r>
      <w:r>
        <w:rPr>
          <w:rFonts w:hint="default" w:ascii="Times New Roman" w:hAnsi="Times New Roman" w:eastAsia="仿宋_GB2312" w:cs="Times New Roman"/>
          <w:sz w:val="32"/>
          <w:szCs w:val="32"/>
          <w:lang w:val="en-US"/>
        </w:rPr>
        <w:t>级政府</w:t>
      </w:r>
      <w:r>
        <w:rPr>
          <w:rFonts w:hint="default" w:ascii="Times New Roman" w:hAnsi="Times New Roman" w:eastAsia="仿宋_GB2312" w:cs="Times New Roman"/>
          <w:sz w:val="32"/>
          <w:szCs w:val="32"/>
        </w:rPr>
        <w:t>、各相关部门绩效考核的重要依据。充分调动社会组织、企业的积极性，发挥行业协（学）会作用，做好专项调查，探索建立第三方考核评价机制。</w:t>
      </w:r>
      <w:r>
        <w:rPr>
          <w:rFonts w:hint="default" w:ascii="Times New Roman" w:hAnsi="Times New Roman" w:eastAsia="仿宋_GB2312" w:cs="Times New Roman"/>
          <w:sz w:val="32"/>
          <w:szCs w:val="32"/>
          <w:lang w:val="en-US"/>
        </w:rPr>
        <w:t>及时</w:t>
      </w:r>
      <w:r>
        <w:rPr>
          <w:rFonts w:hint="default" w:ascii="Times New Roman" w:hAnsi="Times New Roman" w:eastAsia="仿宋_GB2312" w:cs="Times New Roman"/>
          <w:sz w:val="32"/>
          <w:szCs w:val="32"/>
        </w:rPr>
        <w:t>总结推广规划实施中好的做法和有效经验，确保健康天河建设取得实效。</w:t>
      </w:r>
    </w:p>
    <w:p>
      <w:pPr>
        <w:pStyle w:val="12"/>
        <w:jc w:val="left"/>
        <w:rPr>
          <w:rFonts w:hint="default" w:ascii="Times New Roman" w:hAnsi="Times New Roman" w:cs="Times New Roman"/>
        </w:rPr>
      </w:pPr>
      <w:bookmarkStart w:id="79" w:name="_Toc26626"/>
      <w:bookmarkStart w:id="80" w:name="_Toc16395"/>
      <w:r>
        <w:rPr>
          <w:rFonts w:hint="default" w:ascii="Times New Roman" w:hAnsi="Times New Roman" w:cs="Times New Roman"/>
        </w:rPr>
        <w:t>附件</w:t>
      </w:r>
      <w:bookmarkEnd w:id="79"/>
      <w:bookmarkEnd w:id="80"/>
    </w:p>
    <w:p>
      <w:pPr>
        <w:pStyle w:val="3"/>
        <w:jc w:val="center"/>
        <w:rPr>
          <w:rFonts w:hint="default" w:ascii="Times New Roman" w:hAnsi="Times New Roman" w:cs="Times New Roman"/>
        </w:rPr>
      </w:pPr>
      <w:bookmarkStart w:id="81" w:name="_Toc10947"/>
      <w:bookmarkStart w:id="82" w:name="_Toc32607"/>
      <w:r>
        <w:rPr>
          <w:rFonts w:hint="default" w:ascii="Times New Roman" w:hAnsi="Times New Roman" w:cs="Times New Roman"/>
        </w:rPr>
        <w:t>健康天河建设主要指标</w:t>
      </w:r>
      <w:bookmarkEnd w:id="81"/>
      <w:bookmarkEnd w:id="82"/>
    </w:p>
    <w:tbl>
      <w:tblPr>
        <w:tblStyle w:val="13"/>
        <w:tblW w:w="14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4"/>
        <w:gridCol w:w="5754"/>
        <w:gridCol w:w="1175"/>
        <w:gridCol w:w="1275"/>
        <w:gridCol w:w="1512"/>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974" w:type="dxa"/>
            <w:vMerge w:val="restart"/>
            <w:shd w:val="clear" w:color="auto" w:fill="FFFFFF"/>
            <w:tcMar>
              <w:top w:w="15" w:type="dxa"/>
              <w:left w:w="15" w:type="dxa"/>
              <w:bottom w:w="15" w:type="dxa"/>
              <w:right w:w="15" w:type="dxa"/>
            </w:tcMar>
            <w:vAlign w:val="center"/>
          </w:tcPr>
          <w:p>
            <w:pPr>
              <w:widowControl/>
              <w:adjustRightInd w:val="0"/>
              <w:snapToGrid w:val="0"/>
              <w:spacing w:line="300" w:lineRule="auto"/>
              <w:jc w:val="center"/>
              <w:rPr>
                <w:rFonts w:hint="default" w:ascii="Times New Roman" w:hAnsi="Times New Roman" w:cs="Times New Roman"/>
                <w:b/>
                <w:bCs/>
                <w:szCs w:val="21"/>
              </w:rPr>
            </w:pPr>
            <w:r>
              <w:rPr>
                <w:rFonts w:hint="default" w:ascii="Times New Roman" w:hAnsi="Times New Roman" w:cs="Times New Roman"/>
                <w:b/>
                <w:bCs/>
                <w:szCs w:val="21"/>
              </w:rPr>
              <w:t>领域</w:t>
            </w:r>
          </w:p>
        </w:tc>
        <w:tc>
          <w:tcPr>
            <w:tcW w:w="5754" w:type="dxa"/>
            <w:vMerge w:val="restart"/>
            <w:shd w:val="clear" w:color="auto" w:fill="FFFFFF"/>
            <w:tcMar>
              <w:top w:w="15" w:type="dxa"/>
              <w:left w:w="15" w:type="dxa"/>
              <w:bottom w:w="15" w:type="dxa"/>
              <w:right w:w="15" w:type="dxa"/>
            </w:tcMar>
            <w:vAlign w:val="center"/>
          </w:tcPr>
          <w:p>
            <w:pPr>
              <w:widowControl/>
              <w:adjustRightInd w:val="0"/>
              <w:snapToGrid w:val="0"/>
              <w:spacing w:line="300" w:lineRule="auto"/>
              <w:jc w:val="center"/>
              <w:rPr>
                <w:rFonts w:hint="default" w:ascii="Times New Roman" w:hAnsi="Times New Roman" w:cs="Times New Roman"/>
                <w:b/>
                <w:bCs/>
                <w:szCs w:val="21"/>
              </w:rPr>
            </w:pPr>
            <w:r>
              <w:rPr>
                <w:rFonts w:hint="default" w:ascii="Times New Roman" w:hAnsi="Times New Roman" w:cs="Times New Roman"/>
                <w:b/>
                <w:bCs/>
                <w:szCs w:val="21"/>
              </w:rPr>
              <w:t>指  标</w:t>
            </w:r>
          </w:p>
        </w:tc>
        <w:tc>
          <w:tcPr>
            <w:tcW w:w="1175" w:type="dxa"/>
            <w:shd w:val="clear" w:color="auto" w:fill="FFFFFF"/>
            <w:tcMar>
              <w:top w:w="15" w:type="dxa"/>
              <w:left w:w="15" w:type="dxa"/>
              <w:bottom w:w="15" w:type="dxa"/>
              <w:right w:w="15" w:type="dxa"/>
            </w:tcMar>
            <w:vAlign w:val="center"/>
          </w:tcPr>
          <w:p>
            <w:pPr>
              <w:widowControl/>
              <w:adjustRightInd w:val="0"/>
              <w:snapToGrid w:val="0"/>
              <w:spacing w:line="300" w:lineRule="auto"/>
              <w:jc w:val="center"/>
              <w:rPr>
                <w:rFonts w:hint="default" w:ascii="Times New Roman" w:hAnsi="Times New Roman" w:eastAsia="仿宋_GB2312" w:cs="Times New Roman"/>
                <w:b/>
                <w:bCs/>
                <w:szCs w:val="21"/>
                <w:lang w:val="en-US"/>
              </w:rPr>
            </w:pPr>
            <w:r>
              <w:rPr>
                <w:rFonts w:hint="default" w:ascii="Times New Roman" w:hAnsi="Times New Roman" w:eastAsia="仿宋_GB2312" w:cs="Times New Roman"/>
                <w:b/>
                <w:bCs/>
                <w:szCs w:val="21"/>
                <w:lang w:val="en-US"/>
              </w:rPr>
              <w:t>2020年</w:t>
            </w:r>
          </w:p>
        </w:tc>
        <w:tc>
          <w:tcPr>
            <w:tcW w:w="1275" w:type="dxa"/>
            <w:shd w:val="clear" w:color="auto" w:fill="FFFFFF"/>
            <w:tcMar>
              <w:top w:w="15" w:type="dxa"/>
              <w:left w:w="15" w:type="dxa"/>
              <w:bottom w:w="15" w:type="dxa"/>
              <w:right w:w="15" w:type="dxa"/>
            </w:tcMar>
            <w:vAlign w:val="center"/>
          </w:tcPr>
          <w:p>
            <w:pPr>
              <w:widowControl/>
              <w:adjustRightInd w:val="0"/>
              <w:snapToGrid w:val="0"/>
              <w:spacing w:line="300" w:lineRule="auto"/>
              <w:jc w:val="center"/>
              <w:rPr>
                <w:rFonts w:hint="default" w:ascii="Times New Roman" w:hAnsi="Times New Roman" w:cs="Times New Roman"/>
                <w:b/>
                <w:bCs/>
                <w:szCs w:val="21"/>
              </w:rPr>
            </w:pPr>
            <w:r>
              <w:rPr>
                <w:rFonts w:hint="default" w:ascii="Times New Roman" w:hAnsi="Times New Roman" w:cs="Times New Roman"/>
                <w:b/>
                <w:bCs/>
                <w:szCs w:val="21"/>
              </w:rPr>
              <w:t>202</w:t>
            </w:r>
            <w:r>
              <w:rPr>
                <w:rFonts w:hint="default" w:ascii="Times New Roman" w:hAnsi="Times New Roman" w:cs="Times New Roman"/>
                <w:b/>
                <w:bCs/>
                <w:szCs w:val="21"/>
                <w:lang w:val="en-US"/>
              </w:rPr>
              <w:t>5</w:t>
            </w:r>
            <w:r>
              <w:rPr>
                <w:rFonts w:hint="default" w:ascii="Times New Roman" w:hAnsi="Times New Roman" w:cs="Times New Roman"/>
                <w:b/>
                <w:bCs/>
                <w:szCs w:val="21"/>
              </w:rPr>
              <w:t>年</w:t>
            </w:r>
          </w:p>
        </w:tc>
        <w:tc>
          <w:tcPr>
            <w:tcW w:w="1512" w:type="dxa"/>
            <w:shd w:val="clear" w:color="auto" w:fill="FFFFFF"/>
            <w:tcMar>
              <w:top w:w="15" w:type="dxa"/>
              <w:left w:w="15" w:type="dxa"/>
              <w:bottom w:w="15" w:type="dxa"/>
              <w:right w:w="15" w:type="dxa"/>
            </w:tcMar>
            <w:vAlign w:val="center"/>
          </w:tcPr>
          <w:p>
            <w:pPr>
              <w:widowControl/>
              <w:adjustRightInd w:val="0"/>
              <w:snapToGrid w:val="0"/>
              <w:spacing w:line="300" w:lineRule="auto"/>
              <w:jc w:val="center"/>
              <w:rPr>
                <w:rFonts w:hint="default" w:ascii="Times New Roman" w:hAnsi="Times New Roman" w:cs="Times New Roman"/>
                <w:b/>
                <w:bCs/>
                <w:szCs w:val="21"/>
              </w:rPr>
            </w:pPr>
            <w:r>
              <w:rPr>
                <w:rFonts w:hint="default" w:ascii="Times New Roman" w:hAnsi="Times New Roman" w:cs="Times New Roman"/>
                <w:b/>
                <w:bCs/>
                <w:szCs w:val="21"/>
              </w:rPr>
              <w:t>2030年</w:t>
            </w:r>
          </w:p>
        </w:tc>
        <w:tc>
          <w:tcPr>
            <w:tcW w:w="2778" w:type="dxa"/>
            <w:tcMar>
              <w:top w:w="15" w:type="dxa"/>
              <w:left w:w="15" w:type="dxa"/>
              <w:bottom w:w="15" w:type="dxa"/>
              <w:right w:w="15" w:type="dxa"/>
            </w:tcMar>
            <w:vAlign w:val="center"/>
          </w:tcPr>
          <w:p>
            <w:pPr>
              <w:widowControl/>
              <w:adjustRightInd w:val="0"/>
              <w:snapToGrid w:val="0"/>
              <w:spacing w:line="300" w:lineRule="auto"/>
              <w:jc w:val="center"/>
              <w:rPr>
                <w:rFonts w:hint="default" w:ascii="Times New Roman" w:hAnsi="Times New Roman" w:cs="Times New Roman"/>
                <w:b/>
                <w:bCs/>
                <w:szCs w:val="21"/>
              </w:rPr>
            </w:pPr>
            <w:r>
              <w:rPr>
                <w:rFonts w:hint="default" w:ascii="Times New Roman" w:hAnsi="Times New Roman" w:cs="Times New Roman"/>
                <w:b/>
                <w:bCs/>
                <w:szCs w:val="21"/>
              </w:rPr>
              <w:t>监测部门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974" w:type="dxa"/>
            <w:vMerge w:val="continue"/>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b/>
                <w:bCs/>
                <w:szCs w:val="21"/>
              </w:rPr>
            </w:pPr>
          </w:p>
        </w:tc>
        <w:tc>
          <w:tcPr>
            <w:tcW w:w="5754" w:type="dxa"/>
            <w:vMerge w:val="continue"/>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b/>
                <w:bCs/>
                <w:szCs w:val="21"/>
              </w:rPr>
            </w:pP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区</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b/>
                <w:bCs/>
                <w:szCs w:val="21"/>
              </w:rPr>
            </w:pPr>
            <w:r>
              <w:rPr>
                <w:rFonts w:hint="default" w:ascii="Times New Roman" w:hAnsi="Times New Roman" w:cs="Times New Roman"/>
                <w:b/>
                <w:bCs/>
                <w:szCs w:val="21"/>
              </w:rPr>
              <w:t>区</w:t>
            </w:r>
          </w:p>
        </w:tc>
        <w:tc>
          <w:tcPr>
            <w:tcW w:w="1512"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b/>
                <w:bCs/>
                <w:szCs w:val="21"/>
              </w:rPr>
            </w:pPr>
            <w:r>
              <w:rPr>
                <w:rFonts w:hint="default" w:ascii="Times New Roman" w:hAnsi="Times New Roman" w:cs="Times New Roman"/>
                <w:b/>
                <w:bCs/>
                <w:szCs w:val="21"/>
              </w:rPr>
              <w:t>区</w:t>
            </w:r>
          </w:p>
        </w:tc>
        <w:tc>
          <w:tcPr>
            <w:tcW w:w="2778" w:type="dxa"/>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b/>
                <w:bCs/>
                <w:szCs w:val="21"/>
                <w:lang w:val="en-US"/>
              </w:rPr>
            </w:pPr>
            <w:r>
              <w:rPr>
                <w:rFonts w:hint="default" w:ascii="Times New Roman" w:hAnsi="Times New Roman" w:cs="Times New Roman"/>
                <w:b/>
                <w:bCs/>
                <w:szCs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974" w:type="dxa"/>
            <w:vMerge w:val="restart"/>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zCs w:val="21"/>
              </w:rPr>
              <w:t>健康水平</w:t>
            </w:r>
          </w:p>
        </w:tc>
        <w:tc>
          <w:tcPr>
            <w:tcW w:w="5754"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zCs w:val="21"/>
              </w:rPr>
              <w:t>人均预期寿命（岁）</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82.7</w:t>
            </w:r>
          </w:p>
        </w:tc>
        <w:tc>
          <w:tcPr>
            <w:tcW w:w="1275"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highlight w:val="yellow"/>
                <w:lang w:val="en-US"/>
              </w:rPr>
            </w:pPr>
            <w:r>
              <w:rPr>
                <w:rFonts w:hint="default" w:ascii="Times New Roman" w:hAnsi="Times New Roman" w:eastAsia="仿宋_GB2312" w:cs="Times New Roman"/>
                <w:szCs w:val="21"/>
              </w:rPr>
              <w:t>&gt;</w:t>
            </w:r>
            <w:r>
              <w:rPr>
                <w:rFonts w:hint="default" w:ascii="Times New Roman" w:hAnsi="Times New Roman" w:eastAsia="仿宋_GB2312" w:cs="Times New Roman"/>
                <w:szCs w:val="21"/>
                <w:lang w:val="en-US"/>
              </w:rPr>
              <w:t>83</w:t>
            </w:r>
          </w:p>
        </w:tc>
        <w:tc>
          <w:tcPr>
            <w:tcW w:w="1512"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保持在高收入国家行列水平</w:t>
            </w:r>
          </w:p>
        </w:tc>
        <w:tc>
          <w:tcPr>
            <w:tcW w:w="2778"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974" w:type="dxa"/>
            <w:vMerge w:val="continue"/>
            <w:vAlign w:val="center"/>
          </w:tcPr>
          <w:p>
            <w:pPr>
              <w:widowControl/>
              <w:jc w:val="center"/>
              <w:rPr>
                <w:rFonts w:hint="default" w:ascii="Times New Roman" w:hAnsi="Times New Roman" w:cs="Times New Roman"/>
                <w:szCs w:val="21"/>
              </w:rPr>
            </w:pPr>
          </w:p>
        </w:tc>
        <w:tc>
          <w:tcPr>
            <w:tcW w:w="5754"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zCs w:val="21"/>
              </w:rPr>
              <w:t>婴儿死亡率（‰）</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1.49</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≤3.0</w:t>
            </w:r>
          </w:p>
        </w:tc>
        <w:tc>
          <w:tcPr>
            <w:tcW w:w="1512"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≤2.8</w:t>
            </w:r>
          </w:p>
        </w:tc>
        <w:tc>
          <w:tcPr>
            <w:tcW w:w="2778"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74" w:type="dxa"/>
            <w:vMerge w:val="continue"/>
            <w:vAlign w:val="center"/>
          </w:tcPr>
          <w:p>
            <w:pPr>
              <w:widowControl/>
              <w:jc w:val="center"/>
              <w:rPr>
                <w:rFonts w:hint="default" w:ascii="Times New Roman" w:hAnsi="Times New Roman" w:cs="Times New Roman"/>
                <w:szCs w:val="21"/>
              </w:rPr>
            </w:pPr>
          </w:p>
        </w:tc>
        <w:tc>
          <w:tcPr>
            <w:tcW w:w="5754"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zCs w:val="21"/>
              </w:rPr>
              <w:t>5岁以下儿童死亡率（‰）</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2.18</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≤4.8</w:t>
            </w:r>
          </w:p>
        </w:tc>
        <w:tc>
          <w:tcPr>
            <w:tcW w:w="1512"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≤4.5</w:t>
            </w:r>
          </w:p>
        </w:tc>
        <w:tc>
          <w:tcPr>
            <w:tcW w:w="2778"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1974" w:type="dxa"/>
            <w:vMerge w:val="continue"/>
            <w:vAlign w:val="center"/>
          </w:tcPr>
          <w:p>
            <w:pPr>
              <w:widowControl/>
              <w:jc w:val="center"/>
              <w:rPr>
                <w:rFonts w:hint="default" w:ascii="Times New Roman" w:hAnsi="Times New Roman" w:cs="Times New Roman"/>
                <w:szCs w:val="21"/>
              </w:rPr>
            </w:pPr>
          </w:p>
        </w:tc>
        <w:tc>
          <w:tcPr>
            <w:tcW w:w="5754"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zCs w:val="21"/>
              </w:rPr>
              <w:t>孕产妇死亡率（1/10万）</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22.96</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≤1</w:t>
            </w:r>
            <w:r>
              <w:rPr>
                <w:rFonts w:hint="default" w:ascii="Times New Roman" w:hAnsi="Times New Roman" w:eastAsia="仿宋_GB2312" w:cs="Times New Roman"/>
                <w:szCs w:val="21"/>
                <w:lang w:val="en-US"/>
              </w:rPr>
              <w:t>2</w:t>
            </w:r>
          </w:p>
        </w:tc>
        <w:tc>
          <w:tcPr>
            <w:tcW w:w="1512"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2778"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974" w:type="dxa"/>
            <w:vMerge w:val="continue"/>
            <w:vAlign w:val="center"/>
          </w:tcPr>
          <w:p>
            <w:pPr>
              <w:widowControl/>
              <w:jc w:val="center"/>
              <w:rPr>
                <w:rFonts w:hint="default" w:ascii="Times New Roman" w:hAnsi="Times New Roman" w:cs="Times New Roman"/>
                <w:szCs w:val="21"/>
              </w:rPr>
            </w:pPr>
          </w:p>
        </w:tc>
        <w:tc>
          <w:tcPr>
            <w:tcW w:w="5754"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pacing w:val="-8"/>
                <w:szCs w:val="21"/>
              </w:rPr>
              <w:t>城乡居民达到《国民体质测定标准》合格以上的人数比例（%）</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95</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≥95</w:t>
            </w:r>
          </w:p>
        </w:tc>
        <w:tc>
          <w:tcPr>
            <w:tcW w:w="1512"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 w:cs="Times New Roman"/>
                <w:szCs w:val="21"/>
              </w:rPr>
              <w:t>≥</w:t>
            </w:r>
            <w:r>
              <w:rPr>
                <w:rFonts w:hint="default" w:ascii="Times New Roman" w:hAnsi="Times New Roman" w:eastAsia="仿宋_GB2312" w:cs="Times New Roman"/>
                <w:szCs w:val="21"/>
              </w:rPr>
              <w:t>96</w:t>
            </w:r>
          </w:p>
        </w:tc>
        <w:tc>
          <w:tcPr>
            <w:tcW w:w="2778"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区文化广电旅游体育局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74" w:type="dxa"/>
            <w:vMerge w:val="restart"/>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szCs w:val="21"/>
              </w:rPr>
            </w:pPr>
            <w:r>
              <w:rPr>
                <w:rFonts w:hint="default" w:ascii="Times New Roman" w:hAnsi="Times New Roman" w:cs="Times New Roman"/>
                <w:szCs w:val="21"/>
              </w:rPr>
              <w:t>健康生活</w:t>
            </w:r>
          </w:p>
        </w:tc>
        <w:tc>
          <w:tcPr>
            <w:tcW w:w="5754"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szCs w:val="21"/>
              </w:rPr>
            </w:pPr>
            <w:r>
              <w:rPr>
                <w:rFonts w:hint="default" w:ascii="Times New Roman" w:hAnsi="Times New Roman" w:cs="Times New Roman"/>
                <w:szCs w:val="21"/>
              </w:rPr>
              <w:t>居民健康素养水平（%）</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35.23</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w:t>
            </w:r>
            <w:r>
              <w:rPr>
                <w:rFonts w:hint="default" w:ascii="Times New Roman" w:hAnsi="Times New Roman" w:eastAsia="仿宋_GB2312" w:cs="Times New Roman"/>
                <w:szCs w:val="21"/>
                <w:lang w:val="en-US"/>
              </w:rPr>
              <w:t>3</w:t>
            </w:r>
            <w:r>
              <w:rPr>
                <w:rFonts w:hint="default" w:ascii="Times New Roman" w:hAnsi="Times New Roman" w:eastAsia="仿宋_GB2312" w:cs="Times New Roman"/>
                <w:szCs w:val="21"/>
                <w:lang w:val="en-US"/>
              </w:rPr>
              <w:t>5</w:t>
            </w:r>
          </w:p>
        </w:tc>
        <w:tc>
          <w:tcPr>
            <w:tcW w:w="1512"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&gt;</w:t>
            </w:r>
            <w:r>
              <w:rPr>
                <w:rFonts w:hint="default" w:ascii="Times New Roman" w:hAnsi="Times New Roman" w:eastAsia="仿宋_GB2312" w:cs="Times New Roman"/>
                <w:szCs w:val="21"/>
                <w:lang w:val="en-US"/>
              </w:rPr>
              <w:t>37</w:t>
            </w:r>
          </w:p>
        </w:tc>
        <w:tc>
          <w:tcPr>
            <w:tcW w:w="2778"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1974" w:type="dxa"/>
            <w:vMerge w:val="continue"/>
            <w:vAlign w:val="center"/>
          </w:tcPr>
          <w:p>
            <w:pPr>
              <w:widowControl/>
              <w:jc w:val="center"/>
              <w:rPr>
                <w:rFonts w:hint="default" w:ascii="Times New Roman" w:hAnsi="Times New Roman" w:cs="Times New Roman"/>
                <w:szCs w:val="21"/>
              </w:rPr>
            </w:pPr>
          </w:p>
        </w:tc>
        <w:tc>
          <w:tcPr>
            <w:tcW w:w="5754"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szCs w:val="21"/>
              </w:rPr>
            </w:pPr>
            <w:r>
              <w:rPr>
                <w:rFonts w:hint="default" w:ascii="Times New Roman" w:hAnsi="Times New Roman" w:cs="Times New Roman"/>
                <w:szCs w:val="21"/>
              </w:rPr>
              <w:t>经常参加体育锻炼人数</w:t>
            </w:r>
            <w:r>
              <w:rPr>
                <w:rFonts w:hint="default" w:ascii="Times New Roman" w:hAnsi="Times New Roman" w:cs="Times New Roman"/>
                <w:szCs w:val="21"/>
              </w:rPr>
              <w:t>比例(</w:t>
            </w:r>
            <w:r>
              <w:rPr>
                <w:rFonts w:hint="default" w:ascii="Times New Roman" w:hAnsi="Times New Roman" w:cs="Times New Roman"/>
                <w:szCs w:val="21"/>
              </w:rPr>
              <w:t>%)</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50</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50</w:t>
            </w:r>
          </w:p>
        </w:tc>
        <w:tc>
          <w:tcPr>
            <w:tcW w:w="1512"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cs="Times New Roman"/>
                <w:szCs w:val="21"/>
              </w:rPr>
            </w:pPr>
            <w:r>
              <w:rPr>
                <w:rFonts w:hint="default" w:ascii="Times New Roman" w:hAnsi="Times New Roman" w:cs="Times New Roman"/>
                <w:szCs w:val="21"/>
              </w:rPr>
              <w:t>持续提升</w:t>
            </w:r>
          </w:p>
        </w:tc>
        <w:tc>
          <w:tcPr>
            <w:tcW w:w="2778"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Cs w:val="21"/>
              </w:rPr>
              <w:t>区文化广电旅游体育局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974" w:type="dxa"/>
            <w:vMerge w:val="restart"/>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zCs w:val="21"/>
              </w:rPr>
              <w:t>健康服务与保障</w:t>
            </w:r>
          </w:p>
        </w:tc>
        <w:tc>
          <w:tcPr>
            <w:tcW w:w="5754" w:type="dxa"/>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zCs w:val="21"/>
              </w:rPr>
              <w:t>重大慢性病过早死亡率（%）</w:t>
            </w:r>
          </w:p>
        </w:tc>
        <w:tc>
          <w:tcPr>
            <w:tcW w:w="1175" w:type="dxa"/>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8.15</w:t>
            </w:r>
          </w:p>
        </w:tc>
        <w:tc>
          <w:tcPr>
            <w:tcW w:w="1275" w:type="dxa"/>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持续下降</w:t>
            </w:r>
          </w:p>
        </w:tc>
        <w:tc>
          <w:tcPr>
            <w:tcW w:w="1512" w:type="dxa"/>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≤10</w:t>
            </w:r>
          </w:p>
        </w:tc>
        <w:tc>
          <w:tcPr>
            <w:tcW w:w="2778" w:type="dxa"/>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1974" w:type="dxa"/>
            <w:vMerge w:val="continue"/>
            <w:vAlign w:val="center"/>
          </w:tcPr>
          <w:p>
            <w:pPr>
              <w:widowControl/>
              <w:jc w:val="center"/>
              <w:rPr>
                <w:rFonts w:hint="default" w:ascii="Times New Roman" w:hAnsi="Times New Roman" w:cs="Times New Roman"/>
                <w:szCs w:val="21"/>
              </w:rPr>
            </w:pPr>
          </w:p>
        </w:tc>
        <w:tc>
          <w:tcPr>
            <w:tcW w:w="5754" w:type="dxa"/>
            <w:shd w:val="clear" w:color="auto" w:fill="FFFFFF"/>
            <w:tcMar>
              <w:top w:w="15" w:type="dxa"/>
              <w:left w:w="15" w:type="dxa"/>
              <w:bottom w:w="15" w:type="dxa"/>
              <w:right w:w="15" w:type="dxa"/>
            </w:tcMar>
            <w:vAlign w:val="center"/>
          </w:tcPr>
          <w:p>
            <w:pPr>
              <w:widowControl/>
              <w:spacing w:line="96" w:lineRule="atLeast"/>
              <w:jc w:val="center"/>
              <w:rPr>
                <w:rFonts w:hint="default" w:ascii="Times New Roman" w:hAnsi="Times New Roman" w:cs="Times New Roman"/>
                <w:szCs w:val="21"/>
              </w:rPr>
            </w:pPr>
            <w:r>
              <w:rPr>
                <w:rFonts w:hint="default" w:ascii="Times New Roman" w:hAnsi="Times New Roman" w:cs="Times New Roman"/>
                <w:szCs w:val="21"/>
              </w:rPr>
              <w:t>每万常住人口全科医师数（人）</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1.92</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4</w:t>
            </w:r>
          </w:p>
        </w:tc>
        <w:tc>
          <w:tcPr>
            <w:tcW w:w="1512"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≥4</w:t>
            </w:r>
          </w:p>
        </w:tc>
        <w:tc>
          <w:tcPr>
            <w:tcW w:w="2778" w:type="dxa"/>
            <w:shd w:val="clear" w:color="auto" w:fill="FFFFFF"/>
            <w:tcMar>
              <w:top w:w="15" w:type="dxa"/>
              <w:left w:w="15" w:type="dxa"/>
              <w:bottom w:w="15" w:type="dxa"/>
              <w:right w:w="15" w:type="dxa"/>
            </w:tcMar>
            <w:vAlign w:val="center"/>
          </w:tcPr>
          <w:p>
            <w:pPr>
              <w:widowControl/>
              <w:spacing w:line="96"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74" w:type="dxa"/>
            <w:vMerge w:val="restart"/>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zCs w:val="21"/>
              </w:rPr>
              <w:t>健康环境</w:t>
            </w:r>
          </w:p>
        </w:tc>
        <w:tc>
          <w:tcPr>
            <w:tcW w:w="5754"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cs="Times New Roman"/>
                <w:szCs w:val="21"/>
              </w:rPr>
            </w:pPr>
            <w:r>
              <w:rPr>
                <w:rFonts w:hint="default" w:ascii="Times New Roman" w:hAnsi="Times New Roman" w:cs="Times New Roman"/>
                <w:szCs w:val="21"/>
              </w:rPr>
              <w:t>空气质量</w:t>
            </w:r>
            <w:r>
              <w:rPr>
                <w:rFonts w:hint="default" w:ascii="Times New Roman" w:hAnsi="Times New Roman" w:cs="Times New Roman"/>
                <w:szCs w:val="21"/>
                <w:lang w:val="en-US"/>
              </w:rPr>
              <w:t>优良</w:t>
            </w:r>
            <w:r>
              <w:rPr>
                <w:rFonts w:hint="default" w:ascii="Times New Roman" w:hAnsi="Times New Roman" w:cs="Times New Roman"/>
                <w:szCs w:val="21"/>
              </w:rPr>
              <w:t>天数比例（%）</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92.3</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w:t>
            </w:r>
          </w:p>
        </w:tc>
        <w:tc>
          <w:tcPr>
            <w:tcW w:w="1512"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&gt;90</w:t>
            </w:r>
          </w:p>
        </w:tc>
        <w:tc>
          <w:tcPr>
            <w:tcW w:w="2778"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974" w:type="dxa"/>
            <w:vMerge w:val="continue"/>
            <w:vAlign w:val="center"/>
          </w:tcPr>
          <w:p>
            <w:pPr>
              <w:widowControl/>
              <w:jc w:val="center"/>
              <w:rPr>
                <w:rFonts w:hint="default" w:ascii="Times New Roman" w:hAnsi="Times New Roman" w:cs="Times New Roman"/>
                <w:szCs w:val="21"/>
              </w:rPr>
            </w:pPr>
          </w:p>
        </w:tc>
        <w:tc>
          <w:tcPr>
            <w:tcW w:w="5754" w:type="dxa"/>
            <w:shd w:val="clear" w:color="auto" w:fill="FFFFFF"/>
            <w:tcMar>
              <w:top w:w="15" w:type="dxa"/>
              <w:left w:w="15" w:type="dxa"/>
              <w:bottom w:w="15" w:type="dxa"/>
              <w:right w:w="15" w:type="dxa"/>
            </w:tcMar>
            <w:vAlign w:val="center"/>
          </w:tcPr>
          <w:p>
            <w:pPr>
              <w:widowControl/>
              <w:adjustRightInd w:val="0"/>
              <w:snapToGrid w:val="0"/>
              <w:spacing w:line="260" w:lineRule="atLeast"/>
              <w:jc w:val="center"/>
              <w:rPr>
                <w:rFonts w:hint="default" w:ascii="Times New Roman" w:hAnsi="Times New Roman" w:cs="Times New Roman"/>
                <w:szCs w:val="21"/>
              </w:rPr>
            </w:pPr>
            <w:r>
              <w:rPr>
                <w:rFonts w:hint="default" w:ascii="Times New Roman" w:hAnsi="Times New Roman" w:cs="Times New Roman"/>
                <w:szCs w:val="21"/>
              </w:rPr>
              <w:t>主要食品品种实物抽检合格率（%）</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rPr>
              <w:t>-</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≥97</w:t>
            </w:r>
          </w:p>
        </w:tc>
        <w:tc>
          <w:tcPr>
            <w:tcW w:w="1512"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≥98</w:t>
            </w:r>
          </w:p>
        </w:tc>
        <w:tc>
          <w:tcPr>
            <w:tcW w:w="2778"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974" w:type="dxa"/>
            <w:vMerge w:val="continue"/>
            <w:vAlign w:val="center"/>
          </w:tcPr>
          <w:p>
            <w:pPr>
              <w:widowControl/>
              <w:jc w:val="center"/>
              <w:rPr>
                <w:rFonts w:hint="default" w:ascii="Times New Roman" w:hAnsi="Times New Roman" w:cs="Times New Roman"/>
                <w:szCs w:val="21"/>
              </w:rPr>
            </w:pPr>
          </w:p>
        </w:tc>
        <w:tc>
          <w:tcPr>
            <w:tcW w:w="5754" w:type="dxa"/>
            <w:shd w:val="clear" w:color="auto" w:fill="FFFFFF"/>
            <w:tcMar>
              <w:top w:w="15" w:type="dxa"/>
              <w:left w:w="15" w:type="dxa"/>
              <w:bottom w:w="15" w:type="dxa"/>
              <w:right w:w="15" w:type="dxa"/>
            </w:tcMar>
            <w:vAlign w:val="center"/>
          </w:tcPr>
          <w:p>
            <w:pPr>
              <w:widowControl/>
              <w:adjustRightInd w:val="0"/>
              <w:snapToGrid w:val="0"/>
              <w:spacing w:line="260" w:lineRule="atLeast"/>
              <w:jc w:val="center"/>
              <w:rPr>
                <w:rFonts w:hint="default" w:ascii="Times New Roman" w:hAnsi="Times New Roman" w:cs="Times New Roman"/>
                <w:szCs w:val="21"/>
              </w:rPr>
            </w:pPr>
            <w:r>
              <w:rPr>
                <w:rFonts w:hint="default" w:ascii="Times New Roman" w:hAnsi="Times New Roman" w:cs="Times New Roman"/>
                <w:szCs w:val="21"/>
              </w:rPr>
              <w:t>药品质量评价性抽检总体合格率（%）</w:t>
            </w:r>
          </w:p>
        </w:tc>
        <w:tc>
          <w:tcPr>
            <w:tcW w:w="11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w:t>
            </w:r>
          </w:p>
        </w:tc>
        <w:tc>
          <w:tcPr>
            <w:tcW w:w="1275"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≥98</w:t>
            </w:r>
          </w:p>
        </w:tc>
        <w:tc>
          <w:tcPr>
            <w:tcW w:w="1512" w:type="dxa"/>
            <w:shd w:val="clear" w:color="auto" w:fill="FFFFFF"/>
            <w:tcMar>
              <w:top w:w="15" w:type="dxa"/>
              <w:left w:w="15" w:type="dxa"/>
              <w:bottom w:w="15" w:type="dxa"/>
              <w:right w:w="15" w:type="dxa"/>
            </w:tcMar>
            <w:vAlign w:val="center"/>
          </w:tcPr>
          <w:p>
            <w:pPr>
              <w:widowControl/>
              <w:spacing w:line="300" w:lineRule="atLeas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rPr>
              <w:t>≥98</w:t>
            </w:r>
          </w:p>
        </w:tc>
        <w:tc>
          <w:tcPr>
            <w:tcW w:w="2778" w:type="dxa"/>
            <w:shd w:val="clear" w:color="auto" w:fill="FFFFFF"/>
            <w:tcMar>
              <w:top w:w="15" w:type="dxa"/>
              <w:left w:w="15" w:type="dxa"/>
              <w:bottom w:w="15" w:type="dxa"/>
              <w:right w:w="15" w:type="dxa"/>
            </w:tcMar>
            <w:vAlign w:val="center"/>
          </w:tcPr>
          <w:p>
            <w:pPr>
              <w:widowControl/>
              <w:spacing w:line="32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tc>
      </w:tr>
    </w:tbl>
    <w:p>
      <w:pPr>
        <w:rPr>
          <w:rFonts w:hint="default" w:ascii="Times New Roman" w:hAnsi="Times New Roman" w:cs="Times New Roman"/>
        </w:rPr>
      </w:pPr>
    </w:p>
    <w:sectPr>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方正楷体_GBK" w:cs="Times New Roman"/>
        <w:sz w:val="20"/>
        <w:szCs w:val="20"/>
      </w:rPr>
      <w:id w:val="-1211653918"/>
    </w:sdtPr>
    <w:sdtEndPr>
      <w:rPr>
        <w:rFonts w:ascii="Times New Roman" w:hAnsi="Times New Roman" w:eastAsia="方正楷体_GBK" w:cs="Times New Roman"/>
        <w:sz w:val="20"/>
        <w:szCs w:val="20"/>
      </w:rPr>
    </w:sdtEndPr>
    <w:sdtContent>
      <w:sdt>
        <w:sdtPr>
          <w:rPr>
            <w:rFonts w:ascii="Times New Roman" w:hAnsi="Times New Roman" w:eastAsia="方正楷体_GBK" w:cs="Times New Roman"/>
            <w:sz w:val="20"/>
            <w:szCs w:val="20"/>
          </w:rPr>
          <w:id w:val="1608850528"/>
        </w:sdtPr>
        <w:sdtEndPr>
          <w:rPr>
            <w:rFonts w:ascii="Times New Roman" w:hAnsi="Times New Roman" w:eastAsia="方正楷体_GBK" w:cs="Times New Roman"/>
            <w:sz w:val="20"/>
            <w:szCs w:val="20"/>
          </w:rPr>
        </w:sdtEndPr>
        <w:sdtContent>
          <w:p>
            <w:pPr>
              <w:pStyle w:val="7"/>
            </w:pPr>
            <w:r>
              <w:rPr>
                <w:rFonts w:ascii="Times New Roman" w:hAnsi="Times New Roman" w:eastAsia="方正楷体_GBK" w:cs="Times New Roman"/>
                <w:b/>
                <w:bCs/>
                <w:sz w:val="28"/>
                <w:szCs w:val="28"/>
              </w:rPr>
              <w:fldChar w:fldCharType="begin"/>
            </w:r>
            <w:r>
              <w:rPr>
                <w:rFonts w:ascii="Times New Roman" w:hAnsi="Times New Roman" w:eastAsia="方正楷体_GBK" w:cs="Times New Roman"/>
                <w:b/>
                <w:bCs/>
                <w:sz w:val="20"/>
                <w:szCs w:val="20"/>
              </w:rPr>
              <w:instrText xml:space="preserve">PAGE</w:instrText>
            </w:r>
            <w:r>
              <w:rPr>
                <w:rFonts w:ascii="Times New Roman" w:hAnsi="Times New Roman" w:eastAsia="方正楷体_GBK" w:cs="Times New Roman"/>
                <w:b/>
                <w:bCs/>
                <w:sz w:val="28"/>
                <w:szCs w:val="28"/>
              </w:rPr>
              <w:fldChar w:fldCharType="separate"/>
            </w:r>
            <w:r>
              <w:rPr>
                <w:rFonts w:ascii="Times New Roman" w:hAnsi="Times New Roman" w:eastAsia="方正楷体_GBK" w:cs="Times New Roman"/>
                <w:b/>
                <w:bCs/>
                <w:sz w:val="20"/>
                <w:szCs w:val="20"/>
              </w:rPr>
              <w:t>46</w:t>
            </w:r>
            <w:r>
              <w:rPr>
                <w:rFonts w:ascii="Times New Roman" w:hAnsi="Times New Roman" w:eastAsia="方正楷体_GBK" w:cs="Times New Roman"/>
                <w:b/>
                <w:bCs/>
                <w:sz w:val="28"/>
                <w:szCs w:val="28"/>
              </w:rPr>
              <w:fldChar w:fldCharType="end"/>
            </w:r>
            <w:r>
              <w:rPr>
                <w:rFonts w:ascii="Times New Roman" w:hAnsi="Times New Roman" w:eastAsia="方正楷体_GBK" w:cs="Times New Roman"/>
                <w:sz w:val="20"/>
                <w:szCs w:val="20"/>
                <w:lang w:val="zh-CN"/>
              </w:rPr>
              <w:t xml:space="preserve"> / </w:t>
            </w:r>
            <w:r>
              <w:rPr>
                <w:rFonts w:ascii="Times New Roman" w:hAnsi="Times New Roman" w:eastAsia="方正楷体_GBK" w:cs="Times New Roman"/>
                <w:b/>
                <w:bCs/>
                <w:sz w:val="28"/>
                <w:szCs w:val="28"/>
              </w:rPr>
              <w:fldChar w:fldCharType="begin"/>
            </w:r>
            <w:r>
              <w:rPr>
                <w:rFonts w:ascii="Times New Roman" w:hAnsi="Times New Roman" w:eastAsia="方正楷体_GBK" w:cs="Times New Roman"/>
                <w:b/>
                <w:bCs/>
                <w:sz w:val="20"/>
                <w:szCs w:val="20"/>
              </w:rPr>
              <w:instrText xml:space="preserve">NUMPAGES</w:instrText>
            </w:r>
            <w:r>
              <w:rPr>
                <w:rFonts w:ascii="Times New Roman" w:hAnsi="Times New Roman" w:eastAsia="方正楷体_GBK" w:cs="Times New Roman"/>
                <w:b/>
                <w:bCs/>
                <w:sz w:val="28"/>
                <w:szCs w:val="28"/>
              </w:rPr>
              <w:fldChar w:fldCharType="separate"/>
            </w:r>
            <w:r>
              <w:rPr>
                <w:rFonts w:ascii="Times New Roman" w:hAnsi="Times New Roman" w:eastAsia="方正楷体_GBK" w:cs="Times New Roman"/>
                <w:b/>
                <w:bCs/>
                <w:sz w:val="20"/>
                <w:szCs w:val="20"/>
              </w:rPr>
              <w:t>48</w:t>
            </w:r>
            <w:r>
              <w:rPr>
                <w:rFonts w:ascii="Times New Roman" w:hAnsi="Times New Roman" w:eastAsia="方正楷体_GBK" w:cs="Times New Roman"/>
                <w:b/>
                <w:bCs/>
                <w:sz w:val="28"/>
                <w:szCs w:val="28"/>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70A4F"/>
    <w:multiLevelType w:val="singleLevel"/>
    <w:tmpl w:val="61970A4F"/>
    <w:lvl w:ilvl="0" w:tentative="0">
      <w:start w:val="1"/>
      <w:numFmt w:val="chineseCounting"/>
      <w:suff w:val="nothing"/>
      <w:lvlText w:val="%1、"/>
      <w:lvlJc w:val="left"/>
      <w:pPr>
        <w:ind w:left="0" w:firstLine="420"/>
      </w:pPr>
      <w:rPr>
        <w:rFonts w:hint="eastAsia"/>
      </w:rPr>
    </w:lvl>
  </w:abstractNum>
  <w:abstractNum w:abstractNumId="1">
    <w:nsid w:val="61970A65"/>
    <w:multiLevelType w:val="singleLevel"/>
    <w:tmpl w:val="61970A65"/>
    <w:lvl w:ilvl="0" w:tentative="0">
      <w:start w:val="1"/>
      <w:numFmt w:val="chineseCounting"/>
      <w:suff w:val="nothing"/>
      <w:lvlText w:val="（%1）"/>
      <w:lvlJc w:val="left"/>
      <w:pPr>
        <w:ind w:left="0" w:firstLine="420"/>
      </w:pPr>
      <w:rPr>
        <w:rFonts w:hint="eastAsia"/>
      </w:rPr>
    </w:lvl>
  </w:abstractNum>
  <w:abstractNum w:abstractNumId="2">
    <w:nsid w:val="61970ACF"/>
    <w:multiLevelType w:val="singleLevel"/>
    <w:tmpl w:val="61970ACF"/>
    <w:lvl w:ilvl="0" w:tentative="0">
      <w:start w:val="1"/>
      <w:numFmt w:val="chineseCounting"/>
      <w:suff w:val="nothing"/>
      <w:lvlText w:val="（%1）"/>
      <w:lvlJc w:val="left"/>
      <w:pPr>
        <w:ind w:left="0" w:firstLine="420"/>
      </w:pPr>
      <w:rPr>
        <w:rFonts w:hint="eastAsia"/>
      </w:rPr>
    </w:lvl>
  </w:abstractNum>
  <w:abstractNum w:abstractNumId="3">
    <w:nsid w:val="61970AE4"/>
    <w:multiLevelType w:val="singleLevel"/>
    <w:tmpl w:val="61970AE4"/>
    <w:lvl w:ilvl="0" w:tentative="0">
      <w:start w:val="1"/>
      <w:numFmt w:val="decimal"/>
      <w:lvlText w:val="%1."/>
      <w:lvlJc w:val="left"/>
      <w:pPr>
        <w:ind w:left="425" w:hanging="425"/>
      </w:pPr>
      <w:rPr>
        <w:rFonts w:hint="default"/>
      </w:rPr>
    </w:lvl>
  </w:abstractNum>
  <w:abstractNum w:abstractNumId="4">
    <w:nsid w:val="61970D03"/>
    <w:multiLevelType w:val="singleLevel"/>
    <w:tmpl w:val="61970D03"/>
    <w:lvl w:ilvl="0" w:tentative="0">
      <w:start w:val="1"/>
      <w:numFmt w:val="decimal"/>
      <w:lvlText w:val="%1."/>
      <w:lvlJc w:val="left"/>
      <w:pPr>
        <w:ind w:left="425" w:hanging="425"/>
      </w:pPr>
      <w:rPr>
        <w:rFonts w:hint="default"/>
      </w:rPr>
    </w:lvl>
  </w:abstractNum>
  <w:abstractNum w:abstractNumId="5">
    <w:nsid w:val="6197115A"/>
    <w:multiLevelType w:val="singleLevel"/>
    <w:tmpl w:val="6197115A"/>
    <w:lvl w:ilvl="0" w:tentative="0">
      <w:start w:val="1"/>
      <w:numFmt w:val="decimal"/>
      <w:lvlText w:val="%1."/>
      <w:lvlJc w:val="left"/>
      <w:pPr>
        <w:ind w:left="425" w:hanging="425"/>
      </w:pPr>
      <w:rPr>
        <w:rFonts w:hint="default"/>
      </w:rPr>
    </w:lvl>
  </w:abstractNum>
  <w:abstractNum w:abstractNumId="6">
    <w:nsid w:val="61971257"/>
    <w:multiLevelType w:val="singleLevel"/>
    <w:tmpl w:val="61971257"/>
    <w:lvl w:ilvl="0" w:tentative="0">
      <w:start w:val="1"/>
      <w:numFmt w:val="decimal"/>
      <w:lvlText w:val="%1."/>
      <w:lvlJc w:val="left"/>
      <w:pPr>
        <w:ind w:left="425" w:hanging="425"/>
      </w:pPr>
      <w:rPr>
        <w:rFonts w:hint="default"/>
      </w:rPr>
    </w:lvl>
  </w:abstractNum>
  <w:abstractNum w:abstractNumId="7">
    <w:nsid w:val="61971396"/>
    <w:multiLevelType w:val="singleLevel"/>
    <w:tmpl w:val="61971396"/>
    <w:lvl w:ilvl="0" w:tentative="0">
      <w:start w:val="1"/>
      <w:numFmt w:val="chineseCounting"/>
      <w:suff w:val="nothing"/>
      <w:lvlText w:val="（%1）"/>
      <w:lvlJc w:val="left"/>
      <w:pPr>
        <w:ind w:left="0" w:firstLine="420"/>
      </w:pPr>
      <w:rPr>
        <w:rFonts w:hint="eastAsia"/>
      </w:rPr>
    </w:lvl>
  </w:abstractNum>
  <w:abstractNum w:abstractNumId="8">
    <w:nsid w:val="619714B5"/>
    <w:multiLevelType w:val="singleLevel"/>
    <w:tmpl w:val="619714B5"/>
    <w:lvl w:ilvl="0" w:tentative="0">
      <w:start w:val="1"/>
      <w:numFmt w:val="decimal"/>
      <w:lvlText w:val="%1."/>
      <w:lvlJc w:val="left"/>
      <w:pPr>
        <w:ind w:left="425" w:hanging="425"/>
      </w:pPr>
      <w:rPr>
        <w:rFonts w:hint="default"/>
      </w:rPr>
    </w:lvl>
  </w:abstractNum>
  <w:abstractNum w:abstractNumId="9">
    <w:nsid w:val="61971543"/>
    <w:multiLevelType w:val="singleLevel"/>
    <w:tmpl w:val="61971543"/>
    <w:lvl w:ilvl="0" w:tentative="0">
      <w:start w:val="1"/>
      <w:numFmt w:val="chineseCounting"/>
      <w:suff w:val="nothing"/>
      <w:lvlText w:val="（%1）"/>
      <w:lvlJc w:val="left"/>
      <w:pPr>
        <w:ind w:left="0" w:firstLine="420"/>
      </w:pPr>
      <w:rPr>
        <w:rFonts w:hint="eastAsia"/>
      </w:rPr>
    </w:lvl>
  </w:abstractNum>
  <w:abstractNum w:abstractNumId="10">
    <w:nsid w:val="619715D1"/>
    <w:multiLevelType w:val="singleLevel"/>
    <w:tmpl w:val="619715D1"/>
    <w:lvl w:ilvl="0" w:tentative="0">
      <w:start w:val="1"/>
      <w:numFmt w:val="decimal"/>
      <w:lvlText w:val="%1."/>
      <w:lvlJc w:val="left"/>
      <w:pPr>
        <w:ind w:left="425" w:hanging="425"/>
      </w:pPr>
      <w:rPr>
        <w:rFonts w:hint="default"/>
      </w:rPr>
    </w:lvl>
  </w:abstractNum>
  <w:abstractNum w:abstractNumId="11">
    <w:nsid w:val="619716EB"/>
    <w:multiLevelType w:val="singleLevel"/>
    <w:tmpl w:val="619716EB"/>
    <w:lvl w:ilvl="0" w:tentative="0">
      <w:start w:val="1"/>
      <w:numFmt w:val="decimal"/>
      <w:lvlText w:val="%1."/>
      <w:lvlJc w:val="left"/>
      <w:pPr>
        <w:ind w:left="425" w:hanging="425"/>
      </w:pPr>
      <w:rPr>
        <w:rFonts w:hint="default"/>
      </w:rPr>
    </w:lvl>
  </w:abstractNum>
  <w:abstractNum w:abstractNumId="12">
    <w:nsid w:val="619718C0"/>
    <w:multiLevelType w:val="singleLevel"/>
    <w:tmpl w:val="619718C0"/>
    <w:lvl w:ilvl="0" w:tentative="0">
      <w:start w:val="1"/>
      <w:numFmt w:val="decimal"/>
      <w:lvlText w:val="%1."/>
      <w:lvlJc w:val="left"/>
      <w:pPr>
        <w:ind w:left="425" w:hanging="425"/>
      </w:pPr>
      <w:rPr>
        <w:rFonts w:hint="default"/>
      </w:rPr>
    </w:lvl>
  </w:abstractNum>
  <w:abstractNum w:abstractNumId="13">
    <w:nsid w:val="619719CD"/>
    <w:multiLevelType w:val="singleLevel"/>
    <w:tmpl w:val="619719CD"/>
    <w:lvl w:ilvl="0" w:tentative="0">
      <w:start w:val="1"/>
      <w:numFmt w:val="decimal"/>
      <w:lvlText w:val="%1."/>
      <w:lvlJc w:val="left"/>
      <w:pPr>
        <w:ind w:left="425" w:hanging="425"/>
      </w:pPr>
      <w:rPr>
        <w:rFonts w:hint="default"/>
      </w:rPr>
    </w:lvl>
  </w:abstractNum>
  <w:abstractNum w:abstractNumId="14">
    <w:nsid w:val="61971A07"/>
    <w:multiLevelType w:val="singleLevel"/>
    <w:tmpl w:val="61971A07"/>
    <w:lvl w:ilvl="0" w:tentative="0">
      <w:start w:val="1"/>
      <w:numFmt w:val="chineseCounting"/>
      <w:suff w:val="nothing"/>
      <w:lvlText w:val="（%1）"/>
      <w:lvlJc w:val="left"/>
      <w:pPr>
        <w:ind w:left="0" w:firstLine="420"/>
      </w:pPr>
      <w:rPr>
        <w:rFonts w:hint="eastAsia"/>
      </w:rPr>
    </w:lvl>
  </w:abstractNum>
  <w:abstractNum w:abstractNumId="15">
    <w:nsid w:val="61971A3F"/>
    <w:multiLevelType w:val="singleLevel"/>
    <w:tmpl w:val="61971A3F"/>
    <w:lvl w:ilvl="0" w:tentative="0">
      <w:start w:val="1"/>
      <w:numFmt w:val="decimal"/>
      <w:lvlText w:val="%1."/>
      <w:lvlJc w:val="left"/>
      <w:pPr>
        <w:ind w:left="425" w:hanging="425"/>
      </w:pPr>
      <w:rPr>
        <w:rFonts w:hint="default"/>
      </w:rPr>
    </w:lvl>
  </w:abstractNum>
  <w:abstractNum w:abstractNumId="16">
    <w:nsid w:val="61971A85"/>
    <w:multiLevelType w:val="singleLevel"/>
    <w:tmpl w:val="61971A85"/>
    <w:lvl w:ilvl="0" w:tentative="0">
      <w:start w:val="1"/>
      <w:numFmt w:val="decimal"/>
      <w:lvlText w:val="%1."/>
      <w:lvlJc w:val="left"/>
      <w:pPr>
        <w:ind w:left="425" w:hanging="425"/>
      </w:pPr>
      <w:rPr>
        <w:rFonts w:hint="default"/>
      </w:rPr>
    </w:lvl>
  </w:abstractNum>
  <w:abstractNum w:abstractNumId="17">
    <w:nsid w:val="61971BEA"/>
    <w:multiLevelType w:val="singleLevel"/>
    <w:tmpl w:val="61971BEA"/>
    <w:lvl w:ilvl="0" w:tentative="0">
      <w:start w:val="1"/>
      <w:numFmt w:val="chineseCounting"/>
      <w:suff w:val="nothing"/>
      <w:lvlText w:val="（%1）"/>
      <w:lvlJc w:val="left"/>
      <w:pPr>
        <w:ind w:left="0" w:firstLine="420"/>
      </w:pPr>
      <w:rPr>
        <w:rFonts w:hint="eastAsia"/>
      </w:rPr>
    </w:lvl>
  </w:abstractNum>
  <w:abstractNum w:abstractNumId="18">
    <w:nsid w:val="61971C43"/>
    <w:multiLevelType w:val="singleLevel"/>
    <w:tmpl w:val="61971C43"/>
    <w:lvl w:ilvl="0" w:tentative="0">
      <w:start w:val="1"/>
      <w:numFmt w:val="decimal"/>
      <w:lvlText w:val="%1."/>
      <w:lvlJc w:val="left"/>
      <w:pPr>
        <w:ind w:left="425" w:hanging="425"/>
      </w:pPr>
      <w:rPr>
        <w:rFonts w:hint="default"/>
      </w:rPr>
    </w:lvl>
  </w:abstractNum>
  <w:abstractNum w:abstractNumId="19">
    <w:nsid w:val="61971CD3"/>
    <w:multiLevelType w:val="singleLevel"/>
    <w:tmpl w:val="61971CD3"/>
    <w:lvl w:ilvl="0" w:tentative="0">
      <w:start w:val="1"/>
      <w:numFmt w:val="decimal"/>
      <w:lvlText w:val="%1."/>
      <w:lvlJc w:val="left"/>
      <w:pPr>
        <w:ind w:left="425" w:hanging="425"/>
      </w:pPr>
      <w:rPr>
        <w:rFonts w:hint="default"/>
      </w:rPr>
    </w:lvl>
  </w:abstractNum>
  <w:abstractNum w:abstractNumId="20">
    <w:nsid w:val="61971D41"/>
    <w:multiLevelType w:val="singleLevel"/>
    <w:tmpl w:val="61971D41"/>
    <w:lvl w:ilvl="0" w:tentative="0">
      <w:start w:val="1"/>
      <w:numFmt w:val="chineseCounting"/>
      <w:suff w:val="nothing"/>
      <w:lvlText w:val="（%1）"/>
      <w:lvlJc w:val="left"/>
      <w:pPr>
        <w:ind w:left="0" w:firstLine="420"/>
      </w:pPr>
      <w:rPr>
        <w:rFonts w:hint="eastAsia"/>
      </w:rPr>
    </w:lvl>
  </w:abstractNum>
  <w:abstractNum w:abstractNumId="21">
    <w:nsid w:val="61971DAC"/>
    <w:multiLevelType w:val="singleLevel"/>
    <w:tmpl w:val="61971DA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0"/>
  </w:num>
  <w:num w:numId="19">
    <w:abstractNumId w:val="17"/>
  </w:num>
  <w:num w:numId="20">
    <w:abstractNumId w:val="1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0D"/>
    <w:rsid w:val="000609B9"/>
    <w:rsid w:val="000C3070"/>
    <w:rsid w:val="000F7EEA"/>
    <w:rsid w:val="00133086"/>
    <w:rsid w:val="002070D0"/>
    <w:rsid w:val="00242377"/>
    <w:rsid w:val="002B5080"/>
    <w:rsid w:val="002E21D0"/>
    <w:rsid w:val="003108C2"/>
    <w:rsid w:val="003A0217"/>
    <w:rsid w:val="003C715E"/>
    <w:rsid w:val="003E330E"/>
    <w:rsid w:val="0040400F"/>
    <w:rsid w:val="004066EE"/>
    <w:rsid w:val="00426439"/>
    <w:rsid w:val="004A27F4"/>
    <w:rsid w:val="00581908"/>
    <w:rsid w:val="00621867"/>
    <w:rsid w:val="00636C84"/>
    <w:rsid w:val="006F1D97"/>
    <w:rsid w:val="0072535F"/>
    <w:rsid w:val="00786488"/>
    <w:rsid w:val="00814C47"/>
    <w:rsid w:val="00854572"/>
    <w:rsid w:val="008F7141"/>
    <w:rsid w:val="009079DB"/>
    <w:rsid w:val="00A2030D"/>
    <w:rsid w:val="00A261D3"/>
    <w:rsid w:val="00A96EF2"/>
    <w:rsid w:val="00B01E0E"/>
    <w:rsid w:val="00B42301"/>
    <w:rsid w:val="00BB5365"/>
    <w:rsid w:val="00BE3139"/>
    <w:rsid w:val="00BE65FF"/>
    <w:rsid w:val="00C020E3"/>
    <w:rsid w:val="00C5309F"/>
    <w:rsid w:val="00C61A04"/>
    <w:rsid w:val="00D20091"/>
    <w:rsid w:val="00D3775B"/>
    <w:rsid w:val="00E170F7"/>
    <w:rsid w:val="00E9618F"/>
    <w:rsid w:val="00EB0669"/>
    <w:rsid w:val="00F50F37"/>
    <w:rsid w:val="00F745C7"/>
    <w:rsid w:val="00F9140C"/>
    <w:rsid w:val="00FC626E"/>
    <w:rsid w:val="017562DE"/>
    <w:rsid w:val="01F72B33"/>
    <w:rsid w:val="029E48C2"/>
    <w:rsid w:val="038151DB"/>
    <w:rsid w:val="04D35D70"/>
    <w:rsid w:val="05A632AE"/>
    <w:rsid w:val="06076887"/>
    <w:rsid w:val="069E68A8"/>
    <w:rsid w:val="06CE3C64"/>
    <w:rsid w:val="070F5418"/>
    <w:rsid w:val="08C8635F"/>
    <w:rsid w:val="0976428E"/>
    <w:rsid w:val="09A8127E"/>
    <w:rsid w:val="09E42546"/>
    <w:rsid w:val="0A003597"/>
    <w:rsid w:val="0B5C79A7"/>
    <w:rsid w:val="0CA52430"/>
    <w:rsid w:val="0DAA45A4"/>
    <w:rsid w:val="0DFF2795"/>
    <w:rsid w:val="0F117209"/>
    <w:rsid w:val="0F455946"/>
    <w:rsid w:val="0F861B80"/>
    <w:rsid w:val="0FF2725D"/>
    <w:rsid w:val="103054E7"/>
    <w:rsid w:val="11BC118D"/>
    <w:rsid w:val="12060AEC"/>
    <w:rsid w:val="12FB3857"/>
    <w:rsid w:val="13DE1A10"/>
    <w:rsid w:val="14EC4DEC"/>
    <w:rsid w:val="14F9605F"/>
    <w:rsid w:val="1597339A"/>
    <w:rsid w:val="15992F54"/>
    <w:rsid w:val="15E32C00"/>
    <w:rsid w:val="15F55E0C"/>
    <w:rsid w:val="16197F1C"/>
    <w:rsid w:val="17DF6196"/>
    <w:rsid w:val="17F37766"/>
    <w:rsid w:val="17F45F30"/>
    <w:rsid w:val="17FD4786"/>
    <w:rsid w:val="19031B4D"/>
    <w:rsid w:val="191C7268"/>
    <w:rsid w:val="198D6731"/>
    <w:rsid w:val="19E33F2B"/>
    <w:rsid w:val="1B4E606A"/>
    <w:rsid w:val="1BD350BB"/>
    <w:rsid w:val="1DA97D94"/>
    <w:rsid w:val="1DD35993"/>
    <w:rsid w:val="21F42890"/>
    <w:rsid w:val="22EC7F63"/>
    <w:rsid w:val="23421BD3"/>
    <w:rsid w:val="23F004B8"/>
    <w:rsid w:val="246444C1"/>
    <w:rsid w:val="258F1E65"/>
    <w:rsid w:val="25EA6D1B"/>
    <w:rsid w:val="27207604"/>
    <w:rsid w:val="298F773E"/>
    <w:rsid w:val="29C11147"/>
    <w:rsid w:val="2A2A2FA5"/>
    <w:rsid w:val="2A647F42"/>
    <w:rsid w:val="2D2D6148"/>
    <w:rsid w:val="2D3662A8"/>
    <w:rsid w:val="2E2E2FB7"/>
    <w:rsid w:val="2E3D7607"/>
    <w:rsid w:val="3326677E"/>
    <w:rsid w:val="3471480C"/>
    <w:rsid w:val="350B5E89"/>
    <w:rsid w:val="35190676"/>
    <w:rsid w:val="352A4636"/>
    <w:rsid w:val="35BD2EC7"/>
    <w:rsid w:val="37224A85"/>
    <w:rsid w:val="37764936"/>
    <w:rsid w:val="37DE21D1"/>
    <w:rsid w:val="38F5295B"/>
    <w:rsid w:val="393D2C62"/>
    <w:rsid w:val="39DE7A6F"/>
    <w:rsid w:val="3A140BED"/>
    <w:rsid w:val="3A3C4EEE"/>
    <w:rsid w:val="3A963911"/>
    <w:rsid w:val="3B6A4869"/>
    <w:rsid w:val="3D8357BD"/>
    <w:rsid w:val="3E466F54"/>
    <w:rsid w:val="3F5D4BE5"/>
    <w:rsid w:val="3F803751"/>
    <w:rsid w:val="40257C7F"/>
    <w:rsid w:val="404A39EF"/>
    <w:rsid w:val="425765DC"/>
    <w:rsid w:val="426068DD"/>
    <w:rsid w:val="426C292E"/>
    <w:rsid w:val="43D575F8"/>
    <w:rsid w:val="44144C92"/>
    <w:rsid w:val="443E4BF7"/>
    <w:rsid w:val="44534214"/>
    <w:rsid w:val="451F12B3"/>
    <w:rsid w:val="46E205ED"/>
    <w:rsid w:val="48652EF0"/>
    <w:rsid w:val="48E3548D"/>
    <w:rsid w:val="491E0F28"/>
    <w:rsid w:val="49466C7E"/>
    <w:rsid w:val="49833C53"/>
    <w:rsid w:val="4C62414A"/>
    <w:rsid w:val="4CC20CC0"/>
    <w:rsid w:val="4CC3205E"/>
    <w:rsid w:val="4CE43F74"/>
    <w:rsid w:val="4CEB7F8C"/>
    <w:rsid w:val="4CF63095"/>
    <w:rsid w:val="4D600D45"/>
    <w:rsid w:val="4F4248E0"/>
    <w:rsid w:val="4FE54082"/>
    <w:rsid w:val="4FEA2D11"/>
    <w:rsid w:val="504F4481"/>
    <w:rsid w:val="50F7133F"/>
    <w:rsid w:val="523D6685"/>
    <w:rsid w:val="529A3B89"/>
    <w:rsid w:val="531734F3"/>
    <w:rsid w:val="540B5A1B"/>
    <w:rsid w:val="54F2744D"/>
    <w:rsid w:val="559874D3"/>
    <w:rsid w:val="55C54944"/>
    <w:rsid w:val="56297DA0"/>
    <w:rsid w:val="57D250E7"/>
    <w:rsid w:val="580B0664"/>
    <w:rsid w:val="5829792F"/>
    <w:rsid w:val="58874657"/>
    <w:rsid w:val="59397866"/>
    <w:rsid w:val="59FC5B6C"/>
    <w:rsid w:val="5A0933A9"/>
    <w:rsid w:val="5A7A3417"/>
    <w:rsid w:val="5C1D127E"/>
    <w:rsid w:val="5CD14FE3"/>
    <w:rsid w:val="5E096BBF"/>
    <w:rsid w:val="5E67703D"/>
    <w:rsid w:val="5EB7096F"/>
    <w:rsid w:val="5F351AA0"/>
    <w:rsid w:val="5F4075A3"/>
    <w:rsid w:val="613776FC"/>
    <w:rsid w:val="61D4375A"/>
    <w:rsid w:val="61EC6BA8"/>
    <w:rsid w:val="6240347D"/>
    <w:rsid w:val="62B43981"/>
    <w:rsid w:val="65A25122"/>
    <w:rsid w:val="665E32A4"/>
    <w:rsid w:val="66D84CE2"/>
    <w:rsid w:val="66D87962"/>
    <w:rsid w:val="675C7CE2"/>
    <w:rsid w:val="690F45C3"/>
    <w:rsid w:val="695A65EA"/>
    <w:rsid w:val="6ADB2981"/>
    <w:rsid w:val="6B5C4F82"/>
    <w:rsid w:val="6BCE1167"/>
    <w:rsid w:val="6BEC074B"/>
    <w:rsid w:val="6CB6592F"/>
    <w:rsid w:val="6CF93565"/>
    <w:rsid w:val="6CFB13C7"/>
    <w:rsid w:val="6DC55176"/>
    <w:rsid w:val="6E3453A6"/>
    <w:rsid w:val="70755139"/>
    <w:rsid w:val="708858DE"/>
    <w:rsid w:val="709F0A90"/>
    <w:rsid w:val="70A40B62"/>
    <w:rsid w:val="70FF4C6B"/>
    <w:rsid w:val="710211C9"/>
    <w:rsid w:val="711B258E"/>
    <w:rsid w:val="71941445"/>
    <w:rsid w:val="727B12D9"/>
    <w:rsid w:val="72B71E7D"/>
    <w:rsid w:val="72F54937"/>
    <w:rsid w:val="74393109"/>
    <w:rsid w:val="761D7C68"/>
    <w:rsid w:val="76EC0CD8"/>
    <w:rsid w:val="7746404F"/>
    <w:rsid w:val="775560B7"/>
    <w:rsid w:val="779F4338"/>
    <w:rsid w:val="783E2118"/>
    <w:rsid w:val="79C64259"/>
    <w:rsid w:val="7B0D3058"/>
    <w:rsid w:val="7B667523"/>
    <w:rsid w:val="7B9F6399"/>
    <w:rsid w:val="7C817AA6"/>
    <w:rsid w:val="7C8303D1"/>
    <w:rsid w:val="7E006C9B"/>
    <w:rsid w:val="7ECD755C"/>
    <w:rsid w:val="7F241094"/>
    <w:rsid w:val="7FF4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082" w:hanging="323"/>
      <w:outlineLvl w:val="0"/>
    </w:pPr>
    <w:rPr>
      <w:rFonts w:ascii="微软雅黑" w:hAnsi="微软雅黑" w:eastAsia="微软雅黑" w:cs="微软雅黑"/>
      <w:b/>
      <w:bCs/>
      <w:sz w:val="32"/>
      <w:szCs w:val="32"/>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autoSpaceDE/>
      <w:autoSpaceDN/>
    </w:pPr>
    <w:rPr>
      <w:rFonts w:asciiTheme="minorHAnsi" w:hAnsiTheme="minorHAnsi" w:eastAsiaTheme="minorEastAsia" w:cstheme="minorBidi"/>
      <w:kern w:val="2"/>
      <w:sz w:val="21"/>
      <w:lang w:val="en-US" w:bidi="ar-SA"/>
    </w:rPr>
  </w:style>
  <w:style w:type="paragraph" w:styleId="5">
    <w:name w:val="Body Text"/>
    <w:basedOn w:val="1"/>
    <w:qFormat/>
    <w:uiPriority w:val="1"/>
    <w:pPr>
      <w:spacing w:before="43"/>
      <w:ind w:left="120"/>
    </w:pPr>
    <w:rPr>
      <w:sz w:val="32"/>
      <w:szCs w:val="32"/>
    </w:rPr>
  </w:style>
  <w:style w:type="paragraph" w:styleId="6">
    <w:name w:val="Balloon Text"/>
    <w:basedOn w:val="1"/>
    <w:link w:val="21"/>
    <w:unhideWhenUsed/>
    <w:qFormat/>
    <w:uiPriority w:val="99"/>
    <w:pPr>
      <w:autoSpaceDE/>
      <w:autoSpaceDN/>
      <w:jc w:val="both"/>
    </w:pPr>
    <w:rPr>
      <w:rFonts w:asciiTheme="minorHAnsi" w:hAnsiTheme="minorHAnsi" w:eastAsiaTheme="minorEastAsia" w:cstheme="minorBidi"/>
      <w:kern w:val="2"/>
      <w:sz w:val="18"/>
      <w:szCs w:val="18"/>
      <w:lang w:val="en-US" w:bidi="ar-SA"/>
    </w:rPr>
  </w:style>
  <w:style w:type="paragraph" w:styleId="7">
    <w:name w:val="footer"/>
    <w:basedOn w:val="1"/>
    <w:link w:val="24"/>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8">
    <w:name w:val="header"/>
    <w:basedOn w:val="1"/>
    <w:link w:val="25"/>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paragraph" w:styleId="9">
    <w:name w:val="toc 1"/>
    <w:basedOn w:val="1"/>
    <w:next w:val="1"/>
    <w:qFormat/>
    <w:uiPriority w:val="39"/>
    <w:pPr>
      <w:spacing w:before="214"/>
      <w:ind w:right="258"/>
      <w:jc w:val="right"/>
    </w:pPr>
    <w:rPr>
      <w:sz w:val="32"/>
      <w:szCs w:val="32"/>
    </w:rPr>
  </w:style>
  <w:style w:type="paragraph" w:styleId="10">
    <w:name w:val="toc 2"/>
    <w:basedOn w:val="1"/>
    <w:next w:val="1"/>
    <w:qFormat/>
    <w:uiPriority w:val="39"/>
    <w:pPr>
      <w:ind w:left="420" w:leftChars="200"/>
    </w:pPr>
  </w:style>
  <w:style w:type="paragraph" w:styleId="11">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12">
    <w:name w:val="Title"/>
    <w:basedOn w:val="1"/>
    <w:next w:val="1"/>
    <w:link w:val="27"/>
    <w:qFormat/>
    <w:uiPriority w:val="0"/>
    <w:pPr>
      <w:spacing w:before="240" w:after="60"/>
      <w:jc w:val="center"/>
      <w:outlineLvl w:val="0"/>
    </w:pPr>
    <w:rPr>
      <w:rFonts w:asciiTheme="majorHAnsi" w:hAnsiTheme="majorHAnsi" w:eastAsiaTheme="majorEastAsia" w:cstheme="majorBidi"/>
      <w:b/>
      <w:bCs/>
      <w:sz w:val="32"/>
      <w:szCs w:val="32"/>
    </w:r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unhideWhenUsed/>
    <w:qFormat/>
    <w:uiPriority w:val="99"/>
    <w:rPr>
      <w:sz w:val="21"/>
      <w:szCs w:val="21"/>
    </w:rPr>
  </w:style>
  <w:style w:type="table" w:customStyle="1" w:styleId="18">
    <w:name w:val="Table Normal"/>
    <w:unhideWhenUsed/>
    <w:qFormat/>
    <w:uiPriority w:val="2"/>
    <w:tblPr>
      <w:tblCellMar>
        <w:top w:w="0" w:type="dxa"/>
        <w:left w:w="0" w:type="dxa"/>
        <w:bottom w:w="0" w:type="dxa"/>
        <w:right w:w="0" w:type="dxa"/>
      </w:tblCellMar>
    </w:tblPr>
  </w:style>
  <w:style w:type="paragraph" w:customStyle="1" w:styleId="19">
    <w:name w:val="列出段落1"/>
    <w:basedOn w:val="1"/>
    <w:qFormat/>
    <w:uiPriority w:val="1"/>
    <w:pPr>
      <w:ind w:left="120" w:firstLine="640"/>
    </w:pPr>
  </w:style>
  <w:style w:type="paragraph" w:customStyle="1" w:styleId="20">
    <w:name w:val="Table Paragraph"/>
    <w:basedOn w:val="1"/>
    <w:qFormat/>
    <w:uiPriority w:val="1"/>
    <w:pPr>
      <w:jc w:val="center"/>
    </w:pPr>
  </w:style>
  <w:style w:type="character" w:customStyle="1" w:styleId="21">
    <w:name w:val="批注框文本 Char"/>
    <w:basedOn w:val="14"/>
    <w:link w:val="6"/>
    <w:qFormat/>
    <w:uiPriority w:val="99"/>
    <w:rPr>
      <w:kern w:val="2"/>
      <w:sz w:val="18"/>
      <w:szCs w:val="18"/>
    </w:rPr>
  </w:style>
  <w:style w:type="character" w:customStyle="1" w:styleId="22">
    <w:name w:val="批注文字 Char"/>
    <w:basedOn w:val="14"/>
    <w:link w:val="4"/>
    <w:qFormat/>
    <w:uiPriority w:val="99"/>
    <w:rPr>
      <w:kern w:val="2"/>
      <w:sz w:val="21"/>
      <w:szCs w:val="22"/>
    </w:rPr>
  </w:style>
  <w:style w:type="paragraph" w:customStyle="1" w:styleId="23">
    <w:name w:val="列出段落11"/>
    <w:basedOn w:val="1"/>
    <w:qFormat/>
    <w:uiPriority w:val="34"/>
    <w:pPr>
      <w:autoSpaceDE/>
      <w:autoSpaceDN/>
      <w:ind w:firstLine="420" w:firstLineChars="200"/>
      <w:jc w:val="both"/>
    </w:pPr>
    <w:rPr>
      <w:rFonts w:asciiTheme="minorHAnsi" w:hAnsiTheme="minorHAnsi" w:eastAsiaTheme="minorEastAsia" w:cstheme="minorBidi"/>
      <w:kern w:val="2"/>
      <w:sz w:val="21"/>
      <w:lang w:val="en-US" w:bidi="ar-SA"/>
    </w:rPr>
  </w:style>
  <w:style w:type="character" w:customStyle="1" w:styleId="24">
    <w:name w:val="页脚 Char"/>
    <w:basedOn w:val="14"/>
    <w:link w:val="7"/>
    <w:qFormat/>
    <w:uiPriority w:val="99"/>
    <w:rPr>
      <w:kern w:val="2"/>
      <w:sz w:val="18"/>
      <w:szCs w:val="18"/>
    </w:rPr>
  </w:style>
  <w:style w:type="character" w:customStyle="1" w:styleId="25">
    <w:name w:val="页眉 Char"/>
    <w:basedOn w:val="14"/>
    <w:link w:val="8"/>
    <w:qFormat/>
    <w:uiPriority w:val="99"/>
    <w:rPr>
      <w:kern w:val="2"/>
      <w:sz w:val="18"/>
      <w:szCs w:val="18"/>
    </w:rPr>
  </w:style>
  <w:style w:type="paragraph" w:customStyle="1" w:styleId="26">
    <w:name w:val="TOC 标题1"/>
    <w:basedOn w:val="2"/>
    <w:next w:val="1"/>
    <w:unhideWhenUsed/>
    <w:qFormat/>
    <w:uiPriority w:val="39"/>
    <w:pPr>
      <w:keepNext/>
      <w:keepLines/>
      <w:widowControl/>
      <w:autoSpaceDE/>
      <w:autoSpaceDN/>
      <w:spacing w:before="240" w:line="259" w:lineRule="auto"/>
      <w:ind w:left="0" w:firstLine="0"/>
      <w:outlineLvl w:val="9"/>
    </w:pPr>
    <w:rPr>
      <w:rFonts w:asciiTheme="majorHAnsi" w:hAnsiTheme="majorHAnsi" w:eastAsiaTheme="majorEastAsia" w:cstheme="majorBidi"/>
      <w:b w:val="0"/>
      <w:bCs w:val="0"/>
      <w:color w:val="376092" w:themeColor="accent1" w:themeShade="BF"/>
      <w:lang w:val="en-US" w:bidi="ar-SA"/>
    </w:rPr>
  </w:style>
  <w:style w:type="character" w:customStyle="1" w:styleId="27">
    <w:name w:val="标题 Char"/>
    <w:basedOn w:val="14"/>
    <w:link w:val="12"/>
    <w:qFormat/>
    <w:uiPriority w:val="0"/>
    <w:rPr>
      <w:rFonts w:asciiTheme="majorHAnsi" w:hAnsiTheme="majorHAnsi" w:eastAsiaTheme="majorEastAsia" w:cstheme="majorBidi"/>
      <w:b/>
      <w:bCs/>
      <w:sz w:val="32"/>
      <w:szCs w:val="32"/>
      <w:lang w:val="zh-CN" w:bidi="zh-CN"/>
    </w:rPr>
  </w:style>
  <w:style w:type="character" w:customStyle="1" w:styleId="28">
    <w:name w:val="标题 2 Char"/>
    <w:basedOn w:val="14"/>
    <w:link w:val="3"/>
    <w:qFormat/>
    <w:uiPriority w:val="0"/>
    <w:rPr>
      <w:rFonts w:asciiTheme="majorHAnsi" w:hAnsiTheme="majorHAnsi" w:eastAsiaTheme="majorEastAsia" w:cstheme="majorBidi"/>
      <w:b/>
      <w:bCs/>
      <w:sz w:val="32"/>
      <w:szCs w:val="32"/>
      <w:lang w:val="zh-CN" w:bidi="zh-CN"/>
    </w:rPr>
  </w:style>
  <w:style w:type="paragraph" w:customStyle="1" w:styleId="29">
    <w:name w:val="Body text|2"/>
    <w:basedOn w:val="1"/>
    <w:qFormat/>
    <w:uiPriority w:val="0"/>
    <w:pPr>
      <w:spacing w:line="403" w:lineRule="exact"/>
      <w:ind w:left="750"/>
    </w:pPr>
    <w:rPr>
      <w:sz w:val="18"/>
      <w:szCs w:val="18"/>
    </w:rPr>
  </w:style>
  <w:style w:type="paragraph" w:customStyle="1" w:styleId="30">
    <w:name w:val="Body text|1"/>
    <w:basedOn w:val="1"/>
    <w:qFormat/>
    <w:uiPriority w:val="0"/>
    <w:pPr>
      <w:spacing w:line="432" w:lineRule="auto"/>
      <w:ind w:firstLine="400"/>
    </w:pPr>
    <w:rPr>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FBB11-9C08-450B-A886-79BD0F680286}">
  <ds:schemaRefs/>
</ds:datastoreItem>
</file>

<file path=docProps/app.xml><?xml version="1.0" encoding="utf-8"?>
<Properties xmlns="http://schemas.openxmlformats.org/officeDocument/2006/extended-properties" xmlns:vt="http://schemas.openxmlformats.org/officeDocument/2006/docPropsVTypes">
  <Template>Normal</Template>
  <Pages>48</Pages>
  <Words>3994</Words>
  <Characters>22770</Characters>
  <Lines>189</Lines>
  <Paragraphs>53</Paragraphs>
  <TotalTime>54</TotalTime>
  <ScaleCrop>false</ScaleCrop>
  <LinksUpToDate>false</LinksUpToDate>
  <CharactersWithSpaces>26711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2020-12-28T14:10:00Z</dcterms:created>
  <dc:creator>dell</dc:creator>
  <cp:lastModifiedBy>fjm</cp:lastModifiedBy>
  <cp:lastPrinted>2021-12-02T03:49:00Z</cp:lastPrinted>
  <dcterms:modified xsi:type="dcterms:W3CDTF">2021-12-22T07:55:53Z</dcterms:modified>
  <dc:title>“健康广东2030”规划纲要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WPS 文字</vt:lpwstr>
  </property>
  <property fmtid="{D5CDD505-2E9C-101B-9397-08002B2CF9AE}" pid="4" name="LastSaved">
    <vt:filetime>2020-12-28T00:00:00Z</vt:filetime>
  </property>
  <property fmtid="{D5CDD505-2E9C-101B-9397-08002B2CF9AE}" pid="5" name="KSOProductBuildVer">
    <vt:lpwstr>2052-11.8.2.8875</vt:lpwstr>
  </property>
  <property fmtid="{D5CDD505-2E9C-101B-9397-08002B2CF9AE}" pid="6" name="ICV">
    <vt:lpwstr>8C282BDA2A674D0A8B6071ABC4B2B840</vt:lpwstr>
  </property>
</Properties>
</file>