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2C" w:rsidRPr="00DE378D" w:rsidRDefault="00C2642C" w:rsidP="00C2642C">
      <w:pPr>
        <w:widowControl/>
        <w:jc w:val="left"/>
        <w:rPr>
          <w:rFonts w:ascii="黑体" w:eastAsia="黑体" w:hAnsi="黑体" w:cs="仿宋" w:hint="eastAsia"/>
          <w:b/>
          <w:kern w:val="0"/>
          <w:sz w:val="40"/>
          <w:szCs w:val="32"/>
        </w:rPr>
      </w:pPr>
      <w:r w:rsidRPr="00DE378D">
        <w:rPr>
          <w:rFonts w:ascii="黑体" w:eastAsia="黑体" w:hAnsi="黑体" w:cs="仿宋" w:hint="eastAsia"/>
          <w:kern w:val="0"/>
          <w:sz w:val="30"/>
          <w:szCs w:val="30"/>
        </w:rPr>
        <w:t xml:space="preserve">附件三 </w:t>
      </w:r>
      <w:r w:rsidRPr="00DE378D">
        <w:rPr>
          <w:rFonts w:ascii="黑体" w:eastAsia="黑体" w:hAnsi="黑体" w:cs="仿宋" w:hint="eastAsia"/>
          <w:kern w:val="0"/>
          <w:sz w:val="32"/>
          <w:szCs w:val="32"/>
        </w:rPr>
        <w:t xml:space="preserve">               </w:t>
      </w:r>
      <w:r w:rsidRPr="00DE378D">
        <w:rPr>
          <w:rFonts w:ascii="黑体" w:eastAsia="黑体" w:hAnsi="黑体" w:cs="仿宋" w:hint="eastAsia"/>
          <w:b/>
          <w:kern w:val="0"/>
          <w:sz w:val="40"/>
          <w:szCs w:val="32"/>
        </w:rPr>
        <w:t xml:space="preserve">   </w:t>
      </w:r>
    </w:p>
    <w:p w:rsidR="00C2642C" w:rsidRPr="005545AE" w:rsidRDefault="00C2642C" w:rsidP="00C2642C">
      <w:pPr>
        <w:widowControl/>
        <w:jc w:val="center"/>
        <w:rPr>
          <w:rFonts w:ascii="方正小标宋_GBK" w:eastAsia="方正小标宋_GBK" w:hAnsi="仿宋" w:cs="仿宋" w:hint="eastAsia"/>
          <w:b/>
          <w:kern w:val="0"/>
          <w:sz w:val="36"/>
          <w:szCs w:val="36"/>
        </w:rPr>
      </w:pPr>
      <w:r w:rsidRPr="005545AE">
        <w:rPr>
          <w:rFonts w:ascii="方正小标宋_GBK" w:eastAsia="方正小标宋_GBK" w:hAnsi="仿宋" w:cs="仿宋" w:hint="eastAsia"/>
          <w:b/>
          <w:kern w:val="0"/>
          <w:sz w:val="36"/>
          <w:szCs w:val="36"/>
        </w:rPr>
        <w:t>评分标准</w:t>
      </w:r>
    </w:p>
    <w:p w:rsidR="00C2642C" w:rsidRPr="005545AE" w:rsidRDefault="00C2642C" w:rsidP="00C2642C">
      <w:pPr>
        <w:widowControl/>
        <w:jc w:val="left"/>
        <w:rPr>
          <w:rFonts w:ascii="仿宋_GB2312" w:eastAsia="仿宋_GB2312" w:hAnsi="仿宋" w:cs="仿宋" w:hint="eastAsia"/>
          <w:kern w:val="0"/>
          <w:sz w:val="30"/>
          <w:szCs w:val="30"/>
        </w:rPr>
      </w:pPr>
      <w:r w:rsidRPr="005545AE">
        <w:rPr>
          <w:rFonts w:ascii="仿宋_GB2312" w:eastAsia="仿宋_GB2312" w:hAnsi="仿宋" w:cs="仿宋" w:hint="eastAsia"/>
          <w:kern w:val="0"/>
          <w:sz w:val="30"/>
          <w:szCs w:val="30"/>
        </w:rPr>
        <w:t>投标公司：                               得分：</w:t>
      </w:r>
    </w:p>
    <w:p w:rsidR="00C2642C" w:rsidRPr="005545AE" w:rsidRDefault="00C2642C" w:rsidP="00C2642C">
      <w:pPr>
        <w:widowControl/>
        <w:jc w:val="left"/>
        <w:rPr>
          <w:rFonts w:ascii="仿宋_GB2312" w:eastAsia="仿宋_GB2312" w:hint="eastAsia"/>
          <w:sz w:val="30"/>
          <w:szCs w:val="30"/>
        </w:rPr>
      </w:pPr>
      <w:r w:rsidRPr="005545AE">
        <w:rPr>
          <w:rFonts w:ascii="仿宋_GB2312" w:eastAsia="仿宋_GB2312" w:hAnsi="仿宋" w:cs="仿宋" w:hint="eastAsia"/>
          <w:kern w:val="0"/>
          <w:sz w:val="30"/>
          <w:szCs w:val="30"/>
        </w:rPr>
        <w:t>评委签字：</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838"/>
        <w:gridCol w:w="3125"/>
        <w:gridCol w:w="3743"/>
      </w:tblGrid>
      <w:tr w:rsidR="00C2642C" w:rsidTr="009A04DD">
        <w:trPr>
          <w:trHeight w:val="598"/>
          <w:jc w:val="center"/>
        </w:trPr>
        <w:tc>
          <w:tcPr>
            <w:tcW w:w="956" w:type="dxa"/>
            <w:vAlign w:val="center"/>
          </w:tcPr>
          <w:p w:rsidR="00C2642C" w:rsidRDefault="00C2642C" w:rsidP="009A04DD">
            <w:pPr>
              <w:jc w:val="center"/>
              <w:rPr>
                <w:rFonts w:ascii="宋体" w:eastAsia="宋体" w:hAnsi="宋体" w:cs="Times New Roman"/>
                <w:b/>
                <w:kern w:val="0"/>
                <w:szCs w:val="21"/>
              </w:rPr>
            </w:pPr>
            <w:r>
              <w:rPr>
                <w:rFonts w:ascii="宋体" w:eastAsia="宋体" w:hAnsi="宋体" w:cs="Times New Roman" w:hint="eastAsia"/>
                <w:b/>
                <w:kern w:val="0"/>
                <w:szCs w:val="21"/>
              </w:rPr>
              <w:t>分值（100</w:t>
            </w:r>
            <w:r>
              <w:rPr>
                <w:rFonts w:ascii="宋体" w:eastAsia="宋体" w:hAnsi="宋体" w:cs="Times New Roman"/>
                <w:b/>
                <w:kern w:val="0"/>
                <w:szCs w:val="21"/>
              </w:rPr>
              <w:t>）</w:t>
            </w:r>
          </w:p>
        </w:tc>
        <w:tc>
          <w:tcPr>
            <w:tcW w:w="4963" w:type="dxa"/>
            <w:gridSpan w:val="2"/>
            <w:vAlign w:val="center"/>
          </w:tcPr>
          <w:p w:rsidR="00C2642C" w:rsidRDefault="00C2642C" w:rsidP="009A04DD">
            <w:pPr>
              <w:jc w:val="center"/>
              <w:rPr>
                <w:rFonts w:ascii="宋体" w:eastAsia="宋体" w:hAnsi="宋体" w:cs="Times New Roman"/>
                <w:b/>
                <w:kern w:val="0"/>
                <w:szCs w:val="21"/>
              </w:rPr>
            </w:pPr>
            <w:r>
              <w:rPr>
                <w:rFonts w:ascii="宋体" w:eastAsia="宋体" w:hAnsi="宋体" w:cs="Times New Roman" w:hint="eastAsia"/>
                <w:b/>
                <w:kern w:val="0"/>
                <w:szCs w:val="21"/>
              </w:rPr>
              <w:t>评审内容</w:t>
            </w:r>
          </w:p>
        </w:tc>
        <w:tc>
          <w:tcPr>
            <w:tcW w:w="3743" w:type="dxa"/>
            <w:vAlign w:val="center"/>
          </w:tcPr>
          <w:p w:rsidR="00C2642C" w:rsidRDefault="00C2642C" w:rsidP="009A04DD">
            <w:pPr>
              <w:jc w:val="center"/>
              <w:rPr>
                <w:rFonts w:ascii="宋体" w:eastAsia="宋体" w:hAnsi="宋体" w:cs="Times New Roman"/>
                <w:b/>
                <w:kern w:val="0"/>
                <w:szCs w:val="21"/>
              </w:rPr>
            </w:pPr>
            <w:r>
              <w:rPr>
                <w:rFonts w:ascii="宋体" w:eastAsia="宋体" w:hAnsi="宋体" w:cs="Times New Roman" w:hint="eastAsia"/>
                <w:b/>
                <w:kern w:val="0"/>
                <w:szCs w:val="21"/>
              </w:rPr>
              <w:t>评分细则</w:t>
            </w:r>
          </w:p>
        </w:tc>
      </w:tr>
      <w:tr w:rsidR="00C2642C" w:rsidTr="009A04DD">
        <w:trPr>
          <w:trHeight w:val="2000"/>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4963" w:type="dxa"/>
            <w:gridSpan w:val="2"/>
            <w:vAlign w:val="center"/>
          </w:tcPr>
          <w:p w:rsidR="00C2642C" w:rsidRDefault="00C2642C" w:rsidP="00D175E6">
            <w:pPr>
              <w:widowControl/>
              <w:rPr>
                <w:rFonts w:ascii="宋体" w:eastAsia="宋体" w:hAnsi="宋体" w:cs="Arial"/>
                <w:szCs w:val="21"/>
              </w:rPr>
            </w:pPr>
            <w:r>
              <w:rPr>
                <w:rFonts w:ascii="宋体" w:eastAsia="宋体" w:hAnsi="宋体" w:cs="Arial" w:hint="eastAsia"/>
                <w:szCs w:val="21"/>
              </w:rPr>
              <w:t>投标人在广州的稳定的技术服务人员情况，提供本地注册的营业执照以及人员在本公司任职的外部证明材料（如加盖广州地区政府有关部门印章的打印日期在本项目投标截止日之前一年以内的《投保单》或《社会保险参保人员证明》，或单位代缴个人所得税税单等。</w:t>
            </w:r>
          </w:p>
        </w:tc>
        <w:tc>
          <w:tcPr>
            <w:tcW w:w="3743" w:type="dxa"/>
            <w:vAlign w:val="center"/>
          </w:tcPr>
          <w:p w:rsidR="00C2642C" w:rsidRDefault="00C2642C" w:rsidP="009A04DD">
            <w:pPr>
              <w:rPr>
                <w:rFonts w:ascii="宋体" w:eastAsia="宋体" w:hAnsi="宋体" w:cs="Arial"/>
                <w:szCs w:val="21"/>
              </w:rPr>
            </w:pPr>
            <w:r>
              <w:rPr>
                <w:rFonts w:ascii="宋体" w:eastAsia="宋体" w:hAnsi="宋体" w:cs="Arial" w:hint="eastAsia"/>
                <w:szCs w:val="21"/>
              </w:rPr>
              <w:t>（1）提供在广州本地注册的营业执照得5分，外地得2分；</w:t>
            </w:r>
          </w:p>
          <w:p w:rsidR="00C2642C" w:rsidRDefault="00C2642C" w:rsidP="009A04DD">
            <w:pPr>
              <w:rPr>
                <w:rFonts w:ascii="宋体" w:eastAsia="宋体" w:hAnsi="宋体" w:cs="Times New Roman"/>
                <w:szCs w:val="21"/>
              </w:rPr>
            </w:pPr>
            <w:r>
              <w:rPr>
                <w:rFonts w:ascii="宋体" w:eastAsia="宋体" w:hAnsi="宋体" w:cs="Arial" w:hint="eastAsia"/>
                <w:szCs w:val="21"/>
              </w:rPr>
              <w:t>（2）人员少于20人得1分；20-40人得3分；40人或以上得5分。</w:t>
            </w:r>
          </w:p>
        </w:tc>
      </w:tr>
      <w:tr w:rsidR="00C2642C" w:rsidTr="009A04DD">
        <w:trPr>
          <w:trHeight w:val="1620"/>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14</w:t>
            </w:r>
          </w:p>
        </w:tc>
        <w:tc>
          <w:tcPr>
            <w:tcW w:w="1838" w:type="dxa"/>
            <w:vMerge w:val="restart"/>
            <w:vAlign w:val="center"/>
          </w:tcPr>
          <w:p w:rsidR="00C2642C" w:rsidRDefault="00C2642C" w:rsidP="009A04DD">
            <w:pPr>
              <w:widowControl/>
              <w:jc w:val="center"/>
              <w:rPr>
                <w:rFonts w:ascii="宋体" w:eastAsia="宋体" w:hAnsi="宋体" w:cs="Arial"/>
                <w:szCs w:val="21"/>
              </w:rPr>
            </w:pPr>
            <w:r>
              <w:rPr>
                <w:rFonts w:ascii="宋体" w:eastAsia="宋体" w:hAnsi="宋体" w:cs="Arial" w:hint="eastAsia"/>
                <w:szCs w:val="21"/>
              </w:rPr>
              <w:t>企业资质证书</w:t>
            </w:r>
          </w:p>
        </w:tc>
        <w:tc>
          <w:tcPr>
            <w:tcW w:w="3125" w:type="dxa"/>
            <w:vAlign w:val="center"/>
          </w:tcPr>
          <w:p w:rsidR="00C2642C" w:rsidRDefault="00C2642C" w:rsidP="009A04DD">
            <w:pPr>
              <w:widowControl/>
              <w:jc w:val="center"/>
              <w:rPr>
                <w:rFonts w:ascii="宋体" w:eastAsia="宋体" w:hAnsi="宋体" w:cs="Arial"/>
                <w:szCs w:val="21"/>
              </w:rPr>
            </w:pPr>
            <w:r>
              <w:rPr>
                <w:rFonts w:ascii="宋体" w:eastAsia="宋体" w:hAnsi="宋体" w:cs="Arial" w:hint="eastAsia"/>
                <w:szCs w:val="21"/>
              </w:rPr>
              <w:t>投标人软件开发及系统集成能力</w:t>
            </w:r>
          </w:p>
        </w:tc>
        <w:tc>
          <w:tcPr>
            <w:tcW w:w="3743" w:type="dxa"/>
            <w:vAlign w:val="center"/>
          </w:tcPr>
          <w:p w:rsidR="00C2642C" w:rsidRDefault="00C2642C" w:rsidP="009A04DD">
            <w:pPr>
              <w:snapToGrid w:val="0"/>
              <w:jc w:val="left"/>
              <w:rPr>
                <w:rFonts w:ascii="宋体" w:eastAsia="宋体" w:hAnsi="宋体" w:cs="Arial"/>
                <w:szCs w:val="21"/>
              </w:rPr>
            </w:pPr>
            <w:r>
              <w:rPr>
                <w:rFonts w:ascii="宋体" w:eastAsia="宋体" w:hAnsi="宋体" w:cs="Arial" w:hint="eastAsia"/>
                <w:szCs w:val="21"/>
              </w:rPr>
              <w:t>（1）具有</w:t>
            </w:r>
            <w:r>
              <w:rPr>
                <w:rFonts w:ascii="Calibri" w:eastAsia="宋体" w:hAnsi="Calibri" w:cs="Times New Roman" w:hint="eastAsia"/>
              </w:rPr>
              <w:t>国家工业和信息化部（原国家信息产业部）颁发的</w:t>
            </w:r>
            <w:r>
              <w:rPr>
                <w:rFonts w:ascii="宋体" w:eastAsia="宋体" w:hAnsi="宋体" w:cs="Arial" w:hint="eastAsia"/>
                <w:szCs w:val="21"/>
              </w:rPr>
              <w:t>计算机信息系统集成资质得3分，没有得0分。</w:t>
            </w:r>
          </w:p>
          <w:p w:rsidR="00C2642C" w:rsidRDefault="00C2642C" w:rsidP="009A04DD">
            <w:pPr>
              <w:snapToGrid w:val="0"/>
              <w:jc w:val="left"/>
              <w:rPr>
                <w:rFonts w:ascii="宋体" w:eastAsia="宋体" w:hAnsi="宋体" w:cs="Arial"/>
                <w:szCs w:val="21"/>
              </w:rPr>
            </w:pPr>
            <w:r>
              <w:rPr>
                <w:rFonts w:ascii="宋体" w:eastAsia="宋体" w:hAnsi="宋体" w:cs="Arial" w:hint="eastAsia"/>
                <w:szCs w:val="21"/>
              </w:rPr>
              <w:t>（2）具有投标产品相关的软件著作权证书，每个得2分，最高得6分。</w:t>
            </w:r>
          </w:p>
          <w:p w:rsidR="00C2642C" w:rsidRDefault="00C2642C" w:rsidP="009A04DD">
            <w:pPr>
              <w:snapToGrid w:val="0"/>
              <w:jc w:val="left"/>
              <w:rPr>
                <w:rFonts w:ascii="宋体" w:eastAsia="宋体" w:hAnsi="宋体" w:cs="Times New Roman"/>
                <w:szCs w:val="21"/>
              </w:rPr>
            </w:pPr>
            <w:r>
              <w:rPr>
                <w:rFonts w:ascii="宋体" w:eastAsia="宋体" w:hAnsi="宋体" w:cs="Arial" w:hint="eastAsia"/>
                <w:szCs w:val="21"/>
              </w:rPr>
              <w:t>（3）具有高新技术企业证书得5分，没有得0分。</w:t>
            </w:r>
          </w:p>
        </w:tc>
      </w:tr>
      <w:tr w:rsidR="00C2642C" w:rsidTr="009A04DD">
        <w:trPr>
          <w:trHeight w:val="1319"/>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6</w:t>
            </w:r>
          </w:p>
        </w:tc>
        <w:tc>
          <w:tcPr>
            <w:tcW w:w="1838" w:type="dxa"/>
            <w:vMerge/>
            <w:vAlign w:val="center"/>
          </w:tcPr>
          <w:p w:rsidR="00C2642C" w:rsidRDefault="00C2642C" w:rsidP="009A04DD">
            <w:pPr>
              <w:widowControl/>
              <w:jc w:val="center"/>
              <w:rPr>
                <w:rFonts w:ascii="宋体" w:eastAsia="宋体" w:hAnsi="宋体" w:cs="Arial"/>
                <w:szCs w:val="21"/>
              </w:rPr>
            </w:pPr>
          </w:p>
        </w:tc>
        <w:tc>
          <w:tcPr>
            <w:tcW w:w="3125" w:type="dxa"/>
            <w:vAlign w:val="center"/>
          </w:tcPr>
          <w:p w:rsidR="00C2642C" w:rsidRDefault="00C2642C" w:rsidP="009A04DD">
            <w:pPr>
              <w:widowControl/>
              <w:jc w:val="center"/>
              <w:rPr>
                <w:rFonts w:ascii="宋体" w:eastAsia="宋体" w:hAnsi="宋体" w:cs="Arial"/>
                <w:szCs w:val="21"/>
              </w:rPr>
            </w:pPr>
            <w:r>
              <w:rPr>
                <w:rFonts w:ascii="宋体" w:eastAsia="宋体" w:hAnsi="宋体" w:cs="Arial" w:hint="eastAsia"/>
                <w:szCs w:val="21"/>
              </w:rPr>
              <w:t>投标人认证证书情况</w:t>
            </w:r>
          </w:p>
        </w:tc>
        <w:tc>
          <w:tcPr>
            <w:tcW w:w="3743" w:type="dxa"/>
            <w:vAlign w:val="center"/>
          </w:tcPr>
          <w:p w:rsidR="00C2642C" w:rsidRDefault="00C2642C" w:rsidP="009A04DD">
            <w:pPr>
              <w:snapToGrid w:val="0"/>
              <w:jc w:val="left"/>
              <w:rPr>
                <w:rFonts w:ascii="宋体" w:eastAsia="宋体" w:hAnsi="宋体" w:cs="Arial"/>
                <w:szCs w:val="21"/>
              </w:rPr>
            </w:pPr>
            <w:r>
              <w:rPr>
                <w:rFonts w:ascii="宋体" w:hAnsi="宋体" w:cs="Arial" w:hint="eastAsia"/>
                <w:szCs w:val="21"/>
              </w:rPr>
              <w:t>具有ISO9001质量管理体系认证证书、ISO14001环境管理体系认证证书、OHSAS18001职业健康安全管理体系认证证书的，每个2分，最高得6分。</w:t>
            </w:r>
          </w:p>
        </w:tc>
      </w:tr>
      <w:tr w:rsidR="00C2642C" w:rsidTr="009A04DD">
        <w:trPr>
          <w:trHeight w:val="1299"/>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10</w:t>
            </w:r>
          </w:p>
        </w:tc>
        <w:tc>
          <w:tcPr>
            <w:tcW w:w="1838"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需求的理解及总体方案设计</w:t>
            </w:r>
          </w:p>
        </w:tc>
        <w:tc>
          <w:tcPr>
            <w:tcW w:w="3125" w:type="dxa"/>
            <w:vAlign w:val="center"/>
          </w:tcPr>
          <w:p w:rsidR="00C2642C" w:rsidRDefault="00C2642C" w:rsidP="009A04DD">
            <w:pPr>
              <w:rPr>
                <w:rFonts w:ascii="宋体" w:eastAsia="宋体" w:hAnsi="宋体" w:cs="Arial"/>
              </w:rPr>
            </w:pPr>
            <w:r>
              <w:rPr>
                <w:rFonts w:ascii="宋体" w:eastAsia="宋体" w:hAnsi="宋体" w:cs="Arial" w:hint="eastAsia"/>
              </w:rPr>
              <w:t>对需求的理解、系统总体设计以及项目的整体运行维护方案</w:t>
            </w:r>
          </w:p>
        </w:tc>
        <w:tc>
          <w:tcPr>
            <w:tcW w:w="3743" w:type="dxa"/>
            <w:vAlign w:val="center"/>
          </w:tcPr>
          <w:p w:rsidR="00C2642C" w:rsidRDefault="00C2642C" w:rsidP="009A04DD">
            <w:pPr>
              <w:snapToGrid w:val="0"/>
              <w:jc w:val="center"/>
              <w:rPr>
                <w:rFonts w:ascii="宋体" w:eastAsia="宋体" w:hAnsi="宋体" w:cs="Times New Roman"/>
                <w:szCs w:val="21"/>
              </w:rPr>
            </w:pPr>
            <w:r>
              <w:rPr>
                <w:rFonts w:ascii="宋体" w:hAnsi="宋体" w:hint="eastAsia"/>
                <w:kern w:val="0"/>
                <w:szCs w:val="21"/>
              </w:rPr>
              <w:t>评分等次及文字评价（按评估等级的百分比计算得分；优（9-10分）；良（8分）；中（7分）；可（6分）；差（0-5分）。）</w:t>
            </w:r>
          </w:p>
        </w:tc>
      </w:tr>
      <w:tr w:rsidR="00C2642C" w:rsidTr="009A04DD">
        <w:trPr>
          <w:trHeight w:val="1299"/>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15</w:t>
            </w:r>
          </w:p>
        </w:tc>
        <w:tc>
          <w:tcPr>
            <w:tcW w:w="1838" w:type="dxa"/>
            <w:vAlign w:val="center"/>
          </w:tcPr>
          <w:p w:rsidR="00C2642C" w:rsidRPr="000609FC" w:rsidRDefault="00C2642C" w:rsidP="009A04DD">
            <w:pPr>
              <w:jc w:val="center"/>
              <w:rPr>
                <w:rFonts w:ascii="宋体" w:eastAsia="宋体" w:hAnsi="宋体" w:cs="Arial"/>
              </w:rPr>
            </w:pPr>
            <w:r w:rsidRPr="000609FC">
              <w:rPr>
                <w:rFonts w:ascii="宋体" w:eastAsia="宋体" w:hAnsi="宋体" w:cs="Arial" w:hint="eastAsia"/>
              </w:rPr>
              <w:t>系统开发升级相对应功能的响应</w:t>
            </w:r>
          </w:p>
        </w:tc>
        <w:tc>
          <w:tcPr>
            <w:tcW w:w="3125" w:type="dxa"/>
            <w:vAlign w:val="center"/>
          </w:tcPr>
          <w:p w:rsidR="00C2642C" w:rsidRDefault="00C2642C" w:rsidP="009A04DD">
            <w:pPr>
              <w:rPr>
                <w:rFonts w:ascii="宋体" w:eastAsia="宋体" w:hAnsi="宋体" w:cs="Arial"/>
              </w:rPr>
            </w:pPr>
            <w:r w:rsidRPr="000609FC">
              <w:rPr>
                <w:rFonts w:ascii="宋体" w:eastAsia="宋体" w:hAnsi="宋体" w:cs="Arial" w:hint="eastAsia"/>
              </w:rPr>
              <w:t>统计数据</w:t>
            </w:r>
            <w:r w:rsidRPr="000609FC">
              <w:rPr>
                <w:rFonts w:ascii="宋体" w:eastAsia="宋体" w:hAnsi="宋体" w:cs="Arial"/>
              </w:rPr>
              <w:t>采集平台系统进行</w:t>
            </w:r>
            <w:r w:rsidRPr="000609FC">
              <w:rPr>
                <w:rFonts w:ascii="宋体" w:eastAsia="宋体" w:hAnsi="宋体" w:cs="Arial" w:hint="eastAsia"/>
              </w:rPr>
              <w:t>增删</w:t>
            </w:r>
            <w:r w:rsidRPr="000609FC">
              <w:rPr>
                <w:rFonts w:ascii="宋体" w:eastAsia="宋体" w:hAnsi="宋体" w:cs="Arial"/>
              </w:rPr>
              <w:t>指标</w:t>
            </w:r>
            <w:r w:rsidRPr="000609FC">
              <w:rPr>
                <w:rFonts w:ascii="宋体" w:eastAsia="宋体" w:hAnsi="宋体" w:cs="Arial" w:hint="eastAsia"/>
              </w:rPr>
              <w:t>设置</w:t>
            </w:r>
            <w:r w:rsidRPr="000609FC">
              <w:rPr>
                <w:rFonts w:ascii="宋体" w:eastAsia="宋体" w:hAnsi="宋体" w:cs="Arial"/>
              </w:rPr>
              <w:t>、逻辑关系</w:t>
            </w:r>
            <w:r w:rsidRPr="000609FC">
              <w:rPr>
                <w:rFonts w:ascii="宋体" w:eastAsia="宋体" w:hAnsi="宋体" w:cs="Arial" w:hint="eastAsia"/>
              </w:rPr>
              <w:t>调整</w:t>
            </w:r>
            <w:r w:rsidRPr="000609FC">
              <w:rPr>
                <w:rFonts w:ascii="宋体" w:eastAsia="宋体" w:hAnsi="宋体" w:cs="Arial"/>
              </w:rPr>
              <w:t>、</w:t>
            </w:r>
            <w:r w:rsidRPr="000609FC">
              <w:rPr>
                <w:rFonts w:ascii="宋体" w:eastAsia="宋体" w:hAnsi="宋体" w:cs="Arial" w:hint="eastAsia"/>
              </w:rPr>
              <w:t>修改添加</w:t>
            </w:r>
            <w:r w:rsidRPr="000609FC">
              <w:rPr>
                <w:rFonts w:ascii="宋体" w:eastAsia="宋体" w:hAnsi="宋体" w:cs="Arial"/>
              </w:rPr>
              <w:t>分析汇总</w:t>
            </w:r>
            <w:r w:rsidRPr="000609FC">
              <w:rPr>
                <w:rFonts w:ascii="宋体" w:eastAsia="宋体" w:hAnsi="宋体" w:cs="Arial" w:hint="eastAsia"/>
              </w:rPr>
              <w:t>、按分园筛选信息、修改系统飘窗、高新技术企业编号、迁入迁出记录、制定数据导出导入模板等</w:t>
            </w:r>
            <w:r w:rsidRPr="000609FC">
              <w:rPr>
                <w:rFonts w:ascii="宋体" w:eastAsia="宋体" w:hAnsi="宋体" w:cs="Arial"/>
              </w:rPr>
              <w:t>功能</w:t>
            </w:r>
          </w:p>
        </w:tc>
        <w:tc>
          <w:tcPr>
            <w:tcW w:w="3743" w:type="dxa"/>
            <w:vAlign w:val="center"/>
          </w:tcPr>
          <w:p w:rsidR="00C2642C" w:rsidRDefault="00C2642C" w:rsidP="009A04DD">
            <w:pPr>
              <w:snapToGrid w:val="0"/>
              <w:jc w:val="center"/>
              <w:rPr>
                <w:rFonts w:ascii="宋体" w:hAnsi="宋体"/>
                <w:kern w:val="0"/>
                <w:szCs w:val="21"/>
              </w:rPr>
            </w:pPr>
            <w:r>
              <w:rPr>
                <w:rFonts w:ascii="宋体" w:hAnsi="宋体" w:hint="eastAsia"/>
                <w:kern w:val="0"/>
                <w:szCs w:val="21"/>
              </w:rPr>
              <w:t>评分等次及文字评价（按评估等级的百分比计算得分；优（13-15分）；良（10-12分）；中（7-9分）；可（4-6分）；差（0-3分）。）</w:t>
            </w:r>
          </w:p>
        </w:tc>
      </w:tr>
      <w:tr w:rsidR="00C2642C" w:rsidTr="009A04DD">
        <w:trPr>
          <w:trHeight w:val="1292"/>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15</w:t>
            </w:r>
          </w:p>
        </w:tc>
        <w:tc>
          <w:tcPr>
            <w:tcW w:w="1838" w:type="dxa"/>
            <w:vAlign w:val="center"/>
          </w:tcPr>
          <w:p w:rsidR="00C2642C" w:rsidRPr="000609FC" w:rsidRDefault="00C2642C" w:rsidP="009A04DD">
            <w:pPr>
              <w:jc w:val="center"/>
              <w:rPr>
                <w:rFonts w:ascii="宋体" w:eastAsia="宋体" w:hAnsi="宋体" w:cs="Arial"/>
              </w:rPr>
            </w:pPr>
            <w:r>
              <w:rPr>
                <w:rFonts w:ascii="宋体" w:eastAsia="宋体" w:hAnsi="宋体" w:cs="Arial" w:hint="eastAsia"/>
              </w:rPr>
              <w:t>系统运维</w:t>
            </w:r>
            <w:r w:rsidRPr="000609FC">
              <w:rPr>
                <w:rFonts w:ascii="宋体" w:eastAsia="宋体" w:hAnsi="宋体" w:cs="Arial" w:hint="eastAsia"/>
              </w:rPr>
              <w:t>服务方案</w:t>
            </w:r>
          </w:p>
        </w:tc>
        <w:tc>
          <w:tcPr>
            <w:tcW w:w="3125" w:type="dxa"/>
            <w:vAlign w:val="center"/>
          </w:tcPr>
          <w:p w:rsidR="00C2642C" w:rsidRPr="000609FC" w:rsidRDefault="00C2642C" w:rsidP="009A04DD">
            <w:pPr>
              <w:rPr>
                <w:rFonts w:ascii="宋体" w:eastAsia="宋体" w:hAnsi="宋体" w:cs="Arial"/>
              </w:rPr>
            </w:pPr>
            <w:r w:rsidRPr="000609FC">
              <w:rPr>
                <w:rFonts w:ascii="宋体" w:eastAsia="宋体" w:hAnsi="宋体" w:cs="Arial" w:hint="eastAsia"/>
              </w:rPr>
              <w:t>系统出现故障时的响应方案及完善系统运维服务能力</w:t>
            </w:r>
            <w:r>
              <w:rPr>
                <w:rFonts w:ascii="宋体" w:eastAsia="宋体" w:hAnsi="宋体" w:cs="Arial" w:hint="eastAsia"/>
              </w:rPr>
              <w:t>方案</w:t>
            </w:r>
          </w:p>
        </w:tc>
        <w:tc>
          <w:tcPr>
            <w:tcW w:w="3743" w:type="dxa"/>
            <w:vAlign w:val="center"/>
          </w:tcPr>
          <w:p w:rsidR="00C2642C" w:rsidRDefault="00C2642C" w:rsidP="009A04DD">
            <w:pPr>
              <w:snapToGrid w:val="0"/>
              <w:jc w:val="center"/>
              <w:rPr>
                <w:rFonts w:ascii="宋体" w:eastAsia="宋体" w:hAnsi="宋体" w:cs="Times New Roman"/>
                <w:szCs w:val="21"/>
              </w:rPr>
            </w:pPr>
            <w:r>
              <w:rPr>
                <w:rFonts w:ascii="宋体" w:hAnsi="宋体" w:hint="eastAsia"/>
                <w:kern w:val="0"/>
                <w:szCs w:val="21"/>
              </w:rPr>
              <w:t>评分等次及文字评价（按评估等级的百分比计算得分；优（13-15分）；良（10-12分）；中（7-9分）；可（4-6分）；差（0-3分）。）</w:t>
            </w:r>
          </w:p>
        </w:tc>
      </w:tr>
      <w:tr w:rsidR="00C2642C" w:rsidTr="009A04DD">
        <w:trPr>
          <w:trHeight w:val="1503"/>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lastRenderedPageBreak/>
              <w:t>10</w:t>
            </w:r>
          </w:p>
        </w:tc>
        <w:tc>
          <w:tcPr>
            <w:tcW w:w="4963" w:type="dxa"/>
            <w:gridSpan w:val="2"/>
            <w:vAlign w:val="center"/>
          </w:tcPr>
          <w:p w:rsidR="00C2642C" w:rsidRDefault="00C2642C" w:rsidP="009A04DD">
            <w:pPr>
              <w:jc w:val="center"/>
              <w:rPr>
                <w:rFonts w:ascii="宋体" w:eastAsia="宋体" w:hAnsi="宋体" w:cs="Times New Roman"/>
              </w:rPr>
            </w:pPr>
            <w:r>
              <w:rPr>
                <w:rFonts w:ascii="宋体" w:eastAsia="宋体" w:hAnsi="宋体" w:cs="Times New Roman" w:hint="eastAsia"/>
              </w:rPr>
              <w:t>服务承诺</w:t>
            </w:r>
          </w:p>
        </w:tc>
        <w:tc>
          <w:tcPr>
            <w:tcW w:w="3743" w:type="dxa"/>
            <w:vAlign w:val="center"/>
          </w:tcPr>
          <w:p w:rsidR="00C2642C" w:rsidRDefault="00C2642C" w:rsidP="009A04DD">
            <w:pPr>
              <w:snapToGrid w:val="0"/>
              <w:jc w:val="center"/>
              <w:rPr>
                <w:rFonts w:ascii="宋体" w:eastAsia="宋体" w:hAnsi="宋体" w:cs="Times New Roman"/>
                <w:kern w:val="0"/>
                <w:szCs w:val="21"/>
              </w:rPr>
            </w:pPr>
            <w:r>
              <w:rPr>
                <w:rFonts w:ascii="宋体" w:hAnsi="宋体" w:hint="eastAsia"/>
                <w:kern w:val="0"/>
                <w:szCs w:val="21"/>
              </w:rPr>
              <w:t>评分等次及文字评价（按评估等级的百分比计算得分；优（9-10分）；良（8分）；中（7分）；可（6分）；差（0-5分）。）</w:t>
            </w:r>
            <w:bookmarkStart w:id="0" w:name="_GoBack"/>
            <w:bookmarkEnd w:id="0"/>
          </w:p>
        </w:tc>
      </w:tr>
      <w:tr w:rsidR="00C2642C" w:rsidTr="009A04DD">
        <w:trPr>
          <w:trHeight w:val="1193"/>
          <w:jc w:val="center"/>
        </w:trPr>
        <w:tc>
          <w:tcPr>
            <w:tcW w:w="956" w:type="dxa"/>
            <w:vAlign w:val="center"/>
          </w:tcPr>
          <w:p w:rsidR="00C2642C" w:rsidRDefault="00C2642C" w:rsidP="009A04DD">
            <w:pPr>
              <w:jc w:val="center"/>
              <w:rPr>
                <w:rFonts w:ascii="宋体" w:eastAsia="宋体" w:hAnsi="宋体" w:cs="Times New Roman"/>
                <w:kern w:val="0"/>
                <w:szCs w:val="21"/>
              </w:rPr>
            </w:pPr>
            <w:r>
              <w:rPr>
                <w:rFonts w:ascii="宋体" w:eastAsia="宋体" w:hAnsi="宋体" w:cs="Times New Roman" w:hint="eastAsia"/>
                <w:kern w:val="0"/>
                <w:szCs w:val="21"/>
              </w:rPr>
              <w:t>20</w:t>
            </w:r>
          </w:p>
        </w:tc>
        <w:tc>
          <w:tcPr>
            <w:tcW w:w="4963" w:type="dxa"/>
            <w:gridSpan w:val="2"/>
            <w:vAlign w:val="center"/>
          </w:tcPr>
          <w:p w:rsidR="00C2642C" w:rsidRDefault="00C2642C" w:rsidP="009A04DD">
            <w:pPr>
              <w:jc w:val="center"/>
              <w:rPr>
                <w:rFonts w:ascii="宋体" w:eastAsia="宋体" w:hAnsi="宋体" w:cs="Arial"/>
              </w:rPr>
            </w:pPr>
            <w:r>
              <w:rPr>
                <w:rFonts w:ascii="宋体" w:eastAsia="宋体" w:hAnsi="宋体" w:cs="Arial" w:hint="eastAsia"/>
              </w:rPr>
              <w:t>项目报价合理性</w:t>
            </w:r>
          </w:p>
        </w:tc>
        <w:tc>
          <w:tcPr>
            <w:tcW w:w="3743" w:type="dxa"/>
            <w:vAlign w:val="center"/>
          </w:tcPr>
          <w:p w:rsidR="00C2642C" w:rsidRDefault="00C2642C" w:rsidP="009A04DD">
            <w:pPr>
              <w:snapToGrid w:val="0"/>
              <w:rPr>
                <w:rFonts w:ascii="宋体" w:eastAsia="宋体" w:hAnsi="宋体" w:cs="Times New Roman"/>
                <w:szCs w:val="21"/>
              </w:rPr>
            </w:pPr>
            <w:r>
              <w:rPr>
                <w:rFonts w:ascii="宋体" w:eastAsia="宋体" w:hAnsi="宋体" w:cs="Times New Roman" w:hint="eastAsia"/>
                <w:szCs w:val="21"/>
              </w:rPr>
              <w:t>价格</w:t>
            </w:r>
            <w:proofErr w:type="gramStart"/>
            <w:r>
              <w:rPr>
                <w:rFonts w:ascii="宋体" w:eastAsia="宋体" w:hAnsi="宋体" w:cs="Times New Roman" w:hint="eastAsia"/>
                <w:szCs w:val="21"/>
              </w:rPr>
              <w:t>分统一</w:t>
            </w:r>
            <w:proofErr w:type="gramEnd"/>
            <w:r>
              <w:rPr>
                <w:rFonts w:ascii="宋体" w:eastAsia="宋体" w:hAnsi="宋体" w:cs="Times New Roman" w:hint="eastAsia"/>
                <w:szCs w:val="21"/>
              </w:rPr>
              <w:t>采用低价优先法计算，各有效投标人的评标价中，取最低价为评标基准价，其价格分为满分。其他投标人的价格</w:t>
            </w:r>
            <w:proofErr w:type="gramStart"/>
            <w:r>
              <w:rPr>
                <w:rFonts w:ascii="宋体" w:eastAsia="宋体" w:hAnsi="宋体" w:cs="Times New Roman" w:hint="eastAsia"/>
                <w:szCs w:val="21"/>
              </w:rPr>
              <w:t>分统一</w:t>
            </w:r>
            <w:proofErr w:type="gramEnd"/>
            <w:r>
              <w:rPr>
                <w:rFonts w:ascii="宋体" w:eastAsia="宋体" w:hAnsi="宋体" w:cs="Times New Roman" w:hint="eastAsia"/>
                <w:szCs w:val="21"/>
              </w:rPr>
              <w:t>按照下列公式计算：</w:t>
            </w:r>
          </w:p>
          <w:p w:rsidR="00C2642C" w:rsidRDefault="00C2642C" w:rsidP="009A04DD">
            <w:pPr>
              <w:snapToGrid w:val="0"/>
              <w:rPr>
                <w:rFonts w:ascii="宋体" w:eastAsia="宋体" w:hAnsi="宋体" w:cs="Times New Roman"/>
                <w:szCs w:val="21"/>
              </w:rPr>
            </w:pPr>
            <w:r>
              <w:rPr>
                <w:rFonts w:ascii="宋体" w:eastAsia="宋体" w:hAnsi="宋体" w:cs="Times New Roman" w:hint="eastAsia"/>
                <w:szCs w:val="21"/>
              </w:rPr>
              <w:t>价格评分=（评标基准价／评标价）×20分</w:t>
            </w:r>
          </w:p>
        </w:tc>
      </w:tr>
    </w:tbl>
    <w:p w:rsidR="00C2642C" w:rsidRDefault="00C2642C" w:rsidP="00C2642C"/>
    <w:p w:rsidR="00163183" w:rsidRPr="00C2642C" w:rsidRDefault="00163183"/>
    <w:sectPr w:rsidR="00163183" w:rsidRPr="00C2642C" w:rsidSect="00B00B0A">
      <w:pgSz w:w="11906" w:h="16838"/>
      <w:pgMar w:top="1440" w:right="1230" w:bottom="1440" w:left="123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642C"/>
    <w:rsid w:val="00163183"/>
    <w:rsid w:val="0087378C"/>
    <w:rsid w:val="00C2642C"/>
    <w:rsid w:val="00D175E6"/>
    <w:rsid w:val="00DE37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2C"/>
    <w:pPr>
      <w:widowControl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lyy</dc:creator>
  <cp:lastModifiedBy>lyy</cp:lastModifiedBy>
  <cp:revision>3</cp:revision>
  <dcterms:created xsi:type="dcterms:W3CDTF">2018-12-13T02:40:00Z</dcterms:created>
  <dcterms:modified xsi:type="dcterms:W3CDTF">2018-12-13T02:46:00Z</dcterms:modified>
</cp:coreProperties>
</file>