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仿宋_GB2312" w:hAnsi="宋体" w:eastAsia="仿宋_GB2312"/>
          <w:b/>
          <w:bCs/>
          <w:color w:val="auto"/>
          <w:sz w:val="32"/>
          <w:szCs w:val="32"/>
        </w:rPr>
      </w:pPr>
      <w:r>
        <w:rPr>
          <w:rFonts w:hint="eastAsia" w:ascii="仿宋_GB2312" w:hAnsi="宋体" w:eastAsia="仿宋_GB2312"/>
          <w:b/>
          <w:bCs/>
          <w:color w:val="auto"/>
          <w:sz w:val="30"/>
          <w:szCs w:val="30"/>
        </w:rPr>
        <w:t>附件</w:t>
      </w:r>
      <w:r>
        <w:rPr>
          <w:rFonts w:hint="eastAsia" w:ascii="仿宋_GB2312" w:hAnsi="宋体" w:eastAsia="仿宋_GB2312"/>
          <w:b/>
          <w:bCs/>
          <w:color w:val="auto"/>
          <w:sz w:val="32"/>
          <w:szCs w:val="32"/>
        </w:rPr>
        <w:t xml:space="preserve">：                 </w:t>
      </w:r>
    </w:p>
    <w:p>
      <w:pPr>
        <w:snapToGrid w:val="0"/>
        <w:spacing w:line="300" w:lineRule="auto"/>
        <w:jc w:val="center"/>
        <w:rPr>
          <w:rFonts w:ascii="仿宋_GB2312" w:hAnsi="宋体" w:eastAsia="仿宋_GB2312"/>
          <w:b/>
          <w:bCs/>
          <w:color w:val="auto"/>
          <w:sz w:val="32"/>
          <w:szCs w:val="32"/>
        </w:rPr>
      </w:pPr>
      <w:r>
        <w:rPr>
          <w:rFonts w:hint="eastAsia" w:ascii="仿宋_GB2312" w:hAnsi="宋体" w:eastAsia="仿宋_GB2312"/>
          <w:b/>
          <w:bCs/>
          <w:color w:val="auto"/>
          <w:sz w:val="32"/>
          <w:szCs w:val="32"/>
        </w:rPr>
        <w:t>评分标准表</w:t>
      </w:r>
    </w:p>
    <w:tbl>
      <w:tblPr>
        <w:tblStyle w:val="7"/>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559"/>
        <w:gridCol w:w="636"/>
        <w:gridCol w:w="1532"/>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13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项目</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基础分</w:t>
            </w: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分项内容</w:t>
            </w:r>
          </w:p>
        </w:tc>
        <w:tc>
          <w:tcPr>
            <w:tcW w:w="57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1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24"/>
                <w:szCs w:val="24"/>
              </w:rPr>
            </w:pPr>
          </w:p>
        </w:tc>
        <w:tc>
          <w:tcPr>
            <w:tcW w:w="55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总计</w:t>
            </w: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单项</w:t>
            </w: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24"/>
                <w:szCs w:val="24"/>
              </w:rPr>
            </w:pPr>
          </w:p>
        </w:tc>
        <w:tc>
          <w:tcPr>
            <w:tcW w:w="5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3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1、资信</w:t>
            </w:r>
          </w:p>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证明</w:t>
            </w:r>
          </w:p>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（35%）</w:t>
            </w:r>
          </w:p>
        </w:tc>
        <w:tc>
          <w:tcPr>
            <w:tcW w:w="55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35</w:t>
            </w: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10</w:t>
            </w: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ISO9001系列认证及履约能力</w:t>
            </w:r>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auto"/>
                <w:sz w:val="24"/>
                <w:szCs w:val="24"/>
              </w:rPr>
            </w:pPr>
            <w:r>
              <w:rPr>
                <w:rFonts w:hint="eastAsia" w:ascii="仿宋_GB2312" w:hAnsi="宋体" w:eastAsia="仿宋_GB2312"/>
                <w:color w:val="auto"/>
                <w:sz w:val="24"/>
                <w:szCs w:val="24"/>
              </w:rPr>
              <w:t>同时通过ISO质量、环境、职业健康、水安全管理体系认证得5分，无则得0分。单位重合同守信用有连续10年以上的得5分，单位重合同守信用有连续5年以上的得2分，其他得0分。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24"/>
                <w:szCs w:val="24"/>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24"/>
                <w:szCs w:val="24"/>
              </w:rPr>
            </w:pPr>
          </w:p>
        </w:tc>
        <w:tc>
          <w:tcPr>
            <w:tcW w:w="636" w:type="dxa"/>
            <w:tcBorders>
              <w:top w:val="single" w:color="auto" w:sz="4" w:space="0"/>
              <w:left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10</w:t>
            </w:r>
          </w:p>
        </w:tc>
        <w:tc>
          <w:tcPr>
            <w:tcW w:w="1532" w:type="dxa"/>
            <w:tcBorders>
              <w:top w:val="single" w:color="auto" w:sz="4" w:space="0"/>
              <w:left w:val="single" w:color="auto" w:sz="4" w:space="0"/>
              <w:right w:val="single" w:color="auto" w:sz="4" w:space="0"/>
            </w:tcBorders>
            <w:vAlign w:val="center"/>
          </w:tcPr>
          <w:p>
            <w:pPr>
              <w:snapToGrid w:val="0"/>
              <w:spacing w:line="300" w:lineRule="auto"/>
              <w:rPr>
                <w:rFonts w:ascii="仿宋_GB2312" w:hAnsi="宋体" w:eastAsia="仿宋_GB2312"/>
                <w:color w:val="auto"/>
                <w:sz w:val="24"/>
                <w:szCs w:val="24"/>
              </w:rPr>
            </w:pPr>
            <w:r>
              <w:rPr>
                <w:rFonts w:hint="eastAsia" w:ascii="仿宋_GB2312" w:hAnsi="宋体" w:eastAsia="仿宋_GB2312"/>
                <w:color w:val="auto"/>
                <w:sz w:val="24"/>
                <w:szCs w:val="24"/>
              </w:rPr>
              <w:t>项目负责人及项目组成员资格</w:t>
            </w:r>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auto"/>
                <w:sz w:val="24"/>
                <w:szCs w:val="24"/>
              </w:rPr>
            </w:pPr>
            <w:r>
              <w:rPr>
                <w:rFonts w:hint="eastAsia" w:ascii="仿宋_GB2312" w:hAnsi="宋体" w:eastAsia="仿宋_GB2312"/>
                <w:color w:val="auto"/>
                <w:sz w:val="24"/>
                <w:szCs w:val="24"/>
              </w:rPr>
              <w:t>项目负责人为遥感或地理信息系统所学专业且具有水土保持专业高级及以上职称的得3分；项目组成员具有水土保持专业高级及以上职称（以职称证为准）的每人得1分，此项不超过7分。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24"/>
                <w:szCs w:val="24"/>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auto"/>
                <w:sz w:val="24"/>
                <w:szCs w:val="24"/>
              </w:rPr>
            </w:pP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业绩经验及获奖</w:t>
            </w:r>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auto"/>
                <w:sz w:val="24"/>
                <w:szCs w:val="24"/>
              </w:rPr>
            </w:pPr>
            <w:r>
              <w:rPr>
                <w:rFonts w:hint="eastAsia" w:ascii="仿宋_GB2312" w:hAnsi="宋体" w:eastAsia="仿宋_GB2312"/>
                <w:color w:val="auto"/>
                <w:sz w:val="24"/>
                <w:szCs w:val="24"/>
              </w:rPr>
              <w:t>近三年投标人承担过省级水土流失动态监测规划或省级水土保持规划，省内规划每项得3分、省外水土流失动态监测规划或省级水土保持规划每项得1分，此项不超过6分；市、县级水土流失动态监测规划或水土保持规划每项1分，此项不超过5分；近三年投标人获得中国水土保持学会优秀设计奖每项得2分，此项不超过4分。（提供委托合同、成果报告证明及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4"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90" w:leftChars="-43" w:right="-71" w:rightChars="-34"/>
              <w:jc w:val="center"/>
              <w:rPr>
                <w:rFonts w:ascii="仿宋_GB2312" w:hAnsi="宋体" w:eastAsia="仿宋_GB2312"/>
                <w:color w:val="auto"/>
                <w:sz w:val="24"/>
                <w:szCs w:val="24"/>
              </w:rPr>
            </w:pPr>
            <w:r>
              <w:rPr>
                <w:rFonts w:hint="eastAsia" w:ascii="仿宋_GB2312" w:hAnsi="宋体" w:eastAsia="仿宋_GB2312"/>
                <w:color w:val="auto"/>
                <w:sz w:val="24"/>
                <w:szCs w:val="24"/>
              </w:rPr>
              <w:t>2、工作方案（45%）</w:t>
            </w:r>
          </w:p>
        </w:tc>
        <w:tc>
          <w:tcPr>
            <w:tcW w:w="55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63" w:leftChars="-30" w:right="-76" w:rightChars="-36"/>
              <w:jc w:val="center"/>
              <w:rPr>
                <w:rFonts w:ascii="仿宋_GB2312" w:hAnsi="宋体" w:eastAsia="仿宋_GB2312"/>
                <w:color w:val="auto"/>
                <w:sz w:val="24"/>
                <w:szCs w:val="24"/>
              </w:rPr>
            </w:pPr>
            <w:r>
              <w:rPr>
                <w:rFonts w:hint="eastAsia" w:ascii="仿宋_GB2312" w:hAnsi="宋体" w:eastAsia="仿宋_GB2312"/>
                <w:color w:val="auto"/>
                <w:sz w:val="24"/>
                <w:szCs w:val="24"/>
              </w:rPr>
              <w:t>45</w:t>
            </w: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45</w:t>
            </w: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90" w:leftChars="-43" w:right="-71" w:rightChars="-34"/>
              <w:rPr>
                <w:rFonts w:ascii="仿宋_GB2312" w:hAnsi="宋体" w:eastAsia="仿宋_GB2312"/>
                <w:color w:val="auto"/>
                <w:sz w:val="24"/>
                <w:szCs w:val="24"/>
              </w:rPr>
            </w:pPr>
            <w:r>
              <w:rPr>
                <w:rFonts w:hint="eastAsia" w:ascii="仿宋_GB2312" w:hAnsi="宋体" w:eastAsia="仿宋_GB2312"/>
                <w:color w:val="auto"/>
                <w:sz w:val="24"/>
                <w:szCs w:val="24"/>
              </w:rPr>
              <w:t>工作方案</w:t>
            </w:r>
          </w:p>
        </w:tc>
        <w:tc>
          <w:tcPr>
            <w:tcW w:w="578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auto"/>
                <w:sz w:val="24"/>
                <w:szCs w:val="24"/>
              </w:rPr>
            </w:pPr>
            <w:r>
              <w:rPr>
                <w:rFonts w:hint="eastAsia" w:ascii="仿宋_GB2312" w:hAnsi="宋体" w:eastAsia="仿宋_GB2312"/>
                <w:color w:val="auto"/>
                <w:sz w:val="24"/>
                <w:szCs w:val="24"/>
              </w:rPr>
              <w:t>工作方案</w:t>
            </w:r>
            <w:r>
              <w:rPr>
                <w:rFonts w:hint="eastAsia" w:ascii="仿宋_GB2312" w:hAnsi="宋体" w:eastAsia="仿宋_GB2312"/>
                <w:bCs/>
                <w:color w:val="auto"/>
                <w:sz w:val="24"/>
                <w:szCs w:val="24"/>
              </w:rPr>
              <w:t>完善、科学、详细，可操作性强，最高得45分；</w:t>
            </w:r>
            <w:r>
              <w:rPr>
                <w:rFonts w:hint="eastAsia" w:ascii="仿宋_GB2312" w:hAnsi="宋体" w:eastAsia="仿宋_GB2312"/>
                <w:color w:val="auto"/>
                <w:sz w:val="24"/>
                <w:szCs w:val="24"/>
              </w:rPr>
              <w:t>工作方案</w:t>
            </w:r>
            <w:r>
              <w:rPr>
                <w:rFonts w:hint="eastAsia" w:ascii="仿宋_GB2312" w:hAnsi="宋体" w:eastAsia="仿宋_GB2312"/>
                <w:bCs/>
                <w:color w:val="auto"/>
                <w:sz w:val="24"/>
                <w:szCs w:val="24"/>
              </w:rPr>
              <w:t>合理，符合规范，可操作性一般最高得30分；</w:t>
            </w:r>
            <w:r>
              <w:rPr>
                <w:rFonts w:hint="eastAsia" w:ascii="仿宋_GB2312" w:hAnsi="宋体" w:eastAsia="仿宋_GB2312"/>
                <w:color w:val="auto"/>
                <w:sz w:val="24"/>
                <w:szCs w:val="24"/>
              </w:rPr>
              <w:t>工作方案</w:t>
            </w:r>
            <w:r>
              <w:rPr>
                <w:rFonts w:hint="eastAsia" w:ascii="仿宋_GB2312" w:hAnsi="宋体" w:eastAsia="仿宋_GB2312"/>
                <w:bCs/>
                <w:color w:val="auto"/>
                <w:sz w:val="24"/>
                <w:szCs w:val="24"/>
              </w:rPr>
              <w:t>有明显错误或缺乏可操作性的，最高得15分；无</w:t>
            </w:r>
            <w:r>
              <w:rPr>
                <w:rFonts w:hint="eastAsia" w:ascii="仿宋_GB2312" w:hAnsi="宋体" w:eastAsia="仿宋_GB2312"/>
                <w:color w:val="auto"/>
                <w:sz w:val="24"/>
                <w:szCs w:val="24"/>
              </w:rPr>
              <w:t>招标方案</w:t>
            </w:r>
            <w:r>
              <w:rPr>
                <w:rFonts w:hint="eastAsia" w:ascii="仿宋_GB2312" w:hAnsi="宋体" w:eastAsia="仿宋_GB2312"/>
                <w:bCs/>
                <w:color w:val="auto"/>
                <w:sz w:val="24"/>
                <w:szCs w:val="24"/>
              </w:rPr>
              <w:t>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3、投标</w:t>
            </w:r>
          </w:p>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报价</w:t>
            </w:r>
          </w:p>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(20%)</w:t>
            </w:r>
          </w:p>
        </w:tc>
        <w:tc>
          <w:tcPr>
            <w:tcW w:w="55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20</w:t>
            </w:r>
          </w:p>
        </w:tc>
        <w:tc>
          <w:tcPr>
            <w:tcW w:w="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20</w:t>
            </w: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宋体" w:eastAsia="仿宋_GB2312"/>
                <w:color w:val="auto"/>
                <w:sz w:val="24"/>
                <w:szCs w:val="24"/>
              </w:rPr>
            </w:pPr>
            <w:r>
              <w:rPr>
                <w:rFonts w:hint="eastAsia" w:ascii="仿宋_GB2312" w:hAnsi="宋体" w:eastAsia="仿宋_GB2312"/>
                <w:color w:val="auto"/>
                <w:sz w:val="24"/>
                <w:szCs w:val="24"/>
              </w:rPr>
              <w:t>投标报价</w:t>
            </w:r>
          </w:p>
        </w:tc>
        <w:tc>
          <w:tcPr>
            <w:tcW w:w="5785"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pacing w:line="360" w:lineRule="auto"/>
              <w:ind w:firstLine="480" w:firstLineChars="200"/>
              <w:rPr>
                <w:rFonts w:ascii="仿宋_GB2312" w:hAnsi="宋体" w:eastAsia="仿宋_GB2312"/>
                <w:color w:val="auto"/>
                <w:sz w:val="24"/>
                <w:szCs w:val="24"/>
              </w:rPr>
            </w:pPr>
            <w:r>
              <w:rPr>
                <w:rFonts w:hint="eastAsia" w:ascii="仿宋_GB2312" w:hAnsi="宋体" w:eastAsia="仿宋_GB2312"/>
                <w:bCs/>
                <w:color w:val="auto"/>
                <w:sz w:val="24"/>
                <w:szCs w:val="24"/>
              </w:rPr>
              <w:t>以所有投标人的报价中平均价作为计算的基准价，其价格得分为20分，其他投标人在价格基准价的基础上，每上浮或下浮5%减1分。</w:t>
            </w:r>
          </w:p>
        </w:tc>
      </w:tr>
    </w:tbl>
    <w:p>
      <w:pPr>
        <w:rPr>
          <w:rFonts w:ascii="仿宋_GB2312" w:hAnsi="宋体" w:eastAsia="仿宋_GB2312"/>
          <w:color w:val="auto"/>
          <w:sz w:val="28"/>
          <w:szCs w:val="28"/>
        </w:rPr>
      </w:pPr>
      <w:r>
        <w:rPr>
          <w:rFonts w:hint="eastAsia" w:ascii="仿宋_GB2312" w:hAnsi="宋体" w:eastAsia="仿宋_GB2312"/>
          <w:color w:val="auto"/>
          <w:sz w:val="28"/>
          <w:szCs w:val="28"/>
        </w:rPr>
        <w:t>说明：业绩经验需提供合同扫描件。</w:t>
      </w:r>
    </w:p>
    <w:p>
      <w:pPr>
        <w:spacing w:line="480" w:lineRule="exact"/>
        <w:rPr>
          <w:rFonts w:ascii="仿宋" w:hAnsi="仿宋" w:eastAsia="仿宋"/>
          <w:bCs/>
          <w:color w:val="auto"/>
          <w:sz w:val="30"/>
          <w:szCs w:val="30"/>
        </w:rPr>
      </w:pPr>
    </w:p>
    <w:p>
      <w:pPr>
        <w:spacing w:line="480" w:lineRule="exact"/>
        <w:rPr>
          <w:rFonts w:ascii="仿宋" w:hAnsi="仿宋" w:eastAsia="仿宋"/>
          <w:bCs/>
          <w:color w:val="auto"/>
          <w:sz w:val="30"/>
          <w:szCs w:val="30"/>
        </w:rPr>
      </w:pPr>
    </w:p>
    <w:p>
      <w:pPr>
        <w:spacing w:line="480" w:lineRule="exact"/>
        <w:rPr>
          <w:rFonts w:ascii="仿宋" w:hAnsi="仿宋" w:eastAsia="仿宋"/>
          <w:bCs/>
          <w:color w:val="auto"/>
          <w:sz w:val="30"/>
          <w:szCs w:val="30"/>
        </w:rPr>
      </w:pPr>
    </w:p>
    <w:p>
      <w:pPr>
        <w:spacing w:line="480" w:lineRule="exact"/>
        <w:rPr>
          <w:rFonts w:ascii="仿宋" w:hAnsi="仿宋" w:eastAsia="仿宋"/>
          <w:bCs/>
          <w:color w:val="auto"/>
          <w:sz w:val="30"/>
          <w:szCs w:val="30"/>
        </w:rPr>
      </w:pPr>
    </w:p>
    <w:p>
      <w:pPr>
        <w:spacing w:line="480" w:lineRule="exact"/>
        <w:rPr>
          <w:rFonts w:ascii="仿宋" w:hAnsi="仿宋" w:eastAsia="仿宋"/>
          <w:bCs/>
          <w:color w:val="auto"/>
          <w:sz w:val="30"/>
          <w:szCs w:val="30"/>
        </w:rPr>
      </w:pPr>
    </w:p>
    <w:p>
      <w:pPr>
        <w:spacing w:line="480" w:lineRule="exact"/>
        <w:rPr>
          <w:rFonts w:ascii="仿宋" w:hAnsi="仿宋" w:eastAsia="仿宋"/>
          <w:bCs/>
          <w:color w:val="auto"/>
          <w:sz w:val="30"/>
          <w:szCs w:val="30"/>
        </w:rPr>
      </w:pPr>
      <w:r>
        <w:rPr>
          <w:rFonts w:hint="eastAsia" w:ascii="仿宋" w:hAnsi="仿宋" w:eastAsia="仿宋"/>
          <w:bCs/>
          <w:color w:val="auto"/>
          <w:sz w:val="30"/>
          <w:szCs w:val="30"/>
        </w:rPr>
        <w:t xml:space="preserve">附件2：                        </w:t>
      </w:r>
    </w:p>
    <w:p>
      <w:pPr>
        <w:spacing w:line="360" w:lineRule="auto"/>
        <w:jc w:val="center"/>
        <w:rPr>
          <w:rFonts w:ascii="宋体" w:hAnsi="宋体" w:eastAsia="宋体"/>
          <w:b/>
          <w:color w:val="auto"/>
          <w:sz w:val="36"/>
          <w:szCs w:val="36"/>
        </w:rPr>
      </w:pPr>
      <w:r>
        <w:rPr>
          <w:rFonts w:hint="eastAsia" w:ascii="宋体" w:hAnsi="宋体" w:eastAsia="宋体"/>
          <w:b/>
          <w:color w:val="auto"/>
          <w:sz w:val="36"/>
          <w:szCs w:val="36"/>
        </w:rPr>
        <w:t>承 包 意 向 承 诺 及 声 明 函</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致：</w:t>
      </w:r>
      <w:r>
        <w:rPr>
          <w:rFonts w:hint="eastAsia" w:ascii="宋体" w:hAnsi="宋体" w:eastAsia="宋体"/>
          <w:color w:val="auto"/>
          <w:sz w:val="24"/>
          <w:szCs w:val="24"/>
          <w:u w:val="single"/>
        </w:rPr>
        <w:t xml:space="preserve">广州市天河区水务局 </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 xml:space="preserve">1.根据招标人发布的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工程（项目）的交易公告，我方已详细审查了全部交易公告及有关附件，并无异议。</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2.遵照《广州市小额建设工程交易管理办法》、《关于进一步放开建设项目专业服务价格的通知》（发改价格[2015]299号）等有关规定，我方承诺：</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愿以人民币</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元（小写：</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元）并按上述标准和技术规范的要求承包上述项目的编制工作。</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3.我方同意承包意向在交易公告规定的交易有效期</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日内有效，在此期间内我方的承包意向有可能被招标人接纳，获得承包资格，我方将受此约束。若招标人需延长交易有效期的，我方同意延长。如果在交易有效期内撤回交易意向或放弃承包资格不与招标人签订合同的，招标人有权要求我方对造成的损失进行赔偿。</w:t>
      </w:r>
    </w:p>
    <w:p>
      <w:pPr>
        <w:widowControl/>
        <w:topLinePunct/>
        <w:snapToGrid w:val="0"/>
        <w:spacing w:line="360" w:lineRule="auto"/>
        <w:ind w:firstLine="496"/>
        <w:rPr>
          <w:rFonts w:ascii="宋体" w:hAnsi="宋体" w:eastAsia="宋体"/>
          <w:color w:val="auto"/>
          <w:kern w:val="0"/>
          <w:sz w:val="24"/>
          <w:szCs w:val="24"/>
        </w:rPr>
      </w:pPr>
      <w:r>
        <w:rPr>
          <w:rFonts w:hint="eastAsia" w:ascii="宋体" w:hAnsi="宋体" w:eastAsia="宋体"/>
          <w:color w:val="auto"/>
          <w:sz w:val="24"/>
          <w:szCs w:val="24"/>
        </w:rPr>
        <w:t>4.如果我方获得承包资格，我方保证按</w:t>
      </w:r>
      <w:r>
        <w:rPr>
          <w:rFonts w:hint="eastAsia" w:ascii="宋体" w:hAnsi="宋体" w:eastAsia="宋体"/>
          <w:color w:val="auto"/>
          <w:kern w:val="0"/>
          <w:sz w:val="24"/>
          <w:szCs w:val="24"/>
        </w:rPr>
        <w:t>将按照交易文件和合同的约定，完成本项目编制的工作内容且相关的服务须达到令招标人满意的程度。</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5．如果我方获得承包资格，我方拟委派的项目负责人为</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（证书编号为：</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），并按招标人要求配备项目管理班子。如未经招标人同意更换项目班子成员，招标人有权取消我公司的承包资格或单方面终止合同，由此造成的违约责任由我公司承担。</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6.我方理解招标人将不受任何我方报名的约束。</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7.除非另外达成协议并生效，招标人的工程发包通知书和本报名资料、交易公告将成为约束双方的合同文件的组成部分。</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8.我方就参加本项目交易工作，作出以下郑重声明：</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⑴ 本公司保证报名资料及其后提供的一切材料都是真实的。</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⑵ 本公司保证在本项目交易中不给其他单位挂靠，不出让交易资格，不向招标人行贿。</w:t>
      </w:r>
    </w:p>
    <w:p>
      <w:pPr>
        <w:pStyle w:val="10"/>
        <w:adjustRightInd w:val="0"/>
        <w:ind w:right="-1" w:firstLine="480" w:firstLineChars="200"/>
        <w:jc w:val="left"/>
        <w:rPr>
          <w:rFonts w:ascii="宋体" w:hAnsi="宋体" w:eastAsia="宋体"/>
          <w:color w:val="auto"/>
          <w:sz w:val="24"/>
          <w:szCs w:val="24"/>
        </w:rPr>
      </w:pPr>
      <w:r>
        <w:rPr>
          <w:rFonts w:hint="eastAsia" w:ascii="宋体" w:hAnsi="宋体" w:eastAsia="宋体"/>
          <w:color w:val="auto"/>
          <w:sz w:val="24"/>
          <w:szCs w:val="24"/>
        </w:rPr>
        <w:t>⑶ 本公司没有处于被责令停业的状态；没有处于被建设行政主管部门取消投标资格的处罚期内；没有处于财产被接管、冻结、破产的状态；在报名资料核对截止日期前两年内没有建设行政主管部门、水务行政主管部门已书面认定的重大工程质量问题；在广州市人民检察院行贿犯罪档案查询结果中，本公司没有在报名资料核对截止时间前两年内被人民法院判决犯有行贿罪的记录。</w:t>
      </w:r>
    </w:p>
    <w:p>
      <w:pPr>
        <w:widowControl/>
        <w:snapToGrid w:val="0"/>
        <w:spacing w:line="360" w:lineRule="auto"/>
        <w:ind w:firstLine="540"/>
        <w:rPr>
          <w:rFonts w:ascii="宋体" w:hAnsi="宋体" w:eastAsia="宋体"/>
          <w:color w:val="auto"/>
          <w:kern w:val="0"/>
          <w:sz w:val="24"/>
          <w:szCs w:val="24"/>
        </w:rPr>
      </w:pPr>
      <w:r>
        <w:rPr>
          <w:rFonts w:hint="eastAsia" w:ascii="宋体" w:hAnsi="宋体" w:eastAsia="宋体"/>
          <w:color w:val="auto"/>
          <w:kern w:val="0"/>
          <w:sz w:val="24"/>
          <w:szCs w:val="24"/>
        </w:rPr>
        <w:t>4.本公司充分理解交易公告的规则，充分考虑了如有其他承包意向人资格变动对询价结果产生影响的风险，本公司仍将接受此次询价结果。</w:t>
      </w:r>
    </w:p>
    <w:p>
      <w:pPr>
        <w:pStyle w:val="10"/>
        <w:adjustRightInd w:val="0"/>
        <w:ind w:right="-1" w:firstLine="480" w:firstLineChars="200"/>
        <w:jc w:val="left"/>
        <w:rPr>
          <w:rFonts w:ascii="宋体" w:hAnsi="宋体" w:eastAsia="宋体"/>
          <w:color w:val="auto"/>
          <w:sz w:val="24"/>
          <w:szCs w:val="24"/>
        </w:rPr>
      </w:pPr>
    </w:p>
    <w:p>
      <w:pPr>
        <w:pStyle w:val="10"/>
        <w:adjustRightInd w:val="0"/>
        <w:ind w:right="-1" w:firstLine="600" w:firstLineChars="250"/>
        <w:jc w:val="left"/>
        <w:rPr>
          <w:rFonts w:ascii="宋体" w:hAnsi="宋体" w:eastAsia="宋体"/>
          <w:color w:val="auto"/>
          <w:sz w:val="24"/>
          <w:szCs w:val="24"/>
        </w:rPr>
      </w:pPr>
      <w:r>
        <w:rPr>
          <w:rFonts w:hint="eastAsia" w:ascii="宋体" w:hAnsi="宋体" w:eastAsia="宋体"/>
          <w:color w:val="auto"/>
          <w:sz w:val="24"/>
          <w:szCs w:val="24"/>
        </w:rPr>
        <w:t>本公司违反上述承诺，或声明陈述与事实不符，经查实，本公司愿意接受公开通报，承担由此带来的法律后果。</w:t>
      </w:r>
    </w:p>
    <w:p>
      <w:pPr>
        <w:pStyle w:val="10"/>
        <w:adjustRightInd w:val="0"/>
        <w:ind w:right="-1" w:firstLine="0"/>
        <w:jc w:val="left"/>
        <w:rPr>
          <w:rFonts w:ascii="宋体" w:hAnsi="宋体" w:eastAsia="宋体"/>
          <w:color w:val="auto"/>
          <w:sz w:val="24"/>
          <w:szCs w:val="24"/>
        </w:rPr>
      </w:pPr>
    </w:p>
    <w:p>
      <w:pPr>
        <w:pStyle w:val="10"/>
        <w:adjustRightInd w:val="0"/>
        <w:ind w:right="-1"/>
        <w:jc w:val="left"/>
        <w:rPr>
          <w:rFonts w:ascii="宋体" w:hAnsi="宋体" w:eastAsia="宋体"/>
          <w:color w:val="auto"/>
          <w:sz w:val="24"/>
          <w:szCs w:val="24"/>
          <w:u w:val="single"/>
        </w:rPr>
      </w:pPr>
      <w:r>
        <w:rPr>
          <w:rFonts w:hint="eastAsia" w:ascii="宋体" w:hAnsi="宋体" w:eastAsia="宋体"/>
          <w:color w:val="auto"/>
          <w:sz w:val="24"/>
          <w:szCs w:val="24"/>
        </w:rPr>
        <w:t>承包意向人企业公章：</w:t>
      </w:r>
      <w:r>
        <w:rPr>
          <w:rFonts w:hint="eastAsia" w:ascii="宋体" w:hAnsi="宋体" w:eastAsia="宋体"/>
          <w:color w:val="auto"/>
          <w:sz w:val="24"/>
          <w:szCs w:val="24"/>
          <w:u w:val="single"/>
        </w:rPr>
        <w:t xml:space="preserve">              </w:t>
      </w:r>
    </w:p>
    <w:p>
      <w:pPr>
        <w:pStyle w:val="10"/>
        <w:adjustRightInd w:val="0"/>
        <w:ind w:right="-1"/>
        <w:jc w:val="left"/>
        <w:rPr>
          <w:rFonts w:ascii="宋体" w:hAnsi="宋体" w:eastAsia="宋体"/>
          <w:color w:val="auto"/>
          <w:sz w:val="24"/>
          <w:szCs w:val="24"/>
        </w:rPr>
      </w:pPr>
      <w:r>
        <w:rPr>
          <w:rFonts w:hint="eastAsia" w:ascii="宋体" w:hAnsi="宋体" w:eastAsia="宋体"/>
          <w:color w:val="auto"/>
          <w:sz w:val="24"/>
          <w:szCs w:val="24"/>
        </w:rPr>
        <w:t>法定代表人：</w:t>
      </w:r>
      <w:r>
        <w:rPr>
          <w:rFonts w:hint="eastAsia" w:ascii="宋体" w:hAnsi="宋体" w:eastAsia="宋体"/>
          <w:color w:val="auto"/>
          <w:sz w:val="24"/>
          <w:szCs w:val="24"/>
          <w:u w:val="single"/>
        </w:rPr>
        <w:t xml:space="preserve">        （签名或盖章）</w:t>
      </w:r>
    </w:p>
    <w:p>
      <w:pPr>
        <w:pStyle w:val="10"/>
        <w:adjustRightInd w:val="0"/>
        <w:ind w:right="-1"/>
        <w:jc w:val="left"/>
        <w:rPr>
          <w:rFonts w:ascii="宋体" w:hAnsi="宋体" w:eastAsia="宋体"/>
          <w:color w:val="auto"/>
          <w:sz w:val="24"/>
          <w:szCs w:val="24"/>
        </w:rPr>
      </w:pPr>
      <w:r>
        <w:rPr>
          <w:rFonts w:hint="eastAsia" w:ascii="宋体" w:hAnsi="宋体" w:eastAsia="宋体"/>
          <w:color w:val="auto"/>
          <w:sz w:val="24"/>
          <w:szCs w:val="24"/>
        </w:rPr>
        <w:t xml:space="preserve">                </w:t>
      </w:r>
    </w:p>
    <w:p>
      <w:pPr>
        <w:pStyle w:val="10"/>
        <w:adjustRightInd w:val="0"/>
        <w:ind w:right="-1"/>
        <w:jc w:val="left"/>
        <w:rPr>
          <w:rFonts w:ascii="宋体" w:hAnsi="宋体" w:eastAsia="宋体"/>
          <w:color w:val="auto"/>
          <w:sz w:val="24"/>
          <w:szCs w:val="24"/>
        </w:rPr>
      </w:pPr>
      <w:r>
        <w:rPr>
          <w:rFonts w:hint="eastAsia" w:ascii="宋体" w:hAnsi="宋体" w:eastAsia="宋体"/>
          <w:color w:val="auto"/>
          <w:sz w:val="24"/>
          <w:szCs w:val="24"/>
        </w:rPr>
        <w:t>日期：    年  月  日</w:t>
      </w:r>
    </w:p>
    <w:p>
      <w:pPr>
        <w:rPr>
          <w:color w:val="auto"/>
        </w:rPr>
      </w:pPr>
    </w:p>
    <w:sectPr>
      <w:headerReference r:id="rId3" w:type="default"/>
      <w:endnotePr>
        <w:numFmt w:val="decimal"/>
      </w:endnotePr>
      <w:pgSz w:w="11907" w:h="16840"/>
      <w:pgMar w:top="1247" w:right="1418" w:bottom="1134" w:left="1418" w:header="851" w:footer="907" w:gutter="56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2DB2"/>
    <w:rsid w:val="002E7088"/>
    <w:rsid w:val="0044197E"/>
    <w:rsid w:val="00673B96"/>
    <w:rsid w:val="007E1AEC"/>
    <w:rsid w:val="00CC36EA"/>
    <w:rsid w:val="00FE2668"/>
    <w:rsid w:val="0192688B"/>
    <w:rsid w:val="02D65BD4"/>
    <w:rsid w:val="06357AF0"/>
    <w:rsid w:val="070F00BD"/>
    <w:rsid w:val="095A6261"/>
    <w:rsid w:val="0BDA75E2"/>
    <w:rsid w:val="0E9F516F"/>
    <w:rsid w:val="10B565E4"/>
    <w:rsid w:val="15784BC4"/>
    <w:rsid w:val="167C4CEB"/>
    <w:rsid w:val="19FD47FF"/>
    <w:rsid w:val="1B737B6B"/>
    <w:rsid w:val="22A91C25"/>
    <w:rsid w:val="23E625B1"/>
    <w:rsid w:val="242B5073"/>
    <w:rsid w:val="25D432FE"/>
    <w:rsid w:val="28671861"/>
    <w:rsid w:val="2C136D48"/>
    <w:rsid w:val="2CCD1C17"/>
    <w:rsid w:val="2D9F5DE7"/>
    <w:rsid w:val="3407173D"/>
    <w:rsid w:val="393454E6"/>
    <w:rsid w:val="399B7BEB"/>
    <w:rsid w:val="399C5051"/>
    <w:rsid w:val="39E80069"/>
    <w:rsid w:val="3E31627F"/>
    <w:rsid w:val="3F6D1317"/>
    <w:rsid w:val="43A6047E"/>
    <w:rsid w:val="44D4715D"/>
    <w:rsid w:val="4BC41656"/>
    <w:rsid w:val="4C3F19F0"/>
    <w:rsid w:val="5023341C"/>
    <w:rsid w:val="52291EA3"/>
    <w:rsid w:val="570245A7"/>
    <w:rsid w:val="57C1328B"/>
    <w:rsid w:val="57DD0964"/>
    <w:rsid w:val="5ADF4E26"/>
    <w:rsid w:val="5DB23E3C"/>
    <w:rsid w:val="5DF97F50"/>
    <w:rsid w:val="606A41D1"/>
    <w:rsid w:val="622B09CB"/>
    <w:rsid w:val="6631750A"/>
    <w:rsid w:val="6A540A62"/>
    <w:rsid w:val="6AF25B0E"/>
    <w:rsid w:val="6BDE671A"/>
    <w:rsid w:val="6F130DC4"/>
    <w:rsid w:val="6FA87CAF"/>
    <w:rsid w:val="70F665BF"/>
    <w:rsid w:val="715A7BDD"/>
    <w:rsid w:val="72E366DB"/>
    <w:rsid w:val="73B923D2"/>
    <w:rsid w:val="74495E6F"/>
    <w:rsid w:val="75166349"/>
    <w:rsid w:val="7BC30AF7"/>
    <w:rsid w:val="7EB77F22"/>
    <w:rsid w:val="7F1E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4"/>
    <w:qFormat/>
    <w:uiPriority w:val="0"/>
    <w:rPr>
      <w:rFonts w:ascii="宋体"/>
      <w:sz w:val="18"/>
      <w:szCs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rPr>
      <w:rFonts w:eastAsia="宋体"/>
      <w:kern w:val="2"/>
      <w:sz w:val="24"/>
      <w:szCs w:val="24"/>
      <w:lang w:val="en-US" w:eastAsia="zh-CN" w:bidi="ar-SA"/>
    </w:rPr>
  </w:style>
  <w:style w:type="paragraph" w:customStyle="1" w:styleId="10">
    <w:name w:val="公文正文"/>
    <w:qFormat/>
    <w:uiPriority w:val="0"/>
    <w:pPr>
      <w:widowControl w:val="0"/>
      <w:spacing w:line="360" w:lineRule="auto"/>
      <w:ind w:firstLine="629"/>
      <w:jc w:val="both"/>
    </w:pPr>
    <w:rPr>
      <w:rFonts w:ascii="仿宋_GB2312" w:hAnsi="Calisto MT" w:eastAsia="仿宋_GB2312" w:cs="Times New Roman"/>
      <w:color w:val="000000"/>
      <w:sz w:val="32"/>
      <w:szCs w:val="22"/>
      <w:lang w:val="en-US" w:eastAsia="zh-CN" w:bidi="ar-SA"/>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脚 Char"/>
    <w:link w:val="5"/>
    <w:qFormat/>
    <w:uiPriority w:val="0"/>
    <w:rPr>
      <w:rFonts w:eastAsia="楷体_GB2312"/>
      <w:kern w:val="2"/>
      <w:sz w:val="18"/>
      <w:szCs w:val="18"/>
      <w:lang w:val="en-US" w:eastAsia="zh-CN" w:bidi="ar-SA"/>
    </w:rPr>
  </w:style>
  <w:style w:type="character" w:customStyle="1" w:styleId="13">
    <w:name w:val="批注框文本 Char"/>
    <w:link w:val="4"/>
    <w:qFormat/>
    <w:uiPriority w:val="0"/>
    <w:rPr>
      <w:rFonts w:eastAsia="楷体_GB2312"/>
      <w:kern w:val="2"/>
      <w:sz w:val="18"/>
      <w:szCs w:val="18"/>
    </w:rPr>
  </w:style>
  <w:style w:type="character" w:customStyle="1" w:styleId="14">
    <w:name w:val="文档结构图 Char"/>
    <w:link w:val="2"/>
    <w:qFormat/>
    <w:uiPriority w:val="0"/>
    <w:rPr>
      <w:rFonts w:ascii="宋体"/>
      <w:kern w:val="2"/>
      <w:sz w:val="18"/>
      <w:szCs w:val="18"/>
    </w:rPr>
  </w:style>
  <w:style w:type="character" w:customStyle="1" w:styleId="15">
    <w:name w:val="页眉 Char"/>
    <w:link w:val="6"/>
    <w:qFormat/>
    <w:uiPriority w:val="0"/>
    <w:rPr>
      <w:rFonts w:eastAsia="楷体_GB2312"/>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JinYangIT.com</Company>
  <Pages>3</Pages>
  <Words>279</Words>
  <Characters>1595</Characters>
  <Lines>13</Lines>
  <Paragraphs>3</Paragraphs>
  <TotalTime>9</TotalTime>
  <ScaleCrop>false</ScaleCrop>
  <LinksUpToDate>false</LinksUpToDate>
  <CharactersWithSpaces>1871</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2018-04-08T09:35:00Z</dcterms:created>
  <dc:creator>Administrator</dc:creator>
  <cp:lastModifiedBy>Administrator</cp:lastModifiedBy>
  <cp:lastPrinted>2018-07-23T01:05:00Z</cp:lastPrinted>
  <dcterms:modified xsi:type="dcterms:W3CDTF">2019-09-18T07:49:52Z</dcterms:modified>
  <dc:title>XXXXXXX环境影响评价报告表询价公告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